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4" w:line="224" w:lineRule="auto"/>
        <w:rPr>
          <w:rFonts w:hint="eastAsia" w:ascii="黑体" w:hAnsi="黑体" w:eastAsia="黑体" w:cs="黑体"/>
          <w:spacing w:val="8"/>
          <w:sz w:val="32"/>
          <w:szCs w:val="32"/>
          <w:lang w:eastAsia="zh-CN"/>
        </w:rPr>
      </w:pPr>
      <w:r>
        <w:rPr>
          <w:rFonts w:hint="eastAsia" w:ascii="黑体" w:hAnsi="黑体" w:eastAsia="黑体" w:cs="黑体"/>
          <w:spacing w:val="8"/>
          <w:sz w:val="32"/>
          <w:szCs w:val="32"/>
        </w:rPr>
        <w:t>附件</w:t>
      </w:r>
      <w:r>
        <w:rPr>
          <w:rFonts w:hint="eastAsia" w:ascii="黑体" w:hAnsi="黑体" w:eastAsia="黑体" w:cs="黑体"/>
          <w:spacing w:val="8"/>
          <w:sz w:val="32"/>
          <w:szCs w:val="32"/>
          <w:lang w:val="en-US" w:eastAsia="zh-CN"/>
        </w:rPr>
        <w:t>7</w:t>
      </w:r>
    </w:p>
    <w:p>
      <w:pPr>
        <w:snapToGrid w:val="0"/>
        <w:spacing w:line="317" w:lineRule="auto"/>
        <w:jc w:val="center"/>
        <w:rPr>
          <w:rFonts w:ascii="仿宋_GB2312" w:hAnsi="仿宋_GB2312" w:eastAsia="仿宋_GB2312" w:cs="仿宋_GB2312"/>
          <w:sz w:val="32"/>
          <w:szCs w:val="32"/>
        </w:rPr>
      </w:pPr>
      <w:r>
        <w:rPr>
          <w:rFonts w:hint="eastAsia" w:ascii="方正小标宋简体" w:eastAsia="方正小标宋简体"/>
          <w:sz w:val="44"/>
          <w:szCs w:val="44"/>
        </w:rPr>
        <w:t>云南省</w:t>
      </w:r>
      <w:r>
        <w:rPr>
          <w:rFonts w:hint="eastAsia" w:ascii="方正小标宋简体" w:eastAsia="方正小标宋简体"/>
          <w:sz w:val="44"/>
          <w:szCs w:val="44"/>
          <w:lang w:eastAsia="zh-CN"/>
        </w:rPr>
        <w:t>晋宁区</w:t>
      </w:r>
      <w:r>
        <w:rPr>
          <w:rFonts w:hint="eastAsia" w:ascii="方正小标宋简体" w:eastAsia="方正小标宋简体"/>
          <w:sz w:val="44"/>
          <w:szCs w:val="44"/>
        </w:rPr>
        <w:t>烟草专卖局烟草制品零售点排队轮候制度</w:t>
      </w:r>
    </w:p>
    <w:p>
      <w:pPr>
        <w:numPr>
          <w:ilvl w:val="0"/>
          <w:numId w:val="1"/>
        </w:numPr>
        <w:spacing w:before="312" w:beforeLines="100" w:after="312" w:afterLines="100" w:line="360" w:lineRule="auto"/>
        <w:ind w:firstLine="403"/>
        <w:jc w:val="center"/>
        <w:rPr>
          <w:rFonts w:ascii="黑体" w:hAnsi="黑体" w:eastAsia="黑体" w:cs="黑体"/>
          <w:sz w:val="32"/>
          <w:szCs w:val="32"/>
        </w:rPr>
      </w:pPr>
      <w:r>
        <w:rPr>
          <w:rFonts w:hint="eastAsia" w:ascii="黑体" w:hAnsi="黑体" w:eastAsia="黑体" w:cs="黑体"/>
          <w:sz w:val="32"/>
          <w:szCs w:val="32"/>
        </w:rPr>
        <w:t>总则</w:t>
      </w:r>
    </w:p>
    <w:p>
      <w:pPr>
        <w:numPr>
          <w:ilvl w:val="2"/>
          <w:numId w:val="2"/>
        </w:numPr>
        <w:spacing w:line="360" w:lineRule="auto"/>
        <w:ind w:firstLine="680"/>
        <w:rPr>
          <w:rFonts w:ascii="仿宋_GB2312" w:hAnsi="仿宋_GB2312" w:eastAsia="仿宋_GB2312" w:cs="仿宋_GB2312"/>
          <w:sz w:val="32"/>
          <w:szCs w:val="32"/>
        </w:rPr>
      </w:pPr>
      <w:r>
        <w:rPr>
          <w:rFonts w:hint="eastAsia" w:ascii="仿宋_GB2312" w:hAnsi="仿宋_GB2312" w:eastAsia="仿宋_GB2312" w:cs="仿宋_GB2312"/>
          <w:sz w:val="32"/>
          <w:szCs w:val="32"/>
        </w:rPr>
        <w:t>为坚持公平、公正、公开原则，规范实施《云南省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烟草制品零售点合理布局规划》，根据《中华人民共和国行政许可法》《烟草专卖许可证管理办法》《烟草专卖许可证管理办法实施细则》等法律法规和规章的规定，结合</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实际，制定本制度。</w:t>
      </w:r>
    </w:p>
    <w:p>
      <w:pPr>
        <w:numPr>
          <w:ilvl w:val="2"/>
          <w:numId w:val="2"/>
        </w:numPr>
        <w:spacing w:line="360" w:lineRule="auto"/>
        <w:ind w:firstLine="680"/>
        <w:rPr>
          <w:rFonts w:ascii="仿宋_GB2312" w:hAnsi="仿宋_GB2312" w:eastAsia="仿宋_GB2312" w:cs="仿宋_GB2312"/>
          <w:sz w:val="32"/>
          <w:szCs w:val="32"/>
        </w:rPr>
      </w:pPr>
      <w:r>
        <w:rPr>
          <w:rFonts w:hint="eastAsia" w:ascii="仿宋_GB2312" w:hAnsi="仿宋_GB2312" w:eastAsia="仿宋_GB2312" w:cs="仿宋_GB2312"/>
          <w:sz w:val="32"/>
          <w:szCs w:val="32"/>
        </w:rPr>
        <w:t>本制度适用于云南省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行政辖区烟草制品零售点新办申请排队轮候预登记。</w:t>
      </w:r>
    </w:p>
    <w:p>
      <w:pPr>
        <w:numPr>
          <w:ilvl w:val="2"/>
          <w:numId w:val="2"/>
        </w:numPr>
        <w:spacing w:line="360" w:lineRule="auto"/>
        <w:ind w:firstLine="680"/>
        <w:rPr>
          <w:rFonts w:ascii="仿宋_GB2312" w:hAnsi="仿宋_GB2312" w:eastAsia="仿宋_GB2312" w:cs="仿宋_GB2312"/>
          <w:sz w:val="32"/>
          <w:szCs w:val="32"/>
        </w:rPr>
      </w:pPr>
      <w:r>
        <w:rPr>
          <w:rFonts w:hint="eastAsia" w:ascii="仿宋_GB2312" w:hAnsi="仿宋_GB2312" w:eastAsia="仿宋_GB2312" w:cs="仿宋_GB2312"/>
          <w:kern w:val="28"/>
          <w:sz w:val="32"/>
          <w:szCs w:val="32"/>
        </w:rPr>
        <w:t>本区</w:t>
      </w:r>
      <w:r>
        <w:rPr>
          <w:rFonts w:hint="eastAsia" w:ascii="仿宋_GB2312" w:hAnsi="仿宋_GB2312" w:eastAsia="仿宋_GB2312" w:cs="仿宋_GB2312"/>
          <w:sz w:val="32"/>
          <w:szCs w:val="32"/>
        </w:rPr>
        <w:t>行政辖区</w:t>
      </w:r>
      <w:r>
        <w:rPr>
          <w:rFonts w:hint="eastAsia" w:ascii="仿宋_GB2312" w:hAnsi="仿宋_GB2312" w:eastAsia="仿宋_GB2312" w:cs="仿宋_GB2312"/>
          <w:kern w:val="28"/>
          <w:sz w:val="32"/>
          <w:szCs w:val="32"/>
        </w:rPr>
        <w:t>最小单元网格内的零售点实际数量大于或等于</w:t>
      </w:r>
      <w:r>
        <w:rPr>
          <w:rFonts w:hint="eastAsia" w:ascii="仿宋_GB2312" w:hAnsi="仿宋_GB2312" w:eastAsia="仿宋_GB2312" w:cs="仿宋_GB2312"/>
          <w:sz w:val="32"/>
          <w:szCs w:val="32"/>
        </w:rPr>
        <w:t>合理容量</w:t>
      </w:r>
      <w:r>
        <w:rPr>
          <w:rFonts w:hint="eastAsia" w:ascii="仿宋_GB2312" w:hAnsi="仿宋_GB2312" w:eastAsia="仿宋_GB2312" w:cs="仿宋_GB2312"/>
          <w:kern w:val="28"/>
          <w:sz w:val="32"/>
          <w:szCs w:val="32"/>
        </w:rPr>
        <w:t>时不再设新的零售点。新办申请人应按本制度首先提出排队轮候申请，直至该最小单元网格内的零售点实际数量小于</w:t>
      </w:r>
      <w:r>
        <w:rPr>
          <w:rFonts w:hint="eastAsia" w:ascii="仿宋_GB2312" w:hAnsi="仿宋_GB2312" w:eastAsia="仿宋_GB2312" w:cs="仿宋_GB2312"/>
          <w:sz w:val="32"/>
          <w:szCs w:val="32"/>
        </w:rPr>
        <w:t>合理容量时，再按照排队轮候的顺序依次提交新办申请。</w:t>
      </w:r>
    </w:p>
    <w:p>
      <w:pPr>
        <w:numPr>
          <w:ilvl w:val="0"/>
          <w:numId w:val="1"/>
        </w:numPr>
        <w:spacing w:before="312" w:beforeLines="100" w:after="312" w:afterLines="100" w:line="360" w:lineRule="auto"/>
        <w:ind w:firstLine="403"/>
        <w:jc w:val="center"/>
        <w:rPr>
          <w:rFonts w:ascii="黑体" w:hAnsi="黑体" w:eastAsia="黑体" w:cs="黑体"/>
          <w:sz w:val="32"/>
          <w:szCs w:val="32"/>
        </w:rPr>
      </w:pPr>
      <w:r>
        <w:rPr>
          <w:rFonts w:hint="eastAsia" w:ascii="黑体" w:hAnsi="黑体" w:eastAsia="黑体" w:cs="黑体"/>
          <w:sz w:val="32"/>
          <w:szCs w:val="32"/>
        </w:rPr>
        <w:t>程序及要求</w:t>
      </w:r>
    </w:p>
    <w:p>
      <w:pPr>
        <w:numPr>
          <w:ilvl w:val="2"/>
          <w:numId w:val="2"/>
        </w:numPr>
        <w:spacing w:line="360" w:lineRule="auto"/>
        <w:ind w:firstLine="640" w:firstLineChars="200"/>
        <w:rPr>
          <w:rFonts w:ascii="楷体" w:hAnsi="楷体" w:eastAsia="楷体" w:cs="楷体"/>
          <w:sz w:val="32"/>
          <w:szCs w:val="32"/>
        </w:rPr>
      </w:pPr>
      <w:r>
        <w:rPr>
          <w:rFonts w:hint="eastAsia" w:ascii="仿宋_GB2312" w:hAnsi="黑体" w:eastAsia="仿宋_GB2312"/>
          <w:sz w:val="32"/>
          <w:szCs w:val="32"/>
        </w:rPr>
        <w:t>在本制度首次施行时，根据</w:t>
      </w:r>
      <w:r>
        <w:rPr>
          <w:rFonts w:hint="eastAsia" w:ascii="仿宋_GB2312" w:hAnsi="仿宋_GB2312" w:eastAsia="仿宋_GB2312" w:cs="仿宋_GB2312"/>
          <w:kern w:val="28"/>
          <w:sz w:val="32"/>
          <w:szCs w:val="32"/>
        </w:rPr>
        <w:t>本区</w:t>
      </w:r>
      <w:r>
        <w:rPr>
          <w:rFonts w:hint="eastAsia" w:ascii="仿宋_GB2312" w:hAnsi="仿宋_GB2312" w:eastAsia="仿宋_GB2312" w:cs="仿宋_GB2312"/>
          <w:sz w:val="32"/>
          <w:szCs w:val="32"/>
        </w:rPr>
        <w:t>行政辖区</w:t>
      </w:r>
      <w:r>
        <w:rPr>
          <w:rFonts w:hint="eastAsia" w:ascii="仿宋_GB2312" w:hAnsi="仿宋_GB2312" w:eastAsia="仿宋_GB2312" w:cs="仿宋_GB2312"/>
          <w:kern w:val="28"/>
          <w:sz w:val="32"/>
          <w:szCs w:val="32"/>
        </w:rPr>
        <w:t>最小单元网格的合理容量公示情况，对符合排队轮候情形的最小单元网格，发证机关采取集中抽签方式确定该最小单元网格首次排队轮候顺序。</w:t>
      </w:r>
    </w:p>
    <w:p>
      <w:pPr>
        <w:spacing w:line="360" w:lineRule="auto"/>
        <w:ind w:firstLine="640" w:firstLineChars="200"/>
        <w:rPr>
          <w:rFonts w:hint="eastAsia" w:ascii="楷体" w:hAnsi="楷体" w:eastAsia="楷体" w:cs="楷体"/>
          <w:sz w:val="32"/>
          <w:szCs w:val="32"/>
        </w:rPr>
      </w:pPr>
      <w:r>
        <w:rPr>
          <w:rFonts w:hint="eastAsia" w:ascii="仿宋_GB2312" w:hAnsi="黑体" w:eastAsia="仿宋_GB2312"/>
          <w:sz w:val="32"/>
          <w:szCs w:val="32"/>
        </w:rPr>
        <w:t>在本制度首次施行前，已执行排队轮候的，按原排队轮候顺序由</w:t>
      </w:r>
      <w:r>
        <w:rPr>
          <w:rFonts w:hint="eastAsia" w:ascii="仿宋_GB2312" w:hAnsi="仿宋_GB2312" w:eastAsia="仿宋_GB2312" w:cs="仿宋_GB2312"/>
          <w:kern w:val="28"/>
          <w:sz w:val="32"/>
          <w:szCs w:val="32"/>
        </w:rPr>
        <w:t>发证机关录入排队轮候系统。</w:t>
      </w:r>
    </w:p>
    <w:p>
      <w:pPr>
        <w:numPr>
          <w:ilvl w:val="2"/>
          <w:numId w:val="2"/>
        </w:numPr>
        <w:spacing w:line="360" w:lineRule="auto"/>
        <w:ind w:firstLine="640" w:firstLineChars="200"/>
        <w:rPr>
          <w:rFonts w:ascii="楷体" w:hAnsi="楷体" w:eastAsia="楷体" w:cs="楷体"/>
          <w:sz w:val="32"/>
          <w:szCs w:val="32"/>
        </w:rPr>
      </w:pPr>
      <w:r>
        <w:rPr>
          <w:rFonts w:hint="eastAsia" w:ascii="仿宋_GB2312" w:hAnsi="仿宋_GB2312" w:eastAsia="仿宋_GB2312" w:cs="仿宋_GB2312"/>
          <w:kern w:val="28"/>
          <w:sz w:val="32"/>
          <w:szCs w:val="32"/>
        </w:rPr>
        <w:t>集中抽签按照“提前申请—集中公证抽签—公示抽签结果”的程序进行。自本制度实施之日起5个工作日内，对外发布参与集中抽签的报名地点、时间和方式；自本制度实施之日起10个工作日内，对外发布集中公证抽签的地点、时间和方案；自本制度实施之日起15个工作日内，完成集中公证抽签。</w:t>
      </w:r>
    </w:p>
    <w:p>
      <w:pPr>
        <w:spacing w:line="360" w:lineRule="auto"/>
        <w:ind w:firstLine="640" w:firstLineChars="200"/>
        <w:rPr>
          <w:rFonts w:ascii="楷体" w:hAnsi="楷体" w:eastAsia="楷体" w:cs="楷体"/>
          <w:sz w:val="32"/>
          <w:szCs w:val="32"/>
        </w:rPr>
      </w:pPr>
      <w:r>
        <w:rPr>
          <w:rFonts w:hint="eastAsia" w:ascii="仿宋_GB2312" w:hAnsi="仿宋_GB2312" w:eastAsia="仿宋_GB2312" w:cs="仿宋_GB2312"/>
          <w:kern w:val="28"/>
          <w:sz w:val="32"/>
          <w:szCs w:val="32"/>
        </w:rPr>
        <w:t>集中公证抽签现场按照对外发布方案确定最小单元网格首次排队轮候顺序，并在2个工作日内公示。</w:t>
      </w:r>
    </w:p>
    <w:p>
      <w:pPr>
        <w:numPr>
          <w:ilvl w:val="2"/>
          <w:numId w:val="2"/>
        </w:numPr>
        <w:spacing w:line="360" w:lineRule="auto"/>
        <w:ind w:firstLine="640" w:firstLineChars="200"/>
        <w:rPr>
          <w:rFonts w:ascii="楷体" w:hAnsi="楷体" w:eastAsia="楷体" w:cs="楷体"/>
          <w:sz w:val="32"/>
          <w:szCs w:val="32"/>
        </w:rPr>
      </w:pPr>
      <w:r>
        <w:rPr>
          <w:rFonts w:hint="eastAsia" w:ascii="仿宋_GB2312" w:hAnsi="仿宋_GB2312" w:eastAsia="仿宋_GB2312" w:cs="仿宋_GB2312"/>
          <w:sz w:val="32"/>
          <w:szCs w:val="32"/>
        </w:rPr>
        <w:t>零售点排队轮候采取最小单元网格管理。自愿加入排队轮候的申请人，应线上填写并提交《云南省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烟草专卖局烟草制品零售点XX单元网格排队轮候申请表》（详见附表）。申请人在填报信息时应准确、真实。</w:t>
      </w:r>
    </w:p>
    <w:p>
      <w:pPr>
        <w:numPr>
          <w:ilvl w:val="2"/>
          <w:numId w:val="2"/>
        </w:num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系统根据申请人线上提交时间，自动生成排队轮候顺序，并由系统自动推送告知申请人单元网格内排队轮候顺序号。</w:t>
      </w:r>
    </w:p>
    <w:p>
      <w:pPr>
        <w:numPr>
          <w:ilvl w:val="2"/>
          <w:numId w:val="2"/>
        </w:num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发证机关应公开排队轮候情况，并接受公众监督。申请人可通过线上、线下等方式查询排队轮候的排号情况。</w:t>
      </w:r>
    </w:p>
    <w:p>
      <w:pPr>
        <w:numPr>
          <w:ilvl w:val="2"/>
          <w:numId w:val="2"/>
        </w:num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当单元网格内可新增零售点时，由发证机关按照顺序号和申请表约定的联系方式依次通知申请人。</w:t>
      </w:r>
    </w:p>
    <w:p>
      <w:pPr>
        <w:numPr>
          <w:ilvl w:val="2"/>
          <w:numId w:val="2"/>
        </w:num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到号办理时，申请人提交的办证申请信息应与排队轮候登记信息一致。信息不一致的，申请人需重新登记排队轮候。</w:t>
      </w:r>
    </w:p>
    <w:p>
      <w:pPr>
        <w:numPr>
          <w:ilvl w:val="0"/>
          <w:numId w:val="1"/>
        </w:numPr>
        <w:spacing w:before="312" w:beforeLines="100" w:after="312" w:afterLines="100" w:line="360" w:lineRule="auto"/>
        <w:ind w:firstLine="403"/>
        <w:jc w:val="center"/>
        <w:rPr>
          <w:rFonts w:ascii="黑体" w:hAnsi="黑体" w:eastAsia="黑体" w:cs="黑体"/>
          <w:sz w:val="32"/>
          <w:szCs w:val="32"/>
        </w:rPr>
      </w:pPr>
      <w:r>
        <w:rPr>
          <w:rFonts w:hint="eastAsia" w:ascii="黑体" w:hAnsi="黑体" w:eastAsia="黑体" w:cs="黑体"/>
          <w:sz w:val="32"/>
          <w:szCs w:val="32"/>
        </w:rPr>
        <w:t>监督检查</w:t>
      </w:r>
    </w:p>
    <w:p>
      <w:pPr>
        <w:numPr>
          <w:ilvl w:val="2"/>
          <w:numId w:val="2"/>
        </w:numPr>
        <w:spacing w:line="360" w:lineRule="auto"/>
        <w:ind w:firstLine="680"/>
        <w:rPr>
          <w:rFonts w:ascii="楷体" w:hAnsi="楷体" w:eastAsia="楷体" w:cs="楷体"/>
          <w:sz w:val="32"/>
          <w:szCs w:val="32"/>
        </w:rPr>
      </w:pPr>
      <w:r>
        <w:rPr>
          <w:rFonts w:hint="eastAsia" w:ascii="仿宋_GB2312" w:hAnsi="仿宋_GB2312" w:eastAsia="仿宋_GB2312" w:cs="仿宋_GB2312"/>
          <w:sz w:val="32"/>
          <w:szCs w:val="32"/>
        </w:rPr>
        <w:t>上级烟草专卖局应当加强对下级烟草专卖局排队轮候管理工作的监督检查，完善排队轮候管理工作督查机制，防范违法违规行为的发生。</w:t>
      </w:r>
    </w:p>
    <w:p>
      <w:pPr>
        <w:numPr>
          <w:ilvl w:val="2"/>
          <w:numId w:val="2"/>
        </w:numPr>
        <w:spacing w:line="360" w:lineRule="auto"/>
        <w:ind w:firstLine="680"/>
        <w:rPr>
          <w:rFonts w:ascii="黑体" w:hAnsi="黑体" w:eastAsia="黑体" w:cs="黑体"/>
          <w:sz w:val="32"/>
          <w:szCs w:val="32"/>
        </w:rPr>
      </w:pPr>
      <w:r>
        <w:rPr>
          <w:rFonts w:hint="eastAsia" w:ascii="仿宋_GB2312" w:hAnsi="仿宋_GB2312" w:eastAsia="仿宋_GB2312" w:cs="仿宋_GB2312"/>
          <w:sz w:val="32"/>
          <w:szCs w:val="32"/>
        </w:rPr>
        <w:t>发证机关接收和办理排队轮候业务，不得收取任何费用。</w:t>
      </w:r>
    </w:p>
    <w:p>
      <w:pPr>
        <w:numPr>
          <w:ilvl w:val="0"/>
          <w:numId w:val="1"/>
        </w:numPr>
        <w:spacing w:before="312" w:beforeLines="100" w:after="312" w:afterLines="100" w:line="360" w:lineRule="auto"/>
        <w:ind w:firstLine="403"/>
        <w:jc w:val="center"/>
        <w:rPr>
          <w:rFonts w:ascii="黑体" w:hAnsi="黑体" w:eastAsia="黑体" w:cs="黑体"/>
          <w:sz w:val="32"/>
          <w:szCs w:val="32"/>
        </w:rPr>
      </w:pPr>
      <w:r>
        <w:rPr>
          <w:rFonts w:hint="eastAsia" w:ascii="黑体" w:hAnsi="黑体" w:eastAsia="黑体" w:cs="黑体"/>
          <w:sz w:val="32"/>
          <w:szCs w:val="32"/>
        </w:rPr>
        <w:t>附则</w:t>
      </w:r>
    </w:p>
    <w:p>
      <w:pPr>
        <w:numPr>
          <w:ilvl w:val="2"/>
          <w:numId w:val="2"/>
        </w:numPr>
        <w:spacing w:line="360" w:lineRule="auto"/>
        <w:ind w:firstLine="680"/>
        <w:rPr>
          <w:rFonts w:ascii="仿宋_GB2312" w:hAnsi="仿宋_GB2312" w:eastAsia="仿宋_GB2312" w:cs="仿宋_GB2312"/>
          <w:sz w:val="32"/>
          <w:szCs w:val="32"/>
        </w:rPr>
      </w:pPr>
      <w:r>
        <w:rPr>
          <w:rFonts w:hint="eastAsia" w:ascii="仿宋_GB2312" w:hAnsi="仿宋_GB2312" w:eastAsia="仿宋_GB2312" w:cs="仿宋_GB2312"/>
          <w:sz w:val="32"/>
          <w:szCs w:val="32"/>
        </w:rPr>
        <w:t>本制度中按照年、月、日计算期间的，开始的当日不计入，自下一日开始计算。均以工作日计算，不含法定节假日。</w:t>
      </w:r>
    </w:p>
    <w:p>
      <w:pPr>
        <w:numPr>
          <w:ilvl w:val="2"/>
          <w:numId w:val="2"/>
        </w:numPr>
        <w:spacing w:line="360" w:lineRule="auto"/>
        <w:ind w:firstLine="680"/>
        <w:rPr>
          <w:rFonts w:ascii="仿宋_GB2312" w:hAnsi="仿宋_GB2312" w:eastAsia="仿宋_GB2312" w:cs="仿宋_GB2312"/>
          <w:sz w:val="32"/>
          <w:szCs w:val="32"/>
        </w:rPr>
      </w:pPr>
      <w:r>
        <w:rPr>
          <w:rFonts w:hint="eastAsia" w:ascii="仿宋_GB2312" w:hAnsi="仿宋_GB2312" w:eastAsia="仿宋_GB2312" w:cs="仿宋_GB2312"/>
          <w:sz w:val="32"/>
          <w:szCs w:val="32"/>
        </w:rPr>
        <w:t>本制度由云南省</w:t>
      </w:r>
      <w:r>
        <w:rPr>
          <w:rFonts w:hint="eastAsia" w:ascii="仿宋_GB2312" w:hAnsi="仿宋_GB2312" w:eastAsia="仿宋_GB2312" w:cs="仿宋_GB2312"/>
          <w:sz w:val="32"/>
          <w:szCs w:val="32"/>
          <w:lang w:val="en-US" w:eastAsia="zh-CN"/>
        </w:rPr>
        <w:t>晋宁区</w:t>
      </w:r>
      <w:r>
        <w:rPr>
          <w:rFonts w:hint="eastAsia" w:ascii="仿宋_GB2312" w:hAnsi="仿宋_GB2312" w:eastAsia="仿宋_GB2312" w:cs="仿宋_GB2312"/>
          <w:sz w:val="32"/>
          <w:szCs w:val="32"/>
        </w:rPr>
        <w:t>烟草专卖局负责解释。</w:t>
      </w:r>
    </w:p>
    <w:p>
      <w:pPr>
        <w:numPr>
          <w:ilvl w:val="2"/>
          <w:numId w:val="0"/>
        </w:numPr>
        <w:spacing w:line="360" w:lineRule="auto"/>
        <w:ind w:left="0" w:leftChars="0" w:firstLine="680" w:firstLineChars="0"/>
        <w:rPr>
          <w:rFonts w:hint="eastAsia" w:ascii="仿宋_GB2312" w:hAnsi="仿宋_GB2312" w:eastAsia="仿宋_GB2312" w:cs="仿宋_GB2312"/>
          <w:sz w:val="32"/>
          <w:szCs w:val="32"/>
          <w:highlight w:val="none"/>
          <w:lang w:val="en-US" w:eastAsia="zh-CN"/>
        </w:rPr>
      </w:pPr>
      <w:r>
        <w:rPr>
          <w:rFonts w:hint="eastAsia" w:ascii="楷体" w:hAnsi="楷体" w:eastAsia="黑体" w:cs="楷体"/>
          <w:color w:val="auto"/>
          <w:kern w:val="2"/>
          <w:sz w:val="32"/>
          <w:szCs w:val="32"/>
          <w:lang w:val="en-US" w:eastAsia="zh-CN" w:bidi="ar-SA"/>
        </w:rPr>
        <w:t>第十五条　</w:t>
      </w:r>
      <w:r>
        <w:rPr>
          <w:rFonts w:hint="eastAsia" w:ascii="仿宋_GB2312" w:hAnsi="仿宋_GB2312" w:eastAsia="仿宋_GB2312" w:cs="仿宋_GB2312"/>
          <w:sz w:val="32"/>
          <w:szCs w:val="32"/>
          <w:highlight w:val="none"/>
        </w:rPr>
        <w:t>本制度</w:t>
      </w:r>
      <w:r>
        <w:rPr>
          <w:rFonts w:hint="eastAsia" w:ascii="仿宋_GB2312" w:hAnsi="仿宋_GB2312" w:eastAsia="仿宋_GB2312" w:cs="仿宋_GB2312"/>
          <w:sz w:val="32"/>
          <w:szCs w:val="32"/>
          <w:highlight w:val="none"/>
          <w:lang w:val="en-US" w:eastAsia="zh-CN"/>
        </w:rPr>
        <w:t>在相关信息系统开发成熟稳定后，由云南省晋宁</w:t>
      </w:r>
      <w:bookmarkStart w:id="0" w:name="_GoBack"/>
      <w:bookmarkEnd w:id="0"/>
      <w:r>
        <w:rPr>
          <w:rFonts w:hint="eastAsia" w:ascii="仿宋_GB2312" w:hAnsi="仿宋_GB2312" w:eastAsia="仿宋_GB2312" w:cs="仿宋_GB2312"/>
          <w:sz w:val="32"/>
          <w:szCs w:val="32"/>
          <w:highlight w:val="none"/>
          <w:lang w:val="en-US" w:eastAsia="zh-CN"/>
        </w:rPr>
        <w:t>区烟草专卖局通过政府网站平台、行业网站平台及政务服务大厅、烟草证件大厅等平台公示后执行。具体实施时间以公示时间为准。</w:t>
      </w:r>
    </w:p>
    <w:p>
      <w:pPr>
        <w:pStyle w:val="21"/>
        <w:ind w:firstLine="640" w:firstLineChars="200"/>
        <w:rPr>
          <w:rFonts w:hint="default"/>
          <w:highlight w:val="none"/>
          <w:lang w:val="en-US" w:eastAsia="zh-CN"/>
        </w:rPr>
      </w:pPr>
      <w:r>
        <w:rPr>
          <w:rFonts w:hint="eastAsia" w:ascii="楷体" w:hAnsi="楷体" w:eastAsia="黑体" w:cs="楷体"/>
          <w:color w:val="auto"/>
          <w:kern w:val="2"/>
          <w:sz w:val="32"/>
          <w:szCs w:val="32"/>
          <w:highlight w:val="none"/>
          <w:lang w:val="en-US" w:eastAsia="zh-CN" w:bidi="ar-SA"/>
        </w:rPr>
        <w:t xml:space="preserve">第十六条 </w:t>
      </w:r>
      <w:r>
        <w:rPr>
          <w:rFonts w:hint="eastAsia" w:ascii="仿宋_GB2312" w:hAnsi="仿宋_GB2312" w:eastAsia="仿宋_GB2312" w:cs="仿宋_GB2312"/>
          <w:sz w:val="32"/>
          <w:szCs w:val="32"/>
          <w:highlight w:val="none"/>
          <w:lang w:val="en-US" w:eastAsia="zh-CN"/>
        </w:rPr>
        <w:t xml:space="preserve"> 本制度未公示执行前，执行集中摇号管理制度。</w:t>
      </w:r>
    </w:p>
    <w:p>
      <w:pPr>
        <w:spacing w:line="360" w:lineRule="auto"/>
        <w:ind w:left="402" w:firstLine="640" w:firstLineChars="200"/>
        <w:rPr>
          <w:rFonts w:ascii="仿宋_GB2312" w:hAnsi="仿宋_GB2312" w:eastAsia="仿宋_GB2312" w:cs="仿宋_GB2312"/>
          <w:sz w:val="32"/>
          <w:szCs w:val="32"/>
        </w:rPr>
      </w:pPr>
    </w:p>
    <w:p>
      <w:pPr>
        <w:spacing w:line="360" w:lineRule="auto"/>
        <w:ind w:left="402"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附表：云南省</w:t>
      </w:r>
      <w:r>
        <w:rPr>
          <w:rFonts w:hint="eastAsia" w:ascii="仿宋_GB2312" w:hAnsi="仿宋_GB2312" w:eastAsia="仿宋_GB2312" w:cs="仿宋_GB2312"/>
          <w:sz w:val="32"/>
          <w:szCs w:val="32"/>
          <w:lang w:eastAsia="zh-CN"/>
        </w:rPr>
        <w:t>晋宁区</w:t>
      </w:r>
      <w:r>
        <w:rPr>
          <w:rFonts w:hint="eastAsia" w:ascii="仿宋_GB2312" w:hAnsi="仿宋_GB2312" w:eastAsia="仿宋_GB2312" w:cs="仿宋_GB2312"/>
          <w:sz w:val="32"/>
          <w:szCs w:val="32"/>
        </w:rPr>
        <w:t>烟草专卖局烟草制品零售点XX单元网格排队轮候申请表</w:t>
      </w:r>
    </w:p>
    <w:p>
      <w:pPr>
        <w:widowControl/>
        <w:jc w:val="left"/>
        <w:rPr>
          <w:rFonts w:ascii="黑体" w:hAnsi="黑体" w:eastAsia="黑体" w:cs="黑体"/>
          <w:sz w:val="32"/>
          <w:szCs w:val="32"/>
        </w:rPr>
      </w:pPr>
      <w:r>
        <w:rPr>
          <w:rFonts w:ascii="黑体" w:hAnsi="黑体" w:eastAsia="黑体" w:cs="黑体"/>
          <w:sz w:val="32"/>
          <w:szCs w:val="32"/>
        </w:rPr>
        <w:br w:type="page"/>
      </w:r>
    </w:p>
    <w:p>
      <w:pPr>
        <w:spacing w:line="360" w:lineRule="auto"/>
        <w:rPr>
          <w:rFonts w:ascii="黑体" w:hAnsi="黑体" w:eastAsia="黑体" w:cs="黑体"/>
          <w:sz w:val="44"/>
          <w:szCs w:val="44"/>
        </w:rPr>
      </w:pPr>
      <w:r>
        <w:rPr>
          <w:rFonts w:hint="eastAsia" w:ascii="黑体" w:hAnsi="黑体" w:eastAsia="黑体" w:cs="黑体"/>
          <w:sz w:val="32"/>
          <w:szCs w:val="32"/>
        </w:rPr>
        <w:t>附表</w:t>
      </w:r>
    </w:p>
    <w:p>
      <w:pPr>
        <w:spacing w:line="360" w:lineRule="auto"/>
        <w:ind w:left="402"/>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云南省</w:t>
      </w:r>
      <w:r>
        <w:rPr>
          <w:rFonts w:hint="eastAsia" w:ascii="方正小标宋简体" w:hAnsi="方正小标宋简体" w:eastAsia="方正小标宋简体" w:cs="方正小标宋简体"/>
          <w:sz w:val="44"/>
          <w:szCs w:val="44"/>
          <w:lang w:eastAsia="zh-CN"/>
        </w:rPr>
        <w:t>晋宁区</w:t>
      </w:r>
      <w:r>
        <w:rPr>
          <w:rFonts w:hint="eastAsia" w:ascii="方正小标宋简体" w:hAnsi="方正小标宋简体" w:eastAsia="方正小标宋简体" w:cs="方正小标宋简体"/>
          <w:sz w:val="44"/>
          <w:szCs w:val="44"/>
        </w:rPr>
        <w:t>烟草专卖局烟草制品零售点XX单元网格排队轮候申请表</w:t>
      </w:r>
    </w:p>
    <w:tbl>
      <w:tblPr>
        <w:tblStyle w:val="7"/>
        <w:tblW w:w="0" w:type="auto"/>
        <w:tblInd w:w="96" w:type="dxa"/>
        <w:tblLayout w:type="fixed"/>
        <w:tblCellMar>
          <w:top w:w="0" w:type="dxa"/>
          <w:left w:w="108" w:type="dxa"/>
          <w:bottom w:w="0" w:type="dxa"/>
          <w:right w:w="108" w:type="dxa"/>
        </w:tblCellMar>
      </w:tblPr>
      <w:tblGrid>
        <w:gridCol w:w="2422"/>
        <w:gridCol w:w="2283"/>
        <w:gridCol w:w="1543"/>
        <w:gridCol w:w="2178"/>
      </w:tblGrid>
      <w:tr>
        <w:tblPrEx>
          <w:tblCellMar>
            <w:top w:w="0" w:type="dxa"/>
            <w:left w:w="108" w:type="dxa"/>
            <w:bottom w:w="0" w:type="dxa"/>
            <w:right w:w="108" w:type="dxa"/>
          </w:tblCellMar>
        </w:tblPrEx>
        <w:trPr>
          <w:trHeight w:val="420" w:hRule="atLeast"/>
        </w:trPr>
        <w:tc>
          <w:tcPr>
            <w:tcW w:w="8426"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b/>
                <w:bCs/>
                <w:sz w:val="24"/>
              </w:rPr>
            </w:pPr>
            <w:r>
              <w:rPr>
                <w:rFonts w:hint="eastAsia" w:ascii="宋体" w:hAnsi="宋体" w:cs="宋体"/>
                <w:b/>
                <w:bCs/>
                <w:kern w:val="0"/>
                <w:sz w:val="24"/>
                <w:lang w:bidi="ar"/>
              </w:rPr>
              <w:t>申请人基本信息</w:t>
            </w:r>
          </w:p>
        </w:tc>
      </w:tr>
      <w:tr>
        <w:tblPrEx>
          <w:tblCellMar>
            <w:top w:w="0" w:type="dxa"/>
            <w:left w:w="108" w:type="dxa"/>
            <w:bottom w:w="0" w:type="dxa"/>
            <w:right w:w="108" w:type="dxa"/>
          </w:tblCellMar>
        </w:tblPrEx>
        <w:trPr>
          <w:trHeight w:val="559"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申请人姓名</w:t>
            </w:r>
          </w:p>
        </w:tc>
        <w:tc>
          <w:tcPr>
            <w:tcW w:w="22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c>
          <w:tcPr>
            <w:tcW w:w="15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申请日期</w:t>
            </w:r>
          </w:p>
        </w:tc>
        <w:tc>
          <w:tcPr>
            <w:tcW w:w="21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r>
      <w:tr>
        <w:tblPrEx>
          <w:tblCellMar>
            <w:top w:w="0" w:type="dxa"/>
            <w:left w:w="108" w:type="dxa"/>
            <w:bottom w:w="0" w:type="dxa"/>
            <w:right w:w="108" w:type="dxa"/>
          </w:tblCellMar>
        </w:tblPrEx>
        <w:trPr>
          <w:trHeight w:val="559"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身份证号码</w:t>
            </w:r>
          </w:p>
        </w:tc>
        <w:tc>
          <w:tcPr>
            <w:tcW w:w="22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c>
          <w:tcPr>
            <w:tcW w:w="15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联系电话</w:t>
            </w:r>
          </w:p>
        </w:tc>
        <w:tc>
          <w:tcPr>
            <w:tcW w:w="21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r>
      <w:tr>
        <w:tblPrEx>
          <w:tblCellMar>
            <w:top w:w="0" w:type="dxa"/>
            <w:left w:w="108" w:type="dxa"/>
            <w:bottom w:w="0" w:type="dxa"/>
            <w:right w:w="108" w:type="dxa"/>
          </w:tblCellMar>
        </w:tblPrEx>
        <w:trPr>
          <w:trHeight w:val="559"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归属街道</w:t>
            </w:r>
          </w:p>
        </w:tc>
        <w:tc>
          <w:tcPr>
            <w:tcW w:w="228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c>
          <w:tcPr>
            <w:tcW w:w="15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归属网格</w:t>
            </w:r>
          </w:p>
        </w:tc>
        <w:tc>
          <w:tcPr>
            <w:tcW w:w="21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经营场所详细地址</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r>
      <w:tr>
        <w:tblPrEx>
          <w:tblCellMar>
            <w:top w:w="0" w:type="dxa"/>
            <w:left w:w="108" w:type="dxa"/>
            <w:bottom w:w="0" w:type="dxa"/>
            <w:right w:w="108" w:type="dxa"/>
          </w:tblCellMar>
        </w:tblPrEx>
        <w:trPr>
          <w:trHeight w:val="495" w:hRule="atLeast"/>
        </w:trPr>
        <w:tc>
          <w:tcPr>
            <w:tcW w:w="8426"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b/>
                <w:bCs/>
                <w:sz w:val="24"/>
              </w:rPr>
            </w:pPr>
            <w:r>
              <w:rPr>
                <w:rFonts w:hint="eastAsia" w:ascii="宋体" w:hAnsi="宋体" w:cs="宋体"/>
                <w:b/>
                <w:bCs/>
                <w:kern w:val="0"/>
                <w:sz w:val="24"/>
                <w:lang w:bidi="ar"/>
              </w:rPr>
              <w:t>营业执照基本信息</w:t>
            </w: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统一社会信用代码</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企业名称</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企业类型</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r>
      <w:tr>
        <w:tblPrEx>
          <w:tblCellMar>
            <w:top w:w="0" w:type="dxa"/>
            <w:left w:w="108" w:type="dxa"/>
            <w:bottom w:w="0" w:type="dxa"/>
            <w:right w:w="108" w:type="dxa"/>
          </w:tblCellMar>
        </w:tblPrEx>
        <w:trPr>
          <w:trHeight w:val="495"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sz w:val="24"/>
              </w:rPr>
            </w:pPr>
            <w:r>
              <w:rPr>
                <w:rFonts w:hint="eastAsia" w:ascii="宋体" w:hAnsi="宋体" w:cs="宋体"/>
                <w:kern w:val="0"/>
                <w:sz w:val="24"/>
                <w:lang w:bidi="ar"/>
              </w:rPr>
              <w:t>经营地址</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sz w:val="24"/>
              </w:rPr>
            </w:pPr>
          </w:p>
        </w:tc>
      </w:tr>
      <w:tr>
        <w:tblPrEx>
          <w:tblCellMar>
            <w:top w:w="0" w:type="dxa"/>
            <w:left w:w="108" w:type="dxa"/>
            <w:bottom w:w="0" w:type="dxa"/>
            <w:right w:w="108" w:type="dxa"/>
          </w:tblCellMar>
        </w:tblPrEx>
        <w:trPr>
          <w:trHeight w:val="2400" w:hRule="atLeast"/>
        </w:trPr>
        <w:tc>
          <w:tcPr>
            <w:tcW w:w="842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Style w:val="17"/>
                <w:rFonts w:hint="default"/>
                <w:color w:val="auto"/>
                <w:lang w:bidi="ar"/>
              </w:rPr>
            </w:pPr>
            <w:r>
              <w:rPr>
                <w:rStyle w:val="17"/>
                <w:rFonts w:hint="default"/>
                <w:color w:val="auto"/>
                <w:lang w:bidi="ar"/>
              </w:rPr>
              <w:t>申请人承诺：</w:t>
            </w:r>
          </w:p>
          <w:p>
            <w:pPr>
              <w:widowControl/>
              <w:ind w:firstLine="480" w:firstLineChars="200"/>
              <w:jc w:val="left"/>
              <w:textAlignment w:val="center"/>
              <w:rPr>
                <w:rStyle w:val="17"/>
                <w:rFonts w:hint="default"/>
                <w:b w:val="0"/>
                <w:bCs w:val="0"/>
                <w:color w:val="auto"/>
                <w:lang w:bidi="ar"/>
              </w:rPr>
            </w:pPr>
            <w:r>
              <w:rPr>
                <w:rStyle w:val="17"/>
                <w:rFonts w:hint="default"/>
                <w:b w:val="0"/>
                <w:bCs w:val="0"/>
                <w:color w:val="auto"/>
                <w:lang w:bidi="ar"/>
              </w:rPr>
              <w:t>1.以上信息经申请人核对，确认无误。申请人所提交的信息以及文件、证件、有关材料全部真实有效，复印件与原件一致。如申请人在申请过程中存在弄虚作假、欺骗等行为的，申请人愿意承担由此引起的一切法律责任；</w:t>
            </w:r>
          </w:p>
          <w:p>
            <w:pPr>
              <w:widowControl/>
              <w:ind w:firstLine="480" w:firstLineChars="200"/>
              <w:jc w:val="left"/>
              <w:textAlignment w:val="center"/>
              <w:rPr>
                <w:rStyle w:val="17"/>
                <w:rFonts w:hint="default"/>
                <w:b w:val="0"/>
                <w:bCs w:val="0"/>
                <w:color w:val="auto"/>
                <w:lang w:bidi="ar"/>
              </w:rPr>
            </w:pPr>
            <w:r>
              <w:rPr>
                <w:rStyle w:val="17"/>
                <w:rFonts w:hint="default"/>
                <w:b w:val="0"/>
                <w:bCs w:val="0"/>
                <w:color w:val="auto"/>
                <w:lang w:bidi="ar"/>
              </w:rPr>
              <w:t>2.申请人所提交的预登记信息确保与到号办理时提交的办证信息一致，若不一致的，申请人应重新登记轮候；</w:t>
            </w:r>
          </w:p>
          <w:p>
            <w:pPr>
              <w:widowControl/>
              <w:ind w:firstLine="480" w:firstLineChars="200"/>
              <w:jc w:val="left"/>
              <w:textAlignment w:val="center"/>
              <w:rPr>
                <w:rStyle w:val="17"/>
                <w:rFonts w:hint="default"/>
                <w:b w:val="0"/>
                <w:bCs w:val="0"/>
                <w:color w:val="auto"/>
                <w:lang w:bidi="ar"/>
              </w:rPr>
            </w:pPr>
            <w:r>
              <w:rPr>
                <w:rStyle w:val="17"/>
                <w:rFonts w:hint="default"/>
                <w:b w:val="0"/>
                <w:bCs w:val="0"/>
                <w:color w:val="auto"/>
                <w:lang w:bidi="ar"/>
              </w:rPr>
              <w:t>3.申请人应当在收到办理通知之日起三日内提交办证申请材料，逾期未提交的，视同申请人自愿放弃本次排队轮候；因申请人填报地址、联系方式等不正确，导致发证机关在三个工作日内无法与申请人取得联系的，视同申请人自愿放弃本次排队轮候。申请人自愿放弃本次排队轮候的，本机关公示三日后，由下一位申请人递补办理。</w:t>
            </w:r>
          </w:p>
          <w:p>
            <w:pPr>
              <w:widowControl/>
              <w:ind w:firstLine="482" w:firstLineChars="200"/>
              <w:jc w:val="left"/>
              <w:textAlignment w:val="center"/>
              <w:rPr>
                <w:rFonts w:ascii="宋体" w:hAnsi="宋体" w:cs="宋体"/>
                <w:b/>
                <w:bCs/>
                <w:sz w:val="24"/>
              </w:rPr>
            </w:pPr>
            <w:r>
              <w:rPr>
                <w:rStyle w:val="17"/>
                <w:rFonts w:hint="default"/>
                <w:color w:val="auto"/>
                <w:lang w:bidi="ar"/>
              </w:rPr>
              <w:t>申请人或代理人（签名或印章）：</w:t>
            </w:r>
            <w:r>
              <w:rPr>
                <w:rStyle w:val="18"/>
                <w:rFonts w:hint="default"/>
                <w:color w:val="auto"/>
                <w:lang w:bidi="ar"/>
              </w:rPr>
              <w:t xml:space="preserve">        </w:t>
            </w:r>
            <w:r>
              <w:rPr>
                <w:rStyle w:val="17"/>
                <w:rFonts w:hint="default"/>
                <w:color w:val="auto"/>
                <w:lang w:bidi="ar"/>
              </w:rPr>
              <w:t xml:space="preserve">                                                                         </w:t>
            </w:r>
          </w:p>
        </w:tc>
      </w:tr>
      <w:tr>
        <w:tblPrEx>
          <w:tblCellMar>
            <w:top w:w="0" w:type="dxa"/>
            <w:left w:w="108" w:type="dxa"/>
            <w:bottom w:w="0" w:type="dxa"/>
            <w:right w:w="108" w:type="dxa"/>
          </w:tblCellMar>
        </w:tblPrEx>
        <w:trPr>
          <w:trHeight w:val="1166" w:hRule="atLeast"/>
        </w:trPr>
        <w:tc>
          <w:tcPr>
            <w:tcW w:w="24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sz w:val="24"/>
              </w:rPr>
            </w:pPr>
            <w:r>
              <w:rPr>
                <w:rFonts w:hint="eastAsia" w:ascii="宋体" w:hAnsi="宋体" w:cs="宋体"/>
                <w:b/>
                <w:bCs/>
                <w:kern w:val="0"/>
                <w:sz w:val="24"/>
                <w:lang w:bidi="ar"/>
              </w:rPr>
              <w:t>排队轮候顺序号</w:t>
            </w:r>
          </w:p>
        </w:tc>
        <w:tc>
          <w:tcPr>
            <w:tcW w:w="6004"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b/>
                <w:bCs/>
                <w:sz w:val="24"/>
              </w:rPr>
            </w:pPr>
          </w:p>
        </w:tc>
      </w:tr>
    </w:tbl>
    <w:p>
      <w:pPr>
        <w:spacing w:line="360" w:lineRule="auto"/>
        <w:ind w:left="402"/>
        <w:rPr>
          <w:rFonts w:ascii="方正小标宋简体" w:hAnsi="方正小标宋简体" w:eastAsia="方正小标宋简体" w:cs="方正小标宋简体"/>
          <w:sz w:val="44"/>
          <w:szCs w:val="4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1C5B8"/>
    <w:multiLevelType w:val="multilevel"/>
    <w:tmpl w:val="ACE1C5B8"/>
    <w:lvl w:ilvl="0" w:tentative="0">
      <w:start w:val="1"/>
      <w:numFmt w:val="chineseCounting"/>
      <w:suff w:val="nothing"/>
      <w:lvlText w:val="第%1章 "/>
      <w:lvlJc w:val="left"/>
      <w:pPr>
        <w:ind w:left="0" w:firstLine="402"/>
      </w:pPr>
      <w:rPr>
        <w:rFonts w:hint="eastAsia" w:eastAsia="黑体"/>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
    <w:nsid w:val="F7FCD2BF"/>
    <w:multiLevelType w:val="multilevel"/>
    <w:tmpl w:val="F7FCD2BF"/>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第%2节　"/>
      <w:lvlJc w:val="left"/>
      <w:pPr>
        <w:ind w:left="0" w:firstLine="402"/>
      </w:pPr>
      <w:rPr>
        <w:rFonts w:hint="eastAsia"/>
      </w:rPr>
    </w:lvl>
    <w:lvl w:ilvl="2" w:tentative="0">
      <w:start w:val="1"/>
      <w:numFmt w:val="chineseCounting"/>
      <w:suff w:val="nothing"/>
      <w:lvlText w:val="第%3条　"/>
      <w:lvlJc w:val="left"/>
      <w:pPr>
        <w:ind w:left="0" w:firstLine="402"/>
      </w:pPr>
      <w:rPr>
        <w:rFonts w:hint="eastAsia" w:eastAsia="黑体"/>
        <w:color w:val="auto"/>
      </w:rPr>
    </w:lvl>
    <w:lvl w:ilvl="3" w:tentative="0">
      <w:start w:val="1"/>
      <w:numFmt w:val="chineseCounting"/>
      <w:suff w:val="nothing"/>
      <w:lvlText w:val="（%4）"/>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decimalEnclosedCircleChinese"/>
      <w:suff w:val="nothing"/>
      <w:lvlText w:val="%7 "/>
      <w:lvlJc w:val="left"/>
      <w:pPr>
        <w:ind w:left="0" w:firstLine="402"/>
      </w:pPr>
      <w:rPr>
        <w:rFonts w:hint="eastAsia"/>
      </w:rPr>
    </w:lvl>
    <w:lvl w:ilvl="7" w:tentative="0">
      <w:start w:val="1"/>
      <w:numFmt w:val="decimal"/>
      <w:suff w:val="nothing"/>
      <w:lvlText w:val="%8）"/>
      <w:lvlJc w:val="left"/>
      <w:pPr>
        <w:ind w:left="0" w:firstLine="402"/>
      </w:pPr>
      <w:rPr>
        <w:rFonts w:hint="eastAsia"/>
      </w:rPr>
    </w:lvl>
    <w:lvl w:ilvl="8" w:tentative="0">
      <w:start w:val="1"/>
      <w:numFmt w:val="lowerLetter"/>
      <w:suff w:val="nothing"/>
      <w:lvlText w:val="%9．"/>
      <w:lvlJc w:val="left"/>
      <w:pPr>
        <w:ind w:left="0" w:firstLine="402"/>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jYzUzMWQ4OWI0YzBkYjYzMDRhZTY5ZjZkYmFmYTgifQ=="/>
    <w:docVar w:name="KSO_WPS_MARK_KEY" w:val="e7ded01a-431d-4f9f-937f-2fca2229c912"/>
  </w:docVars>
  <w:rsids>
    <w:rsidRoot w:val="5567B6FB"/>
    <w:rsid w:val="00001828"/>
    <w:rsid w:val="0002460F"/>
    <w:rsid w:val="00031E37"/>
    <w:rsid w:val="0003759B"/>
    <w:rsid w:val="0007425F"/>
    <w:rsid w:val="0007543C"/>
    <w:rsid w:val="000812FE"/>
    <w:rsid w:val="00087338"/>
    <w:rsid w:val="00096FD3"/>
    <w:rsid w:val="000A1264"/>
    <w:rsid w:val="000C7DC3"/>
    <w:rsid w:val="0011363A"/>
    <w:rsid w:val="001144D2"/>
    <w:rsid w:val="001219BB"/>
    <w:rsid w:val="00131028"/>
    <w:rsid w:val="0014628F"/>
    <w:rsid w:val="00171380"/>
    <w:rsid w:val="00195FDD"/>
    <w:rsid w:val="001B55C6"/>
    <w:rsid w:val="001B75C9"/>
    <w:rsid w:val="001E6077"/>
    <w:rsid w:val="001F21E1"/>
    <w:rsid w:val="001F2689"/>
    <w:rsid w:val="002079B4"/>
    <w:rsid w:val="00226E0F"/>
    <w:rsid w:val="0024539B"/>
    <w:rsid w:val="0024589B"/>
    <w:rsid w:val="002458DA"/>
    <w:rsid w:val="00253162"/>
    <w:rsid w:val="00267CD0"/>
    <w:rsid w:val="0032179D"/>
    <w:rsid w:val="003252BC"/>
    <w:rsid w:val="003540EB"/>
    <w:rsid w:val="00356A1E"/>
    <w:rsid w:val="00370F99"/>
    <w:rsid w:val="00373412"/>
    <w:rsid w:val="003C6527"/>
    <w:rsid w:val="003D77C9"/>
    <w:rsid w:val="0040263E"/>
    <w:rsid w:val="004229AF"/>
    <w:rsid w:val="00471E95"/>
    <w:rsid w:val="00484C7D"/>
    <w:rsid w:val="0048586B"/>
    <w:rsid w:val="00497EBC"/>
    <w:rsid w:val="004B4CC6"/>
    <w:rsid w:val="004D242C"/>
    <w:rsid w:val="00521C25"/>
    <w:rsid w:val="005267D5"/>
    <w:rsid w:val="005565BD"/>
    <w:rsid w:val="00594B15"/>
    <w:rsid w:val="005969EB"/>
    <w:rsid w:val="005A4C56"/>
    <w:rsid w:val="005E01AF"/>
    <w:rsid w:val="005E5DFA"/>
    <w:rsid w:val="00602DFF"/>
    <w:rsid w:val="006039EC"/>
    <w:rsid w:val="006125C1"/>
    <w:rsid w:val="0063739F"/>
    <w:rsid w:val="0064595F"/>
    <w:rsid w:val="006461A0"/>
    <w:rsid w:val="00646D93"/>
    <w:rsid w:val="00647DA3"/>
    <w:rsid w:val="00663A6A"/>
    <w:rsid w:val="006927FE"/>
    <w:rsid w:val="00696388"/>
    <w:rsid w:val="006D40E5"/>
    <w:rsid w:val="006D68E8"/>
    <w:rsid w:val="006D7F78"/>
    <w:rsid w:val="007019D0"/>
    <w:rsid w:val="007E72E8"/>
    <w:rsid w:val="008002AC"/>
    <w:rsid w:val="00812DB5"/>
    <w:rsid w:val="0082151C"/>
    <w:rsid w:val="008441F4"/>
    <w:rsid w:val="00853C0B"/>
    <w:rsid w:val="00872710"/>
    <w:rsid w:val="00883A3D"/>
    <w:rsid w:val="00884D91"/>
    <w:rsid w:val="008865C4"/>
    <w:rsid w:val="008D4086"/>
    <w:rsid w:val="008F3305"/>
    <w:rsid w:val="00901EB0"/>
    <w:rsid w:val="00935A7F"/>
    <w:rsid w:val="00936143"/>
    <w:rsid w:val="009627F9"/>
    <w:rsid w:val="009B7BCD"/>
    <w:rsid w:val="009E349B"/>
    <w:rsid w:val="00A16490"/>
    <w:rsid w:val="00A21EFA"/>
    <w:rsid w:val="00A7273D"/>
    <w:rsid w:val="00AB0D90"/>
    <w:rsid w:val="00B00725"/>
    <w:rsid w:val="00B50CF0"/>
    <w:rsid w:val="00B51B73"/>
    <w:rsid w:val="00B564DA"/>
    <w:rsid w:val="00BA217E"/>
    <w:rsid w:val="00BA5275"/>
    <w:rsid w:val="00BB2882"/>
    <w:rsid w:val="00BC7088"/>
    <w:rsid w:val="00BF423C"/>
    <w:rsid w:val="00BF7D73"/>
    <w:rsid w:val="00C30E2A"/>
    <w:rsid w:val="00C33344"/>
    <w:rsid w:val="00C47759"/>
    <w:rsid w:val="00C65757"/>
    <w:rsid w:val="00C7707F"/>
    <w:rsid w:val="00D13C3F"/>
    <w:rsid w:val="00D203B3"/>
    <w:rsid w:val="00D30273"/>
    <w:rsid w:val="00D30C0B"/>
    <w:rsid w:val="00D3272F"/>
    <w:rsid w:val="00D43536"/>
    <w:rsid w:val="00D44BD4"/>
    <w:rsid w:val="00D52A1D"/>
    <w:rsid w:val="00D9242C"/>
    <w:rsid w:val="00DA13B6"/>
    <w:rsid w:val="00DB7169"/>
    <w:rsid w:val="00E10BF7"/>
    <w:rsid w:val="00E21C7D"/>
    <w:rsid w:val="00E450D0"/>
    <w:rsid w:val="00E653F0"/>
    <w:rsid w:val="00EB10CC"/>
    <w:rsid w:val="00F15C79"/>
    <w:rsid w:val="00F237D7"/>
    <w:rsid w:val="00F25553"/>
    <w:rsid w:val="00F31C0D"/>
    <w:rsid w:val="00F73DBF"/>
    <w:rsid w:val="00FA5836"/>
    <w:rsid w:val="00FE3206"/>
    <w:rsid w:val="00FF0092"/>
    <w:rsid w:val="079744B6"/>
    <w:rsid w:val="08CF6EC2"/>
    <w:rsid w:val="0DC572FD"/>
    <w:rsid w:val="0ED65853"/>
    <w:rsid w:val="1AAE21D3"/>
    <w:rsid w:val="257539DE"/>
    <w:rsid w:val="27B76E38"/>
    <w:rsid w:val="35161DC9"/>
    <w:rsid w:val="38727CC4"/>
    <w:rsid w:val="41B52E67"/>
    <w:rsid w:val="47C61E85"/>
    <w:rsid w:val="47D72BF6"/>
    <w:rsid w:val="5567B6FB"/>
    <w:rsid w:val="58DA067F"/>
    <w:rsid w:val="59C24DA8"/>
    <w:rsid w:val="59E75162"/>
    <w:rsid w:val="5A413AF9"/>
    <w:rsid w:val="5B5604A0"/>
    <w:rsid w:val="5C577036"/>
    <w:rsid w:val="5F77A049"/>
    <w:rsid w:val="6A097691"/>
    <w:rsid w:val="6EDBA522"/>
    <w:rsid w:val="76036D61"/>
    <w:rsid w:val="76DE89DC"/>
    <w:rsid w:val="795F2E3C"/>
    <w:rsid w:val="7FDCFDE9"/>
    <w:rsid w:val="BB9DA536"/>
    <w:rsid w:val="BBBC87D8"/>
    <w:rsid w:val="BFD5B949"/>
    <w:rsid w:val="DFBA1439"/>
    <w:rsid w:val="DFFEF499"/>
    <w:rsid w:val="EEFB10A9"/>
    <w:rsid w:val="EFA2DB1A"/>
    <w:rsid w:val="F77F429F"/>
    <w:rsid w:val="F7E832FE"/>
    <w:rsid w:val="F7E92626"/>
    <w:rsid w:val="FFF72C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eastAsia="方正小标宋简体"/>
      <w:kern w:val="44"/>
      <w:sz w:val="44"/>
    </w:rPr>
  </w:style>
  <w:style w:type="paragraph" w:styleId="3">
    <w:name w:val="heading 2"/>
    <w:basedOn w:val="1"/>
    <w:next w:val="1"/>
    <w:semiHidden/>
    <w:unhideWhenUsed/>
    <w:qFormat/>
    <w:uiPriority w:val="0"/>
    <w:pPr>
      <w:keepNext/>
      <w:keepLines/>
      <w:spacing w:before="260" w:after="260" w:line="413" w:lineRule="auto"/>
      <w:outlineLvl w:val="1"/>
    </w:pPr>
    <w:rPr>
      <w:rFonts w:ascii="Arial" w:hAnsi="Arial" w:eastAsia="黑体"/>
      <w:sz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20"/>
    <w:qFormat/>
    <w:uiPriority w:val="0"/>
    <w:pPr>
      <w:tabs>
        <w:tab w:val="center" w:pos="4153"/>
        <w:tab w:val="right" w:pos="8306"/>
      </w:tabs>
      <w:snapToGrid w:val="0"/>
      <w:jc w:val="left"/>
    </w:pPr>
    <w:rPr>
      <w:sz w:val="18"/>
      <w:szCs w:val="18"/>
    </w:rPr>
  </w:style>
  <w:style w:type="paragraph" w:styleId="5">
    <w:name w:val="header"/>
    <w:basedOn w:val="1"/>
    <w:link w:val="19"/>
    <w:qFormat/>
    <w:uiPriority w:val="0"/>
    <w:pPr>
      <w:tabs>
        <w:tab w:val="center" w:pos="4153"/>
        <w:tab w:val="right" w:pos="8306"/>
      </w:tabs>
      <w:snapToGrid w:val="0"/>
      <w:jc w:val="center"/>
    </w:pPr>
    <w:rPr>
      <w:sz w:val="18"/>
      <w:szCs w:val="18"/>
    </w:rPr>
  </w:style>
  <w:style w:type="paragraph" w:styleId="6">
    <w:name w:val="Subtitle"/>
    <w:basedOn w:val="1"/>
    <w:next w:val="1"/>
    <w:qFormat/>
    <w:uiPriority w:val="11"/>
    <w:pPr>
      <w:spacing w:before="240" w:after="240" w:line="312" w:lineRule="auto"/>
      <w:jc w:val="center"/>
      <w:outlineLvl w:val="1"/>
    </w:pPr>
    <w:rPr>
      <w:rFonts w:ascii="等线" w:hAnsi="等线" w:eastAsia="等线"/>
      <w:kern w:val="28"/>
      <w:sz w:val="40"/>
      <w:szCs w:val="40"/>
    </w:rPr>
  </w:style>
  <w:style w:type="character" w:styleId="9">
    <w:name w:val="Strong"/>
    <w:basedOn w:val="8"/>
    <w:qFormat/>
    <w:uiPriority w:val="0"/>
    <w:rPr>
      <w:b/>
    </w:rPr>
  </w:style>
  <w:style w:type="paragraph" w:customStyle="1" w:styleId="10">
    <w:name w:val="正文二级标题"/>
    <w:basedOn w:val="1"/>
    <w:qFormat/>
    <w:uiPriority w:val="0"/>
    <w:pPr>
      <w:widowControl/>
      <w:spacing w:before="480" w:after="120"/>
      <w:jc w:val="center"/>
      <w:outlineLvl w:val="0"/>
    </w:pPr>
    <w:rPr>
      <w:rFonts w:hint="eastAsia" w:ascii="黑体" w:hAnsi="黑体" w:eastAsia="黑体" w:cs="宋体"/>
      <w:b/>
      <w:kern w:val="0"/>
      <w:sz w:val="28"/>
      <w:szCs w:val="32"/>
    </w:rPr>
  </w:style>
  <w:style w:type="paragraph" w:customStyle="1" w:styleId="11">
    <w:name w:val="正文三级标题"/>
    <w:basedOn w:val="1"/>
    <w:qFormat/>
    <w:uiPriority w:val="0"/>
    <w:pPr>
      <w:widowControl/>
      <w:spacing w:before="240" w:after="120"/>
      <w:jc w:val="left"/>
      <w:outlineLvl w:val="0"/>
    </w:pPr>
    <w:rPr>
      <w:rFonts w:hint="eastAsia" w:ascii="黑体" w:hAnsi="黑体" w:eastAsia="黑体" w:cs="宋体"/>
      <w:kern w:val="0"/>
      <w:sz w:val="26"/>
      <w:szCs w:val="32"/>
    </w:rPr>
  </w:style>
  <w:style w:type="paragraph" w:customStyle="1" w:styleId="12">
    <w:name w:val="正文四级标题"/>
    <w:basedOn w:val="1"/>
    <w:qFormat/>
    <w:uiPriority w:val="0"/>
    <w:pPr>
      <w:widowControl/>
      <w:spacing w:before="240" w:after="120"/>
      <w:jc w:val="left"/>
      <w:outlineLvl w:val="0"/>
    </w:pPr>
    <w:rPr>
      <w:rFonts w:hint="eastAsia" w:ascii="黑体" w:hAnsi="黑体" w:eastAsia="黑体" w:cs="宋体"/>
      <w:kern w:val="0"/>
      <w:sz w:val="24"/>
      <w:szCs w:val="32"/>
    </w:rPr>
  </w:style>
  <w:style w:type="paragraph" w:customStyle="1" w:styleId="13">
    <w:name w:val="正文一级标题"/>
    <w:basedOn w:val="1"/>
    <w:qFormat/>
    <w:uiPriority w:val="0"/>
    <w:pPr>
      <w:widowControl/>
      <w:spacing w:before="480" w:after="360"/>
      <w:jc w:val="center"/>
      <w:outlineLvl w:val="0"/>
    </w:pPr>
    <w:rPr>
      <w:rFonts w:hint="eastAsia" w:ascii="黑体" w:hAnsi="黑体" w:eastAsia="黑体" w:cs="宋体"/>
      <w:b/>
      <w:kern w:val="0"/>
      <w:sz w:val="32"/>
      <w:szCs w:val="32"/>
    </w:rPr>
  </w:style>
  <w:style w:type="paragraph" w:customStyle="1" w:styleId="14">
    <w:name w:val="文字正文"/>
    <w:basedOn w:val="1"/>
    <w:link w:val="15"/>
    <w:qFormat/>
    <w:uiPriority w:val="0"/>
    <w:pPr>
      <w:spacing w:line="400" w:lineRule="exact"/>
      <w:ind w:left="200" w:leftChars="200" w:firstLine="721" w:firstLineChars="200"/>
    </w:pPr>
    <w:rPr>
      <w:rFonts w:hint="eastAsia" w:ascii="黑体" w:hAnsi="黑体" w:cs="宋体"/>
      <w:kern w:val="0"/>
      <w:sz w:val="24"/>
      <w:szCs w:val="28"/>
      <w:lang w:eastAsia="zh-Hans"/>
    </w:rPr>
  </w:style>
  <w:style w:type="character" w:customStyle="1" w:styleId="15">
    <w:name w:val="文字正文 Char"/>
    <w:link w:val="14"/>
    <w:qFormat/>
    <w:uiPriority w:val="0"/>
    <w:rPr>
      <w:rFonts w:hint="eastAsia" w:ascii="黑体" w:hAnsi="黑体" w:eastAsia="宋体" w:cs="宋体"/>
      <w:kern w:val="0"/>
      <w:sz w:val="24"/>
      <w:szCs w:val="28"/>
      <w:lang w:eastAsia="zh-Hans"/>
    </w:rPr>
  </w:style>
  <w:style w:type="paragraph" w:customStyle="1" w:styleId="16">
    <w:name w:val="摘要"/>
    <w:basedOn w:val="1"/>
    <w:qFormat/>
    <w:uiPriority w:val="0"/>
    <w:pPr>
      <w:spacing w:before="480" w:after="360"/>
      <w:jc w:val="center"/>
      <w:outlineLvl w:val="0"/>
    </w:pPr>
    <w:rPr>
      <w:rFonts w:hint="eastAsia" w:ascii="黑体" w:hAnsi="黑体" w:eastAsia="黑体"/>
      <w:b/>
      <w:bCs/>
      <w:sz w:val="36"/>
      <w:szCs w:val="36"/>
    </w:rPr>
  </w:style>
  <w:style w:type="character" w:customStyle="1" w:styleId="17">
    <w:name w:val="font11"/>
    <w:basedOn w:val="8"/>
    <w:qFormat/>
    <w:uiPriority w:val="0"/>
    <w:rPr>
      <w:rFonts w:hint="eastAsia" w:ascii="宋体" w:hAnsi="宋体" w:eastAsia="宋体" w:cs="宋体"/>
      <w:b/>
      <w:bCs/>
      <w:color w:val="000000"/>
      <w:sz w:val="24"/>
      <w:szCs w:val="24"/>
      <w:u w:val="none"/>
    </w:rPr>
  </w:style>
  <w:style w:type="character" w:customStyle="1" w:styleId="18">
    <w:name w:val="font21"/>
    <w:basedOn w:val="8"/>
    <w:qFormat/>
    <w:uiPriority w:val="0"/>
    <w:rPr>
      <w:rFonts w:hint="eastAsia" w:ascii="宋体" w:hAnsi="宋体" w:eastAsia="宋体" w:cs="宋体"/>
      <w:b/>
      <w:bCs/>
      <w:color w:val="000000"/>
      <w:sz w:val="24"/>
      <w:szCs w:val="24"/>
      <w:u w:val="single"/>
    </w:rPr>
  </w:style>
  <w:style w:type="character" w:customStyle="1" w:styleId="19">
    <w:name w:val="页眉 字符"/>
    <w:basedOn w:val="8"/>
    <w:link w:val="5"/>
    <w:qFormat/>
    <w:uiPriority w:val="0"/>
    <w:rPr>
      <w:kern w:val="2"/>
      <w:sz w:val="18"/>
      <w:szCs w:val="18"/>
    </w:rPr>
  </w:style>
  <w:style w:type="character" w:customStyle="1" w:styleId="20">
    <w:name w:val="页脚 字符"/>
    <w:basedOn w:val="8"/>
    <w:link w:val="4"/>
    <w:qFormat/>
    <w:uiPriority w:val="0"/>
    <w:rPr>
      <w:kern w:val="2"/>
      <w:sz w:val="18"/>
      <w:szCs w:val="18"/>
    </w:rPr>
  </w:style>
  <w:style w:type="paragraph" w:customStyle="1" w:styleId="21">
    <w:name w:val="Default"/>
    <w:qFormat/>
    <w:uiPriority w:val="0"/>
    <w:pPr>
      <w:widowControl w:val="0"/>
      <w:autoSpaceDE w:val="0"/>
      <w:autoSpaceDN w:val="0"/>
      <w:adjustRightInd w:val="0"/>
    </w:pPr>
    <w:rPr>
      <w:rFonts w:ascii="宋体" w:hAnsi="Times New Roman" w:eastAsia="Times New Roman"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1521</Words>
  <Characters>1529</Characters>
  <Lines>13</Lines>
  <Paragraphs>3</Paragraphs>
  <TotalTime>0</TotalTime>
  <ScaleCrop>false</ScaleCrop>
  <LinksUpToDate>false</LinksUpToDate>
  <CharactersWithSpaces>1610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2023-12-27T19:15:00Z</dcterms:created>
  <dc:creator>孙溧梁</dc:creator>
  <cp:lastModifiedBy>Isadora</cp:lastModifiedBy>
  <dcterms:modified xsi:type="dcterms:W3CDTF">2024-07-16T06:03:54Z</dcterms:modified>
  <cp:revision>300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2803E76DCC462C29CDB58A65125D716F_41</vt:lpwstr>
  </property>
</Properties>
</file>