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4" w:line="224" w:lineRule="auto"/>
        <w:rPr>
          <w:rFonts w:ascii="黑体" w:hAnsi="黑体" w:eastAsia="黑体" w:cs="黑体"/>
          <w:spacing w:val="8"/>
          <w:sz w:val="32"/>
          <w:szCs w:val="32"/>
        </w:rPr>
      </w:pPr>
      <w:r>
        <w:rPr>
          <w:rFonts w:hint="eastAsia" w:ascii="黑体" w:hAnsi="黑体" w:eastAsia="黑体" w:cs="黑体"/>
          <w:spacing w:val="8"/>
          <w:sz w:val="32"/>
          <w:szCs w:val="32"/>
        </w:rPr>
        <w:t>附件6</w:t>
      </w:r>
    </w:p>
    <w:p>
      <w:pPr>
        <w:snapToGrid w:val="0"/>
        <w:spacing w:line="317" w:lineRule="auto"/>
        <w:jc w:val="center"/>
        <w:rPr>
          <w:rFonts w:hint="eastAsia" w:ascii="方正小标宋简体" w:hAnsi="Calibri" w:eastAsia="方正小标宋简体"/>
          <w:sz w:val="44"/>
          <w:szCs w:val="44"/>
        </w:rPr>
      </w:pPr>
      <w:r>
        <w:rPr>
          <w:rFonts w:hint="eastAsia" w:ascii="方正小标宋简体" w:hAnsi="Calibri" w:eastAsia="方正小标宋简体"/>
          <w:sz w:val="44"/>
          <w:szCs w:val="44"/>
          <w:lang w:val="en-US" w:eastAsia="zh-CN"/>
        </w:rPr>
        <w:t>云南省</w:t>
      </w:r>
      <w:bookmarkStart w:id="0" w:name="_GoBack"/>
      <w:bookmarkEnd w:id="0"/>
      <w:r>
        <w:rPr>
          <w:rFonts w:hint="eastAsia" w:ascii="方正小标宋简体" w:hAnsi="Calibri" w:eastAsia="方正小标宋简体"/>
          <w:sz w:val="44"/>
          <w:szCs w:val="44"/>
          <w:lang w:eastAsia="zh-CN"/>
        </w:rPr>
        <w:t>晋宁区</w:t>
      </w:r>
      <w:r>
        <w:rPr>
          <w:rFonts w:hint="eastAsia" w:ascii="方正小标宋简体" w:hAnsi="Calibri" w:eastAsia="方正小标宋简体"/>
          <w:sz w:val="44"/>
          <w:szCs w:val="44"/>
        </w:rPr>
        <w:t>烟草专卖局烟草制品</w:t>
      </w:r>
    </w:p>
    <w:p>
      <w:pPr>
        <w:snapToGrid w:val="0"/>
        <w:spacing w:line="317" w:lineRule="auto"/>
        <w:jc w:val="center"/>
        <w:rPr>
          <w:rFonts w:ascii="仿宋_GB2312" w:hAnsi="仿宋_GB2312" w:eastAsia="仿宋_GB2312" w:cs="仿宋_GB2312"/>
          <w:sz w:val="32"/>
          <w:szCs w:val="32"/>
        </w:rPr>
      </w:pPr>
      <w:r>
        <w:rPr>
          <w:rFonts w:hint="eastAsia" w:ascii="方正小标宋简体" w:hAnsi="Calibri" w:eastAsia="方正小标宋简体"/>
          <w:sz w:val="44"/>
          <w:szCs w:val="44"/>
        </w:rPr>
        <w:t>零售点</w:t>
      </w:r>
      <w:r>
        <w:rPr>
          <w:rFonts w:hint="eastAsia" w:ascii="方正小标宋简体" w:hAnsi="Calibri" w:eastAsia="方正小标宋简体"/>
          <w:sz w:val="44"/>
          <w:szCs w:val="44"/>
          <w:lang w:val="en-US" w:eastAsia="zh-CN"/>
        </w:rPr>
        <w:t>集中摇号管理</w:t>
      </w:r>
      <w:r>
        <w:rPr>
          <w:rFonts w:hint="eastAsia" w:ascii="方正小标宋简体" w:hAnsi="Calibri" w:eastAsia="方正小标宋简体"/>
          <w:sz w:val="44"/>
          <w:szCs w:val="44"/>
        </w:rPr>
        <w:t>制度</w:t>
      </w:r>
    </w:p>
    <w:p>
      <w:pPr>
        <w:numPr>
          <w:ilvl w:val="0"/>
          <w:numId w:val="0"/>
        </w:numPr>
        <w:spacing w:before="312" w:beforeLines="100" w:after="312" w:afterLines="100" w:line="360" w:lineRule="auto"/>
        <w:ind w:left="0" w:leftChars="0" w:firstLine="403" w:firstLineChars="0"/>
        <w:jc w:val="center"/>
        <w:rPr>
          <w:rFonts w:ascii="黑体" w:hAnsi="黑体" w:eastAsia="黑体" w:cs="黑体"/>
          <w:sz w:val="32"/>
          <w:szCs w:val="32"/>
        </w:rPr>
      </w:pPr>
      <w:r>
        <w:rPr>
          <w:rFonts w:hint="eastAsia" w:ascii="黑体" w:hAnsi="黑体" w:eastAsia="黑体" w:cs="黑体"/>
          <w:kern w:val="2"/>
          <w:sz w:val="32"/>
          <w:szCs w:val="32"/>
          <w:lang w:val="en-US" w:eastAsia="zh-CN" w:bidi="ar-SA"/>
        </w:rPr>
        <w:t xml:space="preserve">第一章 </w:t>
      </w:r>
      <w:r>
        <w:rPr>
          <w:rFonts w:hint="eastAsia" w:ascii="黑体" w:hAnsi="黑体" w:eastAsia="黑体" w:cs="黑体"/>
          <w:sz w:val="32"/>
          <w:szCs w:val="32"/>
        </w:rPr>
        <w:t>总则</w:t>
      </w:r>
    </w:p>
    <w:p>
      <w:pPr>
        <w:numPr>
          <w:ilvl w:val="2"/>
          <w:numId w:val="0"/>
        </w:numPr>
        <w:spacing w:line="360" w:lineRule="auto"/>
        <w:ind w:left="0" w:leftChars="0" w:firstLine="680" w:firstLineChars="0"/>
        <w:rPr>
          <w:rFonts w:ascii="仿宋_GB2312" w:hAnsi="仿宋_GB2312" w:eastAsia="仿宋_GB2312" w:cs="仿宋_GB2312"/>
          <w:sz w:val="32"/>
          <w:szCs w:val="32"/>
        </w:rPr>
      </w:pPr>
      <w:r>
        <w:rPr>
          <w:rFonts w:hint="eastAsia" w:ascii="仿宋_GB2312" w:hAnsi="仿宋_GB2312" w:eastAsia="黑体" w:cs="仿宋_GB2312"/>
          <w:color w:val="auto"/>
          <w:kern w:val="2"/>
          <w:sz w:val="32"/>
          <w:szCs w:val="32"/>
          <w:lang w:val="en-US" w:eastAsia="zh-CN" w:bidi="ar-SA"/>
        </w:rPr>
        <w:t>第一条　</w:t>
      </w:r>
      <w:r>
        <w:rPr>
          <w:rFonts w:hint="eastAsia" w:ascii="仿宋_GB2312" w:hAnsi="仿宋_GB2312" w:eastAsia="仿宋_GB2312" w:cs="仿宋_GB2312"/>
          <w:sz w:val="32"/>
          <w:szCs w:val="32"/>
        </w:rPr>
        <w:t>为坚持公平、公正、公开原则，规范实施《</w:t>
      </w:r>
      <w:r>
        <w:rPr>
          <w:rFonts w:hint="eastAsia" w:ascii="仿宋_GB2312" w:hAnsi="仿宋_GB2312" w:eastAsia="仿宋_GB2312" w:cs="仿宋_GB2312"/>
          <w:sz w:val="32"/>
          <w:szCs w:val="32"/>
          <w:lang w:eastAsia="zh-CN"/>
        </w:rPr>
        <w:t>昆明市晋宁区</w:t>
      </w:r>
      <w:r>
        <w:rPr>
          <w:rFonts w:hint="eastAsia" w:ascii="仿宋_GB2312" w:hAnsi="仿宋_GB2312" w:eastAsia="仿宋_GB2312" w:cs="仿宋_GB2312"/>
          <w:sz w:val="32"/>
          <w:szCs w:val="32"/>
        </w:rPr>
        <w:t>烟草制品零售点合理布局规划》，根据《中华人民共和国行政许可法》《烟草专卖许可证管理办法》《烟草专卖许可证管理办法实施细则》等法律法规和规章的规定，结合</w:t>
      </w:r>
      <w:r>
        <w:rPr>
          <w:rFonts w:hint="eastAsia" w:ascii="仿宋_GB2312" w:hAnsi="仿宋_GB2312" w:eastAsia="仿宋_GB2312" w:cs="仿宋_GB2312"/>
          <w:sz w:val="32"/>
          <w:szCs w:val="32"/>
          <w:lang w:val="en-US" w:eastAsia="zh-CN"/>
        </w:rPr>
        <w:t>晋宁区</w:t>
      </w:r>
      <w:r>
        <w:rPr>
          <w:rFonts w:hint="eastAsia" w:ascii="仿宋_GB2312" w:hAnsi="仿宋_GB2312" w:eastAsia="仿宋_GB2312" w:cs="仿宋_GB2312"/>
          <w:sz w:val="32"/>
          <w:szCs w:val="32"/>
        </w:rPr>
        <w:t>实际，制定本制度。</w:t>
      </w:r>
    </w:p>
    <w:p>
      <w:pPr>
        <w:numPr>
          <w:ilvl w:val="2"/>
          <w:numId w:val="0"/>
        </w:numPr>
        <w:spacing w:line="360" w:lineRule="auto"/>
        <w:ind w:left="0" w:leftChars="0" w:firstLine="680" w:firstLineChars="0"/>
        <w:rPr>
          <w:rFonts w:ascii="仿宋_GB2312" w:hAnsi="仿宋_GB2312" w:eastAsia="仿宋_GB2312" w:cs="仿宋_GB2312"/>
          <w:sz w:val="32"/>
          <w:szCs w:val="32"/>
        </w:rPr>
      </w:pPr>
      <w:r>
        <w:rPr>
          <w:rFonts w:hint="eastAsia" w:ascii="仿宋_GB2312" w:hAnsi="仿宋_GB2312" w:eastAsia="黑体" w:cs="仿宋_GB2312"/>
          <w:color w:val="auto"/>
          <w:kern w:val="2"/>
          <w:sz w:val="32"/>
          <w:szCs w:val="32"/>
          <w:lang w:val="en-US" w:eastAsia="zh-CN" w:bidi="ar-SA"/>
        </w:rPr>
        <w:t>第二条　</w:t>
      </w:r>
      <w:r>
        <w:rPr>
          <w:rFonts w:hint="eastAsia" w:ascii="仿宋_GB2312" w:hAnsi="仿宋_GB2312" w:eastAsia="仿宋_GB2312" w:cs="仿宋_GB2312"/>
          <w:sz w:val="32"/>
          <w:szCs w:val="32"/>
        </w:rPr>
        <w:t>本制度适用于</w:t>
      </w:r>
      <w:r>
        <w:rPr>
          <w:rFonts w:hint="eastAsia" w:ascii="仿宋_GB2312" w:hAnsi="仿宋_GB2312" w:eastAsia="仿宋_GB2312" w:cs="仿宋_GB2312"/>
          <w:sz w:val="32"/>
          <w:szCs w:val="32"/>
          <w:lang w:eastAsia="zh-CN"/>
        </w:rPr>
        <w:t>昆明市晋宁区</w:t>
      </w:r>
      <w:r>
        <w:rPr>
          <w:rFonts w:hint="eastAsia" w:ascii="仿宋_GB2312" w:hAnsi="仿宋_GB2312" w:eastAsia="仿宋_GB2312" w:cs="仿宋_GB2312"/>
          <w:sz w:val="32"/>
          <w:szCs w:val="32"/>
          <w:lang w:val="en-US" w:eastAsia="zh-CN"/>
        </w:rPr>
        <w:t>烟草专卖局</w:t>
      </w:r>
      <w:r>
        <w:rPr>
          <w:rFonts w:hint="eastAsia" w:ascii="仿宋_GB2312" w:hAnsi="仿宋_GB2312" w:eastAsia="仿宋_GB2312" w:cs="仿宋_GB2312"/>
          <w:sz w:val="32"/>
          <w:szCs w:val="32"/>
        </w:rPr>
        <w:t>行政辖区烟草制品零售点新办申请</w:t>
      </w:r>
      <w:r>
        <w:rPr>
          <w:rFonts w:hint="eastAsia" w:ascii="仿宋_GB2312" w:hAnsi="仿宋_GB2312" w:eastAsia="仿宋_GB2312" w:cs="仿宋_GB2312"/>
          <w:sz w:val="32"/>
          <w:szCs w:val="32"/>
          <w:lang w:val="en-US" w:eastAsia="zh-CN"/>
        </w:rPr>
        <w:t>事项的集中摇号管理</w:t>
      </w:r>
      <w:r>
        <w:rPr>
          <w:rFonts w:hint="eastAsia" w:ascii="仿宋_GB2312" w:hAnsi="仿宋_GB2312" w:eastAsia="仿宋_GB2312" w:cs="仿宋_GB2312"/>
          <w:sz w:val="32"/>
          <w:szCs w:val="32"/>
        </w:rPr>
        <w:t>。</w:t>
      </w:r>
    </w:p>
    <w:p>
      <w:pPr>
        <w:numPr>
          <w:ilvl w:val="2"/>
          <w:numId w:val="0"/>
        </w:numPr>
        <w:spacing w:line="360" w:lineRule="auto"/>
        <w:ind w:left="0" w:leftChars="0" w:firstLine="680" w:firstLineChars="0"/>
        <w:rPr>
          <w:rFonts w:ascii="仿宋_GB2312" w:hAnsi="仿宋_GB2312" w:eastAsia="仿宋_GB2312" w:cs="仿宋_GB2312"/>
          <w:sz w:val="32"/>
          <w:szCs w:val="32"/>
          <w:highlight w:val="none"/>
        </w:rPr>
      </w:pPr>
      <w:r>
        <w:rPr>
          <w:rFonts w:hint="eastAsia" w:ascii="仿宋_GB2312" w:hAnsi="仿宋_GB2312" w:eastAsia="黑体" w:cs="仿宋_GB2312"/>
          <w:color w:val="auto"/>
          <w:kern w:val="2"/>
          <w:sz w:val="32"/>
          <w:szCs w:val="32"/>
          <w:lang w:val="en-US" w:eastAsia="zh-CN" w:bidi="ar-SA"/>
        </w:rPr>
        <w:t>第三条　</w:t>
      </w:r>
      <w:r>
        <w:rPr>
          <w:rFonts w:hint="eastAsia" w:ascii="仿宋_GB2312" w:hAnsi="仿宋_GB2312" w:eastAsia="仿宋_GB2312" w:cs="仿宋_GB2312"/>
          <w:kern w:val="28"/>
          <w:sz w:val="32"/>
          <w:szCs w:val="32"/>
          <w:highlight w:val="none"/>
        </w:rPr>
        <w:t>本</w:t>
      </w:r>
      <w:r>
        <w:rPr>
          <w:rFonts w:hint="eastAsia" w:ascii="仿宋_GB2312" w:hAnsi="仿宋_GB2312" w:eastAsia="仿宋_GB2312" w:cs="仿宋_GB2312"/>
          <w:sz w:val="32"/>
          <w:szCs w:val="32"/>
          <w:highlight w:val="none"/>
        </w:rPr>
        <w:t>辖区</w:t>
      </w:r>
      <w:r>
        <w:rPr>
          <w:rFonts w:hint="eastAsia" w:ascii="仿宋_GB2312" w:hAnsi="仿宋_GB2312" w:eastAsia="仿宋_GB2312" w:cs="仿宋_GB2312"/>
          <w:kern w:val="28"/>
          <w:sz w:val="32"/>
          <w:szCs w:val="32"/>
          <w:highlight w:val="none"/>
        </w:rPr>
        <w:t>最小单元网格内的零售点实际数量大于或等于</w:t>
      </w:r>
      <w:r>
        <w:rPr>
          <w:rFonts w:hint="eastAsia" w:ascii="仿宋_GB2312" w:hAnsi="仿宋_GB2312" w:eastAsia="仿宋_GB2312" w:cs="仿宋_GB2312"/>
          <w:sz w:val="32"/>
          <w:szCs w:val="32"/>
          <w:highlight w:val="none"/>
        </w:rPr>
        <w:t>合理容量</w:t>
      </w:r>
      <w:r>
        <w:rPr>
          <w:rFonts w:hint="eastAsia" w:ascii="仿宋_GB2312" w:hAnsi="仿宋_GB2312" w:eastAsia="仿宋_GB2312" w:cs="仿宋_GB2312"/>
          <w:kern w:val="28"/>
          <w:sz w:val="32"/>
          <w:szCs w:val="32"/>
          <w:highlight w:val="none"/>
        </w:rPr>
        <w:t>时不再设新的零售点。</w:t>
      </w:r>
      <w:r>
        <w:rPr>
          <w:rFonts w:hint="eastAsia" w:ascii="仿宋_GB2312" w:hAnsi="仿宋_GB2312" w:eastAsia="仿宋_GB2312" w:cs="仿宋_GB2312"/>
          <w:kern w:val="28"/>
          <w:sz w:val="32"/>
          <w:szCs w:val="32"/>
          <w:highlight w:val="none"/>
          <w:lang w:val="en-US" w:eastAsia="zh-CN"/>
        </w:rPr>
        <w:t>当公示出的</w:t>
      </w:r>
      <w:r>
        <w:rPr>
          <w:rFonts w:hint="eastAsia" w:ascii="仿宋_GB2312" w:hAnsi="仿宋_GB2312" w:eastAsia="仿宋_GB2312" w:cs="仿宋_GB2312"/>
          <w:kern w:val="28"/>
          <w:sz w:val="32"/>
          <w:szCs w:val="32"/>
          <w:highlight w:val="none"/>
        </w:rPr>
        <w:t>最小单元网格内的零售点实际数量小于</w:t>
      </w:r>
      <w:r>
        <w:rPr>
          <w:rFonts w:hint="eastAsia" w:ascii="仿宋_GB2312" w:hAnsi="仿宋_GB2312" w:eastAsia="仿宋_GB2312" w:cs="仿宋_GB2312"/>
          <w:sz w:val="32"/>
          <w:szCs w:val="32"/>
          <w:highlight w:val="none"/>
        </w:rPr>
        <w:t>合理容量时，</w:t>
      </w:r>
      <w:r>
        <w:rPr>
          <w:rFonts w:hint="eastAsia" w:ascii="仿宋_GB2312" w:hAnsi="仿宋_GB2312" w:eastAsia="仿宋_GB2312" w:cs="仿宋_GB2312"/>
          <w:kern w:val="28"/>
          <w:sz w:val="32"/>
          <w:szCs w:val="32"/>
          <w:highlight w:val="none"/>
        </w:rPr>
        <w:t>新办申请人应按本制度</w:t>
      </w:r>
      <w:r>
        <w:rPr>
          <w:rFonts w:hint="eastAsia" w:ascii="仿宋_GB2312" w:hAnsi="仿宋_GB2312" w:eastAsia="仿宋_GB2312" w:cs="仿宋_GB2312"/>
          <w:kern w:val="28"/>
          <w:sz w:val="32"/>
          <w:szCs w:val="32"/>
          <w:highlight w:val="none"/>
          <w:lang w:val="en-US" w:eastAsia="zh-CN"/>
        </w:rPr>
        <w:t>规定的程序和要求</w:t>
      </w:r>
      <w:r>
        <w:rPr>
          <w:rFonts w:hint="eastAsia" w:ascii="仿宋_GB2312" w:hAnsi="仿宋_GB2312" w:eastAsia="仿宋_GB2312" w:cs="仿宋_GB2312"/>
          <w:kern w:val="28"/>
          <w:sz w:val="32"/>
          <w:szCs w:val="32"/>
          <w:highlight w:val="none"/>
          <w:lang w:eastAsia="zh-CN"/>
        </w:rPr>
        <w:t>，</w:t>
      </w:r>
      <w:r>
        <w:rPr>
          <w:rFonts w:hint="eastAsia" w:ascii="仿宋_GB2312" w:hAnsi="仿宋_GB2312" w:eastAsia="仿宋_GB2312" w:cs="仿宋_GB2312"/>
          <w:kern w:val="28"/>
          <w:sz w:val="32"/>
          <w:szCs w:val="32"/>
          <w:highlight w:val="none"/>
        </w:rPr>
        <w:t>提出</w:t>
      </w:r>
      <w:r>
        <w:rPr>
          <w:rFonts w:hint="eastAsia" w:ascii="仿宋_GB2312" w:hAnsi="仿宋_GB2312" w:eastAsia="仿宋_GB2312" w:cs="仿宋_GB2312"/>
          <w:kern w:val="28"/>
          <w:sz w:val="32"/>
          <w:szCs w:val="32"/>
          <w:highlight w:val="none"/>
          <w:lang w:val="en-US" w:eastAsia="zh-CN"/>
        </w:rPr>
        <w:t>参与对应最小单元网格集中摇号的</w:t>
      </w:r>
      <w:r>
        <w:rPr>
          <w:rFonts w:hint="eastAsia" w:ascii="仿宋_GB2312" w:hAnsi="仿宋_GB2312" w:eastAsia="仿宋_GB2312" w:cs="仿宋_GB2312"/>
          <w:kern w:val="28"/>
          <w:sz w:val="32"/>
          <w:szCs w:val="32"/>
          <w:highlight w:val="none"/>
        </w:rPr>
        <w:t>申请，</w:t>
      </w:r>
      <w:r>
        <w:rPr>
          <w:rFonts w:hint="eastAsia" w:ascii="仿宋_GB2312" w:hAnsi="仿宋_GB2312" w:eastAsia="仿宋_GB2312" w:cs="仿宋_GB2312"/>
          <w:kern w:val="28"/>
          <w:sz w:val="32"/>
          <w:szCs w:val="32"/>
          <w:highlight w:val="none"/>
          <w:lang w:val="en-US" w:eastAsia="zh-CN"/>
        </w:rPr>
        <w:t>再</w:t>
      </w:r>
      <w:r>
        <w:rPr>
          <w:rFonts w:hint="eastAsia" w:ascii="仿宋_GB2312" w:hAnsi="仿宋_GB2312" w:eastAsia="仿宋_GB2312" w:cs="仿宋_GB2312"/>
          <w:kern w:val="28"/>
          <w:sz w:val="32"/>
          <w:szCs w:val="32"/>
          <w:highlight w:val="none"/>
        </w:rPr>
        <w:t>按照集中摇号的结果顺序</w:t>
      </w:r>
      <w:r>
        <w:rPr>
          <w:rFonts w:hint="eastAsia" w:ascii="仿宋_GB2312" w:hAnsi="仿宋_GB2312" w:eastAsia="仿宋_GB2312" w:cs="仿宋_GB2312"/>
          <w:kern w:val="28"/>
          <w:sz w:val="32"/>
          <w:szCs w:val="32"/>
          <w:highlight w:val="none"/>
          <w:lang w:val="en-US" w:eastAsia="zh-CN"/>
        </w:rPr>
        <w:t>通过预审核后，</w:t>
      </w:r>
      <w:r>
        <w:rPr>
          <w:rFonts w:hint="eastAsia" w:ascii="仿宋_GB2312" w:hAnsi="仿宋_GB2312" w:eastAsia="仿宋_GB2312" w:cs="仿宋_GB2312"/>
          <w:sz w:val="32"/>
          <w:szCs w:val="32"/>
          <w:highlight w:val="none"/>
          <w:lang w:val="en-US" w:eastAsia="zh-CN"/>
        </w:rPr>
        <w:t>按</w:t>
      </w:r>
      <w:r>
        <w:rPr>
          <w:rFonts w:hint="eastAsia" w:ascii="仿宋_GB2312" w:hAnsi="仿宋_GB2312" w:eastAsia="仿宋_GB2312" w:cs="仿宋_GB2312"/>
          <w:sz w:val="32"/>
          <w:szCs w:val="32"/>
          <w:highlight w:val="none"/>
        </w:rPr>
        <w:t>顺序依次提交新办申请。</w:t>
      </w:r>
    </w:p>
    <w:p>
      <w:pPr>
        <w:numPr>
          <w:ilvl w:val="0"/>
          <w:numId w:val="0"/>
        </w:numPr>
        <w:spacing w:before="312" w:beforeLines="100" w:after="312" w:afterLines="100" w:line="360" w:lineRule="auto"/>
        <w:ind w:left="0" w:leftChars="0" w:firstLine="403" w:firstLineChars="0"/>
        <w:jc w:val="center"/>
        <w:rPr>
          <w:rFonts w:ascii="黑体" w:hAnsi="黑体" w:eastAsia="黑体" w:cs="黑体"/>
          <w:sz w:val="32"/>
          <w:szCs w:val="32"/>
        </w:rPr>
      </w:pPr>
      <w:r>
        <w:rPr>
          <w:rFonts w:hint="eastAsia" w:ascii="黑体" w:hAnsi="黑体" w:eastAsia="黑体" w:cs="黑体"/>
          <w:kern w:val="2"/>
          <w:sz w:val="32"/>
          <w:szCs w:val="32"/>
          <w:lang w:val="en-US" w:eastAsia="zh-CN" w:bidi="ar-SA"/>
        </w:rPr>
        <w:t xml:space="preserve">第二章 </w:t>
      </w:r>
      <w:r>
        <w:rPr>
          <w:rFonts w:hint="eastAsia" w:ascii="黑体" w:hAnsi="黑体" w:eastAsia="黑体" w:cs="黑体"/>
          <w:sz w:val="32"/>
          <w:szCs w:val="32"/>
        </w:rPr>
        <w:t>程序及要求</w:t>
      </w:r>
    </w:p>
    <w:p>
      <w:pPr>
        <w:numPr>
          <w:ilvl w:val="2"/>
          <w:numId w:val="0"/>
        </w:numPr>
        <w:spacing w:line="360" w:lineRule="auto"/>
        <w:ind w:left="0" w:leftChars="0" w:firstLine="640" w:firstLineChars="200"/>
        <w:rPr>
          <w:rFonts w:hint="default" w:eastAsia="仿宋_GB2312"/>
          <w:lang w:val="en-US" w:eastAsia="zh-CN"/>
        </w:rPr>
      </w:pPr>
      <w:r>
        <w:rPr>
          <w:rFonts w:hint="eastAsia" w:ascii="黑体" w:hAnsi="黑体" w:eastAsia="黑体" w:cs="黑体"/>
          <w:sz w:val="32"/>
          <w:szCs w:val="32"/>
          <w:highlight w:val="none"/>
          <w:lang w:val="en-US" w:eastAsia="zh-CN"/>
        </w:rPr>
        <w:t xml:space="preserve">第四条 </w:t>
      </w:r>
      <w:r>
        <w:rPr>
          <w:rFonts w:hint="eastAsia" w:eastAsia="仿宋_GB2312"/>
          <w:sz w:val="32"/>
          <w:szCs w:val="32"/>
          <w:highlight w:val="none"/>
          <w:lang w:val="en-US" w:eastAsia="zh-CN"/>
        </w:rPr>
        <w:t xml:space="preserve"> 本规划仅对当期可新增零售点的最小单元网格开展集中摇号管理。在辖区最小单元网格的合理容量公示期结束后的3</w:t>
      </w:r>
      <w:r>
        <w:rPr>
          <w:rFonts w:hint="default" w:eastAsia="仿宋_GB2312"/>
          <w:sz w:val="32"/>
          <w:szCs w:val="32"/>
          <w:highlight w:val="none"/>
          <w:lang w:val="en-US" w:eastAsia="zh-CN"/>
        </w:rPr>
        <w:t>个工作日内，</w:t>
      </w:r>
      <w:r>
        <w:rPr>
          <w:rFonts w:hint="eastAsia" w:eastAsia="仿宋_GB2312"/>
          <w:sz w:val="32"/>
          <w:szCs w:val="32"/>
          <w:highlight w:val="none"/>
          <w:lang w:val="en-US" w:eastAsia="zh-CN"/>
        </w:rPr>
        <w:t>针对当期最小单元网格内的零售点实际数量小于合理容量的网格，</w:t>
      </w:r>
      <w:r>
        <w:rPr>
          <w:rFonts w:hint="default" w:eastAsia="仿宋_GB2312"/>
          <w:sz w:val="32"/>
          <w:szCs w:val="32"/>
          <w:highlight w:val="none"/>
          <w:lang w:val="en-US" w:eastAsia="zh-CN"/>
        </w:rPr>
        <w:t>对外发布参与</w:t>
      </w:r>
      <w:r>
        <w:rPr>
          <w:rFonts w:hint="eastAsia" w:eastAsia="仿宋_GB2312"/>
          <w:sz w:val="32"/>
          <w:szCs w:val="32"/>
          <w:highlight w:val="none"/>
          <w:lang w:val="en-US" w:eastAsia="zh-CN"/>
        </w:rPr>
        <w:t>该网格</w:t>
      </w:r>
      <w:r>
        <w:rPr>
          <w:rFonts w:hint="default" w:eastAsia="仿宋_GB2312"/>
          <w:sz w:val="32"/>
          <w:szCs w:val="32"/>
          <w:highlight w:val="none"/>
          <w:lang w:val="en-US" w:eastAsia="zh-CN"/>
        </w:rPr>
        <w:t>集中</w:t>
      </w:r>
      <w:r>
        <w:rPr>
          <w:rFonts w:hint="eastAsia" w:eastAsia="仿宋_GB2312"/>
          <w:sz w:val="32"/>
          <w:szCs w:val="32"/>
          <w:highlight w:val="none"/>
          <w:lang w:val="en-US" w:eastAsia="zh-CN"/>
        </w:rPr>
        <w:t>摇号</w:t>
      </w:r>
      <w:r>
        <w:rPr>
          <w:rFonts w:hint="default" w:eastAsia="仿宋_GB2312"/>
          <w:sz w:val="32"/>
          <w:szCs w:val="32"/>
          <w:highlight w:val="none"/>
          <w:lang w:val="en-US" w:eastAsia="zh-CN"/>
        </w:rPr>
        <w:t>的报名地点、时间和方式</w:t>
      </w:r>
      <w:r>
        <w:rPr>
          <w:rFonts w:hint="eastAsia" w:eastAsia="仿宋_GB2312"/>
          <w:sz w:val="32"/>
          <w:szCs w:val="32"/>
          <w:highlight w:val="none"/>
          <w:lang w:val="en-US" w:eastAsia="zh-CN"/>
        </w:rPr>
        <w:t>。其中，</w:t>
      </w:r>
      <w:r>
        <w:rPr>
          <w:rFonts w:hint="eastAsia" w:ascii="仿宋_GB2312" w:hAnsi="仿宋_GB2312" w:eastAsia="仿宋_GB2312" w:cs="仿宋_GB2312"/>
          <w:kern w:val="28"/>
          <w:sz w:val="32"/>
          <w:szCs w:val="32"/>
          <w:highlight w:val="none"/>
          <w:lang w:val="en-US" w:eastAsia="zh-CN"/>
        </w:rPr>
        <w:t>当期</w:t>
      </w:r>
      <w:r>
        <w:rPr>
          <w:rFonts w:hint="eastAsia" w:ascii="仿宋_GB2312" w:hAnsi="仿宋_GB2312" w:eastAsia="仿宋_GB2312" w:cs="仿宋_GB2312"/>
          <w:kern w:val="28"/>
          <w:sz w:val="32"/>
          <w:szCs w:val="32"/>
          <w:highlight w:val="none"/>
        </w:rPr>
        <w:t>最小单元网格内的零售点实际数量大于或等于</w:t>
      </w:r>
      <w:r>
        <w:rPr>
          <w:rFonts w:hint="eastAsia" w:ascii="仿宋_GB2312" w:hAnsi="仿宋_GB2312" w:eastAsia="仿宋_GB2312" w:cs="仿宋_GB2312"/>
          <w:sz w:val="32"/>
          <w:szCs w:val="32"/>
          <w:highlight w:val="none"/>
        </w:rPr>
        <w:t>合理容量</w:t>
      </w:r>
      <w:r>
        <w:rPr>
          <w:rFonts w:hint="eastAsia" w:ascii="仿宋_GB2312" w:hAnsi="仿宋_GB2312" w:eastAsia="仿宋_GB2312" w:cs="仿宋_GB2312"/>
          <w:kern w:val="28"/>
          <w:sz w:val="32"/>
          <w:szCs w:val="32"/>
          <w:highlight w:val="none"/>
        </w:rPr>
        <w:t>时不再设新的零售点</w:t>
      </w:r>
      <w:r>
        <w:rPr>
          <w:rFonts w:hint="eastAsia" w:ascii="仿宋_GB2312" w:hAnsi="仿宋_GB2312" w:eastAsia="仿宋_GB2312" w:cs="仿宋_GB2312"/>
          <w:kern w:val="28"/>
          <w:sz w:val="32"/>
          <w:szCs w:val="32"/>
          <w:highlight w:val="none"/>
          <w:lang w:eastAsia="zh-CN"/>
        </w:rPr>
        <w:t>，</w:t>
      </w:r>
      <w:r>
        <w:rPr>
          <w:rFonts w:hint="eastAsia" w:ascii="仿宋_GB2312" w:hAnsi="仿宋_GB2312" w:eastAsia="仿宋_GB2312" w:cs="仿宋_GB2312"/>
          <w:kern w:val="28"/>
          <w:sz w:val="32"/>
          <w:szCs w:val="32"/>
          <w:highlight w:val="none"/>
          <w:lang w:val="en-US" w:eastAsia="zh-CN"/>
        </w:rPr>
        <w:t>该网格不进行集中摇号。</w:t>
      </w:r>
    </w:p>
    <w:p>
      <w:pPr>
        <w:numPr>
          <w:ilvl w:val="2"/>
          <w:numId w:val="0"/>
        </w:numPr>
        <w:spacing w:line="360" w:lineRule="auto"/>
        <w:ind w:left="0" w:leftChars="0" w:firstLine="640" w:firstLineChars="200"/>
        <w:rPr>
          <w:rFonts w:hint="eastAsia" w:ascii="仿宋_GB2312" w:hAnsi="仿宋_GB2312" w:eastAsia="仿宋_GB2312" w:cs="仿宋_GB2312"/>
          <w:sz w:val="32"/>
          <w:szCs w:val="32"/>
          <w:lang w:eastAsia="zh-CN"/>
        </w:rPr>
      </w:pPr>
      <w:r>
        <w:rPr>
          <w:rFonts w:hint="eastAsia" w:ascii="黑体" w:hAnsi="黑体" w:eastAsia="黑体" w:cs="黑体"/>
          <w:sz w:val="32"/>
          <w:szCs w:val="32"/>
          <w:highlight w:val="none"/>
          <w:lang w:val="en-US" w:eastAsia="zh-CN"/>
        </w:rPr>
        <w:t xml:space="preserve">第五条  </w:t>
      </w:r>
      <w:r>
        <w:rPr>
          <w:rFonts w:hint="eastAsia" w:ascii="仿宋_GB2312" w:hAnsi="仿宋_GB2312" w:eastAsia="仿宋_GB2312" w:cs="仿宋_GB2312"/>
          <w:sz w:val="32"/>
          <w:szCs w:val="32"/>
          <w:highlight w:val="none"/>
          <w:lang w:val="en-US" w:eastAsia="zh-CN"/>
        </w:rPr>
        <w:t>申请人应当依据当期最小单元网格合理容量的公示情况，在申请人的实际经营地址符合当期可新增零售点最小单元网格要求的基础上，按照对外发布参与集中摇号的地点、时间，自愿填写并提交</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昆明市晋宁区</w:t>
      </w:r>
      <w:r>
        <w:rPr>
          <w:rFonts w:hint="eastAsia" w:ascii="仿宋_GB2312" w:hAnsi="仿宋_GB2312" w:eastAsia="仿宋_GB2312" w:cs="仿宋_GB2312"/>
          <w:sz w:val="32"/>
          <w:szCs w:val="32"/>
          <w:lang w:val="en-US" w:eastAsia="zh-CN"/>
        </w:rPr>
        <w:t>烟草专卖局</w:t>
      </w:r>
      <w:r>
        <w:rPr>
          <w:rFonts w:hint="eastAsia" w:ascii="仿宋_GB2312" w:hAnsi="仿宋_GB2312" w:eastAsia="仿宋_GB2312" w:cs="仿宋_GB2312"/>
          <w:sz w:val="32"/>
          <w:szCs w:val="32"/>
        </w:rPr>
        <w:t>烟草制品零售点XX单元网格</w:t>
      </w:r>
      <w:r>
        <w:rPr>
          <w:rFonts w:hint="eastAsia" w:ascii="仿宋_GB2312" w:hAnsi="仿宋_GB2312" w:eastAsia="仿宋_GB2312" w:cs="仿宋_GB2312"/>
          <w:sz w:val="32"/>
          <w:szCs w:val="32"/>
          <w:lang w:val="en-US" w:eastAsia="zh-CN"/>
        </w:rPr>
        <w:t>集中摇号</w:t>
      </w:r>
      <w:r>
        <w:rPr>
          <w:rFonts w:hint="eastAsia" w:ascii="仿宋_GB2312" w:hAnsi="仿宋_GB2312" w:eastAsia="仿宋_GB2312" w:cs="仿宋_GB2312"/>
          <w:sz w:val="32"/>
          <w:szCs w:val="32"/>
        </w:rPr>
        <w:t>申请表》（详见附表）</w:t>
      </w:r>
      <w:r>
        <w:rPr>
          <w:rFonts w:hint="eastAsia" w:ascii="仿宋_GB2312" w:hAnsi="仿宋_GB2312" w:eastAsia="仿宋_GB2312" w:cs="仿宋_GB2312"/>
          <w:sz w:val="32"/>
          <w:szCs w:val="32"/>
          <w:lang w:eastAsia="zh-CN"/>
        </w:rPr>
        <w:t>。</w:t>
      </w:r>
    </w:p>
    <w:p>
      <w:pPr>
        <w:pStyle w:val="5"/>
        <w:ind w:firstLine="640" w:firstLineChars="200"/>
        <w:rPr>
          <w:rFonts w:hint="default" w:ascii="仿宋_GB2312" w:hAnsi="仿宋_GB2312" w:eastAsia="仿宋_GB2312" w:cs="仿宋_GB2312"/>
          <w:color w:val="auto"/>
          <w:kern w:val="2"/>
          <w:sz w:val="32"/>
          <w:szCs w:val="32"/>
          <w:highlight w:val="none"/>
          <w:lang w:val="en-US" w:eastAsia="zh-CN" w:bidi="ar-SA"/>
        </w:rPr>
      </w:pPr>
      <w:r>
        <w:rPr>
          <w:rFonts w:hint="eastAsia" w:ascii="黑体" w:hAnsi="黑体" w:eastAsia="黑体" w:cs="黑体"/>
          <w:sz w:val="32"/>
          <w:szCs w:val="32"/>
          <w:highlight w:val="none"/>
          <w:lang w:val="en-US" w:eastAsia="zh-CN"/>
        </w:rPr>
        <w:t xml:space="preserve">第六条 </w:t>
      </w:r>
      <w:r>
        <w:rPr>
          <w:rFonts w:hint="eastAsia" w:ascii="仿宋_GB2312" w:hAnsi="仿宋_GB2312" w:eastAsia="仿宋_GB2312" w:cs="仿宋_GB2312"/>
          <w:color w:val="auto"/>
          <w:kern w:val="2"/>
          <w:sz w:val="32"/>
          <w:szCs w:val="32"/>
          <w:highlight w:val="none"/>
          <w:lang w:val="en-US" w:eastAsia="zh-CN" w:bidi="ar-SA"/>
        </w:rPr>
        <w:t>集中摇号按照“提前申请—集中公证抽签—公示抽签结果”的程序进行。集中摇号结束后，按照摇号顺序确定预审核顺序，通过预审核的，将按照顺序依次受理新办申请资料，直至达到当期可新增</w:t>
      </w:r>
      <w:r>
        <w:rPr>
          <w:rFonts w:hint="eastAsia" w:eastAsia="仿宋_GB2312"/>
          <w:sz w:val="32"/>
          <w:szCs w:val="32"/>
          <w:highlight w:val="none"/>
          <w:lang w:val="en-US" w:eastAsia="zh-CN"/>
        </w:rPr>
        <w:t>零售点最小单元网格的最大容量。</w:t>
      </w:r>
    </w:p>
    <w:p>
      <w:pPr>
        <w:pStyle w:val="5"/>
        <w:ind w:firstLine="640" w:firstLineChars="200"/>
        <w:rPr>
          <w:rFonts w:hint="eastAsia" w:ascii="仿宋_GB2312" w:hAnsi="仿宋_GB2312" w:eastAsia="仿宋_GB2312" w:cs="仿宋_GB2312"/>
          <w:color w:val="auto"/>
          <w:kern w:val="2"/>
          <w:sz w:val="32"/>
          <w:szCs w:val="32"/>
          <w:highlight w:val="none"/>
          <w:lang w:val="en-US" w:eastAsia="zh-CN" w:bidi="ar-SA"/>
        </w:rPr>
      </w:pPr>
      <w:r>
        <w:rPr>
          <w:rFonts w:hint="eastAsia" w:ascii="黑体" w:hAnsi="黑体" w:eastAsia="黑体" w:cs="黑体"/>
          <w:color w:val="auto"/>
          <w:kern w:val="2"/>
          <w:sz w:val="32"/>
          <w:szCs w:val="32"/>
          <w:highlight w:val="none"/>
          <w:lang w:val="en-US" w:eastAsia="zh-CN" w:bidi="ar-SA"/>
        </w:rPr>
        <w:t xml:space="preserve">第七条 </w:t>
      </w:r>
      <w:r>
        <w:rPr>
          <w:rFonts w:hint="eastAsia" w:ascii="仿宋_GB2312" w:hAnsi="仿宋_GB2312" w:eastAsia="仿宋_GB2312" w:cs="仿宋_GB2312"/>
          <w:color w:val="auto"/>
          <w:kern w:val="2"/>
          <w:sz w:val="32"/>
          <w:szCs w:val="32"/>
          <w:highlight w:val="none"/>
          <w:lang w:val="en-US" w:eastAsia="zh-CN" w:bidi="ar-SA"/>
        </w:rPr>
        <w:t>申请人依据当期最小单元网格合理容量的公示情况，未在当期对外发布的报名地点、时间内参与集中摇号的，按照提交新办申请资料的时间顺序依次排在当期参加集中摇号的顺序之后。</w:t>
      </w:r>
    </w:p>
    <w:p>
      <w:pPr>
        <w:pStyle w:val="5"/>
        <w:ind w:firstLine="640" w:firstLineChars="200"/>
        <w:rPr>
          <w:rFonts w:hint="eastAsia" w:ascii="仿宋_GB2312" w:hAnsi="仿宋_GB2312" w:eastAsia="仿宋_GB2312" w:cs="仿宋_GB2312"/>
          <w:color w:val="auto"/>
          <w:kern w:val="2"/>
          <w:sz w:val="32"/>
          <w:szCs w:val="32"/>
          <w:highlight w:val="none"/>
          <w:lang w:val="en-US" w:eastAsia="zh-CN" w:bidi="ar-SA"/>
        </w:rPr>
      </w:pPr>
      <w:r>
        <w:rPr>
          <w:rFonts w:hint="eastAsia" w:ascii="黑体" w:hAnsi="黑体" w:eastAsia="黑体" w:cs="黑体"/>
          <w:color w:val="auto"/>
          <w:kern w:val="2"/>
          <w:sz w:val="32"/>
          <w:szCs w:val="32"/>
          <w:highlight w:val="none"/>
          <w:lang w:val="en-US" w:eastAsia="zh-CN" w:bidi="ar-SA"/>
        </w:rPr>
        <w:t>第八条</w:t>
      </w:r>
      <w:r>
        <w:rPr>
          <w:rFonts w:hint="eastAsia" w:ascii="仿宋_GB2312" w:hAnsi="仿宋_GB2312" w:eastAsia="仿宋_GB2312" w:cs="仿宋_GB2312"/>
          <w:color w:val="auto"/>
          <w:kern w:val="2"/>
          <w:sz w:val="32"/>
          <w:szCs w:val="32"/>
          <w:highlight w:val="none"/>
          <w:lang w:val="en-US" w:eastAsia="zh-CN" w:bidi="ar-SA"/>
        </w:rPr>
        <w:t xml:space="preserve"> 申请人应当确保自愿填写的集中摇号登记信息、新办资料信息等准确无误。出现信息不一致或者弄虚作假的，一律取消当期集中摇号结果。</w:t>
      </w:r>
    </w:p>
    <w:p>
      <w:pPr>
        <w:numPr>
          <w:ilvl w:val="0"/>
          <w:numId w:val="0"/>
        </w:numPr>
        <w:spacing w:before="312" w:beforeLines="100" w:after="312" w:afterLines="100" w:line="360" w:lineRule="auto"/>
        <w:ind w:left="0" w:leftChars="0" w:firstLine="403" w:firstLineChars="0"/>
        <w:jc w:val="center"/>
        <w:rPr>
          <w:rFonts w:ascii="黑体" w:hAnsi="黑体" w:eastAsia="黑体" w:cs="黑体"/>
          <w:sz w:val="32"/>
          <w:szCs w:val="32"/>
        </w:rPr>
      </w:pPr>
      <w:r>
        <w:rPr>
          <w:rFonts w:hint="eastAsia" w:ascii="黑体" w:hAnsi="黑体" w:eastAsia="黑体" w:cs="黑体"/>
          <w:kern w:val="2"/>
          <w:sz w:val="32"/>
          <w:szCs w:val="32"/>
          <w:lang w:val="en-US" w:eastAsia="zh-CN" w:bidi="ar-SA"/>
        </w:rPr>
        <w:t xml:space="preserve">第三章 </w:t>
      </w:r>
      <w:r>
        <w:rPr>
          <w:rFonts w:hint="eastAsia" w:ascii="黑体" w:hAnsi="黑体" w:eastAsia="黑体" w:cs="黑体"/>
          <w:sz w:val="32"/>
          <w:szCs w:val="32"/>
        </w:rPr>
        <w:t>监督检查</w:t>
      </w:r>
    </w:p>
    <w:p>
      <w:pPr>
        <w:numPr>
          <w:ilvl w:val="2"/>
          <w:numId w:val="0"/>
        </w:numPr>
        <w:spacing w:line="360" w:lineRule="auto"/>
        <w:ind w:left="0" w:leftChars="0" w:firstLine="680" w:firstLineChars="0"/>
        <w:rPr>
          <w:rFonts w:hint="eastAsia" w:ascii="仿宋_GB2312" w:hAnsi="仿宋_GB2312" w:eastAsia="仿宋_GB2312" w:cs="仿宋_GB2312"/>
          <w:sz w:val="32"/>
          <w:szCs w:val="32"/>
        </w:rPr>
      </w:pPr>
      <w:r>
        <w:rPr>
          <w:rFonts w:hint="eastAsia" w:ascii="楷体" w:hAnsi="楷体" w:eastAsia="黑体" w:cs="楷体"/>
          <w:color w:val="auto"/>
          <w:kern w:val="2"/>
          <w:sz w:val="32"/>
          <w:szCs w:val="32"/>
          <w:lang w:val="en-US" w:eastAsia="zh-CN" w:bidi="ar-SA"/>
        </w:rPr>
        <w:t>第九条　</w:t>
      </w:r>
      <w:r>
        <w:rPr>
          <w:rFonts w:hint="eastAsia" w:ascii="仿宋_GB2312" w:hAnsi="仿宋_GB2312" w:eastAsia="仿宋_GB2312" w:cs="仿宋_GB2312"/>
          <w:sz w:val="32"/>
          <w:szCs w:val="32"/>
          <w:lang w:val="en-US" w:eastAsia="zh-CN"/>
        </w:rPr>
        <w:t>晋宁区</w:t>
      </w:r>
      <w:r>
        <w:rPr>
          <w:rFonts w:hint="eastAsia" w:ascii="仿宋_GB2312" w:hAnsi="仿宋_GB2312" w:eastAsia="仿宋_GB2312" w:cs="仿宋_GB2312"/>
          <w:sz w:val="32"/>
          <w:szCs w:val="32"/>
        </w:rPr>
        <w:t>烟草专卖局每年年底向上一级烟草专卖局报告本年度烟草制品零售点</w:t>
      </w:r>
      <w:r>
        <w:rPr>
          <w:rFonts w:hint="eastAsia" w:ascii="仿宋_GB2312" w:hAnsi="仿宋_GB2312" w:eastAsia="仿宋_GB2312" w:cs="仿宋_GB2312"/>
          <w:sz w:val="32"/>
          <w:szCs w:val="32"/>
          <w:lang w:val="en-US" w:eastAsia="zh-CN"/>
        </w:rPr>
        <w:t>集中摇号</w:t>
      </w:r>
      <w:r>
        <w:rPr>
          <w:rFonts w:hint="eastAsia" w:ascii="仿宋_GB2312" w:hAnsi="仿宋_GB2312" w:eastAsia="仿宋_GB2312" w:cs="仿宋_GB2312"/>
          <w:sz w:val="32"/>
          <w:szCs w:val="32"/>
        </w:rPr>
        <w:t>管理工作情况。</w:t>
      </w:r>
    </w:p>
    <w:p>
      <w:pPr>
        <w:numPr>
          <w:ilvl w:val="2"/>
          <w:numId w:val="0"/>
        </w:numPr>
        <w:spacing w:line="360" w:lineRule="auto"/>
        <w:ind w:left="0" w:leftChars="0" w:firstLine="680" w:firstLineChars="0"/>
        <w:rPr>
          <w:rFonts w:ascii="黑体" w:hAnsi="黑体" w:eastAsia="黑体" w:cs="黑体"/>
          <w:sz w:val="32"/>
          <w:szCs w:val="32"/>
        </w:rPr>
      </w:pPr>
      <w:r>
        <w:rPr>
          <w:rFonts w:hint="eastAsia" w:ascii="黑体" w:hAnsi="黑体" w:eastAsia="黑体" w:cs="黑体"/>
          <w:color w:val="auto"/>
          <w:kern w:val="2"/>
          <w:sz w:val="32"/>
          <w:szCs w:val="32"/>
          <w:lang w:val="en-US" w:eastAsia="zh-CN" w:bidi="ar-SA"/>
        </w:rPr>
        <w:t>第十条　</w:t>
      </w:r>
      <w:r>
        <w:rPr>
          <w:rFonts w:hint="eastAsia" w:ascii="仿宋_GB2312" w:hAnsi="仿宋_GB2312" w:eastAsia="仿宋_GB2312" w:cs="仿宋_GB2312"/>
          <w:sz w:val="32"/>
          <w:szCs w:val="32"/>
        </w:rPr>
        <w:t>发证机关接收和办理</w:t>
      </w:r>
      <w:r>
        <w:rPr>
          <w:rFonts w:hint="eastAsia" w:ascii="仿宋_GB2312" w:hAnsi="仿宋_GB2312" w:eastAsia="仿宋_GB2312" w:cs="仿宋_GB2312"/>
          <w:sz w:val="32"/>
          <w:szCs w:val="32"/>
          <w:lang w:val="en-US" w:eastAsia="zh-CN"/>
        </w:rPr>
        <w:t>集中摇号</w:t>
      </w:r>
      <w:r>
        <w:rPr>
          <w:rFonts w:hint="eastAsia" w:ascii="仿宋_GB2312" w:hAnsi="仿宋_GB2312" w:eastAsia="仿宋_GB2312" w:cs="仿宋_GB2312"/>
          <w:sz w:val="32"/>
          <w:szCs w:val="32"/>
        </w:rPr>
        <w:t>业务，不得收取任何费用。</w:t>
      </w:r>
    </w:p>
    <w:p>
      <w:pPr>
        <w:numPr>
          <w:ilvl w:val="0"/>
          <w:numId w:val="0"/>
        </w:numPr>
        <w:spacing w:before="312" w:beforeLines="100" w:after="312" w:afterLines="100" w:line="360" w:lineRule="auto"/>
        <w:ind w:left="0" w:leftChars="0" w:firstLine="403" w:firstLineChars="0"/>
        <w:jc w:val="center"/>
        <w:rPr>
          <w:rFonts w:ascii="黑体" w:hAnsi="黑体" w:eastAsia="黑体" w:cs="黑体"/>
          <w:sz w:val="32"/>
          <w:szCs w:val="32"/>
        </w:rPr>
      </w:pPr>
      <w:r>
        <w:rPr>
          <w:rFonts w:hint="eastAsia" w:ascii="黑体" w:hAnsi="黑体" w:eastAsia="黑体" w:cs="黑体"/>
          <w:kern w:val="2"/>
          <w:sz w:val="32"/>
          <w:szCs w:val="32"/>
          <w:lang w:val="en-US" w:eastAsia="zh-CN" w:bidi="ar-SA"/>
        </w:rPr>
        <w:t xml:space="preserve">第四章 </w:t>
      </w:r>
      <w:r>
        <w:rPr>
          <w:rFonts w:hint="eastAsia" w:ascii="黑体" w:hAnsi="黑体" w:eastAsia="黑体" w:cs="黑体"/>
          <w:sz w:val="32"/>
          <w:szCs w:val="32"/>
        </w:rPr>
        <w:t>附则</w:t>
      </w:r>
    </w:p>
    <w:p>
      <w:pPr>
        <w:numPr>
          <w:ilvl w:val="2"/>
          <w:numId w:val="0"/>
        </w:numPr>
        <w:spacing w:line="360" w:lineRule="auto"/>
        <w:ind w:left="0" w:leftChars="0" w:firstLine="680" w:firstLineChars="0"/>
        <w:rPr>
          <w:rFonts w:ascii="仿宋_GB2312" w:hAnsi="仿宋_GB2312" w:eastAsia="仿宋_GB2312" w:cs="仿宋_GB2312"/>
          <w:sz w:val="32"/>
          <w:szCs w:val="32"/>
        </w:rPr>
      </w:pPr>
      <w:r>
        <w:rPr>
          <w:rFonts w:hint="eastAsia" w:ascii="仿宋_GB2312" w:hAnsi="仿宋_GB2312" w:eastAsia="黑体" w:cs="仿宋_GB2312"/>
          <w:color w:val="auto"/>
          <w:kern w:val="2"/>
          <w:sz w:val="32"/>
          <w:szCs w:val="32"/>
          <w:lang w:val="en-US" w:eastAsia="zh-CN" w:bidi="ar-SA"/>
        </w:rPr>
        <w:t>第十三条　</w:t>
      </w:r>
      <w:r>
        <w:rPr>
          <w:rFonts w:hint="eastAsia" w:ascii="仿宋_GB2312" w:hAnsi="仿宋_GB2312" w:eastAsia="仿宋_GB2312" w:cs="仿宋_GB2312"/>
          <w:sz w:val="32"/>
          <w:szCs w:val="32"/>
        </w:rPr>
        <w:t>本制度中按照年、月、日计算期间的，开始的当日不计入，自下一日开始计算。均以工作日计算，不含法定节假日。</w:t>
      </w:r>
    </w:p>
    <w:p>
      <w:pPr>
        <w:numPr>
          <w:ilvl w:val="2"/>
          <w:numId w:val="0"/>
        </w:numPr>
        <w:spacing w:line="360" w:lineRule="auto"/>
        <w:ind w:left="0" w:leftChars="0" w:firstLine="680" w:firstLineChars="0"/>
        <w:rPr>
          <w:rFonts w:hint="eastAsia" w:ascii="仿宋_GB2312" w:hAnsi="仿宋_GB2312" w:eastAsia="仿宋_GB2312" w:cs="仿宋_GB2312"/>
          <w:sz w:val="32"/>
          <w:szCs w:val="32"/>
        </w:rPr>
      </w:pPr>
      <w:r>
        <w:rPr>
          <w:rFonts w:hint="eastAsia" w:ascii="仿宋_GB2312" w:hAnsi="仿宋_GB2312" w:eastAsia="黑体" w:cs="仿宋_GB2312"/>
          <w:color w:val="auto"/>
          <w:kern w:val="2"/>
          <w:sz w:val="32"/>
          <w:szCs w:val="32"/>
          <w:lang w:val="en-US" w:eastAsia="zh-CN" w:bidi="ar-SA"/>
        </w:rPr>
        <w:t>第十四条　</w:t>
      </w:r>
      <w:r>
        <w:rPr>
          <w:rFonts w:hint="eastAsia" w:ascii="仿宋_GB2312" w:hAnsi="仿宋_GB2312" w:eastAsia="仿宋_GB2312" w:cs="仿宋_GB2312"/>
          <w:sz w:val="32"/>
          <w:szCs w:val="32"/>
        </w:rPr>
        <w:t>本制度由</w:t>
      </w:r>
      <w:r>
        <w:rPr>
          <w:rFonts w:hint="eastAsia" w:ascii="仿宋_GB2312" w:hAnsi="仿宋_GB2312" w:eastAsia="仿宋_GB2312" w:cs="仿宋_GB2312"/>
          <w:sz w:val="32"/>
          <w:szCs w:val="32"/>
          <w:lang w:eastAsia="zh-CN"/>
        </w:rPr>
        <w:t>昆明市晋宁区</w:t>
      </w:r>
      <w:r>
        <w:rPr>
          <w:rFonts w:hint="eastAsia" w:ascii="仿宋_GB2312" w:hAnsi="仿宋_GB2312" w:eastAsia="仿宋_GB2312" w:cs="仿宋_GB2312"/>
          <w:sz w:val="32"/>
          <w:szCs w:val="32"/>
        </w:rPr>
        <w:t>烟草专卖局负责解释。</w:t>
      </w:r>
    </w:p>
    <w:p>
      <w:pPr>
        <w:numPr>
          <w:ilvl w:val="2"/>
          <w:numId w:val="0"/>
        </w:numPr>
        <w:spacing w:line="360" w:lineRule="auto"/>
        <w:ind w:left="0" w:leftChars="0" w:firstLine="680" w:firstLineChars="0"/>
        <w:rPr>
          <w:rFonts w:hint="default" w:ascii="楷体" w:hAnsi="楷体" w:eastAsia="仿宋_GB2312" w:cs="楷体"/>
          <w:sz w:val="32"/>
          <w:szCs w:val="32"/>
          <w:lang w:val="en-US" w:eastAsia="zh-CN"/>
        </w:rPr>
      </w:pPr>
      <w:r>
        <w:rPr>
          <w:rFonts w:hint="eastAsia" w:ascii="楷体" w:hAnsi="楷体" w:eastAsia="黑体" w:cs="楷体"/>
          <w:color w:val="auto"/>
          <w:kern w:val="2"/>
          <w:sz w:val="32"/>
          <w:szCs w:val="32"/>
          <w:lang w:val="en-US" w:eastAsia="zh-CN" w:bidi="ar-SA"/>
        </w:rPr>
        <w:t>第十五条　</w:t>
      </w:r>
      <w:r>
        <w:rPr>
          <w:rFonts w:hint="eastAsia" w:ascii="仿宋_GB2312" w:hAnsi="仿宋_GB2312" w:eastAsia="仿宋_GB2312" w:cs="仿宋_GB2312"/>
          <w:sz w:val="32"/>
          <w:szCs w:val="32"/>
        </w:rPr>
        <w:t>本制度自《</w:t>
      </w:r>
      <w:r>
        <w:rPr>
          <w:rFonts w:hint="eastAsia" w:ascii="仿宋_GB2312" w:hAnsi="仿宋_GB2312" w:eastAsia="仿宋_GB2312" w:cs="仿宋_GB2312"/>
          <w:sz w:val="32"/>
          <w:szCs w:val="32"/>
          <w:lang w:eastAsia="zh-CN"/>
        </w:rPr>
        <w:t>昆明市晋宁区</w:t>
      </w:r>
      <w:r>
        <w:rPr>
          <w:rFonts w:hint="eastAsia" w:ascii="仿宋_GB2312" w:hAnsi="仿宋_GB2312" w:eastAsia="仿宋_GB2312" w:cs="仿宋_GB2312"/>
          <w:sz w:val="32"/>
          <w:szCs w:val="32"/>
          <w:lang w:val="en-US" w:eastAsia="zh-CN"/>
        </w:rPr>
        <w:t>烟草专卖局</w:t>
      </w:r>
      <w:r>
        <w:rPr>
          <w:rFonts w:hint="eastAsia" w:ascii="仿宋_GB2312" w:hAnsi="仿宋_GB2312" w:eastAsia="仿宋_GB2312" w:cs="仿宋_GB2312"/>
          <w:sz w:val="32"/>
          <w:szCs w:val="32"/>
        </w:rPr>
        <w:t>烟草制品零售点合理布局规划》实施之日起同时施行。</w:t>
      </w:r>
      <w:r>
        <w:rPr>
          <w:rFonts w:hint="eastAsia" w:ascii="仿宋_GB2312" w:hAnsi="仿宋_GB2312" w:eastAsia="仿宋_GB2312" w:cs="仿宋_GB2312"/>
          <w:sz w:val="32"/>
          <w:szCs w:val="32"/>
          <w:lang w:val="en-US" w:eastAsia="zh-CN"/>
        </w:rPr>
        <w:t>在</w:t>
      </w:r>
      <w:r>
        <w:rPr>
          <w:rFonts w:hint="eastAsia" w:ascii="仿宋_GB2312" w:hAnsi="仿宋_GB2312" w:eastAsia="仿宋_GB2312" w:cs="仿宋_GB2312"/>
          <w:sz w:val="32"/>
          <w:szCs w:val="32"/>
          <w:lang w:eastAsia="zh-CN"/>
        </w:rPr>
        <w:t>《昆明市晋宁区烟草专卖局烟草制品零售点排队轮候制度》（</w:t>
      </w:r>
      <w:r>
        <w:rPr>
          <w:rFonts w:hint="eastAsia" w:ascii="仿宋_GB2312" w:hAnsi="仿宋_GB2312" w:eastAsia="仿宋_GB2312" w:cs="仿宋_GB2312"/>
          <w:sz w:val="32"/>
          <w:szCs w:val="32"/>
          <w:lang w:val="en-US" w:eastAsia="zh-CN"/>
        </w:rPr>
        <w:t>附件七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公示执行后，本制度自动废止。</w:t>
      </w:r>
    </w:p>
    <w:p>
      <w:pPr>
        <w:spacing w:line="360" w:lineRule="auto"/>
        <w:ind w:left="402" w:firstLine="640" w:firstLineChars="200"/>
        <w:rPr>
          <w:rFonts w:hint="eastAsia" w:ascii="黑体" w:hAnsi="黑体" w:eastAsia="仿宋_GB2312" w:cs="黑体"/>
          <w:sz w:val="32"/>
          <w:szCs w:val="32"/>
          <w:lang w:val="en-US" w:eastAsia="zh-CN"/>
        </w:rPr>
        <w:sectPr>
          <w:footerReference r:id="rId3" w:type="default"/>
          <w:pgSz w:w="11906" w:h="16838"/>
          <w:pgMar w:top="1440" w:right="1800" w:bottom="1440" w:left="1800" w:header="851" w:footer="992" w:gutter="0"/>
          <w:cols w:space="720" w:num="1"/>
          <w:docGrid w:type="lines" w:linePitch="312" w:charSpace="0"/>
        </w:sectPr>
      </w:pPr>
      <w:r>
        <w:rPr>
          <w:rFonts w:hint="eastAsia" w:ascii="仿宋_GB2312" w:hAnsi="仿宋_GB2312" w:eastAsia="仿宋_GB2312" w:cs="仿宋_GB2312"/>
          <w:sz w:val="32"/>
          <w:szCs w:val="32"/>
        </w:rPr>
        <w:t>附表：</w:t>
      </w:r>
      <w:r>
        <w:rPr>
          <w:rFonts w:hint="eastAsia" w:ascii="仿宋_GB2312" w:hAnsi="仿宋_GB2312" w:eastAsia="仿宋_GB2312" w:cs="仿宋_GB2312"/>
          <w:sz w:val="32"/>
          <w:szCs w:val="32"/>
          <w:lang w:eastAsia="zh-CN"/>
        </w:rPr>
        <w:t>昆明市晋宁区</w:t>
      </w:r>
      <w:r>
        <w:rPr>
          <w:rFonts w:hint="eastAsia" w:ascii="仿宋_GB2312" w:hAnsi="仿宋_GB2312" w:eastAsia="仿宋_GB2312" w:cs="仿宋_GB2312"/>
          <w:sz w:val="32"/>
          <w:szCs w:val="32"/>
        </w:rPr>
        <w:t>烟草专卖局烟草制品零售点</w:t>
      </w:r>
      <w:r>
        <w:rPr>
          <w:rFonts w:hint="eastAsia" w:ascii="仿宋_GB2312" w:hAnsi="仿宋_GB2312" w:eastAsia="仿宋_GB2312" w:cs="仿宋_GB2312"/>
          <w:sz w:val="32"/>
          <w:szCs w:val="32"/>
          <w:lang w:val="en-US" w:eastAsia="zh-CN"/>
        </w:rPr>
        <w:t>集中摇号</w:t>
      </w:r>
      <w:r>
        <w:rPr>
          <w:rFonts w:hint="eastAsia" w:ascii="仿宋_GB2312" w:hAnsi="仿宋_GB2312" w:eastAsia="仿宋_GB2312" w:cs="仿宋_GB2312"/>
          <w:sz w:val="32"/>
          <w:szCs w:val="32"/>
        </w:rPr>
        <w:t>申请</w:t>
      </w:r>
      <w:r>
        <w:rPr>
          <w:rFonts w:hint="eastAsia" w:ascii="仿宋_GB2312" w:hAnsi="仿宋_GB2312" w:eastAsia="仿宋_GB2312" w:cs="仿宋_GB2312"/>
          <w:sz w:val="32"/>
          <w:szCs w:val="32"/>
          <w:lang w:val="en-US" w:eastAsia="zh-CN"/>
        </w:rPr>
        <w:t>表</w:t>
      </w:r>
    </w:p>
    <w:p>
      <w:pPr>
        <w:spacing w:line="360" w:lineRule="auto"/>
        <w:rPr>
          <w:rFonts w:ascii="黑体" w:hAnsi="黑体" w:eastAsia="黑体" w:cs="黑体"/>
          <w:sz w:val="44"/>
          <w:szCs w:val="44"/>
        </w:rPr>
      </w:pPr>
      <w:r>
        <w:rPr>
          <w:rFonts w:hint="eastAsia" w:ascii="黑体" w:hAnsi="黑体" w:eastAsia="黑体" w:cs="黑体"/>
          <w:sz w:val="32"/>
          <w:szCs w:val="32"/>
        </w:rPr>
        <w:t>附表</w:t>
      </w:r>
    </w:p>
    <w:p>
      <w:pPr>
        <w:spacing w:line="360" w:lineRule="auto"/>
        <w:ind w:left="402"/>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eastAsia="zh-CN"/>
        </w:rPr>
        <w:t>昆明市晋宁区</w:t>
      </w:r>
      <w:r>
        <w:rPr>
          <w:rFonts w:hint="eastAsia" w:ascii="方正小标宋简体" w:hAnsi="方正小标宋简体" w:eastAsia="方正小标宋简体" w:cs="方正小标宋简体"/>
          <w:sz w:val="44"/>
          <w:szCs w:val="44"/>
          <w:lang w:val="en-US" w:eastAsia="zh-CN"/>
        </w:rPr>
        <w:t>烟草专卖局</w:t>
      </w:r>
      <w:r>
        <w:rPr>
          <w:rFonts w:hint="eastAsia" w:ascii="方正小标宋简体" w:hAnsi="方正小标宋简体" w:eastAsia="方正小标宋简体" w:cs="方正小标宋简体"/>
          <w:sz w:val="44"/>
          <w:szCs w:val="44"/>
        </w:rPr>
        <w:t>烟草制品零售点</w:t>
      </w:r>
      <w:r>
        <w:rPr>
          <w:rFonts w:hint="eastAsia" w:ascii="方正小标宋简体" w:hAnsi="方正小标宋简体" w:eastAsia="方正小标宋简体" w:cs="方正小标宋简体"/>
          <w:sz w:val="44"/>
          <w:szCs w:val="44"/>
          <w:lang w:val="en-US" w:eastAsia="zh-CN"/>
        </w:rPr>
        <w:t>集中摇号</w:t>
      </w:r>
      <w:r>
        <w:rPr>
          <w:rFonts w:hint="eastAsia" w:ascii="方正小标宋简体" w:hAnsi="方正小标宋简体" w:eastAsia="方正小标宋简体" w:cs="方正小标宋简体"/>
          <w:sz w:val="44"/>
          <w:szCs w:val="44"/>
        </w:rPr>
        <w:t>申请表</w:t>
      </w:r>
    </w:p>
    <w:tbl>
      <w:tblPr>
        <w:tblStyle w:val="3"/>
        <w:tblW w:w="0" w:type="auto"/>
        <w:tblInd w:w="96" w:type="dxa"/>
        <w:tblLayout w:type="fixed"/>
        <w:tblCellMar>
          <w:top w:w="0" w:type="dxa"/>
          <w:left w:w="108" w:type="dxa"/>
          <w:bottom w:w="0" w:type="dxa"/>
          <w:right w:w="108" w:type="dxa"/>
        </w:tblCellMar>
      </w:tblPr>
      <w:tblGrid>
        <w:gridCol w:w="2422"/>
        <w:gridCol w:w="2283"/>
        <w:gridCol w:w="1543"/>
        <w:gridCol w:w="2178"/>
      </w:tblGrid>
      <w:tr>
        <w:tblPrEx>
          <w:tblCellMar>
            <w:top w:w="0" w:type="dxa"/>
            <w:left w:w="108" w:type="dxa"/>
            <w:bottom w:w="0" w:type="dxa"/>
            <w:right w:w="108" w:type="dxa"/>
          </w:tblCellMar>
        </w:tblPrEx>
        <w:trPr>
          <w:trHeight w:val="420" w:hRule="atLeast"/>
        </w:trPr>
        <w:tc>
          <w:tcPr>
            <w:tcW w:w="8426" w:type="dxa"/>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b/>
                <w:bCs/>
                <w:sz w:val="24"/>
              </w:rPr>
            </w:pPr>
            <w:r>
              <w:rPr>
                <w:rFonts w:hint="eastAsia" w:ascii="宋体" w:hAnsi="宋体" w:cs="宋体"/>
                <w:b/>
                <w:bCs/>
                <w:kern w:val="0"/>
                <w:sz w:val="24"/>
                <w:lang w:bidi="ar"/>
              </w:rPr>
              <w:t>申请人基本信息</w:t>
            </w:r>
          </w:p>
        </w:tc>
      </w:tr>
      <w:tr>
        <w:tblPrEx>
          <w:tblCellMar>
            <w:top w:w="0" w:type="dxa"/>
            <w:left w:w="108" w:type="dxa"/>
            <w:bottom w:w="0" w:type="dxa"/>
            <w:right w:w="108" w:type="dxa"/>
          </w:tblCellMar>
        </w:tblPrEx>
        <w:trPr>
          <w:trHeight w:val="559" w:hRule="atLeast"/>
        </w:trPr>
        <w:tc>
          <w:tcPr>
            <w:tcW w:w="24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sz w:val="24"/>
              </w:rPr>
            </w:pPr>
            <w:r>
              <w:rPr>
                <w:rFonts w:hint="eastAsia" w:ascii="宋体" w:hAnsi="宋体" w:cs="宋体"/>
                <w:kern w:val="0"/>
                <w:sz w:val="24"/>
                <w:lang w:bidi="ar"/>
              </w:rPr>
              <w:t>申请人姓名</w:t>
            </w:r>
          </w:p>
        </w:tc>
        <w:tc>
          <w:tcPr>
            <w:tcW w:w="22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suppressLineNumbers w:val="0"/>
              <w:spacing w:before="0" w:beforeAutospacing="0" w:after="0" w:afterAutospacing="0"/>
              <w:ind w:left="0" w:right="0"/>
              <w:jc w:val="center"/>
              <w:rPr>
                <w:rFonts w:hint="default" w:ascii="宋体" w:hAnsi="宋体" w:cs="宋体"/>
                <w:sz w:val="24"/>
              </w:rPr>
            </w:pPr>
          </w:p>
        </w:tc>
        <w:tc>
          <w:tcPr>
            <w:tcW w:w="15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sz w:val="24"/>
              </w:rPr>
            </w:pPr>
            <w:r>
              <w:rPr>
                <w:rFonts w:hint="eastAsia" w:ascii="宋体" w:hAnsi="宋体" w:cs="宋体"/>
                <w:kern w:val="0"/>
                <w:sz w:val="24"/>
                <w:lang w:bidi="ar"/>
              </w:rPr>
              <w:t>申请日期</w:t>
            </w:r>
          </w:p>
        </w:tc>
        <w:tc>
          <w:tcPr>
            <w:tcW w:w="217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suppressLineNumbers w:val="0"/>
              <w:spacing w:before="0" w:beforeAutospacing="0" w:after="0" w:afterAutospacing="0"/>
              <w:ind w:left="0" w:right="0"/>
              <w:jc w:val="center"/>
              <w:rPr>
                <w:rFonts w:hint="default" w:ascii="宋体" w:hAnsi="宋体" w:cs="宋体"/>
                <w:sz w:val="24"/>
              </w:rPr>
            </w:pPr>
          </w:p>
        </w:tc>
      </w:tr>
      <w:tr>
        <w:tblPrEx>
          <w:tblCellMar>
            <w:top w:w="0" w:type="dxa"/>
            <w:left w:w="108" w:type="dxa"/>
            <w:bottom w:w="0" w:type="dxa"/>
            <w:right w:w="108" w:type="dxa"/>
          </w:tblCellMar>
        </w:tblPrEx>
        <w:trPr>
          <w:trHeight w:val="559" w:hRule="atLeast"/>
        </w:trPr>
        <w:tc>
          <w:tcPr>
            <w:tcW w:w="24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sz w:val="24"/>
              </w:rPr>
            </w:pPr>
            <w:r>
              <w:rPr>
                <w:rFonts w:hint="eastAsia" w:ascii="宋体" w:hAnsi="宋体" w:cs="宋体"/>
                <w:kern w:val="0"/>
                <w:sz w:val="24"/>
                <w:lang w:bidi="ar"/>
              </w:rPr>
              <w:t>身份证号码</w:t>
            </w:r>
          </w:p>
        </w:tc>
        <w:tc>
          <w:tcPr>
            <w:tcW w:w="22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suppressLineNumbers w:val="0"/>
              <w:spacing w:before="0" w:beforeAutospacing="0" w:after="0" w:afterAutospacing="0"/>
              <w:ind w:left="0" w:right="0"/>
              <w:jc w:val="center"/>
              <w:rPr>
                <w:rFonts w:hint="default" w:ascii="宋体" w:hAnsi="宋体" w:cs="宋体"/>
                <w:sz w:val="24"/>
              </w:rPr>
            </w:pPr>
          </w:p>
        </w:tc>
        <w:tc>
          <w:tcPr>
            <w:tcW w:w="15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sz w:val="24"/>
              </w:rPr>
            </w:pPr>
            <w:r>
              <w:rPr>
                <w:rFonts w:hint="eastAsia" w:ascii="宋体" w:hAnsi="宋体" w:cs="宋体"/>
                <w:kern w:val="0"/>
                <w:sz w:val="24"/>
                <w:lang w:bidi="ar"/>
              </w:rPr>
              <w:t>联系电话</w:t>
            </w:r>
          </w:p>
        </w:tc>
        <w:tc>
          <w:tcPr>
            <w:tcW w:w="217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suppressLineNumbers w:val="0"/>
              <w:spacing w:before="0" w:beforeAutospacing="0" w:after="0" w:afterAutospacing="0"/>
              <w:ind w:left="0" w:right="0"/>
              <w:jc w:val="center"/>
              <w:rPr>
                <w:rFonts w:hint="default" w:ascii="宋体" w:hAnsi="宋体" w:cs="宋体"/>
                <w:sz w:val="24"/>
              </w:rPr>
            </w:pPr>
          </w:p>
        </w:tc>
      </w:tr>
      <w:tr>
        <w:tblPrEx>
          <w:tblCellMar>
            <w:top w:w="0" w:type="dxa"/>
            <w:left w:w="108" w:type="dxa"/>
            <w:bottom w:w="0" w:type="dxa"/>
            <w:right w:w="108" w:type="dxa"/>
          </w:tblCellMar>
        </w:tblPrEx>
        <w:trPr>
          <w:trHeight w:val="559" w:hRule="atLeast"/>
        </w:trPr>
        <w:tc>
          <w:tcPr>
            <w:tcW w:w="24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eastAsiaTheme="minorEastAsia"/>
                <w:sz w:val="24"/>
                <w:lang w:eastAsia="zh-CN"/>
              </w:rPr>
            </w:pPr>
            <w:r>
              <w:rPr>
                <w:rFonts w:hint="eastAsia" w:ascii="宋体" w:hAnsi="宋体" w:cs="宋体"/>
                <w:kern w:val="0"/>
                <w:sz w:val="24"/>
                <w:lang w:bidi="ar"/>
              </w:rPr>
              <w:t>归属</w:t>
            </w:r>
            <w:r>
              <w:rPr>
                <w:rFonts w:hint="eastAsia" w:ascii="宋体" w:hAnsi="宋体" w:cs="宋体"/>
                <w:kern w:val="0"/>
                <w:sz w:val="24"/>
                <w:lang w:val="en-US" w:eastAsia="zh-CN" w:bidi="ar"/>
              </w:rPr>
              <w:t>网格</w:t>
            </w:r>
          </w:p>
        </w:tc>
        <w:tc>
          <w:tcPr>
            <w:tcW w:w="6004" w:type="dxa"/>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suppressLineNumbers w:val="0"/>
              <w:spacing w:before="0" w:beforeAutospacing="0" w:after="0" w:afterAutospacing="0"/>
              <w:ind w:left="0" w:right="0"/>
              <w:jc w:val="center"/>
              <w:rPr>
                <w:rFonts w:hint="default" w:ascii="宋体" w:hAnsi="宋体" w:cs="宋体"/>
                <w:sz w:val="24"/>
              </w:rPr>
            </w:pPr>
          </w:p>
        </w:tc>
      </w:tr>
      <w:tr>
        <w:tblPrEx>
          <w:tblCellMar>
            <w:top w:w="0" w:type="dxa"/>
            <w:left w:w="108" w:type="dxa"/>
            <w:bottom w:w="0" w:type="dxa"/>
            <w:right w:w="108" w:type="dxa"/>
          </w:tblCellMar>
        </w:tblPrEx>
        <w:trPr>
          <w:trHeight w:val="495" w:hRule="atLeast"/>
        </w:trPr>
        <w:tc>
          <w:tcPr>
            <w:tcW w:w="24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sz w:val="24"/>
              </w:rPr>
            </w:pPr>
            <w:r>
              <w:rPr>
                <w:rFonts w:hint="eastAsia" w:ascii="宋体" w:hAnsi="宋体" w:cs="宋体"/>
                <w:kern w:val="0"/>
                <w:sz w:val="24"/>
                <w:lang w:bidi="ar"/>
              </w:rPr>
              <w:t>经营场所详细地址</w:t>
            </w:r>
          </w:p>
        </w:tc>
        <w:tc>
          <w:tcPr>
            <w:tcW w:w="6004" w:type="dxa"/>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suppressLineNumbers w:val="0"/>
              <w:spacing w:before="0" w:beforeAutospacing="0" w:after="0" w:afterAutospacing="0"/>
              <w:ind w:left="0" w:right="0"/>
              <w:jc w:val="center"/>
              <w:rPr>
                <w:rFonts w:hint="default" w:ascii="宋体" w:hAnsi="宋体" w:cs="宋体"/>
                <w:sz w:val="24"/>
              </w:rPr>
            </w:pPr>
          </w:p>
        </w:tc>
      </w:tr>
      <w:tr>
        <w:tblPrEx>
          <w:tblCellMar>
            <w:top w:w="0" w:type="dxa"/>
            <w:left w:w="108" w:type="dxa"/>
            <w:bottom w:w="0" w:type="dxa"/>
            <w:right w:w="108" w:type="dxa"/>
          </w:tblCellMar>
        </w:tblPrEx>
        <w:trPr>
          <w:trHeight w:val="495" w:hRule="atLeast"/>
        </w:trPr>
        <w:tc>
          <w:tcPr>
            <w:tcW w:w="8426" w:type="dxa"/>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b/>
                <w:bCs/>
                <w:sz w:val="24"/>
              </w:rPr>
            </w:pPr>
            <w:r>
              <w:rPr>
                <w:rFonts w:hint="eastAsia" w:ascii="宋体" w:hAnsi="宋体" w:cs="宋体"/>
                <w:b/>
                <w:bCs/>
                <w:kern w:val="0"/>
                <w:sz w:val="24"/>
                <w:lang w:bidi="ar"/>
              </w:rPr>
              <w:t>营业执照基本信息</w:t>
            </w:r>
          </w:p>
        </w:tc>
      </w:tr>
      <w:tr>
        <w:tblPrEx>
          <w:tblCellMar>
            <w:top w:w="0" w:type="dxa"/>
            <w:left w:w="108" w:type="dxa"/>
            <w:bottom w:w="0" w:type="dxa"/>
            <w:right w:w="108" w:type="dxa"/>
          </w:tblCellMar>
        </w:tblPrEx>
        <w:trPr>
          <w:trHeight w:val="495" w:hRule="atLeast"/>
        </w:trPr>
        <w:tc>
          <w:tcPr>
            <w:tcW w:w="24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sz w:val="24"/>
              </w:rPr>
            </w:pPr>
            <w:r>
              <w:rPr>
                <w:rFonts w:hint="eastAsia" w:ascii="宋体" w:hAnsi="宋体" w:cs="宋体"/>
                <w:kern w:val="0"/>
                <w:sz w:val="24"/>
                <w:lang w:bidi="ar"/>
              </w:rPr>
              <w:t>统一社会信用代码</w:t>
            </w:r>
          </w:p>
        </w:tc>
        <w:tc>
          <w:tcPr>
            <w:tcW w:w="6004" w:type="dxa"/>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suppressLineNumbers w:val="0"/>
              <w:spacing w:before="0" w:beforeAutospacing="0" w:after="0" w:afterAutospacing="0"/>
              <w:ind w:left="0" w:right="0"/>
              <w:jc w:val="center"/>
              <w:rPr>
                <w:rFonts w:hint="default" w:ascii="宋体" w:hAnsi="宋体" w:cs="宋体"/>
                <w:sz w:val="24"/>
              </w:rPr>
            </w:pPr>
          </w:p>
        </w:tc>
      </w:tr>
      <w:tr>
        <w:tblPrEx>
          <w:tblCellMar>
            <w:top w:w="0" w:type="dxa"/>
            <w:left w:w="108" w:type="dxa"/>
            <w:bottom w:w="0" w:type="dxa"/>
            <w:right w:w="108" w:type="dxa"/>
          </w:tblCellMar>
        </w:tblPrEx>
        <w:trPr>
          <w:trHeight w:val="495" w:hRule="atLeast"/>
        </w:trPr>
        <w:tc>
          <w:tcPr>
            <w:tcW w:w="24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sz w:val="24"/>
              </w:rPr>
            </w:pPr>
            <w:r>
              <w:rPr>
                <w:rFonts w:hint="eastAsia" w:ascii="宋体" w:hAnsi="宋体" w:cs="宋体"/>
                <w:kern w:val="0"/>
                <w:sz w:val="24"/>
                <w:lang w:bidi="ar"/>
              </w:rPr>
              <w:t>企业名称</w:t>
            </w:r>
          </w:p>
        </w:tc>
        <w:tc>
          <w:tcPr>
            <w:tcW w:w="6004" w:type="dxa"/>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suppressLineNumbers w:val="0"/>
              <w:spacing w:before="0" w:beforeAutospacing="0" w:after="0" w:afterAutospacing="0"/>
              <w:ind w:left="0" w:right="0"/>
              <w:jc w:val="center"/>
              <w:rPr>
                <w:rFonts w:hint="default" w:ascii="宋体" w:hAnsi="宋体" w:cs="宋体"/>
                <w:sz w:val="24"/>
              </w:rPr>
            </w:pPr>
          </w:p>
        </w:tc>
      </w:tr>
      <w:tr>
        <w:tblPrEx>
          <w:tblCellMar>
            <w:top w:w="0" w:type="dxa"/>
            <w:left w:w="108" w:type="dxa"/>
            <w:bottom w:w="0" w:type="dxa"/>
            <w:right w:w="108" w:type="dxa"/>
          </w:tblCellMar>
        </w:tblPrEx>
        <w:trPr>
          <w:trHeight w:val="495" w:hRule="atLeast"/>
        </w:trPr>
        <w:tc>
          <w:tcPr>
            <w:tcW w:w="24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sz w:val="24"/>
              </w:rPr>
            </w:pPr>
            <w:r>
              <w:rPr>
                <w:rFonts w:hint="eastAsia" w:ascii="宋体" w:hAnsi="宋体" w:cs="宋体"/>
                <w:kern w:val="0"/>
                <w:sz w:val="24"/>
                <w:lang w:bidi="ar"/>
              </w:rPr>
              <w:t>企业类型</w:t>
            </w:r>
          </w:p>
        </w:tc>
        <w:tc>
          <w:tcPr>
            <w:tcW w:w="6004" w:type="dxa"/>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suppressLineNumbers w:val="0"/>
              <w:spacing w:before="0" w:beforeAutospacing="0" w:after="0" w:afterAutospacing="0"/>
              <w:ind w:left="0" w:right="0"/>
              <w:jc w:val="center"/>
              <w:rPr>
                <w:rFonts w:hint="default" w:ascii="宋体" w:hAnsi="宋体" w:cs="宋体"/>
                <w:sz w:val="24"/>
              </w:rPr>
            </w:pPr>
          </w:p>
        </w:tc>
      </w:tr>
      <w:tr>
        <w:tblPrEx>
          <w:tblCellMar>
            <w:top w:w="0" w:type="dxa"/>
            <w:left w:w="108" w:type="dxa"/>
            <w:bottom w:w="0" w:type="dxa"/>
            <w:right w:w="108" w:type="dxa"/>
          </w:tblCellMar>
        </w:tblPrEx>
        <w:trPr>
          <w:trHeight w:val="495" w:hRule="atLeast"/>
        </w:trPr>
        <w:tc>
          <w:tcPr>
            <w:tcW w:w="24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sz w:val="24"/>
              </w:rPr>
            </w:pPr>
            <w:r>
              <w:rPr>
                <w:rFonts w:hint="eastAsia" w:ascii="宋体" w:hAnsi="宋体" w:cs="宋体"/>
                <w:kern w:val="0"/>
                <w:sz w:val="24"/>
                <w:lang w:bidi="ar"/>
              </w:rPr>
              <w:t>经营地址</w:t>
            </w:r>
          </w:p>
        </w:tc>
        <w:tc>
          <w:tcPr>
            <w:tcW w:w="6004" w:type="dxa"/>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suppressLineNumbers w:val="0"/>
              <w:spacing w:before="0" w:beforeAutospacing="0" w:after="0" w:afterAutospacing="0"/>
              <w:ind w:left="0" w:right="0"/>
              <w:jc w:val="center"/>
              <w:rPr>
                <w:rFonts w:hint="default" w:ascii="宋体" w:hAnsi="宋体" w:cs="宋体"/>
                <w:sz w:val="24"/>
              </w:rPr>
            </w:pPr>
          </w:p>
        </w:tc>
      </w:tr>
      <w:tr>
        <w:tblPrEx>
          <w:tblCellMar>
            <w:top w:w="0" w:type="dxa"/>
            <w:left w:w="108" w:type="dxa"/>
            <w:bottom w:w="0" w:type="dxa"/>
            <w:right w:w="108" w:type="dxa"/>
          </w:tblCellMar>
        </w:tblPrEx>
        <w:trPr>
          <w:trHeight w:val="2400" w:hRule="atLeast"/>
        </w:trPr>
        <w:tc>
          <w:tcPr>
            <w:tcW w:w="8426"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Style w:val="6"/>
                <w:rFonts w:hint="default"/>
                <w:color w:val="auto"/>
                <w:lang w:bidi="ar"/>
              </w:rPr>
            </w:pPr>
            <w:r>
              <w:rPr>
                <w:rStyle w:val="6"/>
                <w:rFonts w:hint="default"/>
                <w:color w:val="auto"/>
                <w:lang w:bidi="ar"/>
              </w:rPr>
              <w:t>申请人承诺：</w:t>
            </w:r>
          </w:p>
          <w:p>
            <w:pPr>
              <w:keepNext w:val="0"/>
              <w:keepLines w:val="0"/>
              <w:widowControl/>
              <w:suppressLineNumbers w:val="0"/>
              <w:spacing w:before="0" w:beforeAutospacing="0" w:after="0" w:afterAutospacing="0"/>
              <w:ind w:left="0" w:right="0" w:firstLine="480" w:firstLineChars="200"/>
              <w:jc w:val="left"/>
              <w:textAlignment w:val="center"/>
              <w:rPr>
                <w:rStyle w:val="6"/>
                <w:rFonts w:hint="default"/>
                <w:b w:val="0"/>
                <w:bCs w:val="0"/>
                <w:color w:val="auto"/>
                <w:lang w:bidi="ar"/>
              </w:rPr>
            </w:pPr>
            <w:r>
              <w:rPr>
                <w:rStyle w:val="6"/>
                <w:rFonts w:hint="default"/>
                <w:b w:val="0"/>
                <w:bCs w:val="0"/>
                <w:color w:val="auto"/>
                <w:lang w:bidi="ar"/>
              </w:rPr>
              <w:t>1.以上信息经申请人核对，确认无误。申请人所提交的信息以及文件、证件、有关材料全部真实有效，复印件与原件一致。如申请人在申请过程中存在弄虚作假、欺骗等行为的，申请人愿意承担由此引起的一切法律责任；</w:t>
            </w:r>
          </w:p>
          <w:p>
            <w:pPr>
              <w:keepNext w:val="0"/>
              <w:keepLines w:val="0"/>
              <w:widowControl/>
              <w:suppressLineNumbers w:val="0"/>
              <w:spacing w:before="0" w:beforeAutospacing="0" w:after="0" w:afterAutospacing="0"/>
              <w:ind w:left="0" w:right="0" w:firstLine="480" w:firstLineChars="200"/>
              <w:jc w:val="left"/>
              <w:textAlignment w:val="center"/>
              <w:rPr>
                <w:rStyle w:val="6"/>
                <w:rFonts w:hint="default"/>
                <w:b w:val="0"/>
                <w:bCs w:val="0"/>
                <w:color w:val="auto"/>
                <w:lang w:bidi="ar"/>
              </w:rPr>
            </w:pPr>
            <w:r>
              <w:rPr>
                <w:rStyle w:val="6"/>
                <w:rFonts w:hint="default"/>
                <w:b w:val="0"/>
                <w:bCs w:val="0"/>
                <w:color w:val="auto"/>
                <w:lang w:bidi="ar"/>
              </w:rPr>
              <w:t>2.申请人所提交的信息确保与到号办理时提交的办证信息一致，若不一致的，</w:t>
            </w:r>
            <w:r>
              <w:rPr>
                <w:rStyle w:val="6"/>
                <w:rFonts w:hint="eastAsia" w:eastAsia="宋体"/>
                <w:b w:val="0"/>
                <w:bCs w:val="0"/>
                <w:color w:val="auto"/>
                <w:lang w:val="en-US" w:eastAsia="zh-CN" w:bidi="ar"/>
              </w:rPr>
              <w:t>取消集中摇号结果</w:t>
            </w:r>
            <w:r>
              <w:rPr>
                <w:rStyle w:val="6"/>
                <w:rFonts w:hint="default"/>
                <w:b w:val="0"/>
                <w:bCs w:val="0"/>
                <w:color w:val="auto"/>
                <w:lang w:bidi="ar"/>
              </w:rPr>
              <w:t>；</w:t>
            </w:r>
          </w:p>
          <w:p>
            <w:pPr>
              <w:keepNext w:val="0"/>
              <w:keepLines w:val="0"/>
              <w:widowControl/>
              <w:suppressLineNumbers w:val="0"/>
              <w:spacing w:before="0" w:beforeAutospacing="0" w:after="0" w:afterAutospacing="0"/>
              <w:ind w:left="0" w:right="0" w:firstLine="480" w:firstLineChars="200"/>
              <w:jc w:val="left"/>
              <w:textAlignment w:val="center"/>
              <w:rPr>
                <w:rStyle w:val="6"/>
                <w:rFonts w:hint="default"/>
                <w:b w:val="0"/>
                <w:bCs w:val="0"/>
                <w:color w:val="auto"/>
                <w:lang w:bidi="ar"/>
              </w:rPr>
            </w:pPr>
            <w:r>
              <w:rPr>
                <w:rStyle w:val="6"/>
                <w:rFonts w:hint="default"/>
                <w:b w:val="0"/>
                <w:bCs w:val="0"/>
                <w:color w:val="auto"/>
                <w:lang w:bidi="ar"/>
              </w:rPr>
              <w:t>3.申请人应当在</w:t>
            </w:r>
            <w:r>
              <w:rPr>
                <w:rStyle w:val="6"/>
                <w:rFonts w:hint="eastAsia" w:eastAsia="宋体"/>
                <w:b w:val="0"/>
                <w:bCs w:val="0"/>
                <w:color w:val="auto"/>
                <w:lang w:val="en-US" w:eastAsia="zh-CN" w:bidi="ar"/>
              </w:rPr>
              <w:t>接到预审核通过</w:t>
            </w:r>
            <w:r>
              <w:rPr>
                <w:rStyle w:val="6"/>
                <w:rFonts w:hint="default"/>
                <w:b w:val="0"/>
                <w:bCs w:val="0"/>
                <w:color w:val="auto"/>
                <w:lang w:bidi="ar"/>
              </w:rPr>
              <w:t>通知之日起三日内提交办证申请材料，逾期未提交的，视同申请人自愿放弃</w:t>
            </w:r>
            <w:r>
              <w:rPr>
                <w:rStyle w:val="6"/>
                <w:rFonts w:hint="eastAsia" w:eastAsia="宋体"/>
                <w:b w:val="0"/>
                <w:bCs w:val="0"/>
                <w:color w:val="auto"/>
                <w:lang w:val="en-US" w:eastAsia="zh-CN" w:bidi="ar"/>
              </w:rPr>
              <w:t>本次集中摇号</w:t>
            </w:r>
            <w:r>
              <w:rPr>
                <w:rStyle w:val="6"/>
                <w:rFonts w:hint="default"/>
                <w:b w:val="0"/>
                <w:bCs w:val="0"/>
                <w:color w:val="auto"/>
                <w:lang w:bidi="ar"/>
              </w:rPr>
              <w:t>；因申请人填报地址、联系方式等不正确，导致发证机关在三个工作日内无法与申请人取得联系的，视同申请人自愿放弃本次</w:t>
            </w:r>
            <w:r>
              <w:rPr>
                <w:rStyle w:val="6"/>
                <w:rFonts w:hint="eastAsia" w:eastAsia="宋体"/>
                <w:b w:val="0"/>
                <w:bCs w:val="0"/>
                <w:color w:val="auto"/>
                <w:lang w:val="en-US" w:eastAsia="zh-CN" w:bidi="ar"/>
              </w:rPr>
              <w:t>集中摇号</w:t>
            </w:r>
            <w:r>
              <w:rPr>
                <w:rStyle w:val="6"/>
                <w:rFonts w:hint="default"/>
                <w:b w:val="0"/>
                <w:bCs w:val="0"/>
                <w:color w:val="auto"/>
                <w:lang w:bidi="ar"/>
              </w:rPr>
              <w:t>。</w:t>
            </w:r>
          </w:p>
          <w:p>
            <w:pPr>
              <w:keepNext w:val="0"/>
              <w:keepLines w:val="0"/>
              <w:widowControl/>
              <w:suppressLineNumbers w:val="0"/>
              <w:spacing w:before="0" w:beforeAutospacing="0" w:after="0" w:afterAutospacing="0"/>
              <w:ind w:left="0" w:right="0" w:firstLine="482" w:firstLineChars="200"/>
              <w:jc w:val="left"/>
              <w:textAlignment w:val="center"/>
              <w:rPr>
                <w:rFonts w:hint="default" w:ascii="宋体" w:hAnsi="宋体" w:cs="宋体"/>
                <w:b/>
                <w:bCs/>
                <w:sz w:val="24"/>
              </w:rPr>
            </w:pPr>
            <w:r>
              <w:rPr>
                <w:rStyle w:val="6"/>
                <w:rFonts w:hint="default"/>
                <w:color w:val="auto"/>
                <w:lang w:bidi="ar"/>
              </w:rPr>
              <w:t>申请人或代理人（签名或印章）：</w:t>
            </w:r>
            <w:r>
              <w:rPr>
                <w:rStyle w:val="7"/>
                <w:rFonts w:hint="default"/>
                <w:color w:val="auto"/>
                <w:lang w:bidi="ar"/>
              </w:rPr>
              <w:t xml:space="preserve">        </w:t>
            </w:r>
            <w:r>
              <w:rPr>
                <w:rStyle w:val="6"/>
                <w:rFonts w:hint="default"/>
                <w:color w:val="auto"/>
                <w:lang w:bidi="ar"/>
              </w:rPr>
              <w:t xml:space="preserve">                                                                         </w:t>
            </w:r>
          </w:p>
        </w:tc>
      </w:tr>
      <w:tr>
        <w:tblPrEx>
          <w:tblCellMar>
            <w:top w:w="0" w:type="dxa"/>
            <w:left w:w="108" w:type="dxa"/>
            <w:bottom w:w="0" w:type="dxa"/>
            <w:right w:w="108" w:type="dxa"/>
          </w:tblCellMar>
        </w:tblPrEx>
        <w:trPr>
          <w:trHeight w:val="1166" w:hRule="atLeast"/>
        </w:trPr>
        <w:tc>
          <w:tcPr>
            <w:tcW w:w="24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b/>
                <w:bCs/>
                <w:sz w:val="24"/>
              </w:rPr>
            </w:pPr>
            <w:r>
              <w:rPr>
                <w:rFonts w:hint="eastAsia" w:ascii="宋体" w:hAnsi="宋体" w:cs="宋体"/>
                <w:b/>
                <w:bCs/>
                <w:kern w:val="0"/>
                <w:sz w:val="24"/>
                <w:lang w:val="en-US" w:eastAsia="zh-CN" w:bidi="ar"/>
              </w:rPr>
              <w:t>集中摇号结果</w:t>
            </w:r>
            <w:r>
              <w:rPr>
                <w:rFonts w:hint="eastAsia" w:ascii="宋体" w:hAnsi="宋体" w:cs="宋体"/>
                <w:b/>
                <w:bCs/>
                <w:kern w:val="0"/>
                <w:sz w:val="24"/>
                <w:lang w:bidi="ar"/>
              </w:rPr>
              <w:t>顺序号</w:t>
            </w:r>
          </w:p>
        </w:tc>
        <w:tc>
          <w:tcPr>
            <w:tcW w:w="6004"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sz w:val="24"/>
              </w:rPr>
            </w:pP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0" distR="0" simplePos="0" relativeHeight="251659264" behindDoc="0" locked="0" layoutInCell="1" allowOverlap="1">
              <wp:simplePos x="0" y="0"/>
              <wp:positionH relativeFrom="margin">
                <wp:align>outside</wp:align>
              </wp:positionH>
              <wp:positionV relativeFrom="paragraph">
                <wp:posOffset>0</wp:posOffset>
              </wp:positionV>
              <wp:extent cx="445135" cy="230505"/>
              <wp:effectExtent l="0" t="0" r="0" b="0"/>
              <wp:wrapNone/>
              <wp:docPr id="22" name="矩形 22"/>
              <wp:cNvGraphicFramePr/>
              <a:graphic xmlns:a="http://schemas.openxmlformats.org/drawingml/2006/main">
                <a:graphicData uri="http://schemas.microsoft.com/office/word/2010/wordprocessingShape">
                  <wps:wsp>
                    <wps:cNvSpPr/>
                    <wps:spPr>
                      <a:xfrm>
                        <a:off x="0" y="0"/>
                        <a:ext cx="445135" cy="230505"/>
                      </a:xfrm>
                      <a:prstGeom prst="rect">
                        <a:avLst/>
                      </a:prstGeom>
                      <a:ln>
                        <a:noFill/>
                      </a:ln>
                    </wps:spPr>
                    <wps:txbx>
                      <w:txbxContent>
                        <w:p>
                          <w:pPr>
                            <w:pStyle w:val="2"/>
                          </w:pP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ascii="仿宋_GB2312" w:hAnsi="仿宋_GB2312" w:eastAsia="仿宋_GB2312" w:cs="仿宋_GB2312"/>
                              <w:sz w:val="28"/>
                              <w:szCs w:val="28"/>
                            </w:rPr>
                            <w:t>- 8 -</w:t>
                          </w:r>
                          <w:r>
                            <w:rPr>
                              <w:rFonts w:hint="eastAsia" w:ascii="仿宋_GB2312" w:hAnsi="仿宋_GB2312" w:eastAsia="仿宋_GB2312" w:cs="仿宋_GB2312"/>
                              <w:sz w:val="28"/>
                              <w:szCs w:val="28"/>
                            </w:rPr>
                            <w:fldChar w:fldCharType="end"/>
                          </w:r>
                        </w:p>
                      </w:txbxContent>
                    </wps:txbx>
                    <wps:bodyPr vert="horz" wrap="none" lIns="0" tIns="0" rIns="0" bIns="0" anchor="t">
                      <a:spAutoFit/>
                    </wps:bodyPr>
                  </wps:wsp>
                </a:graphicData>
              </a:graphic>
            </wp:anchor>
          </w:drawing>
        </mc:Choice>
        <mc:Fallback>
          <w:pict>
            <v:rect id="_x0000_s1026" o:spid="_x0000_s1026" o:spt="1" style="position:absolute;left:0pt;margin-top:0pt;height:18.15pt;width:35.05pt;mso-position-horizontal:outside;mso-position-horizontal-relative:margin;mso-wrap-style:none;z-index:251659264;mso-width-relative:page;mso-height-relative:page;" filled="f" stroked="f" coordsize="21600,21600" o:gfxdata="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7JSNrNIAAAADAQAADwAAAAAAAAABACAAAAAiAAAAZHJzL2Rvd25yZXYu&#10;eG1sUEsBAhQAFAAAAAgAh07iQDsTWMfIAQAAjAMAAA4AAAAAAAAAAQAgAAAAIQEAAGRycy9lMm9E&#10;b2MueG1sUEsFBgAAAAAGAAYAWQEAAFsFAAAAAA==&#10;">
              <v:fill on="f" focussize="0,0"/>
              <v:stroke on="f"/>
              <v:imagedata o:title=""/>
              <o:lock v:ext="edit" aspectratio="f"/>
              <v:textbox inset="0mm,0mm,0mm,0mm" style="mso-fit-shape-to-text:t;">
                <w:txbxContent>
                  <w:p>
                    <w:pPr>
                      <w:pStyle w:val="2"/>
                    </w:pP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ascii="仿宋_GB2312" w:hAnsi="仿宋_GB2312" w:eastAsia="仿宋_GB2312" w:cs="仿宋_GB2312"/>
                        <w:sz w:val="28"/>
                        <w:szCs w:val="28"/>
                      </w:rPr>
                      <w:t>- 8 -</w:t>
                    </w:r>
                    <w:r>
                      <w:rPr>
                        <w:rFonts w:hint="eastAsia" w:ascii="仿宋_GB2312" w:hAnsi="仿宋_GB2312" w:eastAsia="仿宋_GB2312" w:cs="仿宋_GB2312"/>
                        <w:sz w:val="28"/>
                        <w:szCs w:val="28"/>
                      </w:rPr>
                      <w:fldChar w:fldCharType="end"/>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ljYzUzMWQ4OWI0YzBkYjYzMDRhZTY5ZjZkYmFmYTgifQ=="/>
  </w:docVars>
  <w:rsids>
    <w:rsidRoot w:val="00000000"/>
    <w:rsid w:val="04521E8D"/>
    <w:rsid w:val="33464401"/>
    <w:rsid w:val="6B0B20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customStyle="1" w:styleId="5">
    <w:name w:val="Default"/>
    <w:qFormat/>
    <w:uiPriority w:val="0"/>
    <w:pPr>
      <w:widowControl w:val="0"/>
      <w:autoSpaceDE w:val="0"/>
      <w:autoSpaceDN w:val="0"/>
      <w:adjustRightInd w:val="0"/>
    </w:pPr>
    <w:rPr>
      <w:rFonts w:ascii="宋体" w:hAnsi="Times New Roman" w:eastAsia="Times New Roman" w:cs="宋体"/>
      <w:color w:val="000000"/>
      <w:kern w:val="0"/>
      <w:sz w:val="24"/>
      <w:szCs w:val="24"/>
      <w:lang w:val="en-US" w:eastAsia="zh-CN" w:bidi="ar-SA"/>
    </w:rPr>
  </w:style>
  <w:style w:type="character" w:customStyle="1" w:styleId="6">
    <w:name w:val="font11"/>
    <w:basedOn w:val="4"/>
    <w:qFormat/>
    <w:uiPriority w:val="0"/>
    <w:rPr>
      <w:rFonts w:hint="eastAsia" w:ascii="宋体" w:hAnsi="宋体" w:eastAsia="宋体" w:cs="宋体"/>
      <w:b/>
      <w:bCs/>
      <w:color w:val="000000"/>
      <w:sz w:val="24"/>
      <w:szCs w:val="24"/>
      <w:u w:val="none"/>
    </w:rPr>
  </w:style>
  <w:style w:type="character" w:customStyle="1" w:styleId="7">
    <w:name w:val="font21"/>
    <w:basedOn w:val="4"/>
    <w:qFormat/>
    <w:uiPriority w:val="0"/>
    <w:rPr>
      <w:rFonts w:hint="eastAsia" w:ascii="宋体" w:hAnsi="宋体" w:eastAsia="宋体" w:cs="宋体"/>
      <w:b/>
      <w:bCs/>
      <w:color w:val="000000"/>
      <w:sz w:val="24"/>
      <w:szCs w:val="24"/>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2024-07-15T15:55:00Z</dcterms:created>
  <dc:creator>92122</dc:creator>
  <cp:lastModifiedBy>Isadora</cp:lastModifiedBy>
  <dcterms:modified xsi:type="dcterms:W3CDTF">2024-07-16T05:58:27Z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D3389EBB9C53494F96FBC8DB4E17E1CA_12</vt:lpwstr>
  </property>
</Properties>
</file>