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317B04">
      <w:pPr>
        <w:snapToGrid w:val="0"/>
        <w:spacing w:line="317" w:lineRule="auto"/>
        <w:jc w:val="center"/>
        <w:rPr>
          <w:rFonts w:eastAsia="Arial Unicode MS"/>
          <w:sz w:val="40"/>
          <w:szCs w:val="40"/>
        </w:rPr>
      </w:pPr>
      <w:r>
        <w:rPr>
          <w:rFonts w:hint="eastAsia" w:eastAsia="Arial Unicode MS"/>
          <w:sz w:val="40"/>
          <w:szCs w:val="40"/>
          <w:lang w:val="en-US" w:eastAsia="zh-CN"/>
        </w:rPr>
        <w:t>云南省晋宁区</w:t>
      </w:r>
      <w:r>
        <w:rPr>
          <w:rFonts w:eastAsia="Arial Unicode MS"/>
          <w:sz w:val="40"/>
          <w:szCs w:val="40"/>
        </w:rPr>
        <w:t>烟草制品零售点合理布局规划</w:t>
      </w:r>
    </w:p>
    <w:p w14:paraId="6F461F6C">
      <w:pPr>
        <w:snapToGrid w:val="0"/>
        <w:spacing w:line="317" w:lineRule="auto"/>
        <w:jc w:val="center"/>
        <w:rPr>
          <w:rFonts w:hint="eastAsia" w:eastAsia="Arial Unicode MS"/>
          <w:sz w:val="40"/>
          <w:szCs w:val="40"/>
          <w:lang w:eastAsia="zh-CN"/>
        </w:rPr>
      </w:pPr>
      <w:r>
        <w:rPr>
          <w:rFonts w:hint="eastAsia" w:eastAsia="Arial Unicode MS"/>
          <w:sz w:val="40"/>
          <w:szCs w:val="40"/>
          <w:lang w:eastAsia="zh-CN"/>
        </w:rPr>
        <w:t>（</w:t>
      </w:r>
      <w:r>
        <w:rPr>
          <w:rFonts w:hint="eastAsia" w:eastAsia="Arial Unicode MS"/>
          <w:sz w:val="40"/>
          <w:szCs w:val="40"/>
          <w:lang w:val="en-US" w:eastAsia="zh-CN"/>
        </w:rPr>
        <w:t>征求意见稿</w:t>
      </w:r>
      <w:r>
        <w:rPr>
          <w:rFonts w:hint="eastAsia" w:eastAsia="Arial Unicode MS"/>
          <w:sz w:val="40"/>
          <w:szCs w:val="40"/>
          <w:lang w:eastAsia="zh-CN"/>
        </w:rPr>
        <w:t>）</w:t>
      </w:r>
    </w:p>
    <w:p w14:paraId="34325DE3">
      <w:pPr>
        <w:pStyle w:val="9"/>
        <w:numPr>
          <w:ilvl w:val="0"/>
          <w:numId w:val="1"/>
        </w:numPr>
        <w:snapToGrid w:val="0"/>
        <w:spacing w:before="312" w:beforeLines="100" w:after="312" w:afterLines="100" w:line="360" w:lineRule="auto"/>
        <w:ind w:firstLine="640" w:firstLineChars="200"/>
        <w:textAlignment w:val="baseline"/>
        <w:rPr>
          <w:rFonts w:ascii="Times New Roman" w:hAnsi="Times New Roman" w:eastAsia="黑体"/>
          <w:sz w:val="32"/>
          <w:szCs w:val="32"/>
        </w:rPr>
      </w:pPr>
      <w:bookmarkStart w:id="0" w:name="_GoBack"/>
      <w:bookmarkEnd w:id="0"/>
      <w:r>
        <w:rPr>
          <w:rFonts w:ascii="Times New Roman" w:hAnsi="Times New Roman" w:eastAsia="黑体"/>
          <w:sz w:val="32"/>
          <w:szCs w:val="32"/>
        </w:rPr>
        <w:t>总则</w:t>
      </w:r>
    </w:p>
    <w:p w14:paraId="399B2DBD">
      <w:pPr>
        <w:keepNext w:val="0"/>
        <w:keepLines w:val="0"/>
        <w:pageBreakBefore w:val="0"/>
        <w:widowControl w:val="0"/>
        <w:numPr>
          <w:ilvl w:val="2"/>
          <w:numId w:val="2"/>
        </w:numPr>
        <w:kinsoku/>
        <w:wordWrap/>
        <w:overflowPunct/>
        <w:topLinePunct w:val="0"/>
        <w:bidi w:val="0"/>
        <w:adjustRightInd w:val="0"/>
        <w:snapToGrid w:val="0"/>
        <w:spacing w:line="360" w:lineRule="auto"/>
        <w:ind w:firstLine="640" w:firstLineChars="200"/>
        <w:textAlignment w:val="baseline"/>
        <w:rPr>
          <w:rFonts w:eastAsia="仿宋_GB2312"/>
          <w:sz w:val="32"/>
          <w:szCs w:val="32"/>
        </w:rPr>
      </w:pPr>
      <w:r>
        <w:rPr>
          <w:rFonts w:eastAsia="仿宋_GB2312"/>
          <w:sz w:val="32"/>
          <w:szCs w:val="32"/>
        </w:rPr>
        <w:t>为深入推进</w:t>
      </w:r>
      <w:r>
        <w:rPr>
          <w:rFonts w:hint="eastAsia" w:ascii="仿宋_GB2312" w:eastAsia="仿宋_GB2312"/>
          <w:sz w:val="32"/>
          <w:szCs w:val="32"/>
        </w:rPr>
        <w:t>“放管服”</w:t>
      </w:r>
      <w:r>
        <w:rPr>
          <w:rFonts w:eastAsia="仿宋_GB2312"/>
          <w:sz w:val="32"/>
          <w:szCs w:val="32"/>
        </w:rPr>
        <w:t>改革，依法依规、科学合理制定烟草制品零售点合理布局规划，提升烟草专卖行政许可的公开性、公平性和公正性，依据《中华人民共和国行政许可法》</w:t>
      </w:r>
      <w:r>
        <w:rPr>
          <w:rFonts w:eastAsia="仿宋_GB2312"/>
          <w:bCs/>
          <w:sz w:val="32"/>
          <w:szCs w:val="32"/>
        </w:rPr>
        <w:t>《中华人民共和国未成年人保护法》《中华人民共和国烟草专卖法》</w:t>
      </w:r>
      <w:r>
        <w:rPr>
          <w:rFonts w:eastAsia="仿宋_GB2312"/>
          <w:sz w:val="32"/>
          <w:szCs w:val="32"/>
        </w:rPr>
        <w:t>《中华人民共和国烟草专卖法实施条例》《烟草专卖许可证管理办法》《烟草专卖许可证管理办法实施细则》等法律</w:t>
      </w:r>
      <w:r>
        <w:rPr>
          <w:rFonts w:hint="eastAsia" w:eastAsia="仿宋_GB2312"/>
          <w:sz w:val="32"/>
          <w:szCs w:val="32"/>
        </w:rPr>
        <w:t>、</w:t>
      </w:r>
      <w:r>
        <w:rPr>
          <w:rFonts w:eastAsia="仿宋_GB2312"/>
          <w:sz w:val="32"/>
          <w:szCs w:val="32"/>
        </w:rPr>
        <w:t>法规</w:t>
      </w:r>
      <w:r>
        <w:rPr>
          <w:rFonts w:hint="eastAsia" w:eastAsia="仿宋_GB2312"/>
          <w:sz w:val="32"/>
          <w:szCs w:val="32"/>
        </w:rPr>
        <w:t>、</w:t>
      </w:r>
      <w:r>
        <w:rPr>
          <w:rFonts w:eastAsia="仿宋_GB2312"/>
          <w:sz w:val="32"/>
          <w:szCs w:val="32"/>
        </w:rPr>
        <w:t>规章</w:t>
      </w:r>
      <w:r>
        <w:rPr>
          <w:rFonts w:hint="eastAsia" w:eastAsia="仿宋_GB2312"/>
          <w:sz w:val="32"/>
          <w:szCs w:val="32"/>
        </w:rPr>
        <w:t>和国家烟草专卖局</w:t>
      </w:r>
      <w:r>
        <w:rPr>
          <w:rFonts w:eastAsia="仿宋_GB2312"/>
          <w:sz w:val="32"/>
          <w:szCs w:val="32"/>
        </w:rPr>
        <w:t>的</w:t>
      </w:r>
      <w:r>
        <w:rPr>
          <w:rFonts w:hint="eastAsia" w:eastAsia="仿宋_GB2312"/>
          <w:sz w:val="32"/>
          <w:szCs w:val="32"/>
        </w:rPr>
        <w:t>有关</w:t>
      </w:r>
      <w:r>
        <w:rPr>
          <w:rFonts w:eastAsia="仿宋_GB2312"/>
          <w:sz w:val="32"/>
          <w:szCs w:val="32"/>
        </w:rPr>
        <w:t>规定，结合</w:t>
      </w:r>
      <w:r>
        <w:rPr>
          <w:rFonts w:hint="eastAsia" w:eastAsia="仿宋_GB2312"/>
          <w:sz w:val="32"/>
          <w:szCs w:val="32"/>
          <w:lang w:val="en-US" w:eastAsia="zh-CN"/>
        </w:rPr>
        <w:t>晋宁</w:t>
      </w:r>
      <w:r>
        <w:rPr>
          <w:rFonts w:eastAsia="仿宋_GB2312"/>
          <w:sz w:val="32"/>
          <w:szCs w:val="32"/>
        </w:rPr>
        <w:t>区实际，制定本规划。</w:t>
      </w:r>
    </w:p>
    <w:p w14:paraId="575A3EC2">
      <w:pPr>
        <w:keepNext w:val="0"/>
        <w:keepLines w:val="0"/>
        <w:pageBreakBefore w:val="0"/>
        <w:widowControl w:val="0"/>
        <w:numPr>
          <w:ilvl w:val="2"/>
          <w:numId w:val="2"/>
        </w:numPr>
        <w:kinsoku/>
        <w:wordWrap/>
        <w:overflowPunct/>
        <w:topLinePunct w:val="0"/>
        <w:bidi w:val="0"/>
        <w:adjustRightInd w:val="0"/>
        <w:snapToGrid w:val="0"/>
        <w:spacing w:line="360" w:lineRule="auto"/>
        <w:ind w:firstLine="640" w:firstLineChars="200"/>
        <w:textAlignment w:val="baseline"/>
        <w:rPr>
          <w:rFonts w:eastAsia="仿宋_GB2312"/>
          <w:sz w:val="32"/>
          <w:szCs w:val="32"/>
        </w:rPr>
      </w:pPr>
      <w:r>
        <w:rPr>
          <w:rFonts w:eastAsia="仿宋_GB2312"/>
          <w:sz w:val="32"/>
          <w:szCs w:val="32"/>
        </w:rPr>
        <w:t>本规划适用于</w:t>
      </w:r>
      <w:r>
        <w:rPr>
          <w:rFonts w:hint="eastAsia" w:eastAsia="仿宋_GB2312"/>
          <w:sz w:val="32"/>
          <w:szCs w:val="32"/>
          <w:lang w:val="en-US" w:eastAsia="zh-CN"/>
        </w:rPr>
        <w:t>云南省晋宁区</w:t>
      </w:r>
      <w:r>
        <w:rPr>
          <w:rFonts w:eastAsia="仿宋_GB2312"/>
          <w:sz w:val="32"/>
          <w:szCs w:val="32"/>
        </w:rPr>
        <w:t>行政辖区范围内烟草制品零售点的布局管理。电子烟零售点布局按照《云南省电子烟零售点布局规划》执行。</w:t>
      </w:r>
    </w:p>
    <w:p w14:paraId="0DB45C91">
      <w:pPr>
        <w:keepNext w:val="0"/>
        <w:keepLines w:val="0"/>
        <w:pageBreakBefore w:val="0"/>
        <w:widowControl w:val="0"/>
        <w:numPr>
          <w:ilvl w:val="2"/>
          <w:numId w:val="2"/>
        </w:numPr>
        <w:kinsoku/>
        <w:wordWrap/>
        <w:overflowPunct/>
        <w:topLinePunct w:val="0"/>
        <w:bidi w:val="0"/>
        <w:adjustRightInd w:val="0"/>
        <w:snapToGrid w:val="0"/>
        <w:spacing w:line="360" w:lineRule="auto"/>
        <w:ind w:firstLine="640" w:firstLineChars="200"/>
        <w:textAlignment w:val="baseline"/>
        <w:rPr>
          <w:rFonts w:eastAsia="仿宋_GB2312"/>
          <w:sz w:val="32"/>
          <w:szCs w:val="32"/>
        </w:rPr>
      </w:pPr>
      <w:r>
        <w:rPr>
          <w:rFonts w:hint="eastAsia" w:eastAsia="仿宋_GB2312"/>
          <w:sz w:val="32"/>
          <w:szCs w:val="32"/>
        </w:rPr>
        <w:t>本规划所称烟草制品为卷烟、雪茄烟</w:t>
      </w:r>
      <w:r>
        <w:rPr>
          <w:rFonts w:hint="eastAsia" w:eastAsia="仿宋_GB2312"/>
          <w:sz w:val="32"/>
          <w:szCs w:val="32"/>
          <w:lang w:eastAsia="zh-CN"/>
        </w:rPr>
        <w:t>、</w:t>
      </w:r>
      <w:r>
        <w:rPr>
          <w:rFonts w:hint="eastAsia" w:ascii="仿宋_GB2312" w:eastAsia="仿宋_GB2312"/>
          <w:sz w:val="32"/>
          <w:szCs w:val="32"/>
          <w:highlight w:val="none"/>
          <w:lang w:val="en-US" w:eastAsia="zh-CN"/>
        </w:rPr>
        <w:t>消费类烟丝</w:t>
      </w:r>
      <w:r>
        <w:rPr>
          <w:rFonts w:hint="eastAsia" w:eastAsia="仿宋_GB2312"/>
          <w:sz w:val="32"/>
          <w:szCs w:val="32"/>
        </w:rPr>
        <w:t>，不包含其他烟草制品（含电子烟）。</w:t>
      </w:r>
    </w:p>
    <w:p w14:paraId="204278E7">
      <w:pPr>
        <w:keepNext w:val="0"/>
        <w:keepLines w:val="0"/>
        <w:pageBreakBefore w:val="0"/>
        <w:widowControl w:val="0"/>
        <w:numPr>
          <w:ilvl w:val="2"/>
          <w:numId w:val="2"/>
        </w:numPr>
        <w:kinsoku/>
        <w:wordWrap/>
        <w:overflowPunct/>
        <w:topLinePunct w:val="0"/>
        <w:bidi w:val="0"/>
        <w:adjustRightInd w:val="0"/>
        <w:snapToGrid w:val="0"/>
        <w:spacing w:line="360" w:lineRule="auto"/>
        <w:ind w:firstLine="640" w:firstLineChars="200"/>
        <w:jc w:val="left"/>
        <w:textAlignment w:val="baseline"/>
        <w:rPr>
          <w:rFonts w:eastAsia="仿宋_GB2312"/>
          <w:sz w:val="32"/>
          <w:szCs w:val="32"/>
        </w:rPr>
      </w:pPr>
      <w:r>
        <w:rPr>
          <w:rFonts w:eastAsia="仿宋_GB2312"/>
          <w:sz w:val="32"/>
          <w:szCs w:val="32"/>
        </w:rPr>
        <w:t>本规划所称烟草制品零售点（以下简称零售点）是指依法取得</w:t>
      </w:r>
      <w:r>
        <w:rPr>
          <w:rFonts w:eastAsia="仿宋_GB2312"/>
          <w:sz w:val="32"/>
          <w:szCs w:val="32"/>
          <w:lang w:bidi="ar"/>
        </w:rPr>
        <w:t>烟草专卖零售许可证（</w:t>
      </w:r>
      <w:r>
        <w:rPr>
          <w:rFonts w:eastAsia="仿宋_GB2312"/>
          <w:sz w:val="32"/>
          <w:szCs w:val="32"/>
        </w:rPr>
        <w:t>以下简称零售许可证</w:t>
      </w:r>
      <w:r>
        <w:rPr>
          <w:rFonts w:eastAsia="仿宋_GB2312"/>
          <w:sz w:val="32"/>
          <w:szCs w:val="32"/>
          <w:lang w:bidi="ar"/>
        </w:rPr>
        <w:t>）的公民、法人和其他组织从事烟草制品零售业务的经营场所。</w:t>
      </w:r>
      <w:r>
        <w:rPr>
          <w:rFonts w:hint="eastAsia" w:eastAsia="仿宋_GB2312"/>
          <w:sz w:val="32"/>
          <w:szCs w:val="32"/>
          <w:lang w:bidi="ar"/>
        </w:rPr>
        <w:t xml:space="preserve"> </w:t>
      </w:r>
    </w:p>
    <w:p w14:paraId="7BA300F7">
      <w:pPr>
        <w:keepNext w:val="0"/>
        <w:keepLines w:val="0"/>
        <w:pageBreakBefore w:val="0"/>
        <w:widowControl w:val="0"/>
        <w:kinsoku/>
        <w:wordWrap/>
        <w:overflowPunct/>
        <w:topLinePunct w:val="0"/>
        <w:bidi w:val="0"/>
        <w:adjustRightInd w:val="0"/>
        <w:snapToGrid w:val="0"/>
        <w:spacing w:line="360" w:lineRule="auto"/>
        <w:ind w:firstLine="640" w:firstLineChars="200"/>
        <w:rPr>
          <w:rFonts w:eastAsia="仿宋_GB2312"/>
          <w:bCs/>
          <w:sz w:val="32"/>
          <w:szCs w:val="32"/>
        </w:rPr>
      </w:pPr>
      <w:r>
        <w:rPr>
          <w:rFonts w:eastAsia="仿宋_GB2312"/>
          <w:bCs/>
          <w:sz w:val="32"/>
          <w:szCs w:val="32"/>
        </w:rPr>
        <w:t>零售点应当设置于与住所相独立的固定经营场所，经营场所与住所应当</w:t>
      </w:r>
      <w:r>
        <w:rPr>
          <w:rFonts w:eastAsia="仿宋_GB2312"/>
          <w:sz w:val="32"/>
          <w:szCs w:val="32"/>
        </w:rPr>
        <w:t>在空间上相互独立，在物理特性上应有实体墙相隔离或有明确的区域界线。经营场所</w:t>
      </w:r>
      <w:r>
        <w:rPr>
          <w:rFonts w:hint="eastAsia" w:eastAsia="仿宋_GB2312"/>
          <w:sz w:val="32"/>
          <w:szCs w:val="32"/>
        </w:rPr>
        <w:t>应有指向明确并唯一的门牌、地址或者方位表述，</w:t>
      </w:r>
      <w:r>
        <w:rPr>
          <w:rFonts w:hint="eastAsia" w:eastAsia="仿宋_GB2312"/>
          <w:bCs/>
          <w:sz w:val="32"/>
          <w:szCs w:val="32"/>
        </w:rPr>
        <w:t>且</w:t>
      </w:r>
      <w:r>
        <w:rPr>
          <w:rFonts w:eastAsia="仿宋_GB2312"/>
          <w:bCs/>
          <w:sz w:val="32"/>
          <w:szCs w:val="32"/>
        </w:rPr>
        <w:t>与营业执照登记注册的经营场所一致</w:t>
      </w:r>
      <w:r>
        <w:rPr>
          <w:rFonts w:hint="eastAsia" w:eastAsia="仿宋_GB2312"/>
          <w:bCs/>
          <w:sz w:val="32"/>
          <w:szCs w:val="32"/>
        </w:rPr>
        <w:t>，并</w:t>
      </w:r>
      <w:r>
        <w:rPr>
          <w:rFonts w:eastAsia="仿宋_GB2312"/>
          <w:bCs/>
          <w:sz w:val="32"/>
          <w:szCs w:val="32"/>
        </w:rPr>
        <w:t>面向公众经营。</w:t>
      </w:r>
    </w:p>
    <w:p w14:paraId="51D189B2">
      <w:pPr>
        <w:keepNext w:val="0"/>
        <w:keepLines w:val="0"/>
        <w:pageBreakBefore w:val="0"/>
        <w:widowControl w:val="0"/>
        <w:numPr>
          <w:ilvl w:val="2"/>
          <w:numId w:val="2"/>
        </w:numPr>
        <w:kinsoku/>
        <w:wordWrap/>
        <w:overflowPunct/>
        <w:topLinePunct w:val="0"/>
        <w:bidi w:val="0"/>
        <w:adjustRightInd w:val="0"/>
        <w:snapToGrid w:val="0"/>
        <w:spacing w:line="360" w:lineRule="auto"/>
        <w:ind w:firstLine="640" w:firstLineChars="200"/>
        <w:textAlignment w:val="baseline"/>
        <w:rPr>
          <w:rFonts w:eastAsia="仿宋_GB2312"/>
          <w:sz w:val="32"/>
          <w:szCs w:val="32"/>
        </w:rPr>
      </w:pPr>
      <w:r>
        <w:rPr>
          <w:rFonts w:eastAsia="仿宋_GB2312"/>
          <w:sz w:val="32"/>
          <w:szCs w:val="32"/>
        </w:rPr>
        <w:t>本规划遵循依法行政、科学规划、服务社会、均衡发展原则，综合辖区内人口数量、交通状况、经济发展水平、消费能力等因素，对零售点进行科学合理的规划布局。</w:t>
      </w:r>
    </w:p>
    <w:p w14:paraId="374E3FEC">
      <w:pPr>
        <w:keepNext w:val="0"/>
        <w:keepLines w:val="0"/>
        <w:pageBreakBefore w:val="0"/>
        <w:widowControl w:val="0"/>
        <w:numPr>
          <w:ilvl w:val="2"/>
          <w:numId w:val="2"/>
        </w:numPr>
        <w:kinsoku/>
        <w:wordWrap/>
        <w:overflowPunct/>
        <w:topLinePunct w:val="0"/>
        <w:bidi w:val="0"/>
        <w:adjustRightInd w:val="0"/>
        <w:snapToGrid w:val="0"/>
        <w:spacing w:line="360" w:lineRule="auto"/>
        <w:ind w:firstLine="640" w:firstLineChars="200"/>
        <w:textAlignment w:val="baseline"/>
        <w:rPr>
          <w:rFonts w:eastAsia="仿宋_GB2312"/>
          <w:sz w:val="32"/>
          <w:szCs w:val="32"/>
        </w:rPr>
      </w:pPr>
      <w:r>
        <w:rPr>
          <w:rFonts w:eastAsia="仿宋_GB2312"/>
          <w:sz w:val="32"/>
          <w:szCs w:val="32"/>
        </w:rPr>
        <w:t>零售点布局采用数量限制、距离限制、数量限制</w:t>
      </w:r>
      <w:r>
        <w:rPr>
          <w:rFonts w:eastAsia="仿宋_GB2312"/>
          <w:bCs/>
          <w:sz w:val="32"/>
          <w:szCs w:val="32"/>
        </w:rPr>
        <w:t>与距离</w:t>
      </w:r>
      <w:r>
        <w:rPr>
          <w:rFonts w:eastAsia="仿宋_GB2312"/>
          <w:sz w:val="32"/>
          <w:szCs w:val="32"/>
        </w:rPr>
        <w:t>限制</w:t>
      </w:r>
      <w:r>
        <w:rPr>
          <w:rFonts w:eastAsia="仿宋_GB2312"/>
          <w:bCs/>
          <w:sz w:val="32"/>
          <w:szCs w:val="32"/>
        </w:rPr>
        <w:t>相结合、</w:t>
      </w:r>
      <w:r>
        <w:rPr>
          <w:rFonts w:eastAsia="仿宋_GB2312"/>
          <w:sz w:val="32"/>
          <w:szCs w:val="32"/>
        </w:rPr>
        <w:t>不予设置烟草制品零售点等布局标准。</w:t>
      </w:r>
    </w:p>
    <w:p w14:paraId="38A8903A">
      <w:pPr>
        <w:keepNext w:val="0"/>
        <w:keepLines w:val="0"/>
        <w:pageBreakBefore w:val="0"/>
        <w:widowControl w:val="0"/>
        <w:numPr>
          <w:ilvl w:val="2"/>
          <w:numId w:val="2"/>
        </w:numPr>
        <w:kinsoku/>
        <w:wordWrap/>
        <w:overflowPunct/>
        <w:topLinePunct w:val="0"/>
        <w:bidi w:val="0"/>
        <w:adjustRightInd w:val="0"/>
        <w:snapToGrid w:val="0"/>
        <w:spacing w:line="360" w:lineRule="auto"/>
        <w:ind w:firstLine="640" w:firstLineChars="200"/>
        <w:textAlignment w:val="baseline"/>
        <w:rPr>
          <w:rFonts w:eastAsia="仿宋_GB2312"/>
          <w:sz w:val="32"/>
          <w:szCs w:val="32"/>
        </w:rPr>
      </w:pPr>
      <w:r>
        <w:rPr>
          <w:rFonts w:hint="eastAsia" w:eastAsia="仿宋_GB2312"/>
          <w:sz w:val="32"/>
          <w:szCs w:val="32"/>
        </w:rPr>
        <w:t>新发布烟草制品零售点合理布局规划前已取得的烟草专卖零售许可证，按照不溯及既往的原则，在其核准有效期内继续有效，但持证人经营场所应当在许可证有效期届满前，满足新规划所明确的中小学校、幼儿园周边距离条件，否则不予延续。</w:t>
      </w:r>
    </w:p>
    <w:p w14:paraId="36550ED4">
      <w:pPr>
        <w:pStyle w:val="9"/>
        <w:keepNext w:val="0"/>
        <w:keepLines w:val="0"/>
        <w:pageBreakBefore w:val="0"/>
        <w:widowControl w:val="0"/>
        <w:numPr>
          <w:ilvl w:val="0"/>
          <w:numId w:val="1"/>
        </w:numPr>
        <w:kinsoku/>
        <w:wordWrap/>
        <w:overflowPunct/>
        <w:topLinePunct w:val="0"/>
        <w:bidi w:val="0"/>
        <w:snapToGrid w:val="0"/>
        <w:spacing w:before="312" w:beforeLines="100" w:after="312" w:afterLines="100" w:line="360" w:lineRule="auto"/>
        <w:ind w:firstLine="640" w:firstLineChars="200"/>
        <w:textAlignment w:val="baseline"/>
        <w:rPr>
          <w:rFonts w:ascii="Times New Roman" w:hAnsi="Times New Roman" w:eastAsia="黑体"/>
          <w:sz w:val="32"/>
          <w:szCs w:val="32"/>
        </w:rPr>
      </w:pPr>
      <w:r>
        <w:rPr>
          <w:rFonts w:ascii="Times New Roman" w:hAnsi="Times New Roman" w:eastAsia="黑体"/>
          <w:sz w:val="32"/>
          <w:szCs w:val="32"/>
        </w:rPr>
        <w:t>零售点布局标准</w:t>
      </w:r>
    </w:p>
    <w:p w14:paraId="3B506D74">
      <w:pPr>
        <w:keepNext w:val="0"/>
        <w:keepLines w:val="0"/>
        <w:pageBreakBefore w:val="0"/>
        <w:widowControl w:val="0"/>
        <w:numPr>
          <w:ilvl w:val="2"/>
          <w:numId w:val="2"/>
        </w:numPr>
        <w:kinsoku/>
        <w:wordWrap/>
        <w:overflowPunct/>
        <w:topLinePunct w:val="0"/>
        <w:bidi w:val="0"/>
        <w:adjustRightInd w:val="0"/>
        <w:snapToGrid w:val="0"/>
        <w:spacing w:line="360" w:lineRule="auto"/>
        <w:ind w:firstLine="640" w:firstLineChars="200"/>
        <w:textAlignment w:val="baseline"/>
        <w:rPr>
          <w:rFonts w:eastAsia="仿宋_GB2312"/>
          <w:sz w:val="32"/>
          <w:szCs w:val="32"/>
        </w:rPr>
      </w:pPr>
      <w:r>
        <w:rPr>
          <w:rFonts w:eastAsia="仿宋_GB2312"/>
          <w:sz w:val="32"/>
          <w:szCs w:val="32"/>
        </w:rPr>
        <w:t>本规划根据地域面积、人口数量、交通状况、经济发展水平、居民消费能力、消费购买习惯等因素，合理确定区域零售点规划数，并划定最小单元网格。单元网格零售点规划数是指最小单元网格内可设置零售点的数量。总量规划数是指</w:t>
      </w:r>
      <w:r>
        <w:rPr>
          <w:rFonts w:hint="eastAsia" w:eastAsia="仿宋_GB2312"/>
          <w:sz w:val="32"/>
          <w:szCs w:val="32"/>
          <w:lang w:eastAsia="zh-CN"/>
        </w:rPr>
        <w:t>晋宁区</w:t>
      </w:r>
      <w:r>
        <w:rPr>
          <w:rFonts w:eastAsia="仿宋_GB2312"/>
          <w:sz w:val="32"/>
          <w:szCs w:val="32"/>
        </w:rPr>
        <w:t>辖区范围内所有单元网格零售点规划数之和。</w:t>
      </w:r>
    </w:p>
    <w:p w14:paraId="4E4493BE">
      <w:pPr>
        <w:keepNext w:val="0"/>
        <w:keepLines w:val="0"/>
        <w:pageBreakBefore w:val="0"/>
        <w:widowControl w:val="0"/>
        <w:kinsoku/>
        <w:wordWrap/>
        <w:overflowPunct/>
        <w:topLinePunct w:val="0"/>
        <w:bidi w:val="0"/>
        <w:adjustRightInd w:val="0"/>
        <w:snapToGrid w:val="0"/>
        <w:spacing w:line="360" w:lineRule="auto"/>
        <w:ind w:firstLine="640" w:firstLineChars="200"/>
        <w:textAlignment w:val="baseline"/>
        <w:rPr>
          <w:rFonts w:eastAsia="仿宋_GB2312"/>
          <w:sz w:val="32"/>
          <w:szCs w:val="32"/>
        </w:rPr>
      </w:pPr>
      <w:r>
        <w:rPr>
          <w:rFonts w:hint="eastAsia" w:eastAsia="仿宋_GB2312"/>
          <w:sz w:val="32"/>
          <w:szCs w:val="32"/>
        </w:rPr>
        <w:t>除本规划规定的特殊区域外，最小单元网格内零售点数量达到最小单元网格规划数时，该最小单元网格不予新设零售点。</w:t>
      </w:r>
    </w:p>
    <w:p w14:paraId="03780E81">
      <w:pPr>
        <w:keepNext w:val="0"/>
        <w:keepLines w:val="0"/>
        <w:pageBreakBefore w:val="0"/>
        <w:widowControl w:val="0"/>
        <w:numPr>
          <w:ilvl w:val="2"/>
          <w:numId w:val="2"/>
        </w:numPr>
        <w:kinsoku/>
        <w:wordWrap/>
        <w:overflowPunct/>
        <w:topLinePunct w:val="0"/>
        <w:bidi w:val="0"/>
        <w:adjustRightInd w:val="0"/>
        <w:snapToGrid w:val="0"/>
        <w:spacing w:line="360" w:lineRule="auto"/>
        <w:ind w:firstLine="680" w:firstLineChars="200"/>
        <w:jc w:val="left"/>
        <w:rPr>
          <w:rFonts w:eastAsia="仿宋_GB2312"/>
          <w:sz w:val="32"/>
          <w:szCs w:val="32"/>
        </w:rPr>
      </w:pPr>
      <w:r>
        <w:rPr>
          <w:rFonts w:eastAsia="仿宋_GB2312"/>
          <w:spacing w:val="10"/>
          <w:sz w:val="32"/>
          <w:szCs w:val="32"/>
        </w:rPr>
        <w:t>本规划根据零售市场状态、</w:t>
      </w:r>
      <w:r>
        <w:rPr>
          <w:rFonts w:eastAsia="仿宋_GB2312"/>
          <w:sz w:val="32"/>
          <w:szCs w:val="32"/>
        </w:rPr>
        <w:t>交通状况、人口热度、消费购买习惯等</w:t>
      </w:r>
      <w:r>
        <w:rPr>
          <w:rFonts w:eastAsia="仿宋_GB2312"/>
          <w:spacing w:val="10"/>
          <w:sz w:val="32"/>
          <w:szCs w:val="32"/>
        </w:rPr>
        <w:t>因素，合理确定零售点间距。零售点间距是指申请人拟从事烟草制品零售业务的经营场所与最近的烟草制品零售点之间的距离。测量的总体原则为两个零售点“门边到门边”可安全步行的最短距离。</w:t>
      </w:r>
      <w:r>
        <w:rPr>
          <w:rFonts w:eastAsia="仿宋_GB2312"/>
          <w:sz w:val="32"/>
          <w:szCs w:val="32"/>
        </w:rPr>
        <w:t>测量规则及标准</w:t>
      </w:r>
      <w:r>
        <w:rPr>
          <w:rFonts w:eastAsia="仿宋_GB2312"/>
          <w:spacing w:val="10"/>
          <w:sz w:val="32"/>
          <w:szCs w:val="32"/>
        </w:rPr>
        <w:t>详见《云南省</w:t>
      </w:r>
      <w:r>
        <w:rPr>
          <w:rFonts w:hint="eastAsia" w:eastAsia="仿宋_GB2312"/>
          <w:spacing w:val="10"/>
          <w:sz w:val="32"/>
          <w:szCs w:val="32"/>
          <w:lang w:eastAsia="zh-CN"/>
        </w:rPr>
        <w:t>晋宁区</w:t>
      </w:r>
      <w:r>
        <w:rPr>
          <w:rFonts w:eastAsia="仿宋_GB2312"/>
          <w:spacing w:val="10"/>
          <w:sz w:val="32"/>
          <w:szCs w:val="32"/>
        </w:rPr>
        <w:t>烟草制品零售点间距测量规则及标准》（附件</w:t>
      </w:r>
      <w:r>
        <w:rPr>
          <w:rFonts w:hint="eastAsia" w:eastAsia="仿宋_GB2312"/>
          <w:spacing w:val="10"/>
          <w:sz w:val="32"/>
          <w:szCs w:val="32"/>
        </w:rPr>
        <w:t>1</w:t>
      </w:r>
      <w:r>
        <w:rPr>
          <w:rFonts w:eastAsia="仿宋_GB2312"/>
          <w:spacing w:val="10"/>
          <w:sz w:val="32"/>
          <w:szCs w:val="32"/>
        </w:rPr>
        <w:t>）</w:t>
      </w:r>
      <w:r>
        <w:rPr>
          <w:rFonts w:hint="eastAsia" w:eastAsia="仿宋_GB2312"/>
          <w:spacing w:val="10"/>
          <w:sz w:val="32"/>
          <w:szCs w:val="32"/>
        </w:rPr>
        <w:t>。</w:t>
      </w:r>
    </w:p>
    <w:p w14:paraId="014D61A3">
      <w:pPr>
        <w:keepNext w:val="0"/>
        <w:keepLines w:val="0"/>
        <w:pageBreakBefore w:val="0"/>
        <w:widowControl w:val="0"/>
        <w:numPr>
          <w:ilvl w:val="2"/>
          <w:numId w:val="2"/>
        </w:numPr>
        <w:kinsoku/>
        <w:wordWrap/>
        <w:overflowPunct/>
        <w:topLinePunct w:val="0"/>
        <w:bidi w:val="0"/>
        <w:adjustRightInd w:val="0"/>
        <w:snapToGrid w:val="0"/>
        <w:spacing w:line="360" w:lineRule="auto"/>
        <w:ind w:firstLine="680" w:firstLineChars="200"/>
        <w:jc w:val="left"/>
        <w:textAlignment w:val="baseline"/>
        <w:rPr>
          <w:rFonts w:hint="eastAsia" w:ascii="Times New Roman" w:hAnsi="Times New Roman" w:eastAsia="仿宋_GB2312" w:cs="Times New Roman"/>
          <w:color w:val="auto"/>
          <w:spacing w:val="10"/>
          <w:kern w:val="2"/>
          <w:sz w:val="32"/>
          <w:szCs w:val="32"/>
          <w:lang w:val="en-US" w:eastAsia="zh-CN" w:bidi="ar-SA"/>
        </w:rPr>
      </w:pPr>
      <w:r>
        <w:rPr>
          <w:rFonts w:eastAsia="仿宋_GB2312"/>
          <w:spacing w:val="10"/>
          <w:sz w:val="32"/>
          <w:szCs w:val="32"/>
        </w:rPr>
        <w:t>辖区内机场、火车站、汽车站、码头等相对封闭的内部等候区，可设置</w:t>
      </w:r>
      <w:r>
        <w:rPr>
          <w:rFonts w:hint="eastAsia" w:eastAsia="仿宋_GB2312"/>
          <w:spacing w:val="10"/>
          <w:sz w:val="32"/>
          <w:szCs w:val="32"/>
          <w:lang w:val="en-US" w:eastAsia="zh-CN"/>
        </w:rPr>
        <w:t>2</w:t>
      </w:r>
      <w:r>
        <w:rPr>
          <w:rFonts w:eastAsia="仿宋_GB2312"/>
          <w:spacing w:val="10"/>
          <w:sz w:val="32"/>
          <w:szCs w:val="32"/>
        </w:rPr>
        <w:t>个零售点</w:t>
      </w:r>
      <w:r>
        <w:rPr>
          <w:rFonts w:hint="eastAsia" w:eastAsia="仿宋_GB2312"/>
          <w:spacing w:val="10"/>
          <w:sz w:val="32"/>
          <w:szCs w:val="32"/>
          <w:lang w:eastAsia="zh-CN"/>
        </w:rPr>
        <w:t>，</w:t>
      </w:r>
      <w:r>
        <w:rPr>
          <w:rFonts w:hint="eastAsia" w:eastAsia="仿宋_GB2312"/>
          <w:spacing w:val="10"/>
          <w:sz w:val="32"/>
          <w:szCs w:val="32"/>
          <w:lang w:val="en-US" w:eastAsia="zh-CN"/>
        </w:rPr>
        <w:t>不受相应最小单元网格规划数量限制，但新增烟草制品零售点与既有同类烟草制品零售点的距离应不低于80米</w:t>
      </w:r>
      <w:r>
        <w:rPr>
          <w:rFonts w:eastAsia="仿宋_GB2312"/>
          <w:spacing w:val="10"/>
          <w:sz w:val="32"/>
          <w:szCs w:val="32"/>
        </w:rPr>
        <w:t>。</w:t>
      </w:r>
    </w:p>
    <w:p w14:paraId="5429CD69">
      <w:pPr>
        <w:keepNext w:val="0"/>
        <w:keepLines w:val="0"/>
        <w:pageBreakBefore w:val="0"/>
        <w:widowControl w:val="0"/>
        <w:numPr>
          <w:ilvl w:val="2"/>
          <w:numId w:val="2"/>
        </w:numPr>
        <w:kinsoku/>
        <w:wordWrap/>
        <w:overflowPunct/>
        <w:topLinePunct w:val="0"/>
        <w:bidi w:val="0"/>
        <w:adjustRightInd w:val="0"/>
        <w:snapToGrid w:val="0"/>
        <w:spacing w:line="360" w:lineRule="auto"/>
        <w:ind w:firstLine="680" w:firstLineChars="200"/>
        <w:jc w:val="left"/>
        <w:textAlignment w:val="baseline"/>
        <w:rPr>
          <w:rFonts w:eastAsia="仿宋_GB2312"/>
          <w:spacing w:val="10"/>
          <w:sz w:val="32"/>
          <w:szCs w:val="32"/>
        </w:rPr>
      </w:pPr>
      <w:r>
        <w:rPr>
          <w:rFonts w:hint="eastAsia" w:ascii="Times New Roman" w:hAnsi="Times New Roman" w:eastAsia="仿宋_GB2312" w:cs="Times New Roman"/>
          <w:color w:val="auto"/>
          <w:spacing w:val="10"/>
          <w:kern w:val="2"/>
          <w:sz w:val="32"/>
          <w:szCs w:val="32"/>
          <w:lang w:val="en-US" w:eastAsia="zh-CN" w:bidi="ar-SA"/>
        </w:rPr>
        <w:t>单体经营面积在500平方米以上的商场、超市、便利店、烟酒店</w:t>
      </w:r>
      <w:r>
        <w:rPr>
          <w:rFonts w:hint="eastAsia" w:eastAsia="仿宋_GB2312" w:cs="Times New Roman"/>
          <w:color w:val="auto"/>
          <w:spacing w:val="10"/>
          <w:kern w:val="2"/>
          <w:sz w:val="32"/>
          <w:szCs w:val="32"/>
          <w:lang w:val="en-US" w:eastAsia="zh-CN" w:bidi="ar-SA"/>
        </w:rPr>
        <w:t>；</w:t>
      </w:r>
      <w:r>
        <w:rPr>
          <w:rFonts w:eastAsia="仿宋_GB2312"/>
          <w:spacing w:val="10"/>
          <w:sz w:val="32"/>
          <w:szCs w:val="32"/>
        </w:rPr>
        <w:t>部队、监狱、看守所、戒毒所等封闭式特殊区域</w:t>
      </w:r>
      <w:r>
        <w:rPr>
          <w:rFonts w:hint="eastAsia" w:eastAsia="仿宋_GB2312"/>
          <w:spacing w:val="10"/>
          <w:sz w:val="32"/>
          <w:szCs w:val="32"/>
          <w:lang w:eastAsia="zh-CN"/>
        </w:rPr>
        <w:t>；</w:t>
      </w:r>
      <w:r>
        <w:rPr>
          <w:rFonts w:eastAsia="仿宋_GB2312"/>
          <w:spacing w:val="10"/>
          <w:sz w:val="32"/>
          <w:szCs w:val="32"/>
        </w:rPr>
        <w:t>辖区内高速公路单侧加油站（含服务区）,可设置</w:t>
      </w:r>
      <w:r>
        <w:rPr>
          <w:rFonts w:hint="eastAsia" w:eastAsia="仿宋_GB2312"/>
          <w:spacing w:val="10"/>
          <w:sz w:val="32"/>
          <w:szCs w:val="32"/>
          <w:lang w:val="en-US" w:eastAsia="zh-CN"/>
        </w:rPr>
        <w:t>1</w:t>
      </w:r>
      <w:r>
        <w:rPr>
          <w:rFonts w:eastAsia="仿宋_GB2312"/>
          <w:spacing w:val="10"/>
          <w:sz w:val="32"/>
          <w:szCs w:val="32"/>
        </w:rPr>
        <w:t>个零售点</w:t>
      </w:r>
      <w:r>
        <w:rPr>
          <w:rFonts w:hint="eastAsia" w:eastAsia="仿宋_GB2312"/>
          <w:spacing w:val="10"/>
          <w:sz w:val="32"/>
          <w:szCs w:val="32"/>
          <w:lang w:eastAsia="zh-CN"/>
        </w:rPr>
        <w:t>，</w:t>
      </w:r>
      <w:r>
        <w:rPr>
          <w:rFonts w:hint="eastAsia" w:ascii="Times New Roman" w:hAnsi="Times New Roman" w:eastAsia="仿宋_GB2312" w:cs="Times New Roman"/>
          <w:color w:val="auto"/>
          <w:spacing w:val="10"/>
          <w:kern w:val="2"/>
          <w:sz w:val="32"/>
          <w:szCs w:val="32"/>
          <w:lang w:val="en-US" w:eastAsia="zh-CN" w:bidi="ar-SA"/>
        </w:rPr>
        <w:t>不受相应最小单元网格规划数量限制和距离限制。</w:t>
      </w:r>
    </w:p>
    <w:p w14:paraId="099FB4D4">
      <w:pPr>
        <w:keepNext w:val="0"/>
        <w:keepLines w:val="0"/>
        <w:pageBreakBefore w:val="0"/>
        <w:widowControl w:val="0"/>
        <w:numPr>
          <w:ilvl w:val="2"/>
          <w:numId w:val="2"/>
        </w:numPr>
        <w:kinsoku/>
        <w:wordWrap/>
        <w:overflowPunct/>
        <w:topLinePunct w:val="0"/>
        <w:bidi w:val="0"/>
        <w:adjustRightInd w:val="0"/>
        <w:snapToGrid w:val="0"/>
        <w:spacing w:line="360" w:lineRule="auto"/>
        <w:ind w:firstLine="640" w:firstLineChars="200"/>
        <w:textAlignment w:val="baseline"/>
        <w:rPr>
          <w:rFonts w:eastAsia="仿宋_GB2312"/>
          <w:sz w:val="32"/>
          <w:szCs w:val="32"/>
        </w:rPr>
      </w:pPr>
      <w:r>
        <w:rPr>
          <w:rFonts w:eastAsia="仿宋_GB2312"/>
          <w:sz w:val="32"/>
          <w:szCs w:val="32"/>
        </w:rPr>
        <w:t>本区零售点合理布局规划数及规划区域、区域网格归属等详见《云南省</w:t>
      </w:r>
      <w:r>
        <w:rPr>
          <w:rFonts w:hint="eastAsia" w:eastAsia="仿宋_GB2312"/>
          <w:sz w:val="32"/>
          <w:szCs w:val="32"/>
          <w:lang w:eastAsia="zh-CN"/>
        </w:rPr>
        <w:t>晋宁区</w:t>
      </w:r>
      <w:r>
        <w:rPr>
          <w:rFonts w:eastAsia="仿宋_GB2312"/>
          <w:sz w:val="32"/>
          <w:szCs w:val="32"/>
        </w:rPr>
        <w:t>烟草专卖局烟草制品零售点合理布局公示表》（附件</w:t>
      </w:r>
      <w:r>
        <w:rPr>
          <w:rFonts w:hint="eastAsia" w:eastAsia="仿宋_GB2312"/>
          <w:sz w:val="32"/>
          <w:szCs w:val="32"/>
        </w:rPr>
        <w:t>2</w:t>
      </w:r>
      <w:r>
        <w:rPr>
          <w:rFonts w:eastAsia="仿宋_GB2312"/>
          <w:sz w:val="32"/>
          <w:szCs w:val="32"/>
        </w:rPr>
        <w:t>）</w:t>
      </w:r>
      <w:r>
        <w:rPr>
          <w:rFonts w:hint="eastAsia" w:eastAsia="仿宋_GB2312"/>
          <w:sz w:val="32"/>
          <w:szCs w:val="32"/>
        </w:rPr>
        <w:t>、</w:t>
      </w:r>
      <w:r>
        <w:rPr>
          <w:rFonts w:eastAsia="仿宋_GB2312"/>
          <w:sz w:val="32"/>
          <w:szCs w:val="32"/>
        </w:rPr>
        <w:t>《云南省</w:t>
      </w:r>
      <w:r>
        <w:rPr>
          <w:rFonts w:hint="eastAsia" w:eastAsia="仿宋_GB2312"/>
          <w:sz w:val="32"/>
          <w:szCs w:val="32"/>
          <w:lang w:eastAsia="zh-CN"/>
        </w:rPr>
        <w:t>晋宁区</w:t>
      </w:r>
      <w:r>
        <w:rPr>
          <w:rFonts w:eastAsia="仿宋_GB2312"/>
          <w:sz w:val="32"/>
          <w:szCs w:val="32"/>
        </w:rPr>
        <w:t>烟草专卖局雪茄烟专营店零售点合理布局公示表》（附件</w:t>
      </w:r>
      <w:r>
        <w:rPr>
          <w:rFonts w:hint="eastAsia" w:eastAsia="仿宋_GB2312"/>
          <w:sz w:val="32"/>
          <w:szCs w:val="32"/>
        </w:rPr>
        <w:t>3</w:t>
      </w:r>
      <w:r>
        <w:rPr>
          <w:rFonts w:eastAsia="仿宋_GB2312"/>
          <w:sz w:val="32"/>
          <w:szCs w:val="32"/>
        </w:rPr>
        <w:t>）及《云南省</w:t>
      </w:r>
      <w:r>
        <w:rPr>
          <w:rFonts w:hint="eastAsia" w:eastAsia="仿宋_GB2312"/>
          <w:sz w:val="32"/>
          <w:szCs w:val="32"/>
          <w:lang w:eastAsia="zh-CN"/>
        </w:rPr>
        <w:t>晋宁区</w:t>
      </w:r>
      <w:r>
        <w:rPr>
          <w:rFonts w:eastAsia="仿宋_GB2312"/>
          <w:sz w:val="32"/>
          <w:szCs w:val="32"/>
        </w:rPr>
        <w:t>烟草专卖局烟草制品零售点合理布局网格示意图》（附件</w:t>
      </w:r>
      <w:r>
        <w:rPr>
          <w:rFonts w:hint="eastAsia" w:eastAsia="仿宋_GB2312"/>
          <w:sz w:val="32"/>
          <w:szCs w:val="32"/>
        </w:rPr>
        <w:t>4</w:t>
      </w:r>
      <w:r>
        <w:rPr>
          <w:rFonts w:eastAsia="仿宋_GB2312"/>
          <w:sz w:val="32"/>
          <w:szCs w:val="32"/>
        </w:rPr>
        <w:t>）。</w:t>
      </w:r>
    </w:p>
    <w:p w14:paraId="288122DD">
      <w:pPr>
        <w:keepNext w:val="0"/>
        <w:keepLines w:val="0"/>
        <w:pageBreakBefore w:val="0"/>
        <w:widowControl w:val="0"/>
        <w:numPr>
          <w:ilvl w:val="2"/>
          <w:numId w:val="2"/>
        </w:numPr>
        <w:kinsoku/>
        <w:wordWrap/>
        <w:overflowPunct/>
        <w:topLinePunct w:val="0"/>
        <w:bidi w:val="0"/>
        <w:adjustRightInd w:val="0"/>
        <w:snapToGrid w:val="0"/>
        <w:spacing w:line="360" w:lineRule="auto"/>
        <w:ind w:firstLine="680" w:firstLineChars="200"/>
        <w:jc w:val="left"/>
        <w:textAlignment w:val="baseline"/>
        <w:rPr>
          <w:rFonts w:hint="eastAsia" w:eastAsia="仿宋_GB2312"/>
          <w:spacing w:val="10"/>
          <w:sz w:val="32"/>
          <w:szCs w:val="32"/>
          <w:lang w:val="en-US" w:eastAsia="zh-CN"/>
        </w:rPr>
      </w:pPr>
      <w:r>
        <w:rPr>
          <w:rFonts w:eastAsia="仿宋_GB2312"/>
          <w:spacing w:val="10"/>
          <w:sz w:val="32"/>
          <w:szCs w:val="32"/>
        </w:rPr>
        <w:t>具有下列情形之一的，不予设置零售点。</w:t>
      </w:r>
      <w:r>
        <w:rPr>
          <w:rFonts w:hint="eastAsia" w:eastAsia="仿宋_GB2312"/>
          <w:spacing w:val="10"/>
          <w:sz w:val="32"/>
          <w:szCs w:val="32"/>
          <w:lang w:val="en-US" w:eastAsia="zh-CN"/>
        </w:rPr>
        <w:t xml:space="preserve">    </w:t>
      </w:r>
    </w:p>
    <w:p w14:paraId="77A28B5C">
      <w:pPr>
        <w:keepNext w:val="0"/>
        <w:keepLines w:val="0"/>
        <w:pageBreakBefore w:val="0"/>
        <w:widowControl w:val="0"/>
        <w:numPr>
          <w:ilvl w:val="0"/>
          <w:numId w:val="0"/>
        </w:numPr>
        <w:kinsoku/>
        <w:wordWrap/>
        <w:overflowPunct/>
        <w:topLinePunct w:val="0"/>
        <w:bidi w:val="0"/>
        <w:adjustRightInd w:val="0"/>
        <w:snapToGrid w:val="0"/>
        <w:spacing w:line="360" w:lineRule="auto"/>
        <w:ind w:firstLine="680" w:firstLineChars="200"/>
        <w:jc w:val="left"/>
        <w:textAlignment w:val="baseline"/>
        <w:rPr>
          <w:rFonts w:hint="eastAsia" w:eastAsia="仿宋_GB2312"/>
          <w:spacing w:val="10"/>
          <w:sz w:val="32"/>
          <w:szCs w:val="32"/>
          <w:lang w:val="en-US" w:eastAsia="zh-CN"/>
        </w:rPr>
      </w:pPr>
      <w:r>
        <w:rPr>
          <w:rFonts w:hint="eastAsia" w:eastAsia="仿宋_GB2312"/>
          <w:spacing w:val="10"/>
          <w:sz w:val="32"/>
          <w:szCs w:val="32"/>
          <w:lang w:eastAsia="zh-CN"/>
        </w:rPr>
        <w:t>（</w:t>
      </w:r>
      <w:r>
        <w:rPr>
          <w:rFonts w:hint="eastAsia" w:eastAsia="仿宋_GB2312"/>
          <w:spacing w:val="10"/>
          <w:sz w:val="32"/>
          <w:szCs w:val="32"/>
          <w:lang w:val="en-US" w:eastAsia="zh-CN"/>
        </w:rPr>
        <w:t>一</w:t>
      </w:r>
      <w:r>
        <w:rPr>
          <w:rFonts w:hint="eastAsia" w:eastAsia="仿宋_GB2312"/>
          <w:spacing w:val="10"/>
          <w:sz w:val="32"/>
          <w:szCs w:val="32"/>
          <w:lang w:eastAsia="zh-CN"/>
        </w:rPr>
        <w:t>）</w:t>
      </w:r>
      <w:r>
        <w:rPr>
          <w:rFonts w:hint="eastAsia" w:eastAsia="仿宋_GB2312"/>
          <w:spacing w:val="10"/>
          <w:sz w:val="32"/>
          <w:szCs w:val="32"/>
        </w:rPr>
        <w:t>昆阳街道建成区</w:t>
      </w:r>
      <w:r>
        <w:rPr>
          <w:rFonts w:hint="eastAsia" w:eastAsia="仿宋_GB2312"/>
          <w:spacing w:val="10"/>
          <w:sz w:val="32"/>
          <w:szCs w:val="32"/>
          <w:lang w:eastAsia="zh-CN"/>
        </w:rPr>
        <w:t>（城网区域）</w:t>
      </w:r>
      <w:r>
        <w:rPr>
          <w:rFonts w:hint="eastAsia" w:eastAsia="仿宋_GB2312"/>
          <w:spacing w:val="10"/>
          <w:sz w:val="32"/>
          <w:szCs w:val="32"/>
        </w:rPr>
        <w:t>、晋城街道建成区</w:t>
      </w:r>
      <w:r>
        <w:rPr>
          <w:rFonts w:hint="eastAsia" w:eastAsia="仿宋_GB2312"/>
          <w:spacing w:val="10"/>
          <w:sz w:val="32"/>
          <w:szCs w:val="32"/>
          <w:lang w:eastAsia="zh-CN"/>
        </w:rPr>
        <w:t>（城网区域）</w:t>
      </w:r>
      <w:r>
        <w:rPr>
          <w:rFonts w:hint="eastAsia" w:eastAsia="仿宋_GB2312"/>
          <w:spacing w:val="10"/>
          <w:sz w:val="32"/>
          <w:szCs w:val="32"/>
        </w:rPr>
        <w:t>内</w:t>
      </w:r>
      <w:r>
        <w:rPr>
          <w:rFonts w:eastAsia="仿宋_GB2312"/>
          <w:spacing w:val="10"/>
          <w:sz w:val="32"/>
          <w:szCs w:val="32"/>
        </w:rPr>
        <w:t>中小学、幼儿园学生正常出入的校门口</w:t>
      </w:r>
      <w:r>
        <w:rPr>
          <w:rFonts w:hint="eastAsia" w:eastAsia="仿宋_GB2312"/>
          <w:spacing w:val="10"/>
          <w:sz w:val="32"/>
          <w:szCs w:val="32"/>
        </w:rPr>
        <w:t>（含通道）</w:t>
      </w:r>
      <w:r>
        <w:rPr>
          <w:rFonts w:hint="eastAsia" w:eastAsia="仿宋_GB2312"/>
          <w:spacing w:val="10"/>
          <w:sz w:val="32"/>
          <w:szCs w:val="32"/>
          <w:lang w:val="en-US" w:eastAsia="zh-CN"/>
        </w:rPr>
        <w:t>100</w:t>
      </w:r>
      <w:r>
        <w:rPr>
          <w:rFonts w:eastAsia="仿宋_GB2312"/>
          <w:spacing w:val="10"/>
          <w:sz w:val="32"/>
          <w:szCs w:val="32"/>
        </w:rPr>
        <w:t>米以内，</w:t>
      </w:r>
      <w:r>
        <w:rPr>
          <w:rFonts w:hint="eastAsia" w:eastAsia="仿宋_GB2312"/>
          <w:spacing w:val="10"/>
          <w:sz w:val="32"/>
          <w:szCs w:val="32"/>
        </w:rPr>
        <w:t>昆阳街道、晋城街道除建成区域外</w:t>
      </w:r>
      <w:r>
        <w:rPr>
          <w:rFonts w:eastAsia="仿宋_GB2312"/>
          <w:spacing w:val="10"/>
          <w:sz w:val="32"/>
          <w:szCs w:val="32"/>
        </w:rPr>
        <w:t>中小学、幼儿园学生正常出入的校门口</w:t>
      </w:r>
      <w:r>
        <w:rPr>
          <w:rFonts w:hint="eastAsia" w:eastAsia="仿宋_GB2312"/>
          <w:spacing w:val="10"/>
          <w:sz w:val="32"/>
          <w:szCs w:val="32"/>
        </w:rPr>
        <w:t>（含通道）</w:t>
      </w:r>
      <w:r>
        <w:rPr>
          <w:rFonts w:hint="eastAsia" w:eastAsia="仿宋_GB2312"/>
          <w:spacing w:val="10"/>
          <w:sz w:val="32"/>
          <w:szCs w:val="32"/>
          <w:lang w:val="en-US" w:eastAsia="zh-CN"/>
        </w:rPr>
        <w:t>50</w:t>
      </w:r>
      <w:r>
        <w:rPr>
          <w:rFonts w:eastAsia="仿宋_GB2312"/>
          <w:spacing w:val="10"/>
          <w:sz w:val="32"/>
          <w:szCs w:val="32"/>
        </w:rPr>
        <w:t>米以内</w:t>
      </w:r>
      <w:r>
        <w:rPr>
          <w:rFonts w:hint="eastAsia" w:eastAsia="仿宋_GB2312"/>
          <w:spacing w:val="10"/>
          <w:sz w:val="32"/>
          <w:szCs w:val="32"/>
          <w:lang w:eastAsia="zh-CN"/>
        </w:rPr>
        <w:t>，其余乡镇的中小学、幼儿园学生正常出入的校门口（含通道）50米以内的区域</w:t>
      </w:r>
      <w:r>
        <w:rPr>
          <w:rFonts w:eastAsia="仿宋_GB2312"/>
          <w:spacing w:val="10"/>
          <w:sz w:val="32"/>
          <w:szCs w:val="32"/>
        </w:rPr>
        <w:t>。</w:t>
      </w:r>
      <w:r>
        <w:rPr>
          <w:rFonts w:hint="eastAsia" w:eastAsia="仿宋_GB2312"/>
          <w:spacing w:val="10"/>
          <w:sz w:val="32"/>
          <w:szCs w:val="32"/>
          <w:lang w:val="en-US" w:eastAsia="zh-CN"/>
        </w:rPr>
        <w:t>建成区与非建成区的范围划定由云南省晋宁区烟草专卖局每年度根据经济发展、城乡建设、市场形势等变化情况进行动态调整，</w:t>
      </w:r>
      <w:r>
        <w:rPr>
          <w:rFonts w:hint="default" w:ascii="仿宋_GB2312" w:hAnsi="仿宋_GB2312" w:eastAsia="仿宋_GB2312" w:cs="仿宋_GB2312"/>
          <w:sz w:val="32"/>
          <w:szCs w:val="32"/>
          <w:highlight w:val="none"/>
          <w:lang w:val="en-US" w:eastAsia="zh-CN"/>
        </w:rPr>
        <w:t>其中，动态调整管理制度详见本规划</w:t>
      </w:r>
      <w:r>
        <w:rPr>
          <w:rFonts w:hint="eastAsia" w:ascii="仿宋_GB2312" w:hAnsi="仿宋_GB2312" w:eastAsia="仿宋_GB2312" w:cs="仿宋_GB2312"/>
          <w:sz w:val="32"/>
          <w:szCs w:val="32"/>
          <w:highlight w:val="none"/>
          <w:lang w:val="en-US" w:eastAsia="zh-CN"/>
        </w:rPr>
        <w:t>附件8，</w:t>
      </w:r>
      <w:r>
        <w:rPr>
          <w:rFonts w:hint="eastAsia" w:eastAsia="仿宋_GB2312"/>
          <w:spacing w:val="10"/>
          <w:sz w:val="32"/>
          <w:szCs w:val="32"/>
          <w:lang w:val="en-US" w:eastAsia="zh-CN"/>
        </w:rPr>
        <w:t>并于实施之前进行公示，公示时间为3天。</w:t>
      </w:r>
    </w:p>
    <w:p w14:paraId="34871CEE">
      <w:pPr>
        <w:keepNext w:val="0"/>
        <w:keepLines w:val="0"/>
        <w:pageBreakBefore w:val="0"/>
        <w:widowControl w:val="0"/>
        <w:numPr>
          <w:ilvl w:val="255"/>
          <w:numId w:val="0"/>
        </w:numPr>
        <w:kinsoku/>
        <w:wordWrap/>
        <w:overflowPunct/>
        <w:topLinePunct w:val="0"/>
        <w:bidi w:val="0"/>
        <w:adjustRightInd w:val="0"/>
        <w:snapToGrid w:val="0"/>
        <w:spacing w:line="360" w:lineRule="auto"/>
        <w:ind w:left="17" w:right="2" w:firstLine="680" w:firstLineChars="200"/>
        <w:jc w:val="left"/>
        <w:rPr>
          <w:rFonts w:eastAsia="仿宋_GB2312"/>
          <w:spacing w:val="10"/>
          <w:sz w:val="32"/>
          <w:szCs w:val="32"/>
        </w:rPr>
      </w:pPr>
      <w:r>
        <w:rPr>
          <w:rFonts w:eastAsia="仿宋_GB2312"/>
          <w:spacing w:val="10"/>
          <w:sz w:val="32"/>
          <w:szCs w:val="32"/>
        </w:rPr>
        <w:t>（二）无固定经营场所的：包括但不限于流动的摊、点、车、棚、简易板房、活动板房（彩钢房）、临时占道的建筑等；</w:t>
      </w:r>
    </w:p>
    <w:p w14:paraId="42734925">
      <w:pPr>
        <w:keepNext w:val="0"/>
        <w:keepLines w:val="0"/>
        <w:pageBreakBefore w:val="0"/>
        <w:widowControl w:val="0"/>
        <w:numPr>
          <w:ilvl w:val="255"/>
          <w:numId w:val="0"/>
        </w:numPr>
        <w:kinsoku/>
        <w:wordWrap/>
        <w:overflowPunct/>
        <w:topLinePunct w:val="0"/>
        <w:bidi w:val="0"/>
        <w:adjustRightInd w:val="0"/>
        <w:snapToGrid w:val="0"/>
        <w:spacing w:line="360" w:lineRule="auto"/>
        <w:ind w:firstLine="680" w:firstLineChars="200"/>
        <w:jc w:val="left"/>
        <w:rPr>
          <w:rFonts w:eastAsia="仿宋_GB2312"/>
          <w:spacing w:val="10"/>
          <w:sz w:val="32"/>
          <w:szCs w:val="32"/>
        </w:rPr>
      </w:pPr>
      <w:r>
        <w:rPr>
          <w:rFonts w:eastAsia="仿宋_GB2312"/>
          <w:spacing w:val="10"/>
          <w:sz w:val="32"/>
          <w:szCs w:val="32"/>
        </w:rPr>
        <w:t>（三）经营场所与住所不相独立的：包括但不限于经营场所为住所的客厅、餐厅、卧室、阳台、地下室、车库、储藏室等；居民楼内公用道、楼梯间等；</w:t>
      </w:r>
    </w:p>
    <w:p w14:paraId="1A5895EA">
      <w:pPr>
        <w:pStyle w:val="5"/>
        <w:keepNext w:val="0"/>
        <w:keepLines w:val="0"/>
        <w:pageBreakBefore w:val="0"/>
        <w:widowControl w:val="0"/>
        <w:kinsoku/>
        <w:wordWrap/>
        <w:overflowPunct/>
        <w:topLinePunct w:val="0"/>
        <w:bidi w:val="0"/>
        <w:adjustRightInd w:val="0"/>
        <w:snapToGrid w:val="0"/>
        <w:spacing w:after="0" w:line="360" w:lineRule="auto"/>
        <w:ind w:firstLine="680" w:firstLineChars="200"/>
        <w:rPr>
          <w:rFonts w:eastAsia="仿宋_GB2312"/>
          <w:spacing w:val="10"/>
          <w:sz w:val="32"/>
          <w:szCs w:val="32"/>
        </w:rPr>
      </w:pPr>
      <w:r>
        <w:rPr>
          <w:rFonts w:eastAsia="仿宋_GB2312"/>
          <w:spacing w:val="10"/>
          <w:sz w:val="32"/>
          <w:szCs w:val="32"/>
        </w:rPr>
        <w:t>（四）经营业态</w:t>
      </w:r>
      <w:r>
        <w:rPr>
          <w:rFonts w:eastAsia="仿宋_GB2312"/>
          <w:sz w:val="32"/>
          <w:szCs w:val="32"/>
        </w:rPr>
        <w:t>存在容易诱导未成年人关注、购买、吸食卷烟</w:t>
      </w:r>
      <w:r>
        <w:rPr>
          <w:rFonts w:hint="eastAsia" w:eastAsia="仿宋_GB2312"/>
          <w:sz w:val="32"/>
          <w:szCs w:val="32"/>
        </w:rPr>
        <w:t>或其他不利于未成年人保护</w:t>
      </w:r>
      <w:r>
        <w:rPr>
          <w:rFonts w:eastAsia="仿宋_GB2312"/>
          <w:sz w:val="32"/>
          <w:szCs w:val="32"/>
        </w:rPr>
        <w:t>的</w:t>
      </w:r>
      <w:r>
        <w:rPr>
          <w:rFonts w:hint="eastAsia" w:eastAsia="仿宋_GB2312"/>
          <w:sz w:val="32"/>
          <w:szCs w:val="32"/>
        </w:rPr>
        <w:t>文化体育、音像制品、传真打印、各类培训咨询机构</w:t>
      </w:r>
      <w:r>
        <w:rPr>
          <w:rFonts w:eastAsia="仿宋_GB2312"/>
          <w:sz w:val="32"/>
          <w:szCs w:val="32"/>
        </w:rPr>
        <w:t>；</w:t>
      </w:r>
      <w:r>
        <w:rPr>
          <w:rFonts w:eastAsia="仿宋_GB2312"/>
          <w:spacing w:val="10"/>
          <w:sz w:val="32"/>
          <w:szCs w:val="32"/>
        </w:rPr>
        <w:t>专业性较强，且与烟草制品零售业务没有直接或间接互补营销关系的</w:t>
      </w:r>
      <w:r>
        <w:rPr>
          <w:rFonts w:hint="eastAsia" w:eastAsia="仿宋_GB2312"/>
          <w:spacing w:val="10"/>
          <w:sz w:val="32"/>
          <w:szCs w:val="32"/>
        </w:rPr>
        <w:t>家电家具、通信器材、金融证券、仪器仪表、金银珠宝、寄递配送、洗涤护理、服装制售、中介劳服、寄卖典当、汽车租赁、照相馆、床上用品等</w:t>
      </w:r>
      <w:r>
        <w:rPr>
          <w:rFonts w:eastAsia="仿宋_GB2312"/>
          <w:spacing w:val="10"/>
          <w:sz w:val="32"/>
          <w:szCs w:val="32"/>
        </w:rPr>
        <w:t>；经营场所基于安全因素不适宜经营卷烟的</w:t>
      </w:r>
      <w:r>
        <w:rPr>
          <w:rFonts w:hint="eastAsia" w:eastAsia="仿宋_GB2312"/>
          <w:spacing w:val="10"/>
          <w:sz w:val="32"/>
          <w:szCs w:val="32"/>
        </w:rPr>
        <w:t>五金建材、建筑装潢、美容美发、按摩推拿、药妆医械、农畜养殖、修理修配、机耕农具、汽车美容场所</w:t>
      </w:r>
      <w:r>
        <w:rPr>
          <w:rFonts w:eastAsia="仿宋_GB2312"/>
          <w:spacing w:val="10"/>
          <w:sz w:val="32"/>
          <w:szCs w:val="32"/>
        </w:rPr>
        <w:t>。</w:t>
      </w:r>
    </w:p>
    <w:p w14:paraId="3D715455">
      <w:pPr>
        <w:pStyle w:val="5"/>
        <w:keepNext w:val="0"/>
        <w:keepLines w:val="0"/>
        <w:pageBreakBefore w:val="0"/>
        <w:widowControl w:val="0"/>
        <w:kinsoku/>
        <w:wordWrap/>
        <w:overflowPunct/>
        <w:topLinePunct w:val="0"/>
        <w:bidi w:val="0"/>
        <w:adjustRightInd w:val="0"/>
        <w:snapToGrid w:val="0"/>
        <w:spacing w:after="0" w:line="360" w:lineRule="auto"/>
        <w:ind w:firstLine="640" w:firstLineChars="200"/>
        <w:rPr>
          <w:rFonts w:eastAsia="仿宋_GB2312"/>
          <w:spacing w:val="10"/>
          <w:sz w:val="32"/>
          <w:szCs w:val="32"/>
        </w:rPr>
      </w:pPr>
      <w:r>
        <w:rPr>
          <w:rFonts w:hint="eastAsia" w:ascii="仿宋_GB2312" w:eastAsia="仿宋_GB2312"/>
          <w:color w:val="auto"/>
          <w:sz w:val="32"/>
          <w:szCs w:val="32"/>
          <w:highlight w:val="none"/>
          <w:lang w:val="en-US" w:eastAsia="zh-CN"/>
        </w:rPr>
        <w:t>（五）经营场所位于封闭式住宅小区内的。封闭式住宅小区是指属于有门禁、有道闸且非业主进出小区需采取登记等限制性措施的小区。</w:t>
      </w:r>
    </w:p>
    <w:p w14:paraId="054D3393">
      <w:pPr>
        <w:pStyle w:val="5"/>
        <w:keepNext w:val="0"/>
        <w:keepLines w:val="0"/>
        <w:pageBreakBefore w:val="0"/>
        <w:widowControl w:val="0"/>
        <w:kinsoku/>
        <w:wordWrap/>
        <w:overflowPunct/>
        <w:topLinePunct w:val="0"/>
        <w:bidi w:val="0"/>
        <w:adjustRightInd w:val="0"/>
        <w:snapToGrid w:val="0"/>
        <w:spacing w:after="0" w:line="360" w:lineRule="auto"/>
        <w:ind w:firstLine="680" w:firstLineChars="200"/>
        <w:rPr>
          <w:rFonts w:hint="eastAsia" w:eastAsia="仿宋_GB2312"/>
          <w:spacing w:val="10"/>
          <w:sz w:val="32"/>
          <w:szCs w:val="32"/>
        </w:rPr>
      </w:pPr>
      <w:r>
        <w:rPr>
          <w:rFonts w:eastAsia="仿宋_GB2312"/>
          <w:spacing w:val="10"/>
          <w:sz w:val="32"/>
          <w:szCs w:val="32"/>
        </w:rPr>
        <w:t>（</w:t>
      </w:r>
      <w:r>
        <w:rPr>
          <w:rFonts w:hint="eastAsia" w:eastAsia="仿宋_GB2312"/>
          <w:spacing w:val="10"/>
          <w:sz w:val="32"/>
          <w:szCs w:val="32"/>
          <w:lang w:val="en-US" w:eastAsia="zh-CN"/>
        </w:rPr>
        <w:t>六</w:t>
      </w:r>
      <w:r>
        <w:rPr>
          <w:rFonts w:eastAsia="仿宋_GB2312"/>
          <w:spacing w:val="10"/>
          <w:sz w:val="32"/>
          <w:szCs w:val="32"/>
        </w:rPr>
        <w:t>）法律</w:t>
      </w:r>
      <w:r>
        <w:rPr>
          <w:rFonts w:hint="eastAsia" w:eastAsia="仿宋_GB2312"/>
          <w:spacing w:val="10"/>
          <w:sz w:val="32"/>
          <w:szCs w:val="32"/>
        </w:rPr>
        <w:t>、</w:t>
      </w:r>
      <w:r>
        <w:rPr>
          <w:rFonts w:eastAsia="仿宋_GB2312"/>
          <w:spacing w:val="10"/>
          <w:sz w:val="32"/>
          <w:szCs w:val="32"/>
        </w:rPr>
        <w:t>法规、规章、规范性文件</w:t>
      </w:r>
      <w:r>
        <w:rPr>
          <w:rFonts w:hint="eastAsia" w:eastAsia="仿宋_GB2312"/>
          <w:spacing w:val="10"/>
          <w:sz w:val="32"/>
          <w:szCs w:val="32"/>
        </w:rPr>
        <w:t>等</w:t>
      </w:r>
      <w:r>
        <w:rPr>
          <w:rFonts w:eastAsia="仿宋_GB2312"/>
          <w:spacing w:val="10"/>
          <w:sz w:val="32"/>
          <w:szCs w:val="32"/>
        </w:rPr>
        <w:t>规定的其他不予许可的情形。</w:t>
      </w:r>
      <w:r>
        <w:rPr>
          <w:rFonts w:hint="eastAsia" w:eastAsia="仿宋_GB2312"/>
          <w:spacing w:val="10"/>
          <w:sz w:val="32"/>
          <w:szCs w:val="32"/>
        </w:rPr>
        <w:t>详见</w:t>
      </w:r>
      <w:r>
        <w:rPr>
          <w:rFonts w:eastAsia="仿宋_GB2312"/>
          <w:spacing w:val="10"/>
          <w:sz w:val="32"/>
          <w:szCs w:val="32"/>
        </w:rPr>
        <w:t>《云南省</w:t>
      </w:r>
      <w:r>
        <w:rPr>
          <w:rFonts w:hint="eastAsia" w:eastAsia="仿宋_GB2312"/>
          <w:spacing w:val="10"/>
          <w:sz w:val="32"/>
          <w:szCs w:val="32"/>
          <w:lang w:eastAsia="zh-CN"/>
        </w:rPr>
        <w:t>晋宁区</w:t>
      </w:r>
      <w:r>
        <w:rPr>
          <w:rFonts w:hint="eastAsia" w:eastAsia="仿宋_GB2312"/>
          <w:spacing w:val="10"/>
          <w:sz w:val="32"/>
          <w:szCs w:val="32"/>
        </w:rPr>
        <w:t>烟草制品零售点不予发放烟草专卖零售许可证的情形</w:t>
      </w:r>
      <w:r>
        <w:rPr>
          <w:rFonts w:eastAsia="仿宋_GB2312"/>
          <w:spacing w:val="10"/>
          <w:sz w:val="32"/>
          <w:szCs w:val="32"/>
        </w:rPr>
        <w:t>》（附件</w:t>
      </w:r>
      <w:r>
        <w:rPr>
          <w:rFonts w:hint="eastAsia" w:eastAsia="仿宋_GB2312"/>
          <w:spacing w:val="10"/>
          <w:sz w:val="32"/>
          <w:szCs w:val="32"/>
        </w:rPr>
        <w:t>5</w:t>
      </w:r>
      <w:r>
        <w:rPr>
          <w:rFonts w:eastAsia="仿宋_GB2312"/>
          <w:spacing w:val="10"/>
          <w:sz w:val="32"/>
          <w:szCs w:val="32"/>
        </w:rPr>
        <w:t>）</w:t>
      </w:r>
      <w:r>
        <w:rPr>
          <w:rFonts w:hint="eastAsia" w:eastAsia="仿宋_GB2312"/>
          <w:spacing w:val="10"/>
          <w:sz w:val="32"/>
          <w:szCs w:val="32"/>
        </w:rPr>
        <w:t>。</w:t>
      </w:r>
    </w:p>
    <w:p w14:paraId="7C8493A4">
      <w:pPr>
        <w:pStyle w:val="5"/>
        <w:keepNext w:val="0"/>
        <w:keepLines w:val="0"/>
        <w:pageBreakBefore w:val="0"/>
        <w:widowControl w:val="0"/>
        <w:kinsoku/>
        <w:wordWrap/>
        <w:overflowPunct/>
        <w:topLinePunct w:val="0"/>
        <w:bidi w:val="0"/>
        <w:adjustRightInd w:val="0"/>
        <w:snapToGrid w:val="0"/>
        <w:spacing w:after="0" w:line="360" w:lineRule="auto"/>
        <w:ind w:firstLine="680" w:firstLineChars="200"/>
        <w:jc w:val="center"/>
        <w:rPr>
          <w:rFonts w:hint="eastAsia" w:eastAsia="仿宋_GB2312"/>
          <w:spacing w:val="10"/>
          <w:sz w:val="32"/>
          <w:szCs w:val="32"/>
        </w:rPr>
      </w:pPr>
      <w:r>
        <w:rPr>
          <w:rFonts w:hint="eastAsia" w:ascii="黑体" w:hAnsi="黑体" w:eastAsia="黑体"/>
          <w:spacing w:val="10"/>
          <w:sz w:val="32"/>
          <w:szCs w:val="32"/>
        </w:rPr>
        <w:t>第</w:t>
      </w:r>
      <w:r>
        <w:rPr>
          <w:rFonts w:hint="eastAsia" w:ascii="黑体" w:hAnsi="黑体" w:eastAsia="黑体"/>
          <w:spacing w:val="10"/>
          <w:sz w:val="32"/>
          <w:szCs w:val="32"/>
          <w:lang w:val="en-US" w:eastAsia="zh-CN"/>
        </w:rPr>
        <w:t>三</w:t>
      </w:r>
      <w:r>
        <w:rPr>
          <w:rFonts w:hint="eastAsia" w:ascii="黑体" w:hAnsi="黑体" w:eastAsia="黑体"/>
          <w:spacing w:val="10"/>
          <w:sz w:val="32"/>
          <w:szCs w:val="32"/>
        </w:rPr>
        <w:t xml:space="preserve">章 </w:t>
      </w:r>
      <w:r>
        <w:rPr>
          <w:rFonts w:hint="eastAsia" w:ascii="黑体" w:hAnsi="黑体" w:eastAsia="黑体"/>
          <w:spacing w:val="10"/>
          <w:sz w:val="32"/>
          <w:szCs w:val="32"/>
          <w:lang w:val="en-US" w:eastAsia="zh-CN"/>
        </w:rPr>
        <w:t xml:space="preserve"> 雪茄烟专营店零售点布局标准</w:t>
      </w:r>
    </w:p>
    <w:p w14:paraId="71E8563E">
      <w:pPr>
        <w:keepNext w:val="0"/>
        <w:keepLines w:val="0"/>
        <w:pageBreakBefore w:val="0"/>
        <w:widowControl w:val="0"/>
        <w:numPr>
          <w:ilvl w:val="2"/>
          <w:numId w:val="2"/>
        </w:numPr>
        <w:kinsoku/>
        <w:wordWrap/>
        <w:overflowPunct/>
        <w:topLinePunct w:val="0"/>
        <w:bidi w:val="0"/>
        <w:adjustRightInd w:val="0"/>
        <w:snapToGrid w:val="0"/>
        <w:spacing w:before="113" w:line="360" w:lineRule="auto"/>
        <w:ind w:firstLine="640" w:firstLineChars="200"/>
        <w:jc w:val="left"/>
        <w:textAlignment w:val="baseline"/>
        <w:rPr>
          <w:rFonts w:eastAsia="仿宋_GB2312"/>
          <w:sz w:val="32"/>
          <w:szCs w:val="32"/>
        </w:rPr>
      </w:pPr>
      <w:r>
        <w:rPr>
          <w:rFonts w:hint="default" w:ascii="仿宋_GB2312" w:hAnsi="仿宋_GB2312" w:eastAsia="仿宋_GB2312" w:cs="仿宋_GB2312"/>
          <w:sz w:val="32"/>
          <w:szCs w:val="32"/>
          <w:highlight w:val="none"/>
          <w:lang w:val="en-US" w:eastAsia="zh-CN"/>
        </w:rPr>
        <w:t>雪茄烟专营店是指</w:t>
      </w:r>
      <w:r>
        <w:rPr>
          <w:rFonts w:eastAsia="仿宋_GB2312"/>
          <w:sz w:val="32"/>
          <w:szCs w:val="32"/>
        </w:rPr>
        <w:t>经营范围仅为雪茄烟销售的雪茄烟专营店零售点，</w:t>
      </w:r>
      <w:r>
        <w:rPr>
          <w:rFonts w:hint="default" w:ascii="仿宋_GB2312" w:hAnsi="仿宋_GB2312" w:eastAsia="仿宋_GB2312" w:cs="仿宋_GB2312"/>
          <w:sz w:val="32"/>
          <w:szCs w:val="32"/>
          <w:highlight w:val="none"/>
          <w:lang w:val="en-US" w:eastAsia="zh-CN"/>
        </w:rPr>
        <w:t>雪茄烟专营店</w:t>
      </w:r>
      <w:r>
        <w:rPr>
          <w:rFonts w:hint="eastAsia" w:ascii="仿宋_GB2312" w:hAnsi="仿宋_GB2312" w:eastAsia="仿宋_GB2312" w:cs="仿宋_GB2312"/>
          <w:sz w:val="32"/>
          <w:szCs w:val="32"/>
          <w:highlight w:val="none"/>
          <w:lang w:val="en-US" w:eastAsia="zh-CN"/>
        </w:rPr>
        <w:t>零售点</w:t>
      </w:r>
      <w:r>
        <w:rPr>
          <w:rFonts w:hint="default" w:ascii="仿宋_GB2312" w:hAnsi="仿宋_GB2312" w:eastAsia="仿宋_GB2312" w:cs="仿宋_GB2312"/>
          <w:sz w:val="32"/>
          <w:szCs w:val="32"/>
          <w:highlight w:val="none"/>
          <w:lang w:val="en-US" w:eastAsia="zh-CN"/>
        </w:rPr>
        <w:t>实行“一址一证”管理，采取区域总量控制的方式进行布局，规划数不超过辖区上年度末烟草制品零售点总数的</w:t>
      </w:r>
      <w:r>
        <w:rPr>
          <w:rFonts w:hint="eastAsia" w:ascii="仿宋_GB2312" w:hAnsi="仿宋_GB2312" w:eastAsia="仿宋_GB2312" w:cs="仿宋_GB2312"/>
          <w:sz w:val="32"/>
          <w:szCs w:val="32"/>
          <w:highlight w:val="none"/>
          <w:lang w:val="en-US" w:eastAsia="zh-CN"/>
        </w:rPr>
        <w:t>千分之</w:t>
      </w:r>
      <w:r>
        <w:rPr>
          <w:rFonts w:hint="eastAsia" w:eastAsia="仿宋_GB2312"/>
          <w:sz w:val="32"/>
          <w:szCs w:val="32"/>
          <w:lang w:val="en-US" w:eastAsia="zh-CN"/>
        </w:rPr>
        <w:t>二</w:t>
      </w:r>
      <w:r>
        <w:rPr>
          <w:rFonts w:eastAsia="仿宋_GB2312"/>
          <w:sz w:val="32"/>
          <w:szCs w:val="32"/>
        </w:rPr>
        <w:t>。详见《云南省</w:t>
      </w:r>
      <w:r>
        <w:rPr>
          <w:rFonts w:hint="eastAsia" w:eastAsia="仿宋_GB2312"/>
          <w:sz w:val="32"/>
          <w:szCs w:val="32"/>
          <w:lang w:eastAsia="zh-CN"/>
        </w:rPr>
        <w:t>晋宁区</w:t>
      </w:r>
      <w:r>
        <w:rPr>
          <w:rFonts w:eastAsia="仿宋_GB2312"/>
          <w:sz w:val="32"/>
          <w:szCs w:val="32"/>
        </w:rPr>
        <w:t>烟草专卖局雪茄烟专营店零售点合理布局公示表》（附件</w:t>
      </w:r>
      <w:r>
        <w:rPr>
          <w:rFonts w:hint="eastAsia" w:eastAsia="仿宋_GB2312"/>
          <w:sz w:val="32"/>
          <w:szCs w:val="32"/>
        </w:rPr>
        <w:t>3</w:t>
      </w:r>
      <w:r>
        <w:rPr>
          <w:rFonts w:eastAsia="仿宋_GB2312"/>
          <w:sz w:val="32"/>
          <w:szCs w:val="32"/>
        </w:rPr>
        <w:t>）。</w:t>
      </w:r>
      <w:r>
        <w:rPr>
          <w:rFonts w:hint="default" w:ascii="仿宋_GB2312" w:hAnsi="仿宋_GB2312" w:eastAsia="仿宋_GB2312" w:cs="仿宋_GB2312"/>
          <w:sz w:val="32"/>
          <w:szCs w:val="32"/>
          <w:highlight w:val="none"/>
          <w:lang w:val="en-US" w:eastAsia="zh-CN"/>
        </w:rPr>
        <w:t>其中，公示执行标准、公示方式等实行动态调整管理制度，详见本规划</w:t>
      </w:r>
      <w:r>
        <w:rPr>
          <w:rFonts w:hint="eastAsia" w:ascii="仿宋_GB2312" w:hAnsi="仿宋_GB2312" w:eastAsia="仿宋_GB2312" w:cs="仿宋_GB2312"/>
          <w:sz w:val="32"/>
          <w:szCs w:val="32"/>
          <w:highlight w:val="none"/>
          <w:lang w:val="en-US" w:eastAsia="zh-CN"/>
        </w:rPr>
        <w:t>附件8</w:t>
      </w:r>
      <w:r>
        <w:rPr>
          <w:rFonts w:hint="default" w:ascii="仿宋_GB2312" w:hAnsi="仿宋_GB2312" w:eastAsia="仿宋_GB2312" w:cs="仿宋_GB2312"/>
          <w:sz w:val="32"/>
          <w:szCs w:val="32"/>
          <w:highlight w:val="none"/>
          <w:lang w:val="en-US" w:eastAsia="zh-CN"/>
        </w:rPr>
        <w:t>。</w:t>
      </w:r>
    </w:p>
    <w:p w14:paraId="6F0A2DF8">
      <w:pPr>
        <w:keepNext w:val="0"/>
        <w:keepLines w:val="0"/>
        <w:pageBreakBefore w:val="0"/>
        <w:widowControl w:val="0"/>
        <w:numPr>
          <w:ilvl w:val="2"/>
          <w:numId w:val="2"/>
        </w:numPr>
        <w:kinsoku/>
        <w:wordWrap/>
        <w:overflowPunct/>
        <w:topLinePunct w:val="0"/>
        <w:bidi w:val="0"/>
        <w:adjustRightInd w:val="0"/>
        <w:snapToGrid w:val="0"/>
        <w:spacing w:before="113" w:line="360" w:lineRule="auto"/>
        <w:ind w:firstLine="640" w:firstLineChars="200"/>
        <w:jc w:val="left"/>
        <w:textAlignment w:val="baseline"/>
        <w:rPr>
          <w:rFonts w:eastAsia="仿宋_GB2312"/>
          <w:sz w:val="32"/>
          <w:szCs w:val="32"/>
        </w:rPr>
      </w:pPr>
      <w:r>
        <w:rPr>
          <w:rFonts w:eastAsia="仿宋_GB2312"/>
          <w:sz w:val="32"/>
          <w:szCs w:val="32"/>
        </w:rPr>
        <w:t>新设雪茄烟专营店零售点应同时满足以下条件：</w:t>
      </w:r>
    </w:p>
    <w:p w14:paraId="23C08827">
      <w:pPr>
        <w:pStyle w:val="2"/>
        <w:keepNext w:val="0"/>
        <w:keepLines w:val="0"/>
        <w:pageBreakBefore w:val="0"/>
        <w:widowControl w:val="0"/>
        <w:kinsoku/>
        <w:wordWrap/>
        <w:overflowPunct/>
        <w:topLinePunct w:val="0"/>
        <w:bidi w:val="0"/>
        <w:spacing w:line="360" w:lineRule="auto"/>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一</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符合</w:t>
      </w:r>
      <w:r>
        <w:rPr>
          <w:rFonts w:hint="eastAsia" w:ascii="Times New Roman" w:hAnsi="Times New Roman" w:eastAsia="仿宋_GB2312" w:cs="Times New Roman"/>
          <w:sz w:val="32"/>
          <w:szCs w:val="32"/>
          <w:lang w:val="en-US" w:eastAsia="zh-CN"/>
        </w:rPr>
        <w:t>本规划</w:t>
      </w:r>
      <w:r>
        <w:rPr>
          <w:rFonts w:ascii="Times New Roman" w:hAnsi="Times New Roman" w:eastAsia="仿宋_GB2312" w:cs="Times New Roman"/>
          <w:sz w:val="32"/>
          <w:szCs w:val="32"/>
        </w:rPr>
        <w:t>第十</w:t>
      </w:r>
      <w:r>
        <w:rPr>
          <w:rFonts w:hint="eastAsia" w:eastAsia="仿宋_GB2312" w:cs="Times New Roman"/>
          <w:sz w:val="32"/>
          <w:szCs w:val="32"/>
          <w:lang w:val="en-US" w:eastAsia="zh-CN"/>
        </w:rPr>
        <w:t>四</w:t>
      </w:r>
      <w:r>
        <w:rPr>
          <w:rFonts w:ascii="Times New Roman" w:hAnsi="Times New Roman" w:eastAsia="仿宋_GB2312" w:cs="Times New Roman"/>
          <w:sz w:val="32"/>
          <w:szCs w:val="32"/>
        </w:rPr>
        <w:t>条中的雪茄烟专营店零售点规划数限制</w:t>
      </w:r>
      <w:r>
        <w:rPr>
          <w:rFonts w:hint="eastAsia" w:ascii="仿宋_GB2312" w:hAnsi="仿宋_GB2312" w:eastAsia="仿宋_GB2312" w:cs="仿宋_GB2312"/>
          <w:sz w:val="32"/>
          <w:szCs w:val="32"/>
          <w:highlight w:val="none"/>
          <w:lang w:val="en-US" w:eastAsia="zh-CN"/>
        </w:rPr>
        <w:t>及符合本规划《云南省晋宁区烟草专卖局烟草制品零售点不予发放烟草专卖零售许可证的情形》要求。</w:t>
      </w:r>
    </w:p>
    <w:p w14:paraId="32FDA1EF">
      <w:pPr>
        <w:keepNext w:val="0"/>
        <w:keepLines w:val="0"/>
        <w:pageBreakBefore w:val="0"/>
        <w:widowControl w:val="0"/>
        <w:kinsoku/>
        <w:wordWrap/>
        <w:overflowPunct/>
        <w:topLinePunct w:val="0"/>
        <w:autoSpaceDE/>
        <w:autoSpaceDN/>
        <w:bidi w:val="0"/>
        <w:adjustRightInd w:val="0"/>
        <w:snapToGrid w:val="0"/>
        <w:spacing w:before="113" w:after="0" w:line="360" w:lineRule="auto"/>
        <w:ind w:firstLine="640" w:firstLineChars="200"/>
        <w:jc w:val="both"/>
        <w:textAlignment w:val="baseline"/>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二</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雪茄烟专营零售点设置不做店间距离限制，也不作为其它烟草制品零售点、电子烟零售点设置过程中店间距离测量的参照基准。</w:t>
      </w:r>
    </w:p>
    <w:p w14:paraId="4355E04A">
      <w:pPr>
        <w:keepNext w:val="0"/>
        <w:keepLines w:val="0"/>
        <w:pageBreakBefore w:val="0"/>
        <w:widowControl w:val="0"/>
        <w:kinsoku/>
        <w:wordWrap/>
        <w:overflowPunct/>
        <w:topLinePunct w:val="0"/>
        <w:autoSpaceDE/>
        <w:autoSpaceDN/>
        <w:bidi w:val="0"/>
        <w:adjustRightInd w:val="0"/>
        <w:snapToGrid w:val="0"/>
        <w:spacing w:before="113" w:after="0" w:line="360" w:lineRule="auto"/>
        <w:ind w:firstLine="640" w:firstLineChars="200"/>
        <w:jc w:val="both"/>
        <w:textAlignment w:val="baseline"/>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三</w:t>
      </w:r>
      <w:r>
        <w:rPr>
          <w:rFonts w:hint="eastAsia" w:ascii="Times New Roman" w:hAnsi="Times New Roman" w:eastAsia="仿宋_GB2312" w:cs="Times New Roman"/>
          <w:sz w:val="32"/>
          <w:szCs w:val="32"/>
          <w:lang w:eastAsia="zh-CN"/>
        </w:rPr>
        <w:t>）雪茄烟专营零售点应具备独立的经营区域、</w:t>
      </w:r>
      <w:r>
        <w:rPr>
          <w:rFonts w:hint="eastAsia" w:ascii="Times New Roman" w:hAnsi="Times New Roman" w:eastAsia="仿宋_GB2312" w:cs="Times New Roman"/>
          <w:sz w:val="32"/>
          <w:szCs w:val="32"/>
          <w:lang w:val="en-US" w:eastAsia="zh-CN"/>
        </w:rPr>
        <w:t>体验区和存储区</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并配置</w:t>
      </w:r>
      <w:r>
        <w:rPr>
          <w:rFonts w:hint="eastAsia" w:ascii="Times New Roman" w:hAnsi="Times New Roman" w:eastAsia="仿宋_GB2312" w:cs="Times New Roman"/>
          <w:sz w:val="32"/>
          <w:szCs w:val="32"/>
          <w:lang w:eastAsia="zh-CN"/>
        </w:rPr>
        <w:t>雪茄烟经营</w:t>
      </w:r>
      <w:r>
        <w:rPr>
          <w:rFonts w:hint="eastAsia" w:ascii="Times New Roman" w:hAnsi="Times New Roman" w:eastAsia="仿宋_GB2312" w:cs="Times New Roman"/>
          <w:sz w:val="32"/>
          <w:szCs w:val="32"/>
          <w:lang w:val="en-US" w:eastAsia="zh-CN"/>
        </w:rPr>
        <w:t>所需的</w:t>
      </w:r>
      <w:r>
        <w:rPr>
          <w:rFonts w:hint="eastAsia" w:ascii="Times New Roman" w:hAnsi="Times New Roman" w:eastAsia="仿宋_GB2312" w:cs="Times New Roman"/>
          <w:sz w:val="32"/>
          <w:szCs w:val="32"/>
          <w:lang w:eastAsia="zh-CN"/>
        </w:rPr>
        <w:t>设施设备（包含但不限于雪茄保湿房、雪茄保湿柜、雪茄保湿盒、雪茄保湿袋等）。（</w:t>
      </w:r>
      <w:r>
        <w:rPr>
          <w:rFonts w:hint="eastAsia" w:ascii="Times New Roman" w:hAnsi="Times New Roman" w:eastAsia="仿宋_GB2312" w:cs="Times New Roman"/>
          <w:sz w:val="32"/>
          <w:szCs w:val="32"/>
          <w:lang w:val="en-US" w:eastAsia="zh-CN"/>
        </w:rPr>
        <w:t>四</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取得雪茄烟专营零售资格的被许可主体，如需变更其烟草专卖零售许可证经营范围的，需符合相应其他规定。</w:t>
      </w:r>
    </w:p>
    <w:p w14:paraId="0092BAD8">
      <w:pPr>
        <w:pStyle w:val="9"/>
        <w:keepNext w:val="0"/>
        <w:keepLines w:val="0"/>
        <w:pageBreakBefore w:val="0"/>
        <w:widowControl w:val="0"/>
        <w:numPr>
          <w:ilvl w:val="0"/>
          <w:numId w:val="1"/>
        </w:numPr>
        <w:kinsoku/>
        <w:wordWrap/>
        <w:overflowPunct/>
        <w:topLinePunct w:val="0"/>
        <w:bidi w:val="0"/>
        <w:snapToGrid w:val="0"/>
        <w:spacing w:before="312" w:beforeLines="100" w:after="312" w:afterLines="100" w:line="360" w:lineRule="auto"/>
        <w:ind w:firstLine="640" w:firstLineChars="200"/>
        <w:textAlignment w:val="baseline"/>
        <w:rPr>
          <w:rFonts w:ascii="Times New Roman" w:hAnsi="Times New Roman" w:eastAsia="黑体"/>
          <w:sz w:val="32"/>
          <w:szCs w:val="32"/>
        </w:rPr>
      </w:pPr>
      <w:r>
        <w:rPr>
          <w:rFonts w:ascii="Times New Roman" w:hAnsi="Times New Roman" w:eastAsia="黑体"/>
          <w:sz w:val="32"/>
          <w:szCs w:val="32"/>
        </w:rPr>
        <w:t>附则</w:t>
      </w:r>
    </w:p>
    <w:p w14:paraId="2CA877AE">
      <w:pPr>
        <w:keepNext w:val="0"/>
        <w:keepLines w:val="0"/>
        <w:pageBreakBefore w:val="0"/>
        <w:widowControl w:val="0"/>
        <w:numPr>
          <w:ilvl w:val="2"/>
          <w:numId w:val="2"/>
        </w:numPr>
        <w:kinsoku/>
        <w:wordWrap/>
        <w:overflowPunct/>
        <w:topLinePunct w:val="0"/>
        <w:bidi w:val="0"/>
        <w:snapToGrid w:val="0"/>
        <w:spacing w:line="360" w:lineRule="auto"/>
        <w:ind w:firstLine="680" w:firstLineChars="200"/>
        <w:jc w:val="left"/>
        <w:rPr>
          <w:rFonts w:eastAsia="仿宋_GB2312"/>
          <w:spacing w:val="10"/>
          <w:sz w:val="32"/>
          <w:szCs w:val="32"/>
        </w:rPr>
      </w:pPr>
      <w:r>
        <w:rPr>
          <w:rFonts w:eastAsia="仿宋_GB2312"/>
          <w:spacing w:val="10"/>
          <w:sz w:val="32"/>
          <w:szCs w:val="32"/>
        </w:rPr>
        <w:t>本规划实施后，如遇相关法律</w:t>
      </w:r>
      <w:r>
        <w:rPr>
          <w:rFonts w:hint="eastAsia" w:eastAsia="仿宋_GB2312"/>
          <w:spacing w:val="10"/>
          <w:sz w:val="32"/>
          <w:szCs w:val="32"/>
        </w:rPr>
        <w:t>、</w:t>
      </w:r>
      <w:r>
        <w:rPr>
          <w:rFonts w:eastAsia="仿宋_GB2312"/>
          <w:spacing w:val="10"/>
          <w:sz w:val="32"/>
          <w:szCs w:val="32"/>
        </w:rPr>
        <w:t>法规、规章及规范性文件调整的，根据最新规定进行调整，及时报当地本级人民政府法制部门备案后公布实施。</w:t>
      </w:r>
    </w:p>
    <w:p w14:paraId="12695A10">
      <w:pPr>
        <w:keepNext w:val="0"/>
        <w:keepLines w:val="0"/>
        <w:pageBreakBefore w:val="0"/>
        <w:widowControl w:val="0"/>
        <w:numPr>
          <w:ilvl w:val="2"/>
          <w:numId w:val="2"/>
        </w:numPr>
        <w:kinsoku/>
        <w:wordWrap/>
        <w:overflowPunct/>
        <w:topLinePunct w:val="0"/>
        <w:bidi w:val="0"/>
        <w:snapToGrid w:val="0"/>
        <w:spacing w:line="360" w:lineRule="auto"/>
        <w:ind w:firstLine="680" w:firstLineChars="200"/>
        <w:jc w:val="left"/>
        <w:rPr>
          <w:rFonts w:eastAsia="仿宋_GB2312"/>
          <w:sz w:val="32"/>
          <w:szCs w:val="32"/>
        </w:rPr>
      </w:pPr>
      <w:r>
        <w:rPr>
          <w:rFonts w:eastAsia="仿宋_GB2312"/>
          <w:spacing w:val="10"/>
          <w:sz w:val="32"/>
          <w:szCs w:val="32"/>
        </w:rPr>
        <w:t>本区</w:t>
      </w:r>
      <w:r>
        <w:rPr>
          <w:rFonts w:eastAsia="仿宋_GB2312"/>
          <w:sz w:val="32"/>
          <w:szCs w:val="32"/>
        </w:rPr>
        <w:t>零售点合理布局实行定期评价、动态管理。每季度根据本地经济发展、城乡建设、市场形势等变化情况进行调整并公示后实施。动态调整规则</w:t>
      </w:r>
      <w:r>
        <w:rPr>
          <w:rFonts w:hint="eastAsia" w:eastAsia="仿宋_GB2312"/>
          <w:sz w:val="32"/>
          <w:szCs w:val="32"/>
        </w:rPr>
        <w:t>按照附件</w:t>
      </w:r>
      <w:r>
        <w:rPr>
          <w:rFonts w:hint="eastAsia" w:eastAsia="仿宋_GB2312"/>
          <w:sz w:val="32"/>
          <w:szCs w:val="32"/>
          <w:lang w:val="en-US" w:eastAsia="zh-CN"/>
        </w:rPr>
        <w:t>8</w:t>
      </w:r>
      <w:r>
        <w:rPr>
          <w:rFonts w:hint="eastAsia" w:eastAsia="仿宋_GB2312"/>
          <w:sz w:val="32"/>
          <w:szCs w:val="32"/>
        </w:rPr>
        <w:t>执行</w:t>
      </w:r>
      <w:r>
        <w:rPr>
          <w:rFonts w:eastAsia="仿宋_GB2312"/>
          <w:sz w:val="32"/>
          <w:szCs w:val="32"/>
        </w:rPr>
        <w:t>。</w:t>
      </w:r>
    </w:p>
    <w:p w14:paraId="768F99E5">
      <w:pPr>
        <w:keepNext w:val="0"/>
        <w:keepLines w:val="0"/>
        <w:pageBreakBefore w:val="0"/>
        <w:widowControl w:val="0"/>
        <w:numPr>
          <w:ilvl w:val="2"/>
          <w:numId w:val="2"/>
        </w:numPr>
        <w:kinsoku/>
        <w:wordWrap/>
        <w:overflowPunct/>
        <w:topLinePunct w:val="0"/>
        <w:bidi w:val="0"/>
        <w:snapToGrid w:val="0"/>
        <w:spacing w:line="360" w:lineRule="auto"/>
        <w:ind w:firstLine="640" w:firstLineChars="200"/>
        <w:jc w:val="left"/>
        <w:rPr>
          <w:rFonts w:eastAsia="仿宋_GB2312"/>
          <w:sz w:val="32"/>
          <w:szCs w:val="32"/>
        </w:rPr>
      </w:pPr>
      <w:r>
        <w:rPr>
          <w:rFonts w:hint="eastAsia" w:eastAsia="仿宋_GB2312"/>
          <w:sz w:val="32"/>
          <w:szCs w:val="32"/>
        </w:rPr>
        <w:t>本规划结合实际，在公平公正、技术可行、群众认可的基础上，对辖区内实行数量限制的零售点布局采取“集中摇号制度”或者“排队轮候制度”等管理方式，并在对外公示后执行。详见《</w:t>
      </w:r>
      <w:r>
        <w:rPr>
          <w:rFonts w:hint="eastAsia" w:eastAsia="仿宋_GB2312"/>
          <w:sz w:val="32"/>
          <w:szCs w:val="32"/>
          <w:lang w:eastAsia="zh-CN"/>
        </w:rPr>
        <w:t>云南省晋宁区</w:t>
      </w:r>
      <w:r>
        <w:rPr>
          <w:rFonts w:hint="eastAsia" w:eastAsia="仿宋_GB2312"/>
          <w:sz w:val="32"/>
          <w:szCs w:val="32"/>
        </w:rPr>
        <w:t>烟草专卖局烟草制品零售点集中摇号制度》（附件6）及《</w:t>
      </w:r>
      <w:r>
        <w:rPr>
          <w:rFonts w:hint="eastAsia" w:eastAsia="仿宋_GB2312"/>
          <w:sz w:val="32"/>
          <w:szCs w:val="32"/>
          <w:lang w:eastAsia="zh-CN"/>
        </w:rPr>
        <w:t>云南省晋宁区</w:t>
      </w:r>
      <w:r>
        <w:rPr>
          <w:rFonts w:hint="eastAsia" w:eastAsia="仿宋_GB2312"/>
          <w:sz w:val="32"/>
          <w:szCs w:val="32"/>
        </w:rPr>
        <w:t>烟草专卖局烟草制品零售点排队轮候制度》（附件7）</w:t>
      </w:r>
      <w:r>
        <w:rPr>
          <w:rFonts w:eastAsia="仿宋_GB2312"/>
          <w:sz w:val="32"/>
          <w:szCs w:val="32"/>
        </w:rPr>
        <w:t>。</w:t>
      </w:r>
    </w:p>
    <w:p w14:paraId="03FE4077">
      <w:pPr>
        <w:pStyle w:val="2"/>
        <w:keepNext w:val="0"/>
        <w:keepLines w:val="0"/>
        <w:pageBreakBefore w:val="0"/>
        <w:widowControl w:val="0"/>
        <w:numPr>
          <w:ilvl w:val="0"/>
          <w:numId w:val="0"/>
        </w:numPr>
        <w:kinsoku/>
        <w:wordWrap/>
        <w:overflowPunct/>
        <w:topLinePunct w:val="0"/>
        <w:bidi w:val="0"/>
        <w:spacing w:line="360" w:lineRule="auto"/>
        <w:ind w:firstLine="640" w:firstLineChars="200"/>
        <w:jc w:val="both"/>
        <w:rPr>
          <w:rFonts w:hint="default" w:ascii="仿宋_GB2312" w:hAnsi="仿宋_GB2312" w:eastAsia="仿宋_GB2312" w:cs="仿宋_GB2312"/>
          <w:sz w:val="32"/>
          <w:szCs w:val="32"/>
          <w:highlight w:val="none"/>
          <w:lang w:val="en-US" w:eastAsia="zh-CN"/>
        </w:rPr>
      </w:pPr>
      <w:r>
        <w:rPr>
          <w:rFonts w:hint="eastAsia" w:eastAsia="仿宋_GB2312"/>
          <w:sz w:val="32"/>
          <w:szCs w:val="32"/>
        </w:rPr>
        <w:t>符合第十条、第十</w:t>
      </w:r>
      <w:r>
        <w:rPr>
          <w:rFonts w:hint="eastAsia" w:eastAsia="仿宋_GB2312"/>
          <w:sz w:val="32"/>
          <w:szCs w:val="32"/>
          <w:lang w:val="en-US" w:eastAsia="zh-CN"/>
        </w:rPr>
        <w:t>一</w:t>
      </w:r>
      <w:r>
        <w:rPr>
          <w:rFonts w:hint="eastAsia" w:eastAsia="仿宋_GB2312"/>
          <w:sz w:val="32"/>
          <w:szCs w:val="32"/>
        </w:rPr>
        <w:t>条情形的，申请人不实行排队轮候制度</w:t>
      </w:r>
      <w:r>
        <w:rPr>
          <w:rFonts w:hint="eastAsia" w:eastAsia="仿宋_GB2312"/>
          <w:sz w:val="32"/>
          <w:szCs w:val="32"/>
          <w:lang w:eastAsia="zh-CN"/>
        </w:rPr>
        <w:t>，</w:t>
      </w:r>
      <w:r>
        <w:rPr>
          <w:rFonts w:hint="eastAsia" w:eastAsia="仿宋_GB2312"/>
          <w:sz w:val="32"/>
          <w:szCs w:val="32"/>
          <w:lang w:val="en-US" w:eastAsia="zh-CN"/>
        </w:rPr>
        <w:t>以上</w:t>
      </w:r>
      <w:r>
        <w:rPr>
          <w:rFonts w:hint="eastAsia" w:ascii="仿宋_GB2312" w:hAnsi="仿宋_GB2312" w:eastAsia="仿宋_GB2312" w:cs="仿宋_GB2312"/>
          <w:color w:val="auto"/>
          <w:kern w:val="2"/>
          <w:sz w:val="32"/>
          <w:szCs w:val="32"/>
          <w:highlight w:val="none"/>
          <w:lang w:val="en-US" w:eastAsia="zh-CN" w:bidi="ar-SA"/>
        </w:rPr>
        <w:t>特殊区域零售点及本规划第十四条规定的雪茄烟专营店零售点，在公示的合理容量内，按照申请人提交新办申请资料的时间顺序依次受理审核。</w:t>
      </w:r>
    </w:p>
    <w:p w14:paraId="67273E45">
      <w:pPr>
        <w:keepNext w:val="0"/>
        <w:keepLines w:val="0"/>
        <w:pageBreakBefore w:val="0"/>
        <w:widowControl w:val="0"/>
        <w:kinsoku/>
        <w:wordWrap/>
        <w:overflowPunct/>
        <w:topLinePunct w:val="0"/>
        <w:bidi w:val="0"/>
        <w:snapToGrid w:val="0"/>
        <w:spacing w:line="360" w:lineRule="auto"/>
        <w:ind w:firstLine="640" w:firstLineChars="200"/>
        <w:jc w:val="left"/>
        <w:rPr>
          <w:rFonts w:hint="eastAsia" w:eastAsia="仿宋_GB2312"/>
          <w:color w:val="FF0000"/>
          <w:sz w:val="32"/>
          <w:szCs w:val="32"/>
          <w:lang w:eastAsia="zh-CN"/>
        </w:rPr>
      </w:pPr>
    </w:p>
    <w:p w14:paraId="2E6612E4">
      <w:pPr>
        <w:keepNext w:val="0"/>
        <w:keepLines w:val="0"/>
        <w:pageBreakBefore w:val="0"/>
        <w:widowControl w:val="0"/>
        <w:numPr>
          <w:ilvl w:val="2"/>
          <w:numId w:val="2"/>
        </w:numPr>
        <w:kinsoku/>
        <w:wordWrap/>
        <w:overflowPunct/>
        <w:topLinePunct w:val="0"/>
        <w:bidi w:val="0"/>
        <w:snapToGrid w:val="0"/>
        <w:spacing w:line="360" w:lineRule="auto"/>
        <w:ind w:firstLine="640" w:firstLineChars="200"/>
        <w:jc w:val="left"/>
        <w:rPr>
          <w:rFonts w:eastAsia="仿宋_GB2312"/>
          <w:sz w:val="32"/>
          <w:szCs w:val="32"/>
        </w:rPr>
      </w:pPr>
      <w:r>
        <w:rPr>
          <w:rFonts w:hint="eastAsia" w:eastAsia="仿宋_GB2312"/>
          <w:sz w:val="32"/>
          <w:szCs w:val="32"/>
          <w:lang w:val="en-US" w:eastAsia="zh-CN"/>
        </w:rPr>
        <w:t>晋宁</w:t>
      </w:r>
      <w:r>
        <w:rPr>
          <w:rFonts w:hint="eastAsia" w:eastAsia="仿宋_GB2312"/>
          <w:sz w:val="32"/>
          <w:szCs w:val="32"/>
          <w:lang w:eastAsia="zh-CN"/>
        </w:rPr>
        <w:t>区烟草专卖局每年年底向上一级烟草专卖局报告本年度烟草制品零售点集中摇号管理工作情况。发证机关接收和办理集中摇号业务，不得收取任何费用。</w:t>
      </w:r>
    </w:p>
    <w:p w14:paraId="435BF39C">
      <w:pPr>
        <w:pStyle w:val="2"/>
        <w:keepNext w:val="0"/>
        <w:keepLines w:val="0"/>
        <w:pageBreakBefore w:val="0"/>
        <w:widowControl w:val="0"/>
        <w:kinsoku/>
        <w:wordWrap/>
        <w:overflowPunct/>
        <w:topLinePunct w:val="0"/>
        <w:bidi w:val="0"/>
        <w:spacing w:line="360" w:lineRule="auto"/>
        <w:ind w:firstLine="480" w:firstLineChars="200"/>
      </w:pPr>
    </w:p>
    <w:p w14:paraId="70046A62">
      <w:pPr>
        <w:keepNext w:val="0"/>
        <w:keepLines w:val="0"/>
        <w:pageBreakBefore w:val="0"/>
        <w:widowControl w:val="0"/>
        <w:numPr>
          <w:ilvl w:val="2"/>
          <w:numId w:val="2"/>
        </w:numPr>
        <w:kinsoku/>
        <w:wordWrap/>
        <w:overflowPunct/>
        <w:topLinePunct w:val="0"/>
        <w:bidi w:val="0"/>
        <w:snapToGrid w:val="0"/>
        <w:spacing w:line="360" w:lineRule="auto"/>
        <w:ind w:firstLine="640" w:firstLineChars="200"/>
        <w:jc w:val="left"/>
        <w:rPr>
          <w:rFonts w:hint="eastAsia" w:eastAsia="仿宋_GB2312"/>
          <w:sz w:val="32"/>
          <w:szCs w:val="32"/>
          <w:lang w:eastAsia="zh-CN"/>
        </w:rPr>
      </w:pPr>
      <w:r>
        <w:rPr>
          <w:rFonts w:hint="eastAsia" w:ascii="仿宋_GB2312" w:hAnsi="仿宋_GB2312" w:eastAsia="仿宋_GB2312" w:cs="仿宋_GB2312"/>
          <w:sz w:val="32"/>
          <w:szCs w:val="32"/>
          <w:highlight w:val="none"/>
          <w:lang w:val="en-US" w:eastAsia="zh-CN"/>
        </w:rPr>
        <w:t>烈士配偶、父母、子女或残疾人、退役军人、低保人员本人首次申请零售许可证的，属地烟草专卖局应主动上门提供法律、法规及政策咨询等服务。符合烟草制品零售点布局条件并取得许可证的。属地烟草分公司应提供优质营销服务。</w:t>
      </w:r>
    </w:p>
    <w:p w14:paraId="40C0B0C8">
      <w:pPr>
        <w:keepNext w:val="0"/>
        <w:keepLines w:val="0"/>
        <w:pageBreakBefore w:val="0"/>
        <w:widowControl w:val="0"/>
        <w:numPr>
          <w:ilvl w:val="2"/>
          <w:numId w:val="2"/>
        </w:numPr>
        <w:kinsoku/>
        <w:wordWrap/>
        <w:overflowPunct/>
        <w:topLinePunct w:val="0"/>
        <w:bidi w:val="0"/>
        <w:snapToGrid w:val="0"/>
        <w:spacing w:line="360" w:lineRule="auto"/>
        <w:ind w:firstLine="640" w:firstLineChars="200"/>
        <w:jc w:val="left"/>
        <w:rPr>
          <w:rFonts w:eastAsia="仿宋_GB2312"/>
          <w:sz w:val="32"/>
          <w:szCs w:val="32"/>
        </w:rPr>
      </w:pPr>
      <w:r>
        <w:rPr>
          <w:rFonts w:eastAsia="仿宋_GB2312"/>
          <w:sz w:val="32"/>
          <w:szCs w:val="32"/>
        </w:rPr>
        <w:t>本规划中所称“中小学校”是指普通中小学校、特殊教育学校、中等职业学校、专门学校等。“幼儿园”是指经教育行政主管部门依法批准的公办和民办全日制、寄宿制、半日制幼儿园及小学附设的学前班、幼儿班</w:t>
      </w:r>
      <w:r>
        <w:rPr>
          <w:rFonts w:hint="eastAsia" w:eastAsia="仿宋_GB2312"/>
          <w:sz w:val="32"/>
          <w:szCs w:val="32"/>
        </w:rPr>
        <w:t>等</w:t>
      </w:r>
      <w:r>
        <w:rPr>
          <w:rFonts w:eastAsia="仿宋_GB2312"/>
          <w:sz w:val="32"/>
          <w:szCs w:val="32"/>
        </w:rPr>
        <w:t>。各类培训教育机构、托管班、早教班等除外。</w:t>
      </w:r>
    </w:p>
    <w:p w14:paraId="5C9C7A69">
      <w:pPr>
        <w:keepNext w:val="0"/>
        <w:keepLines w:val="0"/>
        <w:pageBreakBefore w:val="0"/>
        <w:widowControl w:val="0"/>
        <w:numPr>
          <w:ilvl w:val="2"/>
          <w:numId w:val="2"/>
        </w:numPr>
        <w:kinsoku/>
        <w:wordWrap/>
        <w:overflowPunct/>
        <w:topLinePunct w:val="0"/>
        <w:bidi w:val="0"/>
        <w:snapToGrid w:val="0"/>
        <w:spacing w:line="360" w:lineRule="auto"/>
        <w:ind w:firstLine="680" w:firstLineChars="200"/>
        <w:jc w:val="left"/>
        <w:rPr>
          <w:rFonts w:eastAsia="仿宋_GB2312"/>
          <w:spacing w:val="10"/>
          <w:sz w:val="32"/>
          <w:szCs w:val="32"/>
        </w:rPr>
      </w:pPr>
      <w:r>
        <w:rPr>
          <w:rFonts w:eastAsia="仿宋_GB2312"/>
          <w:spacing w:val="10"/>
          <w:sz w:val="32"/>
          <w:szCs w:val="32"/>
        </w:rPr>
        <w:t>本规划中“以上”“不低于”“不超过”“以内”等，如无特殊说明均包括本数。</w:t>
      </w:r>
    </w:p>
    <w:p w14:paraId="5483BA13">
      <w:pPr>
        <w:keepNext w:val="0"/>
        <w:keepLines w:val="0"/>
        <w:pageBreakBefore w:val="0"/>
        <w:widowControl w:val="0"/>
        <w:numPr>
          <w:ilvl w:val="2"/>
          <w:numId w:val="2"/>
        </w:numPr>
        <w:kinsoku/>
        <w:wordWrap/>
        <w:overflowPunct/>
        <w:topLinePunct w:val="0"/>
        <w:bidi w:val="0"/>
        <w:snapToGrid w:val="0"/>
        <w:spacing w:line="360" w:lineRule="auto"/>
        <w:ind w:firstLine="680" w:firstLineChars="200"/>
        <w:jc w:val="left"/>
        <w:rPr>
          <w:rFonts w:eastAsia="仿宋_GB2312"/>
          <w:spacing w:val="10"/>
          <w:sz w:val="32"/>
          <w:szCs w:val="32"/>
        </w:rPr>
      </w:pPr>
      <w:r>
        <w:rPr>
          <w:rFonts w:eastAsia="仿宋_GB2312"/>
          <w:spacing w:val="10"/>
          <w:sz w:val="32"/>
          <w:szCs w:val="32"/>
        </w:rPr>
        <w:t>本规划中按照年、月、日计算期间的，开始的当日不计入，自下一日开始计算。均以工作日计算，不含法定节假日。</w:t>
      </w:r>
    </w:p>
    <w:p w14:paraId="4007C1D3">
      <w:pPr>
        <w:keepNext w:val="0"/>
        <w:keepLines w:val="0"/>
        <w:pageBreakBefore w:val="0"/>
        <w:widowControl w:val="0"/>
        <w:numPr>
          <w:ilvl w:val="2"/>
          <w:numId w:val="2"/>
        </w:numPr>
        <w:kinsoku/>
        <w:wordWrap/>
        <w:overflowPunct/>
        <w:topLinePunct w:val="0"/>
        <w:bidi w:val="0"/>
        <w:snapToGrid w:val="0"/>
        <w:spacing w:line="360" w:lineRule="auto"/>
        <w:ind w:firstLine="680" w:firstLineChars="200"/>
        <w:jc w:val="left"/>
        <w:textAlignment w:val="baseline"/>
        <w:rPr>
          <w:rFonts w:eastAsia="仿宋_GB2312"/>
          <w:spacing w:val="10"/>
          <w:sz w:val="32"/>
          <w:szCs w:val="32"/>
        </w:rPr>
      </w:pPr>
      <w:r>
        <w:rPr>
          <w:rFonts w:eastAsia="仿宋_GB2312"/>
          <w:spacing w:val="10"/>
          <w:sz w:val="32"/>
          <w:szCs w:val="32"/>
        </w:rPr>
        <w:t>本规划由云南省</w:t>
      </w:r>
      <w:r>
        <w:rPr>
          <w:rFonts w:hint="eastAsia" w:eastAsia="仿宋_GB2312"/>
          <w:spacing w:val="10"/>
          <w:sz w:val="32"/>
          <w:szCs w:val="32"/>
          <w:lang w:eastAsia="zh-CN"/>
        </w:rPr>
        <w:t>晋宁区</w:t>
      </w:r>
      <w:r>
        <w:rPr>
          <w:rFonts w:eastAsia="仿宋_GB2312"/>
          <w:spacing w:val="10"/>
          <w:sz w:val="32"/>
          <w:szCs w:val="32"/>
        </w:rPr>
        <w:t>烟草专卖局负责解释。</w:t>
      </w:r>
    </w:p>
    <w:p w14:paraId="7665DFAA">
      <w:pPr>
        <w:keepNext w:val="0"/>
        <w:keepLines w:val="0"/>
        <w:pageBreakBefore w:val="0"/>
        <w:widowControl w:val="0"/>
        <w:numPr>
          <w:ilvl w:val="2"/>
          <w:numId w:val="2"/>
        </w:numPr>
        <w:kinsoku/>
        <w:wordWrap/>
        <w:overflowPunct/>
        <w:topLinePunct w:val="0"/>
        <w:bidi w:val="0"/>
        <w:snapToGrid w:val="0"/>
        <w:spacing w:line="360" w:lineRule="auto"/>
        <w:ind w:firstLine="680" w:firstLineChars="200"/>
        <w:jc w:val="left"/>
        <w:textAlignment w:val="baseline"/>
        <w:rPr>
          <w:rFonts w:eastAsia="仿宋_GB2312"/>
          <w:sz w:val="32"/>
          <w:szCs w:val="32"/>
        </w:rPr>
      </w:pPr>
      <w:r>
        <w:rPr>
          <w:rFonts w:eastAsia="仿宋_GB2312"/>
          <w:spacing w:val="10"/>
          <w:sz w:val="32"/>
          <w:szCs w:val="32"/>
        </w:rPr>
        <w:t>本规划于公布之日起三十日后施行。202</w:t>
      </w:r>
      <w:r>
        <w:rPr>
          <w:rFonts w:hint="eastAsia" w:eastAsia="仿宋_GB2312"/>
          <w:spacing w:val="10"/>
          <w:sz w:val="32"/>
          <w:szCs w:val="32"/>
          <w:lang w:val="en-US" w:eastAsia="zh-CN"/>
        </w:rPr>
        <w:t>1</w:t>
      </w:r>
      <w:r>
        <w:rPr>
          <w:rFonts w:eastAsia="仿宋_GB2312"/>
          <w:spacing w:val="10"/>
          <w:sz w:val="32"/>
          <w:szCs w:val="32"/>
        </w:rPr>
        <w:t>年</w:t>
      </w:r>
      <w:r>
        <w:rPr>
          <w:rFonts w:hint="eastAsia" w:eastAsia="仿宋_GB2312"/>
          <w:spacing w:val="10"/>
          <w:sz w:val="32"/>
          <w:szCs w:val="32"/>
          <w:lang w:val="en-US" w:eastAsia="zh-CN"/>
        </w:rPr>
        <w:t>10</w:t>
      </w:r>
      <w:r>
        <w:rPr>
          <w:rFonts w:eastAsia="仿宋_GB2312"/>
          <w:spacing w:val="10"/>
          <w:sz w:val="32"/>
          <w:szCs w:val="32"/>
        </w:rPr>
        <w:t>月</w:t>
      </w:r>
      <w:r>
        <w:rPr>
          <w:rFonts w:hint="eastAsia" w:eastAsia="仿宋_GB2312"/>
          <w:spacing w:val="10"/>
          <w:sz w:val="32"/>
          <w:szCs w:val="32"/>
          <w:lang w:val="en-US" w:eastAsia="zh-CN"/>
        </w:rPr>
        <w:t>20</w:t>
      </w:r>
      <w:r>
        <w:rPr>
          <w:rFonts w:eastAsia="仿宋_GB2312"/>
          <w:spacing w:val="10"/>
          <w:sz w:val="32"/>
          <w:szCs w:val="32"/>
        </w:rPr>
        <w:t>日起实施的《</w:t>
      </w:r>
      <w:r>
        <w:rPr>
          <w:rFonts w:hint="eastAsia" w:eastAsia="仿宋_GB2312"/>
          <w:spacing w:val="10"/>
          <w:sz w:val="32"/>
          <w:szCs w:val="32"/>
          <w:lang w:val="en-US" w:eastAsia="zh-CN"/>
        </w:rPr>
        <w:t>晋宁区</w:t>
      </w:r>
      <w:r>
        <w:rPr>
          <w:rFonts w:eastAsia="仿宋_GB2312"/>
          <w:spacing w:val="10"/>
          <w:sz w:val="32"/>
          <w:szCs w:val="32"/>
        </w:rPr>
        <w:t>烟草制品零售点合理布局规定》（</w:t>
      </w:r>
      <w:r>
        <w:rPr>
          <w:rFonts w:hint="eastAsia" w:eastAsia="仿宋_GB2312"/>
          <w:spacing w:val="10"/>
          <w:sz w:val="32"/>
          <w:szCs w:val="32"/>
          <w:lang w:val="en-US" w:eastAsia="zh-CN"/>
        </w:rPr>
        <w:t>晋烟局</w:t>
      </w:r>
      <w:r>
        <w:rPr>
          <w:rFonts w:eastAsia="仿宋_GB2312"/>
          <w:spacing w:val="10"/>
          <w:sz w:val="32"/>
          <w:szCs w:val="32"/>
        </w:rPr>
        <w:t>〔202</w:t>
      </w:r>
      <w:r>
        <w:rPr>
          <w:rFonts w:hint="eastAsia" w:eastAsia="仿宋_GB2312"/>
          <w:spacing w:val="10"/>
          <w:sz w:val="32"/>
          <w:szCs w:val="32"/>
          <w:lang w:val="en-US" w:eastAsia="zh-CN"/>
        </w:rPr>
        <w:t>1</w:t>
      </w:r>
      <w:r>
        <w:rPr>
          <w:rFonts w:eastAsia="仿宋_GB2312"/>
          <w:spacing w:val="10"/>
          <w:sz w:val="32"/>
          <w:szCs w:val="32"/>
        </w:rPr>
        <w:t>〕</w:t>
      </w:r>
      <w:r>
        <w:rPr>
          <w:rFonts w:hint="eastAsia" w:eastAsia="仿宋_GB2312"/>
          <w:spacing w:val="10"/>
          <w:sz w:val="32"/>
          <w:szCs w:val="32"/>
          <w:lang w:val="en-US" w:eastAsia="zh-CN"/>
        </w:rPr>
        <w:t>14</w:t>
      </w:r>
      <w:r>
        <w:rPr>
          <w:rFonts w:eastAsia="仿宋_GB2312"/>
          <w:spacing w:val="10"/>
          <w:sz w:val="32"/>
          <w:szCs w:val="32"/>
        </w:rPr>
        <w:t>号）同时废止。</w:t>
      </w:r>
    </w:p>
    <w:p w14:paraId="732325D1">
      <w:pPr>
        <w:keepNext w:val="0"/>
        <w:keepLines w:val="0"/>
        <w:pageBreakBefore w:val="0"/>
        <w:widowControl w:val="0"/>
        <w:numPr>
          <w:ilvl w:val="255"/>
          <w:numId w:val="0"/>
        </w:numPr>
        <w:kinsoku/>
        <w:wordWrap/>
        <w:overflowPunct/>
        <w:topLinePunct w:val="0"/>
        <w:bidi w:val="0"/>
        <w:snapToGrid w:val="0"/>
        <w:spacing w:line="360" w:lineRule="auto"/>
        <w:ind w:left="420" w:leftChars="200" w:firstLine="680" w:firstLineChars="200"/>
        <w:jc w:val="left"/>
        <w:textAlignment w:val="baseline"/>
        <w:rPr>
          <w:rFonts w:eastAsia="仿宋_GB2312"/>
          <w:spacing w:val="10"/>
          <w:sz w:val="32"/>
          <w:szCs w:val="32"/>
        </w:rPr>
      </w:pPr>
    </w:p>
    <w:p w14:paraId="212DB86F">
      <w:pPr>
        <w:keepNext w:val="0"/>
        <w:keepLines w:val="0"/>
        <w:pageBreakBefore w:val="0"/>
        <w:widowControl w:val="0"/>
        <w:numPr>
          <w:ilvl w:val="255"/>
          <w:numId w:val="0"/>
        </w:numPr>
        <w:kinsoku/>
        <w:wordWrap/>
        <w:overflowPunct/>
        <w:topLinePunct w:val="0"/>
        <w:bidi w:val="0"/>
        <w:snapToGrid w:val="0"/>
        <w:spacing w:line="360" w:lineRule="auto"/>
        <w:ind w:firstLine="640" w:firstLineChars="200"/>
        <w:textAlignment w:val="baseline"/>
        <w:rPr>
          <w:rFonts w:eastAsia="仿宋_GB2312"/>
          <w:sz w:val="32"/>
          <w:szCs w:val="32"/>
        </w:rPr>
      </w:pPr>
      <w:r>
        <w:rPr>
          <w:rFonts w:eastAsia="仿宋_GB2312"/>
          <w:sz w:val="32"/>
          <w:szCs w:val="32"/>
        </w:rPr>
        <w:t>附件1：云南省</w:t>
      </w:r>
      <w:r>
        <w:rPr>
          <w:rFonts w:hint="eastAsia" w:eastAsia="仿宋_GB2312"/>
          <w:sz w:val="32"/>
          <w:szCs w:val="32"/>
          <w:lang w:eastAsia="zh-CN"/>
        </w:rPr>
        <w:t>晋宁区</w:t>
      </w:r>
      <w:r>
        <w:rPr>
          <w:rFonts w:eastAsia="仿宋_GB2312"/>
          <w:sz w:val="32"/>
          <w:szCs w:val="32"/>
        </w:rPr>
        <w:t>烟草制品零售点间距测量规则及标准</w:t>
      </w:r>
    </w:p>
    <w:p w14:paraId="030438F8">
      <w:pPr>
        <w:keepNext w:val="0"/>
        <w:keepLines w:val="0"/>
        <w:pageBreakBefore w:val="0"/>
        <w:widowControl w:val="0"/>
        <w:numPr>
          <w:ilvl w:val="255"/>
          <w:numId w:val="0"/>
        </w:numPr>
        <w:kinsoku/>
        <w:wordWrap/>
        <w:overflowPunct/>
        <w:topLinePunct w:val="0"/>
        <w:bidi w:val="0"/>
        <w:snapToGrid w:val="0"/>
        <w:spacing w:line="360" w:lineRule="auto"/>
        <w:ind w:firstLine="640" w:firstLineChars="200"/>
        <w:textAlignment w:val="baseline"/>
        <w:rPr>
          <w:rFonts w:eastAsia="仿宋_GB2312"/>
          <w:sz w:val="32"/>
          <w:szCs w:val="32"/>
        </w:rPr>
      </w:pPr>
      <w:r>
        <w:rPr>
          <w:rFonts w:eastAsia="仿宋_GB2312"/>
          <w:sz w:val="32"/>
          <w:szCs w:val="32"/>
        </w:rPr>
        <w:t>附件2：云南省</w:t>
      </w:r>
      <w:r>
        <w:rPr>
          <w:rFonts w:hint="eastAsia" w:eastAsia="仿宋_GB2312"/>
          <w:sz w:val="32"/>
          <w:szCs w:val="32"/>
          <w:lang w:eastAsia="zh-CN"/>
        </w:rPr>
        <w:t>晋宁区</w:t>
      </w:r>
      <w:r>
        <w:rPr>
          <w:rFonts w:eastAsia="仿宋_GB2312"/>
          <w:sz w:val="32"/>
          <w:szCs w:val="32"/>
        </w:rPr>
        <w:t>烟草专卖局烟草制品零售点合理布局公示表</w:t>
      </w:r>
    </w:p>
    <w:p w14:paraId="4D997C59">
      <w:pPr>
        <w:keepNext w:val="0"/>
        <w:keepLines w:val="0"/>
        <w:pageBreakBefore w:val="0"/>
        <w:widowControl w:val="0"/>
        <w:numPr>
          <w:ilvl w:val="255"/>
          <w:numId w:val="0"/>
        </w:numPr>
        <w:kinsoku/>
        <w:wordWrap/>
        <w:overflowPunct/>
        <w:topLinePunct w:val="0"/>
        <w:bidi w:val="0"/>
        <w:snapToGrid w:val="0"/>
        <w:spacing w:line="360" w:lineRule="auto"/>
        <w:ind w:firstLine="640" w:firstLineChars="200"/>
        <w:textAlignment w:val="baseline"/>
        <w:rPr>
          <w:rFonts w:eastAsia="仿宋_GB2312"/>
          <w:sz w:val="32"/>
          <w:szCs w:val="32"/>
        </w:rPr>
      </w:pPr>
      <w:r>
        <w:rPr>
          <w:rFonts w:eastAsia="仿宋_GB2312"/>
          <w:sz w:val="32"/>
          <w:szCs w:val="32"/>
        </w:rPr>
        <w:t>附件3：云南省</w:t>
      </w:r>
      <w:r>
        <w:rPr>
          <w:rFonts w:hint="eastAsia" w:eastAsia="仿宋_GB2312"/>
          <w:sz w:val="32"/>
          <w:szCs w:val="32"/>
          <w:lang w:eastAsia="zh-CN"/>
        </w:rPr>
        <w:t>晋宁区</w:t>
      </w:r>
      <w:r>
        <w:rPr>
          <w:rFonts w:eastAsia="仿宋_GB2312"/>
          <w:sz w:val="32"/>
          <w:szCs w:val="32"/>
        </w:rPr>
        <w:t>烟草专卖局雪茄烟专营店零售点合理布局公示表</w:t>
      </w:r>
    </w:p>
    <w:p w14:paraId="06801A24">
      <w:pPr>
        <w:keepNext w:val="0"/>
        <w:keepLines w:val="0"/>
        <w:pageBreakBefore w:val="0"/>
        <w:widowControl w:val="0"/>
        <w:numPr>
          <w:ilvl w:val="255"/>
          <w:numId w:val="0"/>
        </w:numPr>
        <w:kinsoku/>
        <w:wordWrap/>
        <w:overflowPunct/>
        <w:topLinePunct w:val="0"/>
        <w:bidi w:val="0"/>
        <w:snapToGrid w:val="0"/>
        <w:spacing w:line="360" w:lineRule="auto"/>
        <w:ind w:firstLine="640" w:firstLineChars="200"/>
        <w:textAlignment w:val="baseline"/>
        <w:rPr>
          <w:rFonts w:eastAsia="仿宋_GB2312"/>
          <w:sz w:val="32"/>
          <w:szCs w:val="32"/>
        </w:rPr>
      </w:pPr>
      <w:r>
        <w:rPr>
          <w:rFonts w:eastAsia="仿宋_GB2312"/>
          <w:sz w:val="32"/>
          <w:szCs w:val="32"/>
        </w:rPr>
        <w:t>附件4：云南省</w:t>
      </w:r>
      <w:r>
        <w:rPr>
          <w:rFonts w:hint="eastAsia" w:eastAsia="仿宋_GB2312"/>
          <w:sz w:val="32"/>
          <w:szCs w:val="32"/>
          <w:lang w:eastAsia="zh-CN"/>
        </w:rPr>
        <w:t>晋宁区</w:t>
      </w:r>
      <w:r>
        <w:rPr>
          <w:rFonts w:eastAsia="仿宋_GB2312"/>
          <w:sz w:val="32"/>
          <w:szCs w:val="32"/>
        </w:rPr>
        <w:t>烟草专卖局烟草制品零售点合理布局规划网格示意图</w:t>
      </w:r>
    </w:p>
    <w:p w14:paraId="54FD9189">
      <w:pPr>
        <w:keepNext w:val="0"/>
        <w:keepLines w:val="0"/>
        <w:pageBreakBefore w:val="0"/>
        <w:widowControl w:val="0"/>
        <w:numPr>
          <w:ilvl w:val="255"/>
          <w:numId w:val="0"/>
        </w:numPr>
        <w:kinsoku/>
        <w:wordWrap/>
        <w:overflowPunct/>
        <w:topLinePunct w:val="0"/>
        <w:bidi w:val="0"/>
        <w:snapToGrid w:val="0"/>
        <w:spacing w:line="360" w:lineRule="auto"/>
        <w:ind w:firstLine="640" w:firstLineChars="200"/>
        <w:textAlignment w:val="baseline"/>
        <w:rPr>
          <w:rFonts w:eastAsia="仿宋_GB2312"/>
          <w:sz w:val="32"/>
          <w:szCs w:val="32"/>
        </w:rPr>
      </w:pPr>
      <w:r>
        <w:rPr>
          <w:rFonts w:eastAsia="仿宋_GB2312"/>
          <w:sz w:val="32"/>
          <w:szCs w:val="32"/>
        </w:rPr>
        <w:t>附件5：云南省</w:t>
      </w:r>
      <w:r>
        <w:rPr>
          <w:rFonts w:hint="eastAsia" w:eastAsia="仿宋_GB2312"/>
          <w:sz w:val="32"/>
          <w:szCs w:val="32"/>
          <w:lang w:eastAsia="zh-CN"/>
        </w:rPr>
        <w:t>晋宁区</w:t>
      </w:r>
      <w:r>
        <w:rPr>
          <w:rFonts w:hint="eastAsia" w:eastAsia="仿宋_GB2312"/>
          <w:sz w:val="32"/>
          <w:szCs w:val="32"/>
        </w:rPr>
        <w:t>烟草制品零售点不予发放烟草专卖零售许可证的情形</w:t>
      </w:r>
    </w:p>
    <w:p w14:paraId="5DF9D1F8">
      <w:pPr>
        <w:keepNext w:val="0"/>
        <w:keepLines w:val="0"/>
        <w:pageBreakBefore w:val="0"/>
        <w:widowControl w:val="0"/>
        <w:numPr>
          <w:ilvl w:val="255"/>
          <w:numId w:val="0"/>
        </w:numPr>
        <w:kinsoku/>
        <w:wordWrap/>
        <w:overflowPunct/>
        <w:topLinePunct w:val="0"/>
        <w:bidi w:val="0"/>
        <w:snapToGrid w:val="0"/>
        <w:spacing w:line="360" w:lineRule="auto"/>
        <w:ind w:firstLine="640" w:firstLineChars="200"/>
        <w:textAlignment w:val="baseline"/>
        <w:rPr>
          <w:rFonts w:eastAsia="仿宋_GB2312"/>
          <w:sz w:val="32"/>
          <w:szCs w:val="32"/>
        </w:rPr>
      </w:pPr>
      <w:r>
        <w:rPr>
          <w:rFonts w:eastAsia="仿宋_GB2312"/>
          <w:sz w:val="32"/>
          <w:szCs w:val="32"/>
        </w:rPr>
        <w:t>附件6：</w:t>
      </w:r>
      <w:r>
        <w:rPr>
          <w:rFonts w:hint="eastAsia" w:eastAsia="仿宋_GB2312"/>
          <w:sz w:val="32"/>
          <w:szCs w:val="32"/>
          <w:lang w:val="en-US" w:eastAsia="zh-CN"/>
        </w:rPr>
        <w:t>云南省晋宁区</w:t>
      </w:r>
      <w:r>
        <w:rPr>
          <w:rFonts w:hint="eastAsia" w:eastAsia="仿宋_GB2312"/>
          <w:sz w:val="32"/>
          <w:szCs w:val="32"/>
        </w:rPr>
        <w:t>烟草专卖局烟草制品零售点集中摇号管理制度</w:t>
      </w:r>
    </w:p>
    <w:p w14:paraId="30CEBA1C">
      <w:pPr>
        <w:keepNext w:val="0"/>
        <w:keepLines w:val="0"/>
        <w:pageBreakBefore w:val="0"/>
        <w:widowControl w:val="0"/>
        <w:numPr>
          <w:ilvl w:val="255"/>
          <w:numId w:val="0"/>
        </w:numPr>
        <w:kinsoku/>
        <w:wordWrap/>
        <w:overflowPunct/>
        <w:topLinePunct w:val="0"/>
        <w:bidi w:val="0"/>
        <w:snapToGrid w:val="0"/>
        <w:spacing w:line="360" w:lineRule="auto"/>
        <w:ind w:firstLine="640" w:firstLineChars="200"/>
        <w:textAlignment w:val="baseline"/>
        <w:rPr>
          <w:rFonts w:eastAsia="仿宋_GB2312"/>
          <w:sz w:val="32"/>
          <w:szCs w:val="32"/>
        </w:rPr>
      </w:pPr>
      <w:r>
        <w:rPr>
          <w:rFonts w:hint="eastAsia" w:eastAsia="仿宋_GB2312"/>
          <w:sz w:val="32"/>
          <w:szCs w:val="32"/>
          <w:lang w:val="en-US" w:eastAsia="zh-CN"/>
        </w:rPr>
        <w:t>附件7：</w:t>
      </w:r>
      <w:r>
        <w:rPr>
          <w:rFonts w:eastAsia="仿宋_GB2312"/>
          <w:sz w:val="32"/>
          <w:szCs w:val="32"/>
        </w:rPr>
        <w:t>云南省</w:t>
      </w:r>
      <w:r>
        <w:rPr>
          <w:rFonts w:hint="eastAsia" w:eastAsia="仿宋_GB2312"/>
          <w:sz w:val="32"/>
          <w:szCs w:val="32"/>
          <w:lang w:eastAsia="zh-CN"/>
        </w:rPr>
        <w:t>晋宁区</w:t>
      </w:r>
      <w:r>
        <w:rPr>
          <w:rFonts w:eastAsia="仿宋_GB2312"/>
          <w:sz w:val="32"/>
          <w:szCs w:val="32"/>
        </w:rPr>
        <w:t>烟草专卖局烟草制品零售点</w:t>
      </w:r>
      <w:r>
        <w:rPr>
          <w:rFonts w:hint="eastAsia" w:eastAsia="仿宋_GB2312"/>
          <w:sz w:val="32"/>
          <w:szCs w:val="32"/>
        </w:rPr>
        <w:t>排队轮候制度</w:t>
      </w:r>
    </w:p>
    <w:p w14:paraId="1A9BE814">
      <w:pPr>
        <w:keepNext w:val="0"/>
        <w:keepLines w:val="0"/>
        <w:pageBreakBefore w:val="0"/>
        <w:widowControl w:val="0"/>
        <w:numPr>
          <w:ilvl w:val="255"/>
          <w:numId w:val="0"/>
        </w:numPr>
        <w:kinsoku/>
        <w:wordWrap/>
        <w:overflowPunct/>
        <w:topLinePunct w:val="0"/>
        <w:bidi w:val="0"/>
        <w:snapToGrid w:val="0"/>
        <w:spacing w:line="360" w:lineRule="auto"/>
        <w:ind w:firstLine="640" w:firstLineChars="200"/>
        <w:textAlignment w:val="baseline"/>
        <w:rPr>
          <w:rFonts w:eastAsia="仿宋_GB2312"/>
          <w:sz w:val="32"/>
          <w:szCs w:val="32"/>
        </w:rPr>
      </w:pPr>
      <w:r>
        <w:rPr>
          <w:rFonts w:eastAsia="仿宋_GB2312"/>
          <w:sz w:val="32"/>
          <w:szCs w:val="32"/>
        </w:rPr>
        <w:t>附件</w:t>
      </w:r>
      <w:r>
        <w:rPr>
          <w:rFonts w:hint="eastAsia" w:eastAsia="仿宋_GB2312"/>
          <w:sz w:val="32"/>
          <w:szCs w:val="32"/>
          <w:lang w:val="en-US" w:eastAsia="zh-CN"/>
        </w:rPr>
        <w:t>8</w:t>
      </w:r>
      <w:r>
        <w:rPr>
          <w:rFonts w:eastAsia="仿宋_GB2312"/>
          <w:sz w:val="32"/>
          <w:szCs w:val="32"/>
        </w:rPr>
        <w:t>：云南省</w:t>
      </w:r>
      <w:r>
        <w:rPr>
          <w:rFonts w:hint="eastAsia" w:eastAsia="仿宋_GB2312"/>
          <w:sz w:val="32"/>
          <w:szCs w:val="32"/>
          <w:lang w:eastAsia="zh-CN"/>
        </w:rPr>
        <w:t>晋宁区</w:t>
      </w:r>
      <w:r>
        <w:rPr>
          <w:rFonts w:eastAsia="仿宋_GB2312"/>
          <w:sz w:val="32"/>
          <w:szCs w:val="32"/>
        </w:rPr>
        <w:t>烟草制品零售点合理布局规划数动态调整管理制度</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6B4EF84-77D5-4F96-8A9E-BA8F1D0205E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Unicode MS">
    <w:panose1 w:val="020B0604020202020204"/>
    <w:charset w:val="86"/>
    <w:family w:val="auto"/>
    <w:pitch w:val="default"/>
    <w:sig w:usb0="FFFFFFFF" w:usb1="E9FFFFFF" w:usb2="0000003F" w:usb3="00000000" w:csb0="603F01FF" w:csb1="FFFF0000"/>
    <w:embedRegular r:id="rId2" w:fontKey="{B900E493-E9CA-47F5-8945-E27FCA63F654}"/>
  </w:font>
  <w:font w:name="等线 Light">
    <w:panose1 w:val="02010600030101010101"/>
    <w:charset w:val="86"/>
    <w:family w:val="auto"/>
    <w:pitch w:val="default"/>
    <w:sig w:usb0="A00002BF" w:usb1="38CF7CFA" w:usb2="00000016" w:usb3="00000000" w:csb0="0004000F" w:csb1="00000000"/>
  </w:font>
  <w:font w:name="仿宋_GB2312">
    <w:panose1 w:val="02010609060101010101"/>
    <w:charset w:val="86"/>
    <w:family w:val="modern"/>
    <w:pitch w:val="default"/>
    <w:sig w:usb0="800002BF" w:usb1="38CF7CFA" w:usb2="00000016" w:usb3="00000000" w:csb0="00040001" w:csb1="00000000"/>
    <w:embedRegular r:id="rId3" w:fontKey="{05BDB865-7C87-453D-A52E-6E80C2636E2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7188D">
    <w:pPr>
      <w:spacing w:before="1" w:line="175" w:lineRule="auto"/>
      <w:ind w:left="7991" w:firstLine="560"/>
      <w:rPr>
        <w:rFonts w:ascii="宋体" w:hAnsi="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3FB0C5">
                          <w:pPr>
                            <w:pStyle w:val="7"/>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- 2 -</w:t>
                          </w:r>
                          <w:r>
                            <w:rPr>
                              <w:rFonts w:hint="eastAsia" w:ascii="宋体" w:hAnsi="宋体" w:cs="宋体"/>
                              <w:sz w:val="28"/>
                              <w:szCs w:val="28"/>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ENd9csBAACcAwAADgAAAGRycy9lMm9Eb2MueG1srVPNjtMwEL4j8Q6W&#10;79RpJ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7Ks&#10;Vq+zQ32AGhsfAram4c4PuXvKAyaz8EFFm98oiWAd/T1f/ZVDIiJ/tF6t1xWWBNbmA+Kwx89DhPRW&#10;ekty0NCIF1h85af3kMbWuSVPc/5eG4N5Xhv3VwIxc4Zl7iPHHKVhP0zE9749o54e776hDledEvPO&#10;obV5TeYgzsF+Do4h6kOH1JaFF4TbY0IShVueMMJOg/HSirppwfJW/HkuXY8/1f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RDXfXLAQAAnAMAAA4AAAAAAAAAAQAgAAAAHgEAAGRycy9lMm9E&#10;b2MueG1sUEsFBgAAAAAGAAYAWQEAAFsFAAAAAA==&#10;">
              <v:fill on="f" focussize="0,0"/>
              <v:stroke on="f"/>
              <v:imagedata o:title=""/>
              <o:lock v:ext="edit" aspectratio="f"/>
              <v:textbox inset="0mm,0mm,0mm,0mm" style="mso-fit-shape-to-text:t;">
                <w:txbxContent>
                  <w:p w14:paraId="643FB0C5">
                    <w:pPr>
                      <w:pStyle w:val="7"/>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- 2 -</w:t>
                    </w:r>
                    <w:r>
                      <w:rPr>
                        <w:rFonts w:hint="eastAsia" w:ascii="宋体" w:hAnsi="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3D6BB4"/>
    <w:multiLevelType w:val="multilevel"/>
    <w:tmpl w:val="DB3D6BB4"/>
    <w:lvl w:ilvl="0" w:tentative="0">
      <w:start w:val="1"/>
      <w:numFmt w:val="chineseCounting"/>
      <w:suff w:val="nothing"/>
      <w:lvlText w:val="第%1章 "/>
      <w:lvlJc w:val="left"/>
      <w:pPr>
        <w:ind w:left="0" w:firstLine="402"/>
      </w:pPr>
      <w:rPr>
        <w:rFonts w:hint="eastAsia" w:ascii="黑体" w:hAnsi="黑体" w:eastAsia="黑体" w:cs="黑体"/>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20CE79E8"/>
    <w:multiLevelType w:val="multilevel"/>
    <w:tmpl w:val="20CE79E8"/>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第%2节　"/>
      <w:lvlJc w:val="left"/>
      <w:pPr>
        <w:ind w:left="0" w:firstLine="402"/>
      </w:pPr>
      <w:rPr>
        <w:rFonts w:hint="eastAsia"/>
      </w:rPr>
    </w:lvl>
    <w:lvl w:ilvl="2" w:tentative="0">
      <w:start w:val="1"/>
      <w:numFmt w:val="chineseCounting"/>
      <w:suff w:val="nothing"/>
      <w:lvlText w:val="第%3条　"/>
      <w:lvlJc w:val="left"/>
      <w:pPr>
        <w:ind w:left="0" w:firstLine="397"/>
      </w:pPr>
      <w:rPr>
        <w:rFonts w:hint="eastAsia" w:eastAsia="黑体"/>
        <w:color w:val="auto"/>
      </w:rPr>
    </w:lvl>
    <w:lvl w:ilvl="3" w:tentative="0">
      <w:start w:val="1"/>
      <w:numFmt w:val="chineseCounting"/>
      <w:suff w:val="nothing"/>
      <w:lvlText w:val="（%4）"/>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decimalEnclosedCircleChinese"/>
      <w:suff w:val="nothing"/>
      <w:lvlText w:val="%7 "/>
      <w:lvlJc w:val="left"/>
      <w:pPr>
        <w:ind w:left="0" w:firstLine="402"/>
      </w:pPr>
      <w:rPr>
        <w:rFonts w:hint="eastAsia"/>
      </w:rPr>
    </w:lvl>
    <w:lvl w:ilvl="7" w:tentative="0">
      <w:start w:val="1"/>
      <w:numFmt w:val="decimal"/>
      <w:suff w:val="nothing"/>
      <w:lvlText w:val="%8）"/>
      <w:lvlJc w:val="left"/>
      <w:pPr>
        <w:ind w:left="0" w:firstLine="402"/>
      </w:pPr>
      <w:rPr>
        <w:rFonts w:hint="eastAsia"/>
      </w:rPr>
    </w:lvl>
    <w:lvl w:ilvl="8" w:tentative="0">
      <w:start w:val="1"/>
      <w:numFmt w:val="lowerLetter"/>
      <w:suff w:val="nothing"/>
      <w:lvlText w:val="%9．"/>
      <w:lvlJc w:val="left"/>
      <w:pPr>
        <w:ind w:left="0" w:firstLine="402"/>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1MTFiNjQxNDgzOGViYmZhYjRlNmRiYmQxOTEzOGIifQ=="/>
    <w:docVar w:name="KSO_WPS_MARK_KEY" w:val="39013903-6f93-4d48-bbc3-b34eca18e0e4"/>
  </w:docVars>
  <w:rsids>
    <w:rsidRoot w:val="00B54FA4"/>
    <w:rsid w:val="00000438"/>
    <w:rsid w:val="00007C10"/>
    <w:rsid w:val="00031C79"/>
    <w:rsid w:val="00041509"/>
    <w:rsid w:val="0004211C"/>
    <w:rsid w:val="000529AD"/>
    <w:rsid w:val="000738A3"/>
    <w:rsid w:val="00073FAC"/>
    <w:rsid w:val="0008195B"/>
    <w:rsid w:val="000A0310"/>
    <w:rsid w:val="000A26C4"/>
    <w:rsid w:val="000B5801"/>
    <w:rsid w:val="000C35BE"/>
    <w:rsid w:val="000D0654"/>
    <w:rsid w:val="000F2F6B"/>
    <w:rsid w:val="000F6997"/>
    <w:rsid w:val="001018DB"/>
    <w:rsid w:val="00150260"/>
    <w:rsid w:val="00153516"/>
    <w:rsid w:val="001546B9"/>
    <w:rsid w:val="00160FAF"/>
    <w:rsid w:val="00173DCF"/>
    <w:rsid w:val="001A1978"/>
    <w:rsid w:val="001A4A3D"/>
    <w:rsid w:val="001B480F"/>
    <w:rsid w:val="001B7C81"/>
    <w:rsid w:val="001C03A3"/>
    <w:rsid w:val="001C14AE"/>
    <w:rsid w:val="001C6D63"/>
    <w:rsid w:val="001D09D6"/>
    <w:rsid w:val="001D2B5D"/>
    <w:rsid w:val="001F1E16"/>
    <w:rsid w:val="00200368"/>
    <w:rsid w:val="00211176"/>
    <w:rsid w:val="00211D02"/>
    <w:rsid w:val="00212D3B"/>
    <w:rsid w:val="00213156"/>
    <w:rsid w:val="002232C4"/>
    <w:rsid w:val="0023233B"/>
    <w:rsid w:val="00234D60"/>
    <w:rsid w:val="00247651"/>
    <w:rsid w:val="002552C7"/>
    <w:rsid w:val="00256D28"/>
    <w:rsid w:val="002579A3"/>
    <w:rsid w:val="00260E8E"/>
    <w:rsid w:val="00265C47"/>
    <w:rsid w:val="0026700E"/>
    <w:rsid w:val="002735B8"/>
    <w:rsid w:val="00276C6D"/>
    <w:rsid w:val="00283008"/>
    <w:rsid w:val="00294F19"/>
    <w:rsid w:val="00297F6D"/>
    <w:rsid w:val="002A38D2"/>
    <w:rsid w:val="002B64C0"/>
    <w:rsid w:val="002B782D"/>
    <w:rsid w:val="002B7CAE"/>
    <w:rsid w:val="002C1188"/>
    <w:rsid w:val="002C17A2"/>
    <w:rsid w:val="002D45B2"/>
    <w:rsid w:val="002D6D92"/>
    <w:rsid w:val="002E2B70"/>
    <w:rsid w:val="002E41D7"/>
    <w:rsid w:val="002E600D"/>
    <w:rsid w:val="002E661C"/>
    <w:rsid w:val="002E6EBD"/>
    <w:rsid w:val="002E7E4C"/>
    <w:rsid w:val="002F77F6"/>
    <w:rsid w:val="003037FA"/>
    <w:rsid w:val="003111A6"/>
    <w:rsid w:val="00312D50"/>
    <w:rsid w:val="00314525"/>
    <w:rsid w:val="003154B0"/>
    <w:rsid w:val="00323A6A"/>
    <w:rsid w:val="00324B1C"/>
    <w:rsid w:val="00335A1B"/>
    <w:rsid w:val="00337CE0"/>
    <w:rsid w:val="00342023"/>
    <w:rsid w:val="00361B76"/>
    <w:rsid w:val="00363728"/>
    <w:rsid w:val="003852F3"/>
    <w:rsid w:val="00393A70"/>
    <w:rsid w:val="003B6D8C"/>
    <w:rsid w:val="003C468C"/>
    <w:rsid w:val="003C70A9"/>
    <w:rsid w:val="003C73AD"/>
    <w:rsid w:val="003D31C0"/>
    <w:rsid w:val="003E53E7"/>
    <w:rsid w:val="003E5B74"/>
    <w:rsid w:val="003F0F32"/>
    <w:rsid w:val="0041095A"/>
    <w:rsid w:val="004242ED"/>
    <w:rsid w:val="00432168"/>
    <w:rsid w:val="00436211"/>
    <w:rsid w:val="0044320B"/>
    <w:rsid w:val="00446F61"/>
    <w:rsid w:val="0047004D"/>
    <w:rsid w:val="0047543D"/>
    <w:rsid w:val="004804CC"/>
    <w:rsid w:val="00486990"/>
    <w:rsid w:val="00493DFA"/>
    <w:rsid w:val="004951A5"/>
    <w:rsid w:val="004B1F17"/>
    <w:rsid w:val="004B5BA5"/>
    <w:rsid w:val="004B6277"/>
    <w:rsid w:val="004B7B1C"/>
    <w:rsid w:val="004C0DAB"/>
    <w:rsid w:val="004D09BB"/>
    <w:rsid w:val="004D6795"/>
    <w:rsid w:val="004E0FF5"/>
    <w:rsid w:val="004F029C"/>
    <w:rsid w:val="004F3253"/>
    <w:rsid w:val="004F42E3"/>
    <w:rsid w:val="00500E60"/>
    <w:rsid w:val="00502655"/>
    <w:rsid w:val="00512784"/>
    <w:rsid w:val="00513BFF"/>
    <w:rsid w:val="005177DF"/>
    <w:rsid w:val="00517903"/>
    <w:rsid w:val="0052201A"/>
    <w:rsid w:val="00530B73"/>
    <w:rsid w:val="0053297E"/>
    <w:rsid w:val="005461F6"/>
    <w:rsid w:val="005511F7"/>
    <w:rsid w:val="00552C3F"/>
    <w:rsid w:val="00553C52"/>
    <w:rsid w:val="005629CD"/>
    <w:rsid w:val="005741E2"/>
    <w:rsid w:val="00586E6F"/>
    <w:rsid w:val="00594897"/>
    <w:rsid w:val="00595643"/>
    <w:rsid w:val="00596CDB"/>
    <w:rsid w:val="0059713E"/>
    <w:rsid w:val="005B5C6D"/>
    <w:rsid w:val="005D458E"/>
    <w:rsid w:val="005F59A5"/>
    <w:rsid w:val="005F764F"/>
    <w:rsid w:val="006017A8"/>
    <w:rsid w:val="00603E50"/>
    <w:rsid w:val="00615BF6"/>
    <w:rsid w:val="00622707"/>
    <w:rsid w:val="006269E4"/>
    <w:rsid w:val="006333AD"/>
    <w:rsid w:val="006579F0"/>
    <w:rsid w:val="00666B69"/>
    <w:rsid w:val="00676732"/>
    <w:rsid w:val="006841EA"/>
    <w:rsid w:val="006A121B"/>
    <w:rsid w:val="006B100D"/>
    <w:rsid w:val="006B2467"/>
    <w:rsid w:val="006D51B1"/>
    <w:rsid w:val="006E026C"/>
    <w:rsid w:val="006F04E0"/>
    <w:rsid w:val="006F3C15"/>
    <w:rsid w:val="006F68EE"/>
    <w:rsid w:val="00706726"/>
    <w:rsid w:val="00715F8E"/>
    <w:rsid w:val="007171C6"/>
    <w:rsid w:val="00717359"/>
    <w:rsid w:val="00750B5E"/>
    <w:rsid w:val="00757036"/>
    <w:rsid w:val="00762849"/>
    <w:rsid w:val="00764C5A"/>
    <w:rsid w:val="007724CB"/>
    <w:rsid w:val="00773708"/>
    <w:rsid w:val="0077625F"/>
    <w:rsid w:val="00786C4D"/>
    <w:rsid w:val="00790AF5"/>
    <w:rsid w:val="00797464"/>
    <w:rsid w:val="00797C99"/>
    <w:rsid w:val="007A3F52"/>
    <w:rsid w:val="007A4CF7"/>
    <w:rsid w:val="007A6670"/>
    <w:rsid w:val="007A7E3E"/>
    <w:rsid w:val="007B14D1"/>
    <w:rsid w:val="007B55EE"/>
    <w:rsid w:val="007C7495"/>
    <w:rsid w:val="007D5488"/>
    <w:rsid w:val="007F66E4"/>
    <w:rsid w:val="007F7800"/>
    <w:rsid w:val="0081357B"/>
    <w:rsid w:val="008218C1"/>
    <w:rsid w:val="008232FF"/>
    <w:rsid w:val="008426C5"/>
    <w:rsid w:val="0085104D"/>
    <w:rsid w:val="0085301E"/>
    <w:rsid w:val="0086389D"/>
    <w:rsid w:val="00871369"/>
    <w:rsid w:val="00872840"/>
    <w:rsid w:val="00893EE4"/>
    <w:rsid w:val="008958F5"/>
    <w:rsid w:val="008A4D85"/>
    <w:rsid w:val="008B4B50"/>
    <w:rsid w:val="008B5613"/>
    <w:rsid w:val="008D2580"/>
    <w:rsid w:val="008D51EC"/>
    <w:rsid w:val="008D6269"/>
    <w:rsid w:val="00904118"/>
    <w:rsid w:val="00905B76"/>
    <w:rsid w:val="00907288"/>
    <w:rsid w:val="00921E9A"/>
    <w:rsid w:val="009305CB"/>
    <w:rsid w:val="00931E95"/>
    <w:rsid w:val="009432B0"/>
    <w:rsid w:val="009514B1"/>
    <w:rsid w:val="0095596D"/>
    <w:rsid w:val="00967E3D"/>
    <w:rsid w:val="009776AF"/>
    <w:rsid w:val="00977AC5"/>
    <w:rsid w:val="009831B7"/>
    <w:rsid w:val="00992098"/>
    <w:rsid w:val="00995CFF"/>
    <w:rsid w:val="00996ED8"/>
    <w:rsid w:val="009B3BA6"/>
    <w:rsid w:val="009C1532"/>
    <w:rsid w:val="009C297C"/>
    <w:rsid w:val="009C392A"/>
    <w:rsid w:val="009C43EC"/>
    <w:rsid w:val="009F11EF"/>
    <w:rsid w:val="009F3033"/>
    <w:rsid w:val="009F5D3B"/>
    <w:rsid w:val="009F79D1"/>
    <w:rsid w:val="00A057B9"/>
    <w:rsid w:val="00A1054E"/>
    <w:rsid w:val="00A11C0B"/>
    <w:rsid w:val="00A2011C"/>
    <w:rsid w:val="00A27AF9"/>
    <w:rsid w:val="00A37771"/>
    <w:rsid w:val="00A5204A"/>
    <w:rsid w:val="00A54BB5"/>
    <w:rsid w:val="00A6221A"/>
    <w:rsid w:val="00A749A6"/>
    <w:rsid w:val="00A77E8A"/>
    <w:rsid w:val="00A83BDF"/>
    <w:rsid w:val="00A860DA"/>
    <w:rsid w:val="00A87185"/>
    <w:rsid w:val="00A87B65"/>
    <w:rsid w:val="00A95C34"/>
    <w:rsid w:val="00A96247"/>
    <w:rsid w:val="00AB3700"/>
    <w:rsid w:val="00AB466C"/>
    <w:rsid w:val="00AB5FCD"/>
    <w:rsid w:val="00AB7A93"/>
    <w:rsid w:val="00AE1EAA"/>
    <w:rsid w:val="00AF41D4"/>
    <w:rsid w:val="00B012FD"/>
    <w:rsid w:val="00B07554"/>
    <w:rsid w:val="00B126CB"/>
    <w:rsid w:val="00B20D82"/>
    <w:rsid w:val="00B27E08"/>
    <w:rsid w:val="00B45194"/>
    <w:rsid w:val="00B47167"/>
    <w:rsid w:val="00B50238"/>
    <w:rsid w:val="00B54FA4"/>
    <w:rsid w:val="00B54FA6"/>
    <w:rsid w:val="00B56564"/>
    <w:rsid w:val="00B77EDD"/>
    <w:rsid w:val="00B8707E"/>
    <w:rsid w:val="00B916BB"/>
    <w:rsid w:val="00B91768"/>
    <w:rsid w:val="00B97D01"/>
    <w:rsid w:val="00BA3CB0"/>
    <w:rsid w:val="00BB5BF1"/>
    <w:rsid w:val="00BC6B8D"/>
    <w:rsid w:val="00BE2613"/>
    <w:rsid w:val="00BF0062"/>
    <w:rsid w:val="00C00931"/>
    <w:rsid w:val="00C010A1"/>
    <w:rsid w:val="00C013B3"/>
    <w:rsid w:val="00C047E6"/>
    <w:rsid w:val="00C06E97"/>
    <w:rsid w:val="00C103BD"/>
    <w:rsid w:val="00C218D9"/>
    <w:rsid w:val="00C26A6B"/>
    <w:rsid w:val="00C371AF"/>
    <w:rsid w:val="00C42555"/>
    <w:rsid w:val="00C4477D"/>
    <w:rsid w:val="00C46F67"/>
    <w:rsid w:val="00C514FC"/>
    <w:rsid w:val="00C67B98"/>
    <w:rsid w:val="00C76D8C"/>
    <w:rsid w:val="00C8147A"/>
    <w:rsid w:val="00C82E5E"/>
    <w:rsid w:val="00C8492F"/>
    <w:rsid w:val="00C95017"/>
    <w:rsid w:val="00C95438"/>
    <w:rsid w:val="00CB7945"/>
    <w:rsid w:val="00CD4310"/>
    <w:rsid w:val="00CD5EB3"/>
    <w:rsid w:val="00CE4AE2"/>
    <w:rsid w:val="00D00948"/>
    <w:rsid w:val="00D02C59"/>
    <w:rsid w:val="00D1266A"/>
    <w:rsid w:val="00D12FE7"/>
    <w:rsid w:val="00D13827"/>
    <w:rsid w:val="00D51D18"/>
    <w:rsid w:val="00D71FA7"/>
    <w:rsid w:val="00D87185"/>
    <w:rsid w:val="00DA0B70"/>
    <w:rsid w:val="00DB0CB9"/>
    <w:rsid w:val="00DB6C0F"/>
    <w:rsid w:val="00DC1862"/>
    <w:rsid w:val="00DC3B44"/>
    <w:rsid w:val="00DD05BE"/>
    <w:rsid w:val="00DE4DE4"/>
    <w:rsid w:val="00DF0070"/>
    <w:rsid w:val="00DF1857"/>
    <w:rsid w:val="00DF54F1"/>
    <w:rsid w:val="00E15D71"/>
    <w:rsid w:val="00E249DD"/>
    <w:rsid w:val="00E322D9"/>
    <w:rsid w:val="00E56068"/>
    <w:rsid w:val="00E649F9"/>
    <w:rsid w:val="00E663A5"/>
    <w:rsid w:val="00E71C47"/>
    <w:rsid w:val="00E855F2"/>
    <w:rsid w:val="00E91613"/>
    <w:rsid w:val="00EA053D"/>
    <w:rsid w:val="00EA1AF7"/>
    <w:rsid w:val="00EA45D2"/>
    <w:rsid w:val="00EA6D96"/>
    <w:rsid w:val="00ED17C4"/>
    <w:rsid w:val="00ED31EF"/>
    <w:rsid w:val="00ED649C"/>
    <w:rsid w:val="00EE2A2F"/>
    <w:rsid w:val="00EE6D12"/>
    <w:rsid w:val="00F01F5B"/>
    <w:rsid w:val="00F0376C"/>
    <w:rsid w:val="00F3194E"/>
    <w:rsid w:val="00F337A3"/>
    <w:rsid w:val="00F37187"/>
    <w:rsid w:val="00F44038"/>
    <w:rsid w:val="00F519DA"/>
    <w:rsid w:val="00F5202D"/>
    <w:rsid w:val="00F544A3"/>
    <w:rsid w:val="00F66F56"/>
    <w:rsid w:val="00F85888"/>
    <w:rsid w:val="00F87BB1"/>
    <w:rsid w:val="00F925EC"/>
    <w:rsid w:val="00F9555E"/>
    <w:rsid w:val="00FA2C9F"/>
    <w:rsid w:val="00FA7868"/>
    <w:rsid w:val="00FB5086"/>
    <w:rsid w:val="00FC7F42"/>
    <w:rsid w:val="00FD56D0"/>
    <w:rsid w:val="00FF5B4A"/>
    <w:rsid w:val="01094D11"/>
    <w:rsid w:val="012C2CB5"/>
    <w:rsid w:val="0261662C"/>
    <w:rsid w:val="0430275A"/>
    <w:rsid w:val="049F168E"/>
    <w:rsid w:val="05C9691D"/>
    <w:rsid w:val="062005AC"/>
    <w:rsid w:val="07862691"/>
    <w:rsid w:val="07B471FE"/>
    <w:rsid w:val="08153021"/>
    <w:rsid w:val="08E0142B"/>
    <w:rsid w:val="0B574A2A"/>
    <w:rsid w:val="0D3C216F"/>
    <w:rsid w:val="0E8C4A31"/>
    <w:rsid w:val="0EA7186A"/>
    <w:rsid w:val="0F8472AC"/>
    <w:rsid w:val="0F931DEF"/>
    <w:rsid w:val="0FB0474F"/>
    <w:rsid w:val="10266B06"/>
    <w:rsid w:val="112A0531"/>
    <w:rsid w:val="12D93FBD"/>
    <w:rsid w:val="131B45D5"/>
    <w:rsid w:val="13A2286C"/>
    <w:rsid w:val="14885C9A"/>
    <w:rsid w:val="1537321C"/>
    <w:rsid w:val="16E3540A"/>
    <w:rsid w:val="172D2B29"/>
    <w:rsid w:val="176B052A"/>
    <w:rsid w:val="17FB6783"/>
    <w:rsid w:val="1860792E"/>
    <w:rsid w:val="19595E57"/>
    <w:rsid w:val="197902A7"/>
    <w:rsid w:val="19FE07AD"/>
    <w:rsid w:val="1B300E3A"/>
    <w:rsid w:val="1BD9327F"/>
    <w:rsid w:val="1BF07CDF"/>
    <w:rsid w:val="1BF2410D"/>
    <w:rsid w:val="1D4E37F9"/>
    <w:rsid w:val="1EBF675C"/>
    <w:rsid w:val="1ED8483E"/>
    <w:rsid w:val="1F5822FF"/>
    <w:rsid w:val="20104D96"/>
    <w:rsid w:val="21F04E7F"/>
    <w:rsid w:val="221E19EC"/>
    <w:rsid w:val="222A359C"/>
    <w:rsid w:val="23B819CC"/>
    <w:rsid w:val="240C20F5"/>
    <w:rsid w:val="255A20A1"/>
    <w:rsid w:val="260D4927"/>
    <w:rsid w:val="27644345"/>
    <w:rsid w:val="276C4FA7"/>
    <w:rsid w:val="277D0F63"/>
    <w:rsid w:val="27812657"/>
    <w:rsid w:val="27AE3812"/>
    <w:rsid w:val="284B72B3"/>
    <w:rsid w:val="284D4DD9"/>
    <w:rsid w:val="28612632"/>
    <w:rsid w:val="28A32C4B"/>
    <w:rsid w:val="293164A9"/>
    <w:rsid w:val="2AB32EED"/>
    <w:rsid w:val="2BD31A99"/>
    <w:rsid w:val="2E6764C9"/>
    <w:rsid w:val="2EAC70DE"/>
    <w:rsid w:val="2F9257C7"/>
    <w:rsid w:val="303E14AB"/>
    <w:rsid w:val="3069477A"/>
    <w:rsid w:val="30FD526E"/>
    <w:rsid w:val="31BB30A3"/>
    <w:rsid w:val="31CF5374"/>
    <w:rsid w:val="320A5AE9"/>
    <w:rsid w:val="349D2C44"/>
    <w:rsid w:val="34A42225"/>
    <w:rsid w:val="34B82A8C"/>
    <w:rsid w:val="35156C7E"/>
    <w:rsid w:val="35BF4E3C"/>
    <w:rsid w:val="35CF3ED2"/>
    <w:rsid w:val="3619454C"/>
    <w:rsid w:val="3623071F"/>
    <w:rsid w:val="366F3577"/>
    <w:rsid w:val="37046FAB"/>
    <w:rsid w:val="377F4883"/>
    <w:rsid w:val="3787198A"/>
    <w:rsid w:val="37955E55"/>
    <w:rsid w:val="3980739E"/>
    <w:rsid w:val="39C87740"/>
    <w:rsid w:val="3A282FB0"/>
    <w:rsid w:val="3A8A1D5E"/>
    <w:rsid w:val="3C8828C7"/>
    <w:rsid w:val="3D304261"/>
    <w:rsid w:val="3D584BEE"/>
    <w:rsid w:val="3DE96EFA"/>
    <w:rsid w:val="3DFF75A2"/>
    <w:rsid w:val="3E5720B6"/>
    <w:rsid w:val="3FEF2A7C"/>
    <w:rsid w:val="40730CFD"/>
    <w:rsid w:val="425E68B6"/>
    <w:rsid w:val="427C658F"/>
    <w:rsid w:val="42B94406"/>
    <w:rsid w:val="43284021"/>
    <w:rsid w:val="433F136A"/>
    <w:rsid w:val="43741014"/>
    <w:rsid w:val="43B43B06"/>
    <w:rsid w:val="44476729"/>
    <w:rsid w:val="44914EE4"/>
    <w:rsid w:val="449753BF"/>
    <w:rsid w:val="45A02594"/>
    <w:rsid w:val="45E462DA"/>
    <w:rsid w:val="47960EC9"/>
    <w:rsid w:val="47BB47C3"/>
    <w:rsid w:val="47ED5839"/>
    <w:rsid w:val="48201390"/>
    <w:rsid w:val="4B113D04"/>
    <w:rsid w:val="4B2E0642"/>
    <w:rsid w:val="4B3A6FE7"/>
    <w:rsid w:val="4C376A6D"/>
    <w:rsid w:val="4C787DC7"/>
    <w:rsid w:val="4CA010CC"/>
    <w:rsid w:val="4D1E0115"/>
    <w:rsid w:val="4DB50BA7"/>
    <w:rsid w:val="4E5A43E4"/>
    <w:rsid w:val="4E6E68BE"/>
    <w:rsid w:val="4F8F3A10"/>
    <w:rsid w:val="4FEF44AF"/>
    <w:rsid w:val="4FF7A1AF"/>
    <w:rsid w:val="50244AE5"/>
    <w:rsid w:val="51497F84"/>
    <w:rsid w:val="52EC6E19"/>
    <w:rsid w:val="532E665A"/>
    <w:rsid w:val="53334BBD"/>
    <w:rsid w:val="53BD5468"/>
    <w:rsid w:val="54640C31"/>
    <w:rsid w:val="55D54FCF"/>
    <w:rsid w:val="560A118C"/>
    <w:rsid w:val="571C7DDE"/>
    <w:rsid w:val="580148EF"/>
    <w:rsid w:val="589B7D2A"/>
    <w:rsid w:val="590260BF"/>
    <w:rsid w:val="5B7D49B7"/>
    <w:rsid w:val="5C0F3B78"/>
    <w:rsid w:val="5C2E04A2"/>
    <w:rsid w:val="5C6739B4"/>
    <w:rsid w:val="5DB76275"/>
    <w:rsid w:val="5DBC43AE"/>
    <w:rsid w:val="5EBC7D66"/>
    <w:rsid w:val="5EEB245D"/>
    <w:rsid w:val="5F7AECB8"/>
    <w:rsid w:val="5F7E235B"/>
    <w:rsid w:val="5FAB757A"/>
    <w:rsid w:val="5FBEEEE2"/>
    <w:rsid w:val="616D381B"/>
    <w:rsid w:val="623065F6"/>
    <w:rsid w:val="62AF39BF"/>
    <w:rsid w:val="62EC2BEB"/>
    <w:rsid w:val="634B2982"/>
    <w:rsid w:val="636D752F"/>
    <w:rsid w:val="6386611B"/>
    <w:rsid w:val="63CD67F3"/>
    <w:rsid w:val="641414C0"/>
    <w:rsid w:val="642C127C"/>
    <w:rsid w:val="65C92FEA"/>
    <w:rsid w:val="65E9543A"/>
    <w:rsid w:val="661324B7"/>
    <w:rsid w:val="67F1BB04"/>
    <w:rsid w:val="680F5A43"/>
    <w:rsid w:val="68ED6FEF"/>
    <w:rsid w:val="69A134ED"/>
    <w:rsid w:val="6A1F58CE"/>
    <w:rsid w:val="6A486BD3"/>
    <w:rsid w:val="6A5E7ECC"/>
    <w:rsid w:val="6B2A277C"/>
    <w:rsid w:val="6BB96FF1"/>
    <w:rsid w:val="6CE93F71"/>
    <w:rsid w:val="6CFF50B4"/>
    <w:rsid w:val="6D4F0278"/>
    <w:rsid w:val="6D853C9A"/>
    <w:rsid w:val="6DBB76BC"/>
    <w:rsid w:val="6E7686A2"/>
    <w:rsid w:val="6EF410D7"/>
    <w:rsid w:val="6EF74724"/>
    <w:rsid w:val="6FFFC2D5"/>
    <w:rsid w:val="70A46B2D"/>
    <w:rsid w:val="729B6821"/>
    <w:rsid w:val="72A53BF3"/>
    <w:rsid w:val="740A4EF9"/>
    <w:rsid w:val="74873935"/>
    <w:rsid w:val="74AE7F7A"/>
    <w:rsid w:val="750E6C6B"/>
    <w:rsid w:val="76515061"/>
    <w:rsid w:val="767FA4CA"/>
    <w:rsid w:val="770472BF"/>
    <w:rsid w:val="77065E4C"/>
    <w:rsid w:val="7715608F"/>
    <w:rsid w:val="77447FC2"/>
    <w:rsid w:val="776F1352"/>
    <w:rsid w:val="779F46D8"/>
    <w:rsid w:val="782D6ECE"/>
    <w:rsid w:val="78874D6A"/>
    <w:rsid w:val="78EA354B"/>
    <w:rsid w:val="7962758B"/>
    <w:rsid w:val="799A6D1F"/>
    <w:rsid w:val="7BA06143"/>
    <w:rsid w:val="7C2C27A1"/>
    <w:rsid w:val="7C757904"/>
    <w:rsid w:val="7C927221"/>
    <w:rsid w:val="7D080444"/>
    <w:rsid w:val="7D140B97"/>
    <w:rsid w:val="7D147CE0"/>
    <w:rsid w:val="7D5176F5"/>
    <w:rsid w:val="7D5B0573"/>
    <w:rsid w:val="7DDFFAC0"/>
    <w:rsid w:val="7ED82CDA"/>
    <w:rsid w:val="7F203823"/>
    <w:rsid w:val="7FFFC000"/>
    <w:rsid w:val="997E2EF4"/>
    <w:rsid w:val="AFBF9A89"/>
    <w:rsid w:val="AFFE3E23"/>
    <w:rsid w:val="BEE90132"/>
    <w:rsid w:val="DF5FCC3D"/>
    <w:rsid w:val="F3FF347A"/>
    <w:rsid w:val="F7FF01A8"/>
    <w:rsid w:val="FFBC5A52"/>
    <w:rsid w:val="FFCF18B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spacing w:line="576" w:lineRule="auto"/>
      <w:outlineLvl w:val="0"/>
    </w:pPr>
    <w:rPr>
      <w:b/>
      <w:kern w:val="44"/>
      <w:sz w:val="44"/>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Times New Roman" w:cs="宋体"/>
      <w:color w:val="000000"/>
      <w:sz w:val="24"/>
      <w:szCs w:val="24"/>
      <w:lang w:val="en-US" w:eastAsia="zh-CN" w:bidi="ar-SA"/>
    </w:rPr>
  </w:style>
  <w:style w:type="paragraph" w:styleId="4">
    <w:name w:val="annotation text"/>
    <w:basedOn w:val="1"/>
    <w:semiHidden/>
    <w:unhideWhenUsed/>
    <w:qFormat/>
    <w:uiPriority w:val="99"/>
    <w:pPr>
      <w:jc w:val="left"/>
    </w:pPr>
  </w:style>
  <w:style w:type="paragraph" w:styleId="5">
    <w:name w:val="Body Text"/>
    <w:basedOn w:val="1"/>
    <w:link w:val="16"/>
    <w:unhideWhenUsed/>
    <w:qFormat/>
    <w:uiPriority w:val="0"/>
    <w:pPr>
      <w:spacing w:after="120"/>
    </w:pPr>
  </w:style>
  <w:style w:type="paragraph" w:styleId="6">
    <w:name w:val="Balloon Text"/>
    <w:basedOn w:val="1"/>
    <w:link w:val="19"/>
    <w:semiHidden/>
    <w:unhideWhenUsed/>
    <w:qFormat/>
    <w:uiPriority w:val="99"/>
    <w:rPr>
      <w:sz w:val="18"/>
      <w:szCs w:val="18"/>
    </w:rPr>
  </w:style>
  <w:style w:type="paragraph" w:styleId="7">
    <w:name w:val="footer"/>
    <w:basedOn w:val="1"/>
    <w:link w:val="15"/>
    <w:unhideWhenUsed/>
    <w:qFormat/>
    <w:uiPriority w:val="99"/>
    <w:pPr>
      <w:tabs>
        <w:tab w:val="center" w:pos="4153"/>
        <w:tab w:val="right" w:pos="8306"/>
      </w:tabs>
      <w:snapToGrid w:val="0"/>
      <w:jc w:val="left"/>
    </w:pPr>
    <w:rPr>
      <w:sz w:val="18"/>
      <w:szCs w:val="18"/>
    </w:rPr>
  </w:style>
  <w:style w:type="paragraph" w:styleId="8">
    <w:name w:val="header"/>
    <w:basedOn w:val="1"/>
    <w:link w:val="14"/>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Subtitle"/>
    <w:basedOn w:val="1"/>
    <w:next w:val="1"/>
    <w:link w:val="18"/>
    <w:qFormat/>
    <w:uiPriority w:val="11"/>
    <w:pPr>
      <w:spacing w:before="240" w:after="240" w:line="312" w:lineRule="auto"/>
      <w:jc w:val="center"/>
      <w:outlineLvl w:val="1"/>
    </w:pPr>
    <w:rPr>
      <w:rFonts w:ascii="等线" w:hAnsi="等线" w:eastAsia="等线"/>
      <w:kern w:val="28"/>
      <w:sz w:val="40"/>
      <w:szCs w:val="40"/>
    </w:rPr>
  </w:style>
  <w:style w:type="paragraph" w:styleId="10">
    <w:name w:val="Normal (Web)"/>
    <w:basedOn w:val="1"/>
    <w:qFormat/>
    <w:uiPriority w:val="0"/>
    <w:pPr>
      <w:spacing w:beforeAutospacing="1" w:afterAutospacing="1"/>
      <w:jc w:val="left"/>
    </w:pPr>
    <w:rPr>
      <w:kern w:val="0"/>
      <w:sz w:val="24"/>
    </w:rPr>
  </w:style>
  <w:style w:type="paragraph" w:styleId="11">
    <w:name w:val="Title"/>
    <w:basedOn w:val="1"/>
    <w:next w:val="1"/>
    <w:link w:val="17"/>
    <w:qFormat/>
    <w:uiPriority w:val="10"/>
    <w:pPr>
      <w:spacing w:before="120" w:after="120"/>
      <w:jc w:val="center"/>
      <w:outlineLvl w:val="0"/>
    </w:pPr>
    <w:rPr>
      <w:rFonts w:ascii="Arial Unicode MS" w:hAnsi="等线 Light" w:eastAsia="Arial Unicode MS"/>
      <w:sz w:val="44"/>
      <w:szCs w:val="44"/>
    </w:rPr>
  </w:style>
  <w:style w:type="character" w:customStyle="1" w:styleId="14">
    <w:name w:val="页眉 字符"/>
    <w:basedOn w:val="13"/>
    <w:link w:val="8"/>
    <w:qFormat/>
    <w:uiPriority w:val="0"/>
    <w:rPr>
      <w:sz w:val="18"/>
      <w:szCs w:val="18"/>
    </w:rPr>
  </w:style>
  <w:style w:type="character" w:customStyle="1" w:styleId="15">
    <w:name w:val="页脚 字符"/>
    <w:basedOn w:val="13"/>
    <w:link w:val="7"/>
    <w:qFormat/>
    <w:uiPriority w:val="99"/>
    <w:rPr>
      <w:sz w:val="18"/>
      <w:szCs w:val="18"/>
    </w:rPr>
  </w:style>
  <w:style w:type="character" w:customStyle="1" w:styleId="16">
    <w:name w:val="正文文本 字符"/>
    <w:basedOn w:val="13"/>
    <w:link w:val="5"/>
    <w:qFormat/>
    <w:uiPriority w:val="0"/>
    <w:rPr>
      <w:rFonts w:ascii="Times New Roman" w:hAnsi="Times New Roman" w:eastAsia="宋体" w:cs="Times New Roman"/>
      <w:szCs w:val="24"/>
    </w:rPr>
  </w:style>
  <w:style w:type="character" w:customStyle="1" w:styleId="17">
    <w:name w:val="标题 字符"/>
    <w:basedOn w:val="13"/>
    <w:link w:val="11"/>
    <w:qFormat/>
    <w:uiPriority w:val="10"/>
    <w:rPr>
      <w:rFonts w:ascii="Arial Unicode MS" w:hAnsi="等线 Light" w:eastAsia="Arial Unicode MS" w:cs="Times New Roman"/>
      <w:sz w:val="44"/>
      <w:szCs w:val="44"/>
    </w:rPr>
  </w:style>
  <w:style w:type="character" w:customStyle="1" w:styleId="18">
    <w:name w:val="副标题 字符"/>
    <w:basedOn w:val="13"/>
    <w:link w:val="9"/>
    <w:qFormat/>
    <w:uiPriority w:val="11"/>
    <w:rPr>
      <w:rFonts w:ascii="等线" w:hAnsi="等线" w:eastAsia="等线" w:cs="Times New Roman"/>
      <w:kern w:val="28"/>
      <w:sz w:val="40"/>
      <w:szCs w:val="40"/>
    </w:rPr>
  </w:style>
  <w:style w:type="character" w:customStyle="1" w:styleId="19">
    <w:name w:val="批注框文本 字符"/>
    <w:basedOn w:val="13"/>
    <w:link w:val="6"/>
    <w:semiHidden/>
    <w:qFormat/>
    <w:uiPriority w:val="99"/>
    <w:rPr>
      <w:rFonts w:ascii="Times New Roman" w:hAnsi="Times New Roman" w:eastAsia="宋体" w:cs="Times New Roman"/>
      <w:sz w:val="18"/>
      <w:szCs w:val="18"/>
    </w:rPr>
  </w:style>
  <w:style w:type="paragraph" w:styleId="20">
    <w:name w:val="List Paragraph"/>
    <w:basedOn w:val="1"/>
    <w:qFormat/>
    <w:uiPriority w:val="34"/>
    <w:pPr>
      <w:ind w:firstLine="420" w:firstLineChars="200"/>
    </w:pPr>
  </w:style>
  <w:style w:type="table" w:customStyle="1" w:styleId="21">
    <w:name w:val="Table Normal"/>
    <w:semiHidden/>
    <w:unhideWhenUsed/>
    <w:qFormat/>
    <w:uiPriority w:val="0"/>
    <w:rPr>
      <w:rFonts w:ascii="Arial" w:hAnsi="Arial" w:cs="Arial" w:eastAsiaTheme="minorEastAsia"/>
      <w:snapToGrid w:val="0"/>
      <w:color w:val="000000"/>
      <w:sz w:val="21"/>
      <w:szCs w:val="21"/>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3639</Words>
  <Characters>3658</Characters>
  <Lines>29</Lines>
  <Paragraphs>8</Paragraphs>
  <TotalTime>35</TotalTime>
  <ScaleCrop>false</ScaleCrop>
  <LinksUpToDate>false</LinksUpToDate>
  <CharactersWithSpaces>3665</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2023-12-08T19:27:00Z</dcterms:created>
  <dc:creator>Windows 用户</dc:creator>
  <cp:lastModifiedBy>王德贵</cp:lastModifiedBy>
  <cp:lastPrinted>2024-07-16T08:25:00Z</cp:lastPrinted>
  <dcterms:modified xsi:type="dcterms:W3CDTF">2024-07-17T04:02:09Z</dcterms:modified>
  <cp:revision>393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6E37C99E6F074D0E9E5B42A5DA8E22B6_13</vt:lpwstr>
  </property>
</Properties>
</file>