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黑体" w:hAnsi="黑体" w:eastAsia="黑体" w:cs="黑体"/>
          <w:i w:val="0"/>
          <w:iCs w:val="0"/>
          <w:color w:val="000000"/>
          <w:kern w:val="0"/>
          <w:sz w:val="44"/>
          <w:szCs w:val="44"/>
          <w:u w:val="none"/>
          <w:bdr w:val="none" w:color="auto" w:sz="0" w:space="0"/>
          <w:lang w:val="en-US" w:eastAsia="zh-CN" w:bidi="ar"/>
        </w:rPr>
      </w:pPr>
      <w:bookmarkStart w:id="0" w:name="_GoBack"/>
      <w:r>
        <w:rPr>
          <w:rFonts w:hint="eastAsia" w:ascii="黑体" w:hAnsi="黑体" w:eastAsia="黑体" w:cs="黑体"/>
          <w:i w:val="0"/>
          <w:iCs w:val="0"/>
          <w:color w:val="000000"/>
          <w:kern w:val="0"/>
          <w:sz w:val="44"/>
          <w:szCs w:val="44"/>
          <w:u w:val="none"/>
          <w:bdr w:val="none" w:color="auto" w:sz="0" w:space="0"/>
          <w:lang w:val="en-US" w:eastAsia="zh-CN" w:bidi="ar"/>
        </w:rPr>
        <w:t>昆明市晋宁区发展和改革局容错纠错柔性执法五张清单</w:t>
      </w:r>
    </w:p>
    <w:bookmarkEnd w:id="0"/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黑体" w:hAnsi="黑体" w:eastAsia="黑体" w:cs="黑体"/>
          <w:i w:val="0"/>
          <w:iCs w:val="0"/>
          <w:color w:val="000000"/>
          <w:kern w:val="0"/>
          <w:sz w:val="44"/>
          <w:szCs w:val="44"/>
          <w:u w:val="none"/>
          <w:bdr w:val="none" w:color="auto" w:sz="0" w:space="0"/>
          <w:lang w:val="en-US" w:eastAsia="zh-CN" w:bidi="ar"/>
        </w:rPr>
      </w:pPr>
    </w:p>
    <w:tbl>
      <w:tblPr>
        <w:tblW w:w="1414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9"/>
        <w:gridCol w:w="3364"/>
        <w:gridCol w:w="4764"/>
        <w:gridCol w:w="2702"/>
        <w:gridCol w:w="234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1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bdr w:val="none" w:color="auto" w:sz="0" w:space="0"/>
                <w:lang w:val="en-US" w:eastAsia="zh-CN" w:bidi="ar"/>
              </w:rPr>
              <w:t>免于行政处罚事项清单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违法行为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法律依据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适用情形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实施主体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粮食收购企业未按规定备案或者提供虚假备案信息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《粮食流通管理条例》第四十三条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及时改正，没有造成危害后果的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县级以上地方人民政府粮食和储备行政管理部门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从事粮食收购、销售、储存、加工的粮食经营者以及饲料、工业用粮企业未建立粮食经营台账，或者未按照规定报送粮食基本数据和有关情况</w:t>
            </w:r>
          </w:p>
        </w:tc>
        <w:tc>
          <w:tcPr>
            <w:tcW w:w="3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《粮食流通管理条例》第四十五条第五项</w:t>
            </w: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初次违法且危害后果轻微并及时改正的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县级以上地方人民政府粮食和储备行政管理部门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/>
    <w:p/>
    <w:p/>
    <w:p/>
    <w:p/>
    <w:tbl>
      <w:tblPr>
        <w:tblW w:w="1405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1"/>
        <w:gridCol w:w="3630"/>
        <w:gridCol w:w="3367"/>
        <w:gridCol w:w="3388"/>
        <w:gridCol w:w="257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140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bdr w:val="none" w:color="auto" w:sz="0" w:space="0"/>
                <w:lang w:val="en-US" w:eastAsia="zh-CN" w:bidi="ar"/>
              </w:rPr>
              <w:t>从轻行政处罚事项清单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违法行为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法律依据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适用情形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实施主体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粮食收购者未及时向售粮者支付售粮款</w:t>
            </w: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《粮食流通管理条例》第四十五条第二项</w:t>
            </w:r>
          </w:p>
        </w:tc>
        <w:tc>
          <w:tcPr>
            <w:tcW w:w="3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初次违法且涉案金额小、受害人员少，案发后及时付清售粮款的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县级以上地方人民政府粮食和储备行政管理部门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3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挤占、挪用、克扣财政补贴、信贷资金</w:t>
            </w:r>
          </w:p>
        </w:tc>
        <w:tc>
          <w:tcPr>
            <w:tcW w:w="3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《粮食流通管理条例》第四十九条第一款第三项</w:t>
            </w:r>
          </w:p>
        </w:tc>
        <w:tc>
          <w:tcPr>
            <w:tcW w:w="3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初次违法且涉案金额小，案发后积极退款退赔的</w:t>
            </w: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县级以上地方人民政府粮食和储备行政管理部门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/>
    <w:p/>
    <w:p/>
    <w:p/>
    <w:p/>
    <w:p/>
    <w:p/>
    <w:p/>
    <w:tbl>
      <w:tblPr>
        <w:tblW w:w="1380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3"/>
        <w:gridCol w:w="3352"/>
        <w:gridCol w:w="3299"/>
        <w:gridCol w:w="3466"/>
        <w:gridCol w:w="26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38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bdr w:val="none" w:color="auto" w:sz="0" w:space="0"/>
                <w:lang w:val="en-US" w:eastAsia="zh-CN" w:bidi="ar"/>
              </w:rPr>
              <w:t>减轻行政处罚事项清单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违法行为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法律依据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适用情形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实施主体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粮食收购者未及时向售粮者支付售粮款</w:t>
            </w:r>
          </w:p>
        </w:tc>
        <w:tc>
          <w:tcPr>
            <w:tcW w:w="340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《粮食流通管理条例》第四十五条第二项</w:t>
            </w:r>
          </w:p>
        </w:tc>
        <w:tc>
          <w:tcPr>
            <w:tcW w:w="3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配合行政机关查处违法行为有立功表现的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县级以上地方人民政府粮食和储备行政管理部门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挤占、挪用、克扣财政补贴、信贷资金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《粮食流通管理条例》第四十九条第一款第三项</w:t>
            </w:r>
          </w:p>
        </w:tc>
        <w:tc>
          <w:tcPr>
            <w:tcW w:w="3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配合行政机关查处违法行为有立功表现的</w:t>
            </w: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县级以上地方人民政府粮食和储备行政管理部门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/>
    <w:p/>
    <w:p/>
    <w:p/>
    <w:p/>
    <w:p/>
    <w:p/>
    <w:p/>
    <w:p/>
    <w:p/>
    <w:tbl>
      <w:tblPr>
        <w:tblW w:w="1387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6"/>
        <w:gridCol w:w="3160"/>
        <w:gridCol w:w="3223"/>
        <w:gridCol w:w="3820"/>
        <w:gridCol w:w="258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138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bdr w:val="none" w:color="auto" w:sz="0" w:space="0"/>
                <w:lang w:val="en-US" w:eastAsia="zh-CN" w:bidi="ar"/>
              </w:rPr>
              <w:t>从重行政处罚事项清单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违法行为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法律依据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适用情形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实施主体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粮食收购者未及时向售粮者支付售粮款</w:t>
            </w: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《粮食流通管理条例》第四十五条第二项</w:t>
            </w:r>
          </w:p>
        </w:tc>
        <w:tc>
          <w:tcPr>
            <w:tcW w:w="4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案发后拒不支付售粮款的；多次实施该行为，或曾经因该行为被行政处罚的</w:t>
            </w: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县级以上地方人民政府粮食和储备行政管理部门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3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挤占、挪用、克扣财政补贴、信贷资金</w:t>
            </w:r>
          </w:p>
        </w:tc>
        <w:tc>
          <w:tcPr>
            <w:tcW w:w="3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《粮食流通管理条例》第四十九条第一款第三项</w:t>
            </w:r>
          </w:p>
        </w:tc>
        <w:tc>
          <w:tcPr>
            <w:tcW w:w="4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造成较大损失，尚不够刑事处罚的；多次实施该行为，或曾经因该行为被行政处罚的</w:t>
            </w: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县级以上地方人民政府粮食和储备行政管理部门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/>
    <w:p/>
    <w:p/>
    <w:p/>
    <w:p/>
    <w:p/>
    <w:p/>
    <w:p/>
    <w:p/>
    <w:p/>
    <w:tbl>
      <w:tblPr>
        <w:tblW w:w="1422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9"/>
        <w:gridCol w:w="3736"/>
        <w:gridCol w:w="3526"/>
        <w:gridCol w:w="3286"/>
        <w:gridCol w:w="258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42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bdr w:val="none" w:color="auto" w:sz="0" w:space="0"/>
                <w:lang w:val="en-US" w:eastAsia="zh-CN" w:bidi="ar"/>
              </w:rPr>
              <w:t>免于行政强制事项清单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违法行为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法律依据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适用情形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实施主体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  <w:tc>
          <w:tcPr>
            <w:tcW w:w="370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sz w:val="24"/>
                <w:szCs w:val="24"/>
                <w:u w:val="none"/>
                <w:lang w:eastAsia="zh-CN"/>
              </w:rPr>
              <w:t>无</w:t>
            </w:r>
          </w:p>
        </w:tc>
        <w:tc>
          <w:tcPr>
            <w:tcW w:w="3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/>
    <w:sectPr>
      <w:pgSz w:w="16838" w:h="11906" w:orient="landscape"/>
      <w:pgMar w:top="1803" w:right="1440" w:bottom="1803" w:left="1440" w:header="851" w:footer="992" w:gutter="0"/>
      <w:paperSrc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gxMWYyYTUxN2EyYTcyNzdlMTI2OTRjMzMyMjFjYjYifQ=="/>
  </w:docVars>
  <w:rsids>
    <w:rsidRoot w:val="58CC3992"/>
    <w:rsid w:val="58CC3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2022-06-06T07:18:00Z</dcterms:created>
  <dc:creator>Wgh</dc:creator>
  <cp:lastModifiedBy>Wgh</cp:lastModifiedBy>
  <dcterms:modified xsi:type="dcterms:W3CDTF">2022-06-06T07:35:56Z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0C74474D0F53480BA3AC8DA7A8FC9DAD</vt:lpwstr>
  </property>
</Properties>
</file>