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72"/>
        <w:gridCol w:w="6585"/>
        <w:gridCol w:w="1065"/>
        <w:gridCol w:w="178"/>
      </w:tblGrid>
      <w:tr w14:paraId="74A5A4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78" w:type="dxa"/>
          <w:trHeight w:val="565" w:hRule="atLeast"/>
        </w:trPr>
        <w:tc>
          <w:tcPr>
            <w:tcW w:w="8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24C5B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bookmarkStart w:id="0" w:name="_GoBack"/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52"/>
                <w:szCs w:val="52"/>
                <w:u w:val="none"/>
                <w:lang w:val="en-US" w:eastAsia="zh-CN" w:bidi="ar"/>
              </w:rPr>
              <w:t>报价表</w:t>
            </w:r>
            <w:bookmarkEnd w:id="0"/>
          </w:p>
        </w:tc>
      </w:tr>
      <w:tr w14:paraId="04E63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78" w:type="dxa"/>
          <w:trHeight w:val="525" w:hRule="atLeast"/>
        </w:trPr>
        <w:tc>
          <w:tcPr>
            <w:tcW w:w="8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4D05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采购单位名称：昆明市晋宁区残疾人联合会</w:t>
            </w:r>
          </w:p>
        </w:tc>
      </w:tr>
      <w:tr w14:paraId="65215B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78" w:type="dxa"/>
          <w:trHeight w:val="700" w:hRule="atLeast"/>
        </w:trPr>
        <w:tc>
          <w:tcPr>
            <w:tcW w:w="11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F26B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采购项目具体名称</w:t>
            </w:r>
          </w:p>
        </w:tc>
        <w:tc>
          <w:tcPr>
            <w:tcW w:w="65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D14E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服务内容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2B99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报价金额（元）</w:t>
            </w:r>
          </w:p>
        </w:tc>
      </w:tr>
      <w:tr w14:paraId="5EEAA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78" w:type="dxa"/>
          <w:trHeight w:val="312" w:hRule="atLeast"/>
        </w:trPr>
        <w:tc>
          <w:tcPr>
            <w:tcW w:w="11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1C58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65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035F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6C6A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 w14:paraId="7DCAB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78" w:type="dxa"/>
          <w:trHeight w:val="7980" w:hRule="atLeast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10F8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昆明市晋宁区残疾人联合会2026年聘请法律顾问服务项目</w:t>
            </w:r>
          </w:p>
        </w:tc>
        <w:tc>
          <w:tcPr>
            <w:tcW w:w="6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C2F1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（一）为昆明市晋宁区残疾人联合会的重大经营决策提供法律和政策依据；</w:t>
            </w:r>
          </w:p>
          <w:p w14:paraId="3CF45E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（二）协助草拟、制订、审查或修改各类合同、协议等法律文件；</w:t>
            </w:r>
          </w:p>
          <w:p w14:paraId="22B9BD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（三）为昆明市晋宁区残疾人联合会的业务策划提供法律咨询、协助甲方草拟、制订重要项目的内部合约化制度；</w:t>
            </w:r>
          </w:p>
          <w:p w14:paraId="067744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（四）应昆明市晋宁区残疾人联合会要求，参与昆明市晋宁区残疾人联合会高层会议、企业策划、商务谈判，进行法律分析、论证，办理资信调查、可行性研究、风险预测和项目投资论证等非诉法律事务；</w:t>
            </w:r>
          </w:p>
          <w:p w14:paraId="114E3C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（五）应昆明市晋宁区残疾人联合会要求，就昆明市晋宁区残疾人联合会已经面临或者可能发生的纠纷，进行法律论证，提出解决方案，出具律师函，发表律师意见，或参与非诉讼谈判、协调、调解；</w:t>
            </w:r>
          </w:p>
          <w:p w14:paraId="428753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（六）应昆明市晋宁区残疾人联合会要求讲授法律知识，为企业职工提供法制宣传、教育、培训；</w:t>
            </w:r>
          </w:p>
          <w:p w14:paraId="570013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（七）帮助昆明市晋宁区残疾人联合会建立劳动合同、人事管理体系制度、企业内部规章制度、合同管理制度，解答昆明市晋宁区残疾人联合会有关劳动法的问题，并协助昆明市晋宁区残疾人联合会处理劳动争议；</w:t>
            </w:r>
          </w:p>
          <w:p w14:paraId="49DA25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（八）接受昆明市晋宁区残疾人联合会委托担任代理人，参加昆明市晋宁区残疾人联合会涉及民商事、知识产权、劳动、行政、刑事等诉讼、非诉、调解、仲裁活动；</w:t>
            </w:r>
          </w:p>
          <w:p w14:paraId="2B4270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（九）经昆明市晋宁区残疾人联合会特别授权，签署、送达或接收法律文书；</w:t>
            </w:r>
          </w:p>
          <w:p w14:paraId="0FDC90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textAlignment w:val="auto"/>
              <w:rPr>
                <w:rFonts w:hint="eastAsia" w:ascii="仿宋_GB2312" w:hAnsi="宋体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（十）完成昆明市晋宁区残疾人联合会交办的其他法律事务。</w:t>
            </w:r>
          </w:p>
        </w:tc>
        <w:tc>
          <w:tcPr>
            <w:tcW w:w="10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25E06C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 w14:paraId="20767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311B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报价单位全称（盖章）:</w:t>
            </w:r>
          </w:p>
        </w:tc>
      </w:tr>
      <w:tr w14:paraId="1476ED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FEA7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法定代表人或委托代理人（签字或盖章）:</w:t>
            </w:r>
          </w:p>
        </w:tc>
      </w:tr>
      <w:tr w14:paraId="7CCAC2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6D76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联系人：         联系电话：                   </w:t>
            </w:r>
          </w:p>
        </w:tc>
      </w:tr>
      <w:tr w14:paraId="76C5B9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FB2A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 w14:paraId="6A7ECE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061D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32"/>
                <w:szCs w:val="32"/>
                <w:u w:val="none"/>
                <w:lang w:val="en-US" w:eastAsia="zh-CN"/>
              </w:rPr>
              <w:t>报价日期：</w:t>
            </w:r>
          </w:p>
        </w:tc>
      </w:tr>
    </w:tbl>
    <w:p w14:paraId="6985465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decorative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xZTIyN2VlOTJhMzY2ZGFjODkzYTg4YmIyNjI5MGQifQ=="/>
  </w:docVars>
  <w:rsids>
    <w:rsidRoot w:val="260B76D0"/>
    <w:rsid w:val="035F6703"/>
    <w:rsid w:val="260B76D0"/>
    <w:rsid w:val="2E5D33BC"/>
    <w:rsid w:val="3DF12A82"/>
    <w:rsid w:val="41C76FEF"/>
    <w:rsid w:val="6A495863"/>
    <w:rsid w:val="73A1029F"/>
    <w:rsid w:val="764B18FD"/>
    <w:rsid w:val="7C383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line="560" w:lineRule="exact"/>
      <w:ind w:firstLine="0" w:firstLineChars="0"/>
      <w:jc w:val="center"/>
      <w:outlineLvl w:val="0"/>
    </w:pPr>
    <w:rPr>
      <w:rFonts w:ascii="Arial" w:hAnsi="Arial" w:eastAsia="方正小标宋_GBK"/>
      <w:bCs/>
      <w:kern w:val="44"/>
      <w:sz w:val="44"/>
      <w:szCs w:val="44"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1"/>
    </w:pPr>
    <w:rPr>
      <w:rFonts w:eastAsia="黑体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1"/>
    <w:uiPriority w:val="0"/>
    <w:pPr>
      <w:widowControl w:val="0"/>
      <w:spacing w:after="12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5">
    <w:name w:val="Normal (Web)"/>
    <w:uiPriority w:val="0"/>
    <w:pPr>
      <w:widowControl w:val="0"/>
      <w:spacing w:before="100" w:beforeAutospacing="1" w:after="100" w:afterAutospacing="1"/>
      <w:ind w:left="0" w:right="0"/>
      <w:jc w:val="left"/>
    </w:pPr>
    <w:rPr>
      <w:rFonts w:ascii="Times New Roman" w:hAnsi="Times New Roman" w:eastAsia="宋体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昆明市晋宁区党政机关单位</Company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2026-09-15T01:53:00Z</dcterms:created>
  <dc:creator>飒～少年</dc:creator>
  <cp:lastModifiedBy>飒～少年</cp:lastModifiedBy>
  <dcterms:modified xsi:type="dcterms:W3CDTF">2026-09-15T01:59:25Z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141CF78511DD493F91CE00833D755A41_11</vt:lpwstr>
  </property>
</Properties>
</file>