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8"/>
        <w:gridCol w:w="1046"/>
        <w:gridCol w:w="1232"/>
        <w:gridCol w:w="1461"/>
        <w:gridCol w:w="2521"/>
        <w:gridCol w:w="1561"/>
        <w:gridCol w:w="989"/>
        <w:gridCol w:w="1089"/>
        <w:gridCol w:w="1189"/>
        <w:gridCol w:w="1275"/>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458"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4"/>
                <w:szCs w:val="24"/>
                <w:u w:val="none"/>
              </w:rPr>
            </w:pPr>
            <w:r>
              <w:rPr>
                <w:rFonts w:hint="default" w:ascii="方正黑体_GBK" w:hAnsi="方正黑体_GBK" w:eastAsia="方正黑体_GBK" w:cs="方正黑体_GBK"/>
                <w:i w:val="0"/>
                <w:color w:val="000000"/>
                <w:kern w:val="0"/>
                <w:sz w:val="24"/>
                <w:szCs w:val="24"/>
                <w:u w:val="none"/>
                <w:lang w:val="en-US" w:eastAsia="zh-CN" w:bidi="ar"/>
              </w:rPr>
              <w:t>附件3</w:t>
            </w:r>
          </w:p>
        </w:tc>
        <w:tc>
          <w:tcPr>
            <w:tcW w:w="1046" w:type="dxa"/>
            <w:tcBorders>
              <w:top w:val="nil"/>
              <w:left w:val="nil"/>
              <w:bottom w:val="nil"/>
              <w:right w:val="nil"/>
            </w:tcBorders>
            <w:shd w:val="clear" w:color="auto" w:fill="FFFFFF"/>
            <w:noWrap/>
            <w:tcMar>
              <w:top w:w="12" w:type="dxa"/>
              <w:left w:w="12" w:type="dxa"/>
              <w:right w:w="12" w:type="dxa"/>
            </w:tcMar>
            <w:vAlign w:val="center"/>
          </w:tcPr>
          <w:p>
            <w:pPr>
              <w:rPr>
                <w:rFonts w:hint="default" w:ascii="方正黑体_GBK" w:hAnsi="方正黑体_GBK" w:eastAsia="方正黑体_GBK" w:cs="方正黑体_GBK"/>
                <w:i w:val="0"/>
                <w:color w:val="000000"/>
                <w:sz w:val="24"/>
                <w:szCs w:val="24"/>
                <w:u w:val="none"/>
              </w:rPr>
            </w:pPr>
          </w:p>
        </w:tc>
        <w:tc>
          <w:tcPr>
            <w:tcW w:w="1232"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461"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521"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561"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89"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089"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89"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275"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161" w:type="dxa"/>
            <w:tcBorders>
              <w:top w:val="nil"/>
              <w:left w:val="nil"/>
              <w:bottom w:val="nil"/>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trPr>
        <w:tc>
          <w:tcPr>
            <w:tcW w:w="13982" w:type="dxa"/>
            <w:gridSpan w:val="11"/>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2026年度晋宁区“一业一查”联合监管工作计划（32项）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序号</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抽查行业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牵头部门</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shd w:val="clear" w:fill="FFFFFF"/>
                <w:lang w:val="en-US" w:eastAsia="zh-CN" w:bidi="ar"/>
              </w:rPr>
              <w:t>联查</w:t>
            </w:r>
            <w:r>
              <w:rPr>
                <w:rFonts w:hint="default" w:ascii="方正黑体_GBK" w:hAnsi="方正黑体_GBK" w:eastAsia="方正黑体_GBK" w:cs="方正黑体_GBK"/>
                <w:i w:val="0"/>
                <w:color w:val="000000"/>
                <w:kern w:val="0"/>
                <w:sz w:val="20"/>
                <w:szCs w:val="20"/>
                <w:u w:val="none"/>
                <w:lang w:val="en-US" w:eastAsia="zh-CN" w:bidi="ar"/>
              </w:rPr>
              <w:t>部门</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抽查事项</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检查对象</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任务时间</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抽查比例/户数</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检查方式</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实施层级</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0"/>
                <w:szCs w:val="20"/>
                <w:u w:val="none"/>
              </w:rPr>
            </w:pPr>
            <w:r>
              <w:rPr>
                <w:rFonts w:hint="default" w:ascii="方正黑体_GBK" w:hAnsi="方正黑体_GBK" w:eastAsia="方正黑体_GBK" w:cs="方正黑体_GBK"/>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固定资产投资项目和重点用能工业企业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区发改局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区工科信局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市发展改革委：1.对固定资产投资项目节能审查验收情况的监督检查；2.对固定资产投资项目节能审查意见落实情况的监督检查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市工业和信息化局：工业企业节能监督检查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1.项目建设单位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2.重点用能工业企业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2025年市级节能审查项目的20%，4户（2025年共计16户）/2025</w:t>
            </w:r>
            <w:r>
              <w:rPr>
                <w:rFonts w:hint="eastAsia" w:ascii="宋体" w:hAnsi="宋体" w:eastAsia="宋体" w:cs="宋体"/>
                <w:i w:val="0"/>
                <w:color w:val="000000"/>
                <w:kern w:val="0"/>
                <w:sz w:val="20"/>
                <w:szCs w:val="20"/>
                <w:u w:val="none"/>
                <w:shd w:val="clear" w:fill="FFFFFF"/>
                <w:lang w:val="en-US" w:eastAsia="zh-CN" w:bidi="ar"/>
              </w:rPr>
              <w:t>年</w:t>
            </w:r>
            <w:r>
              <w:rPr>
                <w:rFonts w:hint="eastAsia" w:ascii="宋体" w:hAnsi="宋体" w:eastAsia="宋体" w:cs="宋体"/>
                <w:i w:val="0"/>
                <w:color w:val="000000"/>
                <w:kern w:val="0"/>
                <w:sz w:val="20"/>
                <w:szCs w:val="20"/>
                <w:u w:val="none"/>
                <w:lang w:val="en-US" w:eastAsia="zh-CN" w:bidi="ar"/>
              </w:rPr>
              <w:t>验收通过的市级节能审查项目的30%，1户（2025年共计3户）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人民防空工程建设质量</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区发改局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区住建局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国防动员部门：人民防空工程建设质量监督检查；                             住房城乡建设部门：建筑工程质量安全的监管</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新开工建设的人防工程各参建单位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中小学教育装备产品</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区教育体育局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教育体育部门：中小学教育装备产品（</w:t>
            </w:r>
            <w:r>
              <w:rPr>
                <w:rFonts w:hint="eastAsia" w:ascii="宋体" w:hAnsi="宋体" w:eastAsia="宋体" w:cs="宋体"/>
                <w:i w:val="0"/>
                <w:color w:val="000000"/>
                <w:kern w:val="0"/>
                <w:sz w:val="20"/>
                <w:szCs w:val="20"/>
                <w:u w:val="none"/>
                <w:shd w:val="clear" w:fill="FFFFFF"/>
                <w:lang w:val="en-US" w:eastAsia="zh-CN" w:bidi="ar"/>
              </w:rPr>
              <w:t>含</w:t>
            </w:r>
            <w:r>
              <w:rPr>
                <w:rFonts w:hint="eastAsia" w:ascii="宋体" w:hAnsi="宋体" w:eastAsia="宋体" w:cs="宋体"/>
                <w:i w:val="0"/>
                <w:color w:val="000000"/>
                <w:kern w:val="0"/>
                <w:sz w:val="20"/>
                <w:szCs w:val="20"/>
                <w:u w:val="none"/>
                <w:lang w:val="en-US" w:eastAsia="zh-CN" w:bidi="ar"/>
              </w:rPr>
              <w:t>文体教育用品、教学仪器、校服等）检查                       市场监管部门：产品质量监督抽查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各类学校</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2026年3月-10月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原则上不低于5%</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学校食堂</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区教育体育局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  区卫健局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教育体育部门： 学校主体责任落实情况、食品安全制度建设及执行情况、膳食经费管理情况、陪餐工作开展情况、膳食监督家长委员会工作开展情况。                                                                    市场监管部门：食品经营许可、食品安全信息公示情况；食品原料控制（含食品添加剂）情况；加工场所布局流程；餐饮服务加工过程控制；餐饮具清洗消毒情况；食品加工场所和设施清洁维护情况；食品安全管理情况及从业人员管理情况 ；食品安全日管控、周排查、月调度执行情况 。                                          卫生健康部门：学校开展食源性疾病预防和营养健康知识培训情况、营养指导员配备情况、二次供水管理制度落实情况。</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各类学校</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2026年3月-10月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原则上不低于5%</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保安从业单位</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市公安局晋宁分局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区市场监管局、区消防救援局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公安部门：保安从业单位及其保安服务活动情况的检查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消防救援机构：对保安行业的消防安全检查；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保安行业相关单位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2026年2月-9月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保安培训单位</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市公安局晋宁分局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区市场监管局、区消防救援局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公安部门：保安培训单位及其培训活动情况的检查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消防救援机构：对保安行业的消防安全检查；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保安行业相关单位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2026年2月-9月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清真食品生产经营领域</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区民宗局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民族宗教部门：清真食品生产经营领域监督检查         市场监管部门：餐饮服务监督检查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清真食品生产经营主体</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殡葬行业</w:t>
            </w:r>
          </w:p>
        </w:tc>
        <w:tc>
          <w:tcPr>
            <w:tcW w:w="123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区民政局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民政部门：对殡葬服务机构依法服务和运营的行政检查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市场监管部门：价格行为检查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殡仪馆、公墓经营单位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养老机构</w:t>
            </w:r>
          </w:p>
        </w:tc>
        <w:tc>
          <w:tcPr>
            <w:tcW w:w="123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区民政局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区住房城乡建设局、区市场监管局、区消防救援局、区卫健局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民政部门：检查区属养老服务机构证照是否齐全；是否收取预付费及告知风险</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是否进行服务收费公示及收费规范情况、预收费监管落实情况；规范使用《养老服务机构服务合同</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示范文本</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》情况；是否收取大额预付费、预付费涉及人数、资金使用情况</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是否存在承诺投资回报“</w:t>
            </w:r>
            <w:r>
              <w:rPr>
                <w:rFonts w:hint="eastAsia" w:ascii="宋体" w:hAnsi="宋体" w:eastAsia="宋体" w:cs="宋体"/>
                <w:i w:val="0"/>
                <w:color w:val="000000"/>
                <w:kern w:val="0"/>
                <w:sz w:val="20"/>
                <w:szCs w:val="20"/>
                <w:u w:val="none"/>
                <w:shd w:val="clear" w:fill="FFFFFF"/>
                <w:lang w:val="en-US" w:eastAsia="zh-CN" w:bidi="ar"/>
              </w:rPr>
              <w:t>炒</w:t>
            </w:r>
            <w:r>
              <w:rPr>
                <w:rFonts w:hint="eastAsia" w:ascii="宋体" w:hAnsi="宋体" w:eastAsia="宋体" w:cs="宋体"/>
                <w:i w:val="0"/>
                <w:color w:val="000000"/>
                <w:kern w:val="0"/>
                <w:sz w:val="20"/>
                <w:szCs w:val="20"/>
                <w:u w:val="none"/>
                <w:lang w:val="en-US" w:eastAsia="zh-CN" w:bidi="ar"/>
              </w:rPr>
              <w:t>床位”等情况；养老服务场所是否符合设置标准及安全、消防、卫生、疫情防控相关规定。养老服务机构从业人员是否有相应养老护理职业资格证或养老护理员岗前培训职业</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专业</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能力证明。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住房城乡建设部门：检查养老机构建筑消防设计审查和验收。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市场监管部门：检查养老机构是否按相关法律法规和食品安全标准制定并执行相应制度</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特种设备使用是否符合规范</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是否完成明厨亮灶改造</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依法办理《食品经营许可证》</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机构内餐饮服务人员是否取得健康合格证后上岗。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消防救援机构：检查养老机构是否按规定对建筑消防设施进行维护保养</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疏散通道是否畅通</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安全出口是否锁闭</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固定消防设施、消防控制室及从业人员管理情况</w:t>
            </w:r>
            <w:r>
              <w:rPr>
                <w:rFonts w:hint="eastAsia" w:ascii="宋体" w:hAnsi="宋体" w:eastAsia="宋体" w:cs="宋体"/>
                <w:i w:val="0"/>
                <w:color w:val="000000"/>
                <w:kern w:val="0"/>
                <w:sz w:val="20"/>
                <w:szCs w:val="20"/>
                <w:u w:val="none"/>
                <w:shd w:val="clear" w:fill="FFFFFF"/>
                <w:lang w:val="en-US" w:eastAsia="zh-CN" w:bidi="ar"/>
              </w:rPr>
              <w:t>,</w:t>
            </w:r>
            <w:r>
              <w:rPr>
                <w:rFonts w:hint="eastAsia" w:ascii="宋体" w:hAnsi="宋体" w:eastAsia="宋体" w:cs="宋体"/>
                <w:i w:val="0"/>
                <w:color w:val="000000"/>
                <w:kern w:val="0"/>
                <w:sz w:val="20"/>
                <w:szCs w:val="20"/>
                <w:u w:val="none"/>
                <w:lang w:val="en-US" w:eastAsia="zh-CN" w:bidi="ar"/>
              </w:rPr>
              <w:t>养老机构的宿舍、食堂、活动室等重点部位消防设施器材是否完好有效、电气线路敷设、用火用电是否符合规范等情况。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卫生健康部门：检查养老服务机构医疗卫生情况。</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养老机构</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nil"/>
              <w:left w:val="nil"/>
              <w:bottom w:val="nil"/>
              <w:right w:val="nil"/>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代理记账机构</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区财政局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区市场监管局、区税务局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财政部门：代理记账机构检查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税务部门：税务检查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代理记账机构</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劳务派遣</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区人力资源社会保障局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人力资源社会保障部门：劳务派遣经营单位遵守劳动保障法律法规情况；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劳务派遣机构</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人力资源服务</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区人力资源社会保障局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人力资源社会保障部门：人力资源服务机构检查；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人力资源服务机构</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046"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测绘地理信息</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区自然资源局</w:t>
            </w:r>
          </w:p>
        </w:tc>
        <w:tc>
          <w:tcPr>
            <w:tcW w:w="146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自然资源规划部门：测绘资质巡查、测绘质量检查、涉密测绘成果检查、地理信息安全检查；                     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测绘资质单位、使用涉密测绘成果法人或其他组织以及地理信息生产、保管、利用单位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规模化畜禽养殖企业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区生态环境局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区农业农村局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生态环境部门：对规模化畜禽养殖企业污染防治排放情况的监督检查；                农业农村部门：农业农村部门：农业生产资料监管</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规模化养殖企业、个体户、合作社等</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种子生产经营企业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区农业农村局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农业农村部门：种子监督检查市场监管部门：登记事项检查、公示信息检查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种子生产经营企业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2026年4月-9月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畜禽、水生野生动物养殖加工业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区农业农村局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农业农村部门：种畜禽质量监督检查；                  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从事种畜禽生产经营的单位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2026年4月-9月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城市供水工程检查</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区水务局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区卫健局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水务部门：对投入使用的城市供水工程的行政检查；       卫生健康部门：对投入使用的供水工程的行政检查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城市（县城）供水企业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实地核查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工贸企业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区应急局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区市场监管局、区消防救援局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应急部门：负责对工贸行业企业进行安全生产检查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市场监管部门：对工贸行业企业特种设备进行安全检查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消防救援部门：对工贸行业企业消防安全进行检查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工贸企业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2026年11月底前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陆生野生动物养殖、利用行业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区林草局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林草部门：陆生野生动物及其制品人工繁育、经营利用活动的监督抽查； 市场监管部门：为非法交易野生动物等违法行为提供交易服务的检查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经批准的人工繁育、利用陆生野生动物及其制品的事业单位、企业、社会组织和个人</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1户（100%）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实地核查、书面检查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林草种苗生产经营单位</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区林草局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林草部门：林草种苗监督检查 市场监管部门：登记事项检查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林草种苗生产经营单位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2026年6月-11月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2户（100%）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统计调查企业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区统计局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统计部门：调查对象依法设置原始记录、统计台账情况检查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市场监管部门：登记事项检查、公示信息检查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统计调查对象</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各专业不少于2家（投资、贸易、工业、服务业）</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现场检查</w:t>
            </w:r>
            <w:r>
              <w:rPr>
                <w:rFonts w:hint="eastAsia" w:ascii="微软雅黑" w:hAnsi="微软雅黑" w:eastAsia="微软雅黑" w:cs="微软雅黑"/>
                <w:i w:val="0"/>
                <w:color w:val="000000"/>
                <w:kern w:val="0"/>
                <w:sz w:val="20"/>
                <w:szCs w:val="20"/>
                <w:u w:val="none"/>
                <w:lang w:val="en-US" w:eastAsia="zh-CN" w:bidi="ar"/>
              </w:rPr>
              <w:br w:type="textWrapping"/>
            </w:r>
            <w:r>
              <w:rPr>
                <w:rFonts w:hint="eastAsia" w:ascii="微软雅黑" w:hAnsi="微软雅黑" w:eastAsia="微软雅黑" w:cs="微软雅黑"/>
                <w:i w:val="0"/>
                <w:color w:val="000000"/>
                <w:kern w:val="0"/>
                <w:sz w:val="20"/>
                <w:szCs w:val="20"/>
                <w:u w:val="none"/>
                <w:lang w:val="en-US" w:eastAsia="zh-CN" w:bidi="ar"/>
              </w:rPr>
              <w:t>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消防产品使用领域</w:t>
            </w:r>
          </w:p>
        </w:tc>
        <w:tc>
          <w:tcPr>
            <w:tcW w:w="1232"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区消防救援局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消防救援部门：消防产品质量情况（</w:t>
            </w:r>
            <w:r>
              <w:rPr>
                <w:rFonts w:hint="eastAsia" w:ascii="宋体" w:hAnsi="宋体" w:eastAsia="宋体" w:cs="宋体"/>
                <w:i w:val="0"/>
                <w:color w:val="000000"/>
                <w:kern w:val="0"/>
                <w:sz w:val="20"/>
                <w:szCs w:val="20"/>
                <w:u w:val="none"/>
                <w:shd w:val="clear" w:fill="FFFFFF"/>
                <w:lang w:val="en-US" w:eastAsia="zh-CN" w:bidi="ar"/>
              </w:rPr>
              <w:t>含</w:t>
            </w:r>
            <w:r>
              <w:rPr>
                <w:rFonts w:hint="eastAsia" w:ascii="宋体" w:hAnsi="宋体" w:eastAsia="宋体" w:cs="宋体"/>
                <w:i w:val="0"/>
                <w:color w:val="000000"/>
                <w:kern w:val="0"/>
                <w:sz w:val="20"/>
                <w:szCs w:val="20"/>
                <w:u w:val="none"/>
                <w:lang w:val="en-US" w:eastAsia="zh-CN" w:bidi="ar"/>
              </w:rPr>
              <w:t>市场准入检查、一致性检查、现场检查判定和抽样送检等）；                市场监管部门：CCC认证产品认证有效性抽查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昆明市行政区域内属于消防安全重点单位的人员密集场所</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特种设备工业气瓶充装单位</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区应急局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区市场监管局：安全管理情况检查、压力容器使用情况检查、特种设备生产、经营、移动式压力容器充装情况检查。       区应急局：安全生产许可、安全生产条件检查；对生产经营单位执行有关安全生产</w:t>
            </w:r>
            <w:r>
              <w:rPr>
                <w:rFonts w:hint="eastAsia" w:ascii="宋体" w:hAnsi="宋体" w:eastAsia="宋体" w:cs="宋体"/>
                <w:i w:val="0"/>
                <w:color w:val="000000"/>
                <w:kern w:val="0"/>
                <w:sz w:val="20"/>
                <w:szCs w:val="20"/>
                <w:u w:val="none"/>
                <w:shd w:val="clear" w:fill="FFFFFF"/>
                <w:lang w:val="en-US" w:eastAsia="zh-CN" w:bidi="ar"/>
              </w:rPr>
              <w:t>法律、法规</w:t>
            </w:r>
            <w:r>
              <w:rPr>
                <w:rFonts w:hint="eastAsia" w:ascii="宋体" w:hAnsi="宋体" w:eastAsia="宋体" w:cs="宋体"/>
                <w:i w:val="0"/>
                <w:color w:val="000000"/>
                <w:kern w:val="0"/>
                <w:sz w:val="20"/>
                <w:szCs w:val="20"/>
                <w:u w:val="none"/>
                <w:lang w:val="en-US" w:eastAsia="zh-CN" w:bidi="ar"/>
              </w:rPr>
              <w:t>和国家标准或者行业标准的情况进行监督检查。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辖区内特种设备工业气瓶充装单位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区交通运输局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区应急局、区公安局、区市场监管局、区交通综合执法大队</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交通运输部门：道路危险货物运输企业及车辆的监管检查；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应急管理部门：安全生产监督检查；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公安部门：道路危险货物运输企业检查；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市场监管部门：特种设备生产、经营、使用单位和检验检测机构监督检查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道路危险货物运输企业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城市客运业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区交通运输局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区公安局、区市场监管局、交通综合执法大队</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交通运输部门：城市客运行业监督检查；                                 公安部门：城市客运治安检查；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市场监管部门：电子商务经营行为监督检查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巡游车经营企业、网约车经营企业（平台）、城市公共汽车客运企业、城市轨道交通运营企业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经营性停车场</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区交通运输局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区市场监管局、区交通综合执法大队</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交通运输部门：停车场经营行业监督检查；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市场监管部门：价格行为检查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具有备案资质的停车场企业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抽查2户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区住建局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住房城乡建设部门：房地产市场监管；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市场监管部门：价格行为检查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2026年3月-11月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现场检查、书面检查、网络检查相结合方式</w:t>
            </w:r>
          </w:p>
        </w:tc>
        <w:tc>
          <w:tcPr>
            <w:tcW w:w="1275"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城市生活垃圾收运、处理企业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区综合行政执法局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市生态环境局晋宁分局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城市管理部门：城市生活垃圾收运、处理的监督检查；     生态环境部门：固体废物产生、收集、贮存、利用、处置情况的监督检查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城市生活垃圾收运、处理企业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46"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园林绿化企业</w:t>
            </w:r>
          </w:p>
        </w:tc>
        <w:tc>
          <w:tcPr>
            <w:tcW w:w="1232"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区综合行政执法局</w:t>
            </w:r>
          </w:p>
        </w:tc>
        <w:tc>
          <w:tcPr>
            <w:tcW w:w="146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区人力资源社会保障局</w:t>
            </w:r>
          </w:p>
        </w:tc>
        <w:tc>
          <w:tcPr>
            <w:tcW w:w="252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园林绿化部门：园林绿化工程建设市场监管；            人力资源社会保障部门：劳动用工情况、工资支付情况、社会保险参保情况、内部管理规章制度、人员名册、劳动合同签订</w:t>
            </w:r>
          </w:p>
        </w:tc>
        <w:tc>
          <w:tcPr>
            <w:tcW w:w="1561"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晋宁区城市园林绿化企业</w:t>
            </w:r>
          </w:p>
        </w:tc>
        <w:tc>
          <w:tcPr>
            <w:tcW w:w="98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1户</w:t>
            </w:r>
          </w:p>
        </w:tc>
        <w:tc>
          <w:tcPr>
            <w:tcW w:w="1189"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现场检查、书面检查</w:t>
            </w:r>
          </w:p>
        </w:tc>
        <w:tc>
          <w:tcPr>
            <w:tcW w:w="127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nil"/>
              <w:left w:val="nil"/>
              <w:bottom w:val="nil"/>
              <w:right w:val="nil"/>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成品油零售经营企业</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区商务和投资促进局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区市场监管局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1.成品油零售经营企业经营资格年度检查；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2.是否存在涂改、倒卖、出租、出借或者以其他形式非法转让成品油经营批准证书的；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3.是否存在违反《成品油管理办法》规定的条件和程序，未经许可擅自新建、迁建和扩建加油站的；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4.是否存在采取掺杂掺假、以假充真、以次充好或者以不合格产品冒充合格产品等手段销售成品油，或者销售国家明令淘汰并禁止销售的成品油的；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5.是否存在销售走私成品油的；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6.是否存在擅自改动加油机或利用其他手段克扣油量的；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7.是否存在超越经营范围进行经营活动的；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8.是否存在违反有关技术规范要求的；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9.是否存在</w:t>
            </w:r>
            <w:r>
              <w:rPr>
                <w:rFonts w:hint="eastAsia" w:ascii="宋体" w:hAnsi="宋体" w:eastAsia="宋体" w:cs="宋体"/>
                <w:i w:val="0"/>
                <w:color w:val="000000"/>
                <w:kern w:val="0"/>
                <w:sz w:val="20"/>
                <w:szCs w:val="20"/>
                <w:u w:val="none"/>
                <w:shd w:val="clear" w:fill="FFFFFF"/>
                <w:lang w:val="en-US" w:eastAsia="zh-CN" w:bidi="ar"/>
              </w:rPr>
              <w:t>法律、法规</w:t>
            </w:r>
            <w:r>
              <w:rPr>
                <w:rFonts w:hint="eastAsia" w:ascii="宋体" w:hAnsi="宋体" w:eastAsia="宋体" w:cs="宋体"/>
                <w:i w:val="0"/>
                <w:color w:val="000000"/>
                <w:kern w:val="0"/>
                <w:sz w:val="20"/>
                <w:szCs w:val="20"/>
                <w:u w:val="none"/>
                <w:lang w:val="en-US" w:eastAsia="zh-CN" w:bidi="ar"/>
              </w:rPr>
              <w:t>、规章规定的其他违法行为</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注册地在昆明市晋宁区，且取得《成品油零售经营批准证书》的企业。</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2026年4月至11月</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托育机构</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区卫生健康局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bookmarkStart w:id="0" w:name="_GoBack"/>
            <w:r>
              <w:rPr>
                <w:rFonts w:hint="eastAsia" w:ascii="宋体" w:hAnsi="宋体" w:eastAsia="宋体" w:cs="宋体"/>
                <w:i w:val="0"/>
                <w:color w:val="000000"/>
                <w:kern w:val="0"/>
                <w:sz w:val="20"/>
                <w:szCs w:val="20"/>
                <w:u w:val="none"/>
                <w:shd w:val="clear" w:fill="FFFFFF"/>
                <w:lang w:val="en-US" w:eastAsia="zh-CN" w:bidi="ar"/>
              </w:rPr>
              <w:t>区市</w:t>
            </w:r>
            <w:bookmarkEnd w:id="0"/>
            <w:r>
              <w:rPr>
                <w:rFonts w:hint="eastAsia" w:ascii="宋体" w:hAnsi="宋体" w:eastAsia="宋体" w:cs="宋体"/>
                <w:i w:val="0"/>
                <w:color w:val="000000"/>
                <w:kern w:val="0"/>
                <w:sz w:val="20"/>
                <w:szCs w:val="20"/>
                <w:u w:val="none"/>
                <w:lang w:val="en-US" w:eastAsia="zh-CN" w:bidi="ar"/>
              </w:rPr>
              <w:t>场监管局、市、区消防救援局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卫生健康部门：托育机构卫生监督检查；                       市场监管部门：餐饮服务监督检查、价格行为检查；      消防救援机构：消防安全监督抽查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托育机构单位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县级抽取检查对象，县级随机选派人员实施检查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餐具、饮具集中消毒服务单位</w:t>
            </w:r>
          </w:p>
        </w:tc>
        <w:tc>
          <w:tcPr>
            <w:tcW w:w="123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区卫生健康局</w:t>
            </w:r>
          </w:p>
        </w:tc>
        <w:tc>
          <w:tcPr>
            <w:tcW w:w="14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市生态环境局晋宁分局</w:t>
            </w:r>
          </w:p>
        </w:tc>
        <w:tc>
          <w:tcPr>
            <w:tcW w:w="252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卫生健康部门：餐具、饮具集中消毒服务单位卫生监督检查；                       生态环境部门：排污许可落实情况、污染防治设施、自动监控系统等建设运行和维护、重点排污、单位环境信息公开活动的检查</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餐具、饮具集中消毒服务单位</w:t>
            </w:r>
          </w:p>
        </w:tc>
        <w:tc>
          <w:tcPr>
            <w:tcW w:w="9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2026年11月30日前</w:t>
            </w:r>
          </w:p>
        </w:tc>
        <w:tc>
          <w:tcPr>
            <w:tcW w:w="10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100%/1户</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现场检查</w:t>
            </w:r>
          </w:p>
        </w:tc>
        <w:tc>
          <w:tcPr>
            <w:tcW w:w="12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县级抽取检查对象，县级随机选派人员实施检查</w:t>
            </w:r>
          </w:p>
        </w:tc>
        <w:tc>
          <w:tcPr>
            <w:tcW w:w="1161"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10B8D"/>
    <w:rsid w:val="664B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2026-05-13T02:02:00Z</dcterms:created>
  <dc:creator>chun'tian</dc:creator>
  <cp:lastModifiedBy>Administrator</cp:lastModifiedBy>
  <dcterms:modified xsi:type="dcterms:W3CDTF">2026-05-13T02:28:55Z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hmcheck_markmode">
    <vt:i4>0</vt:i4>
  </property>
  <property fmtid="{D5CDD505-2E9C-101B-9397-08002B2CF9AE}" pid="4" name="ICV">
    <vt:lpwstr>06F2FCA8A0F44325BB3A70697C1939B7</vt:lpwstr>
  </property>
</Properties>
</file>