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A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 w14:paraId="14E1BB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  <w:t>昆明市晋宁区农业农村局</w:t>
      </w:r>
    </w:p>
    <w:p w14:paraId="7659EF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46"/>
          <w:szCs w:val="46"/>
          <w:shd w:val="clear" w:fill="FFFFFF"/>
          <w:lang w:val="en-US" w:eastAsia="zh-CN" w:bidi="ar"/>
        </w:rPr>
        <w:t>重大行政决策事项目录标准</w:t>
      </w:r>
    </w:p>
    <w:p w14:paraId="693138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A1A1A"/>
          <w:spacing w:val="0"/>
          <w:kern w:val="0"/>
          <w:sz w:val="30"/>
          <w:szCs w:val="30"/>
          <w:shd w:val="clear" w:fill="FFFFFF"/>
          <w:lang w:val="en-US" w:eastAsia="zh-CN" w:bidi="ar"/>
        </w:rPr>
        <w:t>（征求意见稿）</w:t>
      </w:r>
    </w:p>
    <w:p w14:paraId="1A9457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为进一步规范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重大行政决策事项目录化管理工作，推进科学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民主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依法决策，根据《重大行政决策程序暂行条例》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（国务院令第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713号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《云南省重大行政决策程序规定》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（云南省人民政府令第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217号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有关规定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，制定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区农业农村局重大行政决策事项目录标准如下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4300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一、编制原则</w:t>
      </w:r>
    </w:p>
    <w:p w14:paraId="3568A9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）坚持党的领导、贯彻党的路线方针政策和决策部署；</w:t>
      </w:r>
    </w:p>
    <w:p w14:paraId="583081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）符合法定的职责权限范围；</w:t>
      </w:r>
    </w:p>
    <w:p w14:paraId="4B5DB3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）结合本地实际，突出针对性、具备可操作性和灵活性。</w:t>
      </w:r>
    </w:p>
    <w:p w14:paraId="08CDFA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、重大行政决策事项目录标准</w:t>
      </w:r>
    </w:p>
    <w:p w14:paraId="54B9D2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（一）落实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政府决策部署制定的农业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发展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改革、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粮食生产、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农民增收、乡村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及其他管理与服务的重大公共政策措施、行动方案和发展规划；</w:t>
      </w:r>
    </w:p>
    <w:p w14:paraId="537670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政府批准，决定在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系统实施的重大农业农村建设项目和处置重大国有资产等重大事项；</w:t>
      </w:r>
    </w:p>
    <w:p w14:paraId="1EEE3E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（三）决定对农业农村经济社会发展有重大影响发展、涉及重大公共利益或者社会公众切身利益的其他重大事项；</w:t>
      </w:r>
    </w:p>
    <w:p w14:paraId="6ECE8B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（四）决定的农业农村领域其他重大行政决策事项。</w:t>
      </w:r>
    </w:p>
    <w:p w14:paraId="2944E2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三、下列决策事项不纳入重大行政决策事项年度目录</w:t>
      </w:r>
    </w:p>
    <w:p w14:paraId="5A979F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应对突发事件应急处置决策；</w:t>
      </w:r>
    </w:p>
    <w:p w14:paraId="35DD6F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内部管理事项，包括人事管理、财务管理、后勤管理以及内部工作流程等事项；</w:t>
      </w:r>
    </w:p>
    <w:p w14:paraId="56F194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（三）市场竞争机制能够有效调节的；公民、法人或者其他组织能够自主决定的；涉农行业组织或者中介机构能够自律管理的；基层群众组织能够自治管理的；</w:t>
      </w:r>
    </w:p>
    <w:p w14:paraId="419AEC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（四）未执行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政府决策部署出台的、没有作出对公民、法人或者其他组织更为不利的具体实施措施的，可不纳入重大行政决策事项目录；</w:t>
      </w:r>
    </w:p>
    <w:p w14:paraId="01F598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（五）应当由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政府决策的事项。</w:t>
      </w:r>
    </w:p>
    <w:p w14:paraId="31B21B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本标准自公布之日起施行，并根据实施情况适时修订。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069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89A6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89A6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B3029"/>
    <w:rsid w:val="01615D10"/>
    <w:rsid w:val="05BB3029"/>
    <w:rsid w:val="09FE73DC"/>
    <w:rsid w:val="1F8C183B"/>
    <w:rsid w:val="276B61BB"/>
    <w:rsid w:val="2ABF3758"/>
    <w:rsid w:val="3A06208B"/>
    <w:rsid w:val="559096A2"/>
    <w:rsid w:val="5DABD641"/>
    <w:rsid w:val="65EA4B0B"/>
    <w:rsid w:val="6BC9494F"/>
    <w:rsid w:val="7332419B"/>
    <w:rsid w:val="7FA9556D"/>
    <w:rsid w:val="F26F8EBB"/>
    <w:rsid w:val="FFA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2023-09-07T00:09:00Z</dcterms:created>
  <dc:creator>Administrator</dc:creator>
  <cp:lastModifiedBy>thtf</cp:lastModifiedBy>
  <cp:lastPrinted>2024-03-27T23:38:00Z</cp:lastPrinted>
  <dcterms:modified xsi:type="dcterms:W3CDTF">2026-03-30T15:00:33Z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0F56702C68D941D00A9D646997C6BD1F_42</vt:lpwstr>
  </property>
</Properties>
</file>