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14F6">
      <w:pPr>
        <w:widowControl/>
        <w:spacing w:line="590" w:lineRule="exact"/>
        <w:rPr>
          <w:rFonts w:ascii="方正小标宋简体" w:hAnsi="黑体" w:eastAsia="方正小标宋简体" w:cs="宋体+FPEF"/>
          <w:color w:val="0000FF"/>
          <w:spacing w:val="6"/>
          <w:kern w:val="0"/>
          <w:sz w:val="40"/>
          <w:szCs w:val="40"/>
        </w:rPr>
      </w:pPr>
      <w:bookmarkStart w:id="80" w:name="_GoBack"/>
      <w:bookmarkEnd w:id="80"/>
      <w:r>
        <w:rPr>
          <w:rFonts w:hint="eastAsia" w:ascii="仿宋_GB2312" w:hAnsi="黑体" w:eastAsia="仿宋_GB2312" w:cs="宋体+FPEF"/>
          <w:spacing w:val="6"/>
          <w:kern w:val="0"/>
          <w:szCs w:val="30"/>
        </w:rPr>
        <w:t xml:space="preserve"> </w:t>
      </w:r>
      <w:r>
        <w:rPr>
          <w:rFonts w:asciiTheme="majorEastAsia" w:hAnsiTheme="majorEastAsia" w:eastAsiaTheme="majorEastAsia" w:cstheme="majorEastAsia"/>
          <w:b/>
          <w:bCs/>
          <w:sz w:val="36"/>
          <w:szCs w:val="36"/>
          <w:lang w:val="zh-CN"/>
        </w:rPr>
        <w:tab/>
      </w:r>
    </w:p>
    <w:p w14:paraId="4AFCBC2F">
      <w:pPr>
        <w:spacing w:line="590" w:lineRule="exact"/>
        <w:jc w:val="center"/>
        <w:rPr>
          <w:rFonts w:ascii="方正小标宋简体" w:hAnsi="方正小标宋简体" w:eastAsia="方正小标宋简体" w:cs="方正小标宋简体"/>
          <w:spacing w:val="6"/>
          <w:kern w:val="0"/>
          <w:sz w:val="40"/>
          <w:szCs w:val="40"/>
        </w:rPr>
      </w:pPr>
    </w:p>
    <w:p w14:paraId="23E84A9C">
      <w:pPr>
        <w:spacing w:line="590" w:lineRule="exact"/>
        <w:jc w:val="center"/>
        <w:rPr>
          <w:rFonts w:ascii="方正小标宋简体" w:hAnsi="方正小标宋简体" w:eastAsia="方正小标宋简体" w:cs="方正小标宋简体"/>
          <w:spacing w:val="6"/>
          <w:kern w:val="0"/>
          <w:sz w:val="40"/>
          <w:szCs w:val="40"/>
        </w:rPr>
      </w:pPr>
    </w:p>
    <w:p w14:paraId="016B6C10">
      <w:pPr>
        <w:spacing w:line="590" w:lineRule="exact"/>
        <w:jc w:val="center"/>
        <w:rPr>
          <w:rFonts w:ascii="黑体" w:hAnsi="黑体" w:eastAsia="黑体" w:cs="黑体"/>
          <w:b/>
          <w:bCs/>
          <w:color w:val="auto"/>
          <w:spacing w:val="6"/>
          <w:kern w:val="0"/>
          <w:sz w:val="36"/>
          <w:szCs w:val="36"/>
          <w:highlight w:val="none"/>
        </w:rPr>
      </w:pPr>
      <w:r>
        <w:rPr>
          <w:rFonts w:hint="eastAsia" w:ascii="黑体" w:hAnsi="黑体" w:eastAsia="黑体" w:cs="黑体"/>
          <w:b/>
          <w:bCs/>
          <w:color w:val="auto"/>
          <w:spacing w:val="6"/>
          <w:kern w:val="0"/>
          <w:sz w:val="36"/>
          <w:szCs w:val="36"/>
          <w:highlight w:val="none"/>
        </w:rPr>
        <w:t>晋宁滇池流域重点水域渔船、网具回收处置</w:t>
      </w:r>
    </w:p>
    <w:p w14:paraId="158E69DE">
      <w:pPr>
        <w:spacing w:line="590" w:lineRule="exact"/>
        <w:jc w:val="center"/>
        <w:rPr>
          <w:rFonts w:ascii="黑体" w:hAnsi="黑体" w:eastAsia="黑体" w:cs="黑体"/>
          <w:b/>
          <w:bCs/>
          <w:color w:val="auto"/>
          <w:spacing w:val="6"/>
          <w:sz w:val="36"/>
          <w:szCs w:val="36"/>
          <w:highlight w:val="none"/>
        </w:rPr>
      </w:pPr>
      <w:r>
        <w:rPr>
          <w:rFonts w:hint="eastAsia" w:ascii="黑体" w:hAnsi="黑体" w:eastAsia="黑体" w:cs="黑体"/>
          <w:b/>
          <w:bCs/>
          <w:color w:val="auto"/>
          <w:spacing w:val="6"/>
          <w:kern w:val="0"/>
          <w:sz w:val="36"/>
          <w:szCs w:val="36"/>
          <w:highlight w:val="none"/>
        </w:rPr>
        <w:t>经费项目</w:t>
      </w:r>
      <w:r>
        <w:rPr>
          <w:rFonts w:hint="eastAsia" w:ascii="黑体" w:hAnsi="黑体" w:eastAsia="黑体" w:cs="黑体"/>
          <w:b/>
          <w:bCs/>
          <w:color w:val="auto"/>
          <w:spacing w:val="6"/>
          <w:sz w:val="36"/>
          <w:szCs w:val="36"/>
          <w:highlight w:val="none"/>
        </w:rPr>
        <w:t>绩效评价报告</w:t>
      </w:r>
    </w:p>
    <w:p w14:paraId="74144E6F">
      <w:pPr>
        <w:spacing w:line="590" w:lineRule="exact"/>
        <w:jc w:val="center"/>
        <w:rPr>
          <w:rFonts w:ascii="方正小标宋简体" w:hAnsi="Arial Narrow" w:eastAsia="方正小标宋简体"/>
          <w:color w:val="auto"/>
          <w:spacing w:val="6"/>
          <w:kern w:val="0"/>
          <w:sz w:val="40"/>
          <w:szCs w:val="40"/>
          <w:highlight w:val="none"/>
        </w:rPr>
      </w:pPr>
    </w:p>
    <w:p w14:paraId="76B147E1">
      <w:pPr>
        <w:spacing w:line="590" w:lineRule="exact"/>
        <w:jc w:val="center"/>
        <w:rPr>
          <w:rFonts w:ascii="方正小标宋简体" w:hAnsi="Arial Narrow" w:eastAsia="方正小标宋简体"/>
          <w:color w:val="auto"/>
          <w:spacing w:val="6"/>
          <w:kern w:val="0"/>
          <w:sz w:val="40"/>
          <w:szCs w:val="40"/>
          <w:highlight w:val="none"/>
        </w:rPr>
      </w:pPr>
    </w:p>
    <w:p w14:paraId="0D258A65">
      <w:pPr>
        <w:spacing w:line="590" w:lineRule="exact"/>
        <w:jc w:val="center"/>
        <w:rPr>
          <w:rFonts w:ascii="方正小标宋简体" w:hAnsi="Arial Narrow" w:eastAsia="方正小标宋简体"/>
          <w:color w:val="auto"/>
          <w:spacing w:val="6"/>
          <w:kern w:val="0"/>
          <w:sz w:val="40"/>
          <w:szCs w:val="40"/>
          <w:highlight w:val="none"/>
        </w:rPr>
      </w:pPr>
    </w:p>
    <w:p w14:paraId="00854BC2">
      <w:pPr>
        <w:spacing w:line="590" w:lineRule="exact"/>
        <w:rPr>
          <w:rFonts w:ascii="方正小标宋简体" w:hAnsi="方正小标宋简体" w:eastAsia="方正小标宋简体" w:cs="方正小标宋简体"/>
          <w:color w:val="auto"/>
          <w:spacing w:val="6"/>
          <w:kern w:val="0"/>
          <w:sz w:val="36"/>
          <w:szCs w:val="36"/>
          <w:highlight w:val="none"/>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E06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19EB47EB">
            <w:pPr>
              <w:overflowPunct w:val="0"/>
              <w:autoSpaceDE w:val="0"/>
              <w:adjustRightInd w:val="0"/>
              <w:snapToGrid w:val="0"/>
              <w:spacing w:line="500" w:lineRule="exact"/>
              <w:jc w:val="distribute"/>
              <w:rPr>
                <w:rFonts w:asciiTheme="minorEastAsia" w:hAnsiTheme="minorEastAsia" w:eastAsiaTheme="minorEastAsia" w:cstheme="minorEastAsia"/>
                <w:color w:val="auto"/>
                <w:spacing w:val="40"/>
                <w:kern w:val="0"/>
                <w:sz w:val="24"/>
                <w:szCs w:val="24"/>
                <w:highlight w:val="none"/>
              </w:rPr>
            </w:pPr>
            <w:r>
              <w:rPr>
                <w:rFonts w:hint="eastAsia" w:asciiTheme="minorEastAsia" w:hAnsiTheme="minorEastAsia" w:eastAsiaTheme="minorEastAsia" w:cstheme="minorEastAsia"/>
                <w:color w:val="auto"/>
                <w:spacing w:val="40"/>
                <w:kern w:val="0"/>
                <w:sz w:val="24"/>
                <w:szCs w:val="24"/>
                <w:highlight w:val="none"/>
                <w:lang w:bidi="ar"/>
              </w:rPr>
              <w:t>委托单位名称：</w:t>
            </w:r>
          </w:p>
        </w:tc>
        <w:tc>
          <w:tcPr>
            <w:tcW w:w="5660" w:type="dxa"/>
            <w:tcBorders>
              <w:bottom w:val="single" w:color="auto" w:sz="4" w:space="0"/>
            </w:tcBorders>
            <w:vAlign w:val="center"/>
          </w:tcPr>
          <w:p w14:paraId="7AC43673">
            <w:pPr>
              <w:overflowPunct w:val="0"/>
              <w:autoSpaceDE w:val="0"/>
              <w:adjustRightInd w:val="0"/>
              <w:snapToGrid w:val="0"/>
              <w:spacing w:line="500" w:lineRule="exact"/>
              <w:jc w:val="left"/>
              <w:rPr>
                <w:rFonts w:asciiTheme="minorEastAsia" w:hAnsiTheme="minorEastAsia" w:eastAsiaTheme="minorEastAsia" w:cstheme="minorEastAsia"/>
                <w:color w:val="auto"/>
                <w:spacing w:val="40"/>
                <w:kern w:val="0"/>
                <w:sz w:val="24"/>
                <w:szCs w:val="24"/>
                <w:highlight w:val="none"/>
              </w:rPr>
            </w:pPr>
            <w:r>
              <w:rPr>
                <w:rFonts w:hint="eastAsia" w:asciiTheme="minorEastAsia" w:hAnsiTheme="minorEastAsia" w:eastAsiaTheme="minorEastAsia" w:cstheme="minorEastAsia"/>
                <w:color w:val="auto"/>
                <w:spacing w:val="40"/>
                <w:kern w:val="0"/>
                <w:sz w:val="24"/>
                <w:szCs w:val="24"/>
                <w:highlight w:val="none"/>
                <w:lang w:bidi="ar"/>
              </w:rPr>
              <w:t>昆明市晋宁区财政局</w:t>
            </w:r>
          </w:p>
        </w:tc>
      </w:tr>
      <w:tr w14:paraId="6E81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2AA5CFF1">
            <w:pPr>
              <w:overflowPunct w:val="0"/>
              <w:autoSpaceDE w:val="0"/>
              <w:adjustRightInd w:val="0"/>
              <w:snapToGrid w:val="0"/>
              <w:spacing w:line="500" w:lineRule="exact"/>
              <w:jc w:val="distribute"/>
              <w:rPr>
                <w:rFonts w:asciiTheme="minorEastAsia" w:hAnsiTheme="minorEastAsia" w:eastAsiaTheme="minorEastAsia" w:cstheme="minorEastAsia"/>
                <w:color w:val="auto"/>
                <w:spacing w:val="40"/>
                <w:kern w:val="0"/>
                <w:sz w:val="24"/>
                <w:szCs w:val="24"/>
                <w:highlight w:val="none"/>
                <w:lang w:bidi="ar"/>
              </w:rPr>
            </w:pPr>
            <w:r>
              <w:rPr>
                <w:rFonts w:hint="eastAsia" w:asciiTheme="minorEastAsia" w:hAnsiTheme="minorEastAsia" w:eastAsiaTheme="minorEastAsia" w:cstheme="minorEastAsia"/>
                <w:color w:val="auto"/>
                <w:spacing w:val="40"/>
                <w:kern w:val="0"/>
                <w:sz w:val="24"/>
                <w:szCs w:val="24"/>
                <w:highlight w:val="none"/>
                <w:lang w:bidi="ar"/>
              </w:rPr>
              <w:t>评审机构名称：</w:t>
            </w:r>
          </w:p>
        </w:tc>
        <w:tc>
          <w:tcPr>
            <w:tcW w:w="5660" w:type="dxa"/>
            <w:tcBorders>
              <w:bottom w:val="single" w:color="auto" w:sz="4" w:space="0"/>
            </w:tcBorders>
            <w:vAlign w:val="center"/>
          </w:tcPr>
          <w:p w14:paraId="51954004">
            <w:pPr>
              <w:overflowPunct w:val="0"/>
              <w:autoSpaceDE w:val="0"/>
              <w:adjustRightInd w:val="0"/>
              <w:snapToGrid w:val="0"/>
              <w:spacing w:line="500" w:lineRule="exact"/>
              <w:jc w:val="left"/>
              <w:rPr>
                <w:rFonts w:asciiTheme="minorEastAsia" w:hAnsiTheme="minorEastAsia" w:eastAsiaTheme="minorEastAsia" w:cstheme="minorEastAsia"/>
                <w:color w:val="auto"/>
                <w:spacing w:val="40"/>
                <w:kern w:val="0"/>
                <w:sz w:val="24"/>
                <w:szCs w:val="24"/>
                <w:highlight w:val="none"/>
                <w:lang w:bidi="ar"/>
              </w:rPr>
            </w:pPr>
            <w:r>
              <w:rPr>
                <w:rFonts w:hint="eastAsia" w:asciiTheme="minorEastAsia" w:hAnsiTheme="minorEastAsia" w:eastAsiaTheme="minorEastAsia" w:cstheme="minorEastAsia"/>
                <w:color w:val="auto"/>
                <w:spacing w:val="40"/>
                <w:kern w:val="0"/>
                <w:sz w:val="24"/>
                <w:szCs w:val="24"/>
                <w:highlight w:val="none"/>
                <w:lang w:bidi="ar"/>
              </w:rPr>
              <w:t>大华会计师事务所（特殊普通合伙）云南分所</w:t>
            </w:r>
          </w:p>
        </w:tc>
      </w:tr>
      <w:tr w14:paraId="58B2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6A6E15BD">
            <w:pPr>
              <w:tabs>
                <w:tab w:val="right" w:pos="8306"/>
              </w:tabs>
              <w:adjustRightInd w:val="0"/>
              <w:snapToGrid w:val="0"/>
              <w:spacing w:line="500" w:lineRule="exact"/>
              <w:jc w:val="distribute"/>
              <w:rPr>
                <w:rFonts w:asciiTheme="minorEastAsia" w:hAnsiTheme="minorEastAsia" w:eastAsiaTheme="minorEastAsia" w:cstheme="minorEastAsia"/>
                <w:color w:val="auto"/>
                <w:spacing w:val="40"/>
                <w:kern w:val="0"/>
                <w:sz w:val="24"/>
                <w:szCs w:val="24"/>
                <w:highlight w:val="none"/>
              </w:rPr>
            </w:pPr>
            <w:r>
              <w:rPr>
                <w:rFonts w:hint="eastAsia" w:asciiTheme="minorEastAsia" w:hAnsiTheme="minorEastAsia" w:eastAsiaTheme="minorEastAsia" w:cstheme="minorEastAsia"/>
                <w:color w:val="auto"/>
                <w:spacing w:val="40"/>
                <w:kern w:val="0"/>
                <w:sz w:val="24"/>
                <w:szCs w:val="24"/>
                <w:highlight w:val="none"/>
              </w:rPr>
              <w:t>报告编号：</w:t>
            </w:r>
          </w:p>
        </w:tc>
        <w:tc>
          <w:tcPr>
            <w:tcW w:w="5660" w:type="dxa"/>
            <w:tcBorders>
              <w:top w:val="single" w:color="auto" w:sz="4" w:space="0"/>
              <w:bottom w:val="single" w:color="auto" w:sz="4" w:space="0"/>
            </w:tcBorders>
            <w:vAlign w:val="center"/>
          </w:tcPr>
          <w:p w14:paraId="18512E89">
            <w:pPr>
              <w:overflowPunct w:val="0"/>
              <w:autoSpaceDE w:val="0"/>
              <w:adjustRightInd w:val="0"/>
              <w:snapToGrid w:val="0"/>
              <w:spacing w:line="500" w:lineRule="exact"/>
              <w:jc w:val="left"/>
              <w:rPr>
                <w:rFonts w:hint="eastAsia" w:asciiTheme="minorEastAsia" w:hAnsiTheme="minorEastAsia" w:eastAsiaTheme="minorEastAsia" w:cstheme="minorEastAsia"/>
                <w:color w:val="auto"/>
                <w:spacing w:val="40"/>
                <w:kern w:val="0"/>
                <w:sz w:val="24"/>
                <w:szCs w:val="24"/>
                <w:highlight w:val="none"/>
                <w:lang w:bidi="ar"/>
              </w:rPr>
            </w:pPr>
            <w:r>
              <w:rPr>
                <w:rFonts w:hint="eastAsia" w:asciiTheme="minorEastAsia" w:hAnsiTheme="minorEastAsia" w:eastAsiaTheme="minorEastAsia" w:cstheme="minorEastAsia"/>
                <w:color w:val="auto"/>
                <w:spacing w:val="40"/>
                <w:kern w:val="0"/>
                <w:sz w:val="24"/>
                <w:szCs w:val="24"/>
                <w:highlight w:val="none"/>
                <w:lang w:bidi="ar"/>
              </w:rPr>
              <w:t>大华核字[202</w:t>
            </w:r>
            <w:r>
              <w:rPr>
                <w:rFonts w:hint="eastAsia" w:asciiTheme="minorEastAsia" w:hAnsiTheme="minorEastAsia" w:eastAsiaTheme="minorEastAsia" w:cstheme="minorEastAsia"/>
                <w:color w:val="auto"/>
                <w:spacing w:val="40"/>
                <w:kern w:val="0"/>
                <w:sz w:val="24"/>
                <w:szCs w:val="24"/>
                <w:highlight w:val="none"/>
                <w:lang w:val="en-US" w:eastAsia="zh-CN" w:bidi="ar"/>
              </w:rPr>
              <w:t>6</w:t>
            </w:r>
            <w:r>
              <w:rPr>
                <w:rFonts w:hint="eastAsia" w:asciiTheme="minorEastAsia" w:hAnsiTheme="minorEastAsia" w:eastAsiaTheme="minorEastAsia" w:cstheme="minorEastAsia"/>
                <w:color w:val="auto"/>
                <w:spacing w:val="40"/>
                <w:kern w:val="0"/>
                <w:sz w:val="24"/>
                <w:szCs w:val="24"/>
                <w:highlight w:val="none"/>
                <w:lang w:bidi="ar"/>
              </w:rPr>
              <w:t>]2011000253号</w:t>
            </w:r>
          </w:p>
        </w:tc>
      </w:tr>
      <w:tr w14:paraId="4DA0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52720C6F">
            <w:pPr>
              <w:overflowPunct w:val="0"/>
              <w:autoSpaceDE w:val="0"/>
              <w:adjustRightInd w:val="0"/>
              <w:snapToGrid w:val="0"/>
              <w:spacing w:line="500" w:lineRule="exact"/>
              <w:jc w:val="distribute"/>
              <w:rPr>
                <w:rFonts w:asciiTheme="minorEastAsia" w:hAnsiTheme="minorEastAsia" w:eastAsiaTheme="minorEastAsia" w:cstheme="minorEastAsia"/>
                <w:color w:val="auto"/>
                <w:spacing w:val="40"/>
                <w:kern w:val="0"/>
                <w:sz w:val="24"/>
                <w:szCs w:val="24"/>
                <w:highlight w:val="none"/>
              </w:rPr>
            </w:pPr>
            <w:r>
              <w:rPr>
                <w:rFonts w:hint="eastAsia" w:asciiTheme="minorEastAsia" w:hAnsiTheme="minorEastAsia" w:eastAsiaTheme="minorEastAsia" w:cstheme="minorEastAsia"/>
                <w:color w:val="auto"/>
                <w:spacing w:val="40"/>
                <w:kern w:val="0"/>
                <w:sz w:val="24"/>
                <w:szCs w:val="24"/>
                <w:highlight w:val="none"/>
                <w:lang w:bidi="ar"/>
              </w:rPr>
              <w:t>项目评审截止时间：</w:t>
            </w:r>
          </w:p>
        </w:tc>
        <w:tc>
          <w:tcPr>
            <w:tcW w:w="5660" w:type="dxa"/>
            <w:tcBorders>
              <w:top w:val="single" w:color="auto" w:sz="4" w:space="0"/>
              <w:bottom w:val="single" w:color="auto" w:sz="4" w:space="0"/>
            </w:tcBorders>
            <w:vAlign w:val="center"/>
          </w:tcPr>
          <w:p w14:paraId="751607F5">
            <w:pPr>
              <w:overflowPunct w:val="0"/>
              <w:autoSpaceDE w:val="0"/>
              <w:adjustRightInd w:val="0"/>
              <w:snapToGrid w:val="0"/>
              <w:spacing w:line="500" w:lineRule="exact"/>
              <w:jc w:val="left"/>
              <w:rPr>
                <w:rFonts w:asciiTheme="minorEastAsia" w:hAnsiTheme="minorEastAsia" w:eastAsiaTheme="minorEastAsia" w:cstheme="minorEastAsia"/>
                <w:color w:val="auto"/>
                <w:spacing w:val="40"/>
                <w:kern w:val="0"/>
                <w:sz w:val="24"/>
                <w:szCs w:val="24"/>
                <w:highlight w:val="none"/>
              </w:rPr>
            </w:pPr>
            <w:r>
              <w:rPr>
                <w:rFonts w:hint="eastAsia" w:asciiTheme="minorEastAsia" w:hAnsiTheme="minorEastAsia" w:eastAsiaTheme="minorEastAsia" w:cstheme="minorEastAsia"/>
                <w:color w:val="auto"/>
                <w:spacing w:val="40"/>
                <w:kern w:val="0"/>
                <w:sz w:val="24"/>
                <w:szCs w:val="24"/>
                <w:highlight w:val="none"/>
              </w:rPr>
              <w:t>2024年12月31日</w:t>
            </w:r>
          </w:p>
        </w:tc>
      </w:tr>
      <w:tr w14:paraId="56B3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vAlign w:val="center"/>
          </w:tcPr>
          <w:p w14:paraId="461DA084">
            <w:pPr>
              <w:overflowPunct w:val="0"/>
              <w:autoSpaceDE w:val="0"/>
              <w:adjustRightInd w:val="0"/>
              <w:snapToGrid w:val="0"/>
              <w:spacing w:line="500" w:lineRule="exact"/>
              <w:jc w:val="distribute"/>
              <w:rPr>
                <w:rFonts w:asciiTheme="minorEastAsia" w:hAnsiTheme="minorEastAsia" w:eastAsiaTheme="minorEastAsia" w:cstheme="minorEastAsia"/>
                <w:color w:val="auto"/>
                <w:spacing w:val="40"/>
                <w:kern w:val="0"/>
                <w:sz w:val="24"/>
                <w:szCs w:val="24"/>
                <w:highlight w:val="none"/>
                <w:lang w:bidi="ar"/>
              </w:rPr>
            </w:pPr>
            <w:r>
              <w:rPr>
                <w:rFonts w:hint="eastAsia" w:asciiTheme="minorEastAsia" w:hAnsiTheme="minorEastAsia" w:eastAsiaTheme="minorEastAsia" w:cstheme="minorEastAsia"/>
                <w:color w:val="auto"/>
                <w:spacing w:val="40"/>
                <w:kern w:val="0"/>
                <w:sz w:val="24"/>
                <w:szCs w:val="24"/>
                <w:highlight w:val="none"/>
                <w:lang w:bidi="ar"/>
              </w:rPr>
              <w:t>评审报告出具时间：</w:t>
            </w:r>
          </w:p>
        </w:tc>
        <w:tc>
          <w:tcPr>
            <w:tcW w:w="5660" w:type="dxa"/>
            <w:tcBorders>
              <w:top w:val="single" w:color="auto" w:sz="4" w:space="0"/>
              <w:bottom w:val="single" w:color="auto" w:sz="4" w:space="0"/>
            </w:tcBorders>
            <w:vAlign w:val="center"/>
          </w:tcPr>
          <w:p w14:paraId="51D571CE">
            <w:pPr>
              <w:overflowPunct w:val="0"/>
              <w:autoSpaceDE w:val="0"/>
              <w:adjustRightInd w:val="0"/>
              <w:snapToGrid w:val="0"/>
              <w:spacing w:line="500" w:lineRule="exact"/>
              <w:jc w:val="left"/>
              <w:rPr>
                <w:rFonts w:asciiTheme="minorEastAsia" w:hAnsiTheme="minorEastAsia" w:eastAsiaTheme="minorEastAsia" w:cstheme="minorEastAsia"/>
                <w:color w:val="auto"/>
                <w:spacing w:val="40"/>
                <w:kern w:val="0"/>
                <w:sz w:val="24"/>
                <w:szCs w:val="24"/>
                <w:highlight w:val="none"/>
                <w:lang w:bidi="ar"/>
              </w:rPr>
            </w:pPr>
            <w:r>
              <w:rPr>
                <w:rFonts w:hint="eastAsia" w:asciiTheme="minorEastAsia" w:hAnsiTheme="minorEastAsia" w:eastAsiaTheme="minorEastAsia" w:cstheme="minorEastAsia"/>
                <w:color w:val="auto"/>
                <w:spacing w:val="40"/>
                <w:kern w:val="0"/>
                <w:sz w:val="24"/>
                <w:szCs w:val="24"/>
                <w:highlight w:val="none"/>
              </w:rPr>
              <w:t>202</w:t>
            </w:r>
            <w:r>
              <w:rPr>
                <w:rFonts w:hint="eastAsia" w:asciiTheme="minorEastAsia" w:hAnsiTheme="minorEastAsia" w:eastAsiaTheme="minorEastAsia" w:cstheme="minorEastAsia"/>
                <w:color w:val="auto"/>
                <w:spacing w:val="40"/>
                <w:kern w:val="0"/>
                <w:sz w:val="24"/>
                <w:szCs w:val="24"/>
                <w:highlight w:val="none"/>
                <w:lang w:val="en-US" w:eastAsia="zh-CN"/>
              </w:rPr>
              <w:t>5</w:t>
            </w:r>
            <w:r>
              <w:rPr>
                <w:rFonts w:hint="eastAsia" w:asciiTheme="minorEastAsia" w:hAnsiTheme="minorEastAsia" w:eastAsiaTheme="minorEastAsia" w:cstheme="minorEastAsia"/>
                <w:color w:val="auto"/>
                <w:spacing w:val="40"/>
                <w:kern w:val="0"/>
                <w:sz w:val="24"/>
                <w:szCs w:val="24"/>
                <w:highlight w:val="none"/>
              </w:rPr>
              <w:t>年12月25日</w:t>
            </w:r>
          </w:p>
        </w:tc>
      </w:tr>
    </w:tbl>
    <w:p w14:paraId="43FD4A5F">
      <w:pPr>
        <w:snapToGrid w:val="0"/>
        <w:spacing w:line="560" w:lineRule="exact"/>
        <w:jc w:val="center"/>
        <w:rPr>
          <w:rFonts w:ascii="宋体" w:hAnsi="宋体"/>
          <w:b/>
          <w:color w:val="auto"/>
          <w:spacing w:val="40"/>
          <w:sz w:val="24"/>
          <w:szCs w:val="28"/>
          <w:highlight w:val="none"/>
        </w:rPr>
      </w:pPr>
    </w:p>
    <w:p w14:paraId="4317DF90">
      <w:pPr>
        <w:snapToGrid w:val="0"/>
        <w:spacing w:line="560" w:lineRule="exact"/>
        <w:jc w:val="center"/>
        <w:rPr>
          <w:rFonts w:ascii="宋体" w:hAnsi="宋体"/>
          <w:b/>
          <w:color w:val="auto"/>
          <w:spacing w:val="40"/>
          <w:sz w:val="24"/>
          <w:szCs w:val="28"/>
          <w:highlight w:val="none"/>
        </w:rPr>
      </w:pPr>
    </w:p>
    <w:p w14:paraId="78DB761F">
      <w:pPr>
        <w:pStyle w:val="2"/>
        <w:ind w:left="632" w:firstLine="632"/>
        <w:rPr>
          <w:color w:val="auto"/>
          <w:highlight w:val="none"/>
        </w:rPr>
      </w:pPr>
    </w:p>
    <w:p w14:paraId="598D0848">
      <w:pPr>
        <w:snapToGrid w:val="0"/>
        <w:spacing w:line="560" w:lineRule="exact"/>
        <w:jc w:val="center"/>
        <w:rPr>
          <w:rFonts w:ascii="宋体" w:hAnsi="宋体"/>
          <w:b/>
          <w:color w:val="auto"/>
          <w:spacing w:val="40"/>
          <w:sz w:val="24"/>
          <w:szCs w:val="28"/>
          <w:highlight w:val="none"/>
        </w:rPr>
      </w:pPr>
      <w:r>
        <w:rPr>
          <w:rFonts w:ascii="宋体" w:hAnsi="宋体"/>
          <w:b/>
          <w:color w:val="auto"/>
          <w:spacing w:val="40"/>
          <w:sz w:val="24"/>
          <w:szCs w:val="28"/>
          <w:highlight w:val="none"/>
        </w:rPr>
        <w:t>大华会计师事务所(特殊普通合伙)</w:t>
      </w:r>
      <w:r>
        <w:rPr>
          <w:rFonts w:hint="eastAsia" w:ascii="宋体" w:hAnsi="宋体"/>
          <w:b/>
          <w:color w:val="auto"/>
          <w:spacing w:val="40"/>
          <w:sz w:val="24"/>
          <w:szCs w:val="28"/>
          <w:highlight w:val="none"/>
        </w:rPr>
        <w:t>云南分所</w:t>
      </w:r>
    </w:p>
    <w:p w14:paraId="6E2214E1">
      <w:pPr>
        <w:snapToGrid w:val="0"/>
        <w:spacing w:line="560" w:lineRule="exact"/>
        <w:jc w:val="center"/>
        <w:rPr>
          <w:rFonts w:ascii="宋体" w:hAnsi="宋体"/>
          <w:color w:val="auto"/>
          <w:spacing w:val="-8"/>
          <w:sz w:val="24"/>
          <w:szCs w:val="28"/>
          <w:highlight w:val="none"/>
        </w:rPr>
      </w:pPr>
      <w:r>
        <w:rPr>
          <w:rFonts w:ascii="宋体" w:hAnsi="宋体"/>
          <w:color w:val="auto"/>
          <w:spacing w:val="-8"/>
          <w:sz w:val="24"/>
          <w:szCs w:val="28"/>
          <w:highlight w:val="none"/>
        </w:rPr>
        <w:t>D</w:t>
      </w:r>
      <w:r>
        <w:rPr>
          <w:rFonts w:hint="eastAsia" w:ascii="宋体" w:hAnsi="宋体"/>
          <w:color w:val="auto"/>
          <w:spacing w:val="-8"/>
          <w:sz w:val="24"/>
          <w:szCs w:val="28"/>
          <w:highlight w:val="none"/>
        </w:rPr>
        <w:t>a</w:t>
      </w:r>
      <w:r>
        <w:rPr>
          <w:rFonts w:ascii="宋体" w:hAnsi="宋体"/>
          <w:color w:val="auto"/>
          <w:spacing w:val="-8"/>
          <w:sz w:val="24"/>
          <w:szCs w:val="28"/>
          <w:highlight w:val="none"/>
        </w:rPr>
        <w:t xml:space="preserve"> H</w:t>
      </w:r>
      <w:r>
        <w:rPr>
          <w:rFonts w:hint="eastAsia" w:ascii="宋体" w:hAnsi="宋体"/>
          <w:color w:val="auto"/>
          <w:spacing w:val="-8"/>
          <w:sz w:val="24"/>
          <w:szCs w:val="28"/>
          <w:highlight w:val="none"/>
        </w:rPr>
        <w:t xml:space="preserve">ua </w:t>
      </w:r>
      <w:r>
        <w:rPr>
          <w:rFonts w:ascii="宋体" w:hAnsi="宋体"/>
          <w:color w:val="auto"/>
          <w:spacing w:val="-8"/>
          <w:sz w:val="24"/>
          <w:szCs w:val="28"/>
          <w:highlight w:val="none"/>
        </w:rPr>
        <w:t>Certified Public Accountants</w:t>
      </w:r>
      <w:r>
        <w:rPr>
          <w:rFonts w:hint="eastAsia" w:ascii="宋体" w:hAnsi="宋体"/>
          <w:color w:val="auto"/>
          <w:spacing w:val="-8"/>
          <w:sz w:val="24"/>
          <w:szCs w:val="28"/>
          <w:highlight w:val="none"/>
        </w:rPr>
        <w:t>（Special General Partnership）Yunnan Branch</w:t>
      </w:r>
    </w:p>
    <w:p w14:paraId="0B35B0AF">
      <w:pPr>
        <w:autoSpaceDE w:val="0"/>
        <w:autoSpaceDN w:val="0"/>
        <w:adjustRightInd w:val="0"/>
        <w:spacing w:line="579" w:lineRule="exact"/>
        <w:rPr>
          <w:rFonts w:ascii="黑体" w:hAnsi="宋体" w:eastAsia="黑体"/>
          <w:color w:val="auto"/>
          <w:spacing w:val="6"/>
          <w:szCs w:val="30"/>
          <w:highlight w:val="none"/>
        </w:rPr>
        <w:sectPr>
          <w:headerReference r:id="rId3" w:type="default"/>
          <w:footerReference r:id="rId4" w:type="even"/>
          <w:type w:val="oddPage"/>
          <w:pgSz w:w="11906" w:h="16838"/>
          <w:pgMar w:top="2098" w:right="1474" w:bottom="1985" w:left="1588" w:header="851" w:footer="1474" w:gutter="0"/>
          <w:pgNumType w:fmt="lowerRoman" w:start="1"/>
          <w:cols w:space="425" w:num="1"/>
          <w:docGrid w:type="linesAndChars" w:linePitch="579" w:charSpace="3247"/>
        </w:sectPr>
      </w:pPr>
    </w:p>
    <w:p w14:paraId="18E8F0E9">
      <w:pPr>
        <w:widowControl/>
        <w:spacing w:line="400" w:lineRule="exact"/>
        <w:jc w:val="center"/>
        <w:rPr>
          <w:rFonts w:hint="eastAsia" w:ascii="黑体" w:hAnsi="黑体" w:eastAsia="黑体" w:cs="黑体"/>
          <w:b/>
          <w:color w:val="auto"/>
          <w:sz w:val="32"/>
          <w:szCs w:val="32"/>
          <w:highlight w:val="none"/>
          <w:lang w:val="zh-CN"/>
        </w:rPr>
      </w:pPr>
      <w:r>
        <w:rPr>
          <w:rFonts w:hint="eastAsia" w:ascii="黑体" w:hAnsi="黑体" w:eastAsia="黑体" w:cs="黑体"/>
          <w:b/>
          <w:color w:val="auto"/>
          <w:sz w:val="32"/>
          <w:szCs w:val="32"/>
          <w:highlight w:val="none"/>
          <w:lang w:val="zh-CN"/>
        </w:rPr>
        <w:t>目  录</w:t>
      </w:r>
    </w:p>
    <w:p w14:paraId="78BE4A38">
      <w:pPr>
        <w:widowControl/>
        <w:spacing w:line="400" w:lineRule="exact"/>
        <w:jc w:val="center"/>
        <w:rPr>
          <w:rFonts w:asciiTheme="minorEastAsia" w:hAnsiTheme="minorEastAsia" w:eastAsiaTheme="minorEastAsia"/>
          <w:b/>
          <w:color w:val="auto"/>
          <w:sz w:val="36"/>
          <w:szCs w:val="36"/>
          <w:highlight w:val="none"/>
        </w:rPr>
      </w:pPr>
    </w:p>
    <w:sdt>
      <w:sdtPr>
        <w:rPr>
          <w:rFonts w:ascii="仿宋_GB2312" w:hAnsi="Times New Roman" w:eastAsia="仿宋_GB2312"/>
          <w:b/>
          <w:bCs/>
          <w:color w:val="auto"/>
          <w:kern w:val="30"/>
          <w:sz w:val="24"/>
          <w:szCs w:val="24"/>
          <w:highlight w:val="none"/>
          <w:lang w:val="zh-CN"/>
        </w:rPr>
        <w:id w:val="-201706083"/>
      </w:sdtPr>
      <w:sdtEndPr>
        <w:rPr>
          <w:rFonts w:hint="eastAsia" w:asciiTheme="minorEastAsia" w:hAnsiTheme="minorEastAsia" w:eastAsiaTheme="minorEastAsia"/>
          <w:b w:val="0"/>
          <w:bCs w:val="0"/>
          <w:color w:val="auto"/>
          <w:kern w:val="30"/>
          <w:sz w:val="28"/>
          <w:szCs w:val="28"/>
          <w:highlight w:val="none"/>
          <w:lang w:val="en-US"/>
        </w:rPr>
      </w:sdtEndPr>
      <w:sdtContent>
        <w:p w14:paraId="6A8FA04D">
          <w:pPr>
            <w:pStyle w:val="14"/>
            <w:tabs>
              <w:tab w:val="right" w:leader="dot" w:pos="8789"/>
              <w:tab w:val="clear" w:pos="8931"/>
            </w:tabs>
            <w:ind w:right="38"/>
            <w:rPr>
              <w:rFonts w:cs="Times New Roman" w:asciiTheme="minorEastAsia" w:hAnsiTheme="minorEastAsia" w:eastAsiaTheme="minorEastAsia"/>
              <w:color w:val="auto"/>
              <w:kern w:val="0"/>
              <w:sz w:val="28"/>
              <w:szCs w:val="28"/>
              <w:highlight w:val="none"/>
              <w:lang w:val="en-US" w:eastAsia="zh-CN" w:bidi="ar-SA"/>
            </w:rPr>
          </w:pP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TOC \o "1-3" \h \z \u </w:instrText>
          </w:r>
          <w:r>
            <w:rPr>
              <w:rFonts w:asciiTheme="minorEastAsia" w:hAnsiTheme="minorEastAsia"/>
              <w:color w:val="auto"/>
              <w:sz w:val="28"/>
              <w:szCs w:val="28"/>
              <w:highlight w:val="none"/>
            </w:rPr>
            <w:fldChar w:fldCharType="separate"/>
          </w:r>
        </w:p>
        <w:p w14:paraId="5B3325C1">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_Toc977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摘  要</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_Toc977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I</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394BEBF7">
          <w:pPr>
            <w:pStyle w:val="14"/>
            <w:tabs>
              <w:tab w:val="right" w:leader="dot" w:pos="8844"/>
              <w:tab w:val="clear" w:pos="8931"/>
            </w:tabs>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_Toc9800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一、基本情况</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_Toc9800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6</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6A5D495">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_Toc8352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（一）项目概况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_Toc8352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6</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51560892">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_Toc20497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（二）项目绩效目标</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_Toc20497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9</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0FC75A5F">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_Toc23365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（三）组织管理情况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_Toc23365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9</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2CE98ABF">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_Toc20036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二、绩效评价工作开展情况</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_Toc20036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10</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0579059F">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_Toc21474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（一）绩效评价目的、对象和范围</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_Toc21474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10</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48BE2D4E">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_Toc4585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（二）绩效评价原则、评价指标体系、评价方法、评价标准和评价抽样</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_Toc4585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10</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4442B244">
          <w:pPr>
            <w:pStyle w:val="15"/>
            <w:tabs>
              <w:tab w:val="right" w:leader="dot" w:pos="8844"/>
              <w:tab w:val="clear" w:pos="8789"/>
            </w:tabs>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_Toc27429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（三）绩效评价工作过程</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_Toc27429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14</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16E6C703">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_Toc26025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三、绩效评价结论</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_Toc26025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15</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1003188">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_Toc25316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（一）绩效评价综合结论</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_Toc25316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15</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16CC7EF3">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_Toc26260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（二）绩效目标实现情况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_Toc26260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16</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4C9870DD">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_Toc25676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四、绩效评价指标分析</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_Toc25676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18</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9BA75BB">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_Toc8182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（一）项目决策情况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_Toc8182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18</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4BBACA42">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_Toc8435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（二）项目过程情况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_Toc8435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20</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58C8A509">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_Toc19134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（三）项目产出情况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_Toc19134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23</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1F45411E">
          <w:pPr>
            <w:pStyle w:val="15"/>
            <w:tabs>
              <w:tab w:val="right" w:leader="dot" w:pos="8844"/>
              <w:tab w:val="clear" w:pos="8789"/>
            </w:tabs>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_Toc11529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（四）项目效益情况</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_Toc11529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27</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74706B51">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_Toc30031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五、存在问题及原因分析</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_Toc30031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29</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09960EFA">
          <w:pPr>
            <w:pStyle w:val="14"/>
            <w:tabs>
              <w:tab w:val="right" w:leader="dot" w:pos="8844"/>
              <w:tab w:val="clear" w:pos="8931"/>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_Toc25722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六、建议</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_Toc25722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30</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5BDA3F91">
          <w:pPr>
            <w:pStyle w:val="14"/>
            <w:tabs>
              <w:tab w:val="right" w:leader="dot" w:pos="8844"/>
              <w:tab w:val="clear" w:pos="8931"/>
            </w:tabs>
            <w:rPr>
              <w:rFonts w:hint="eastAsia" w:ascii="黑体" w:hAnsi="黑体" w:eastAsia="黑体" w:cs="黑体"/>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_Toc16052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七、其他需说明的情况</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_Toc16052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B94F4A3">
          <w:pPr>
            <w:pStyle w:val="14"/>
            <w:ind w:right="38"/>
            <w:rPr>
              <w:rFonts w:asciiTheme="minorEastAsia" w:hAnsiTheme="minorEastAsia"/>
              <w:color w:val="auto"/>
              <w:sz w:val="28"/>
              <w:szCs w:val="28"/>
              <w:highlight w:val="none"/>
            </w:rPr>
          </w:pPr>
          <w:r>
            <w:rPr>
              <w:rFonts w:asciiTheme="minorEastAsia" w:hAnsiTheme="minorEastAsia"/>
              <w:color w:val="auto"/>
              <w:sz w:val="28"/>
              <w:szCs w:val="28"/>
              <w:highlight w:val="none"/>
            </w:rPr>
            <w:fldChar w:fldCharType="end"/>
          </w:r>
        </w:p>
        <w:p w14:paraId="5E4EA9AF">
          <w:pPr>
            <w:rPr>
              <w:rFonts w:asciiTheme="minorEastAsia" w:hAnsiTheme="minorEastAsia" w:eastAsiaTheme="minorEastAsia"/>
              <w:color w:val="auto"/>
              <w:sz w:val="28"/>
              <w:szCs w:val="28"/>
              <w:highlight w:val="none"/>
            </w:rPr>
          </w:pPr>
        </w:p>
      </w:sdtContent>
    </w:sdt>
    <w:p w14:paraId="0AAB4CD5">
      <w:pPr>
        <w:overflowPunct w:val="0"/>
        <w:spacing w:line="579" w:lineRule="exact"/>
        <w:jc w:val="center"/>
        <w:outlineLvl w:val="0"/>
        <w:rPr>
          <w:rFonts w:ascii="方正小标宋简体" w:eastAsia="方正小标宋简体"/>
          <w:color w:val="auto"/>
          <w:sz w:val="44"/>
          <w:szCs w:val="44"/>
          <w:highlight w:val="none"/>
        </w:rPr>
        <w:sectPr>
          <w:footerReference r:id="rId5" w:type="default"/>
          <w:type w:val="oddPage"/>
          <w:pgSz w:w="11906" w:h="16838"/>
          <w:pgMar w:top="2098" w:right="1474" w:bottom="1985" w:left="1588" w:header="851" w:footer="1474" w:gutter="0"/>
          <w:pgNumType w:start="0"/>
          <w:cols w:space="425" w:num="1"/>
          <w:docGrid w:type="linesAndChars" w:linePitch="579" w:charSpace="3247"/>
        </w:sectPr>
      </w:pPr>
    </w:p>
    <w:p w14:paraId="4661B8D9">
      <w:pPr>
        <w:overflowPunct w:val="0"/>
        <w:spacing w:line="579" w:lineRule="exact"/>
        <w:jc w:val="center"/>
        <w:outlineLvl w:val="0"/>
        <w:rPr>
          <w:rFonts w:ascii="黑体" w:hAnsi="黑体" w:eastAsia="黑体" w:cs="黑体"/>
          <w:b/>
          <w:bCs/>
          <w:color w:val="auto"/>
          <w:sz w:val="36"/>
          <w:szCs w:val="36"/>
          <w:highlight w:val="none"/>
        </w:rPr>
      </w:pPr>
      <w:bookmarkStart w:id="0" w:name="_Toc977"/>
      <w:bookmarkStart w:id="1" w:name="_Hlk525313924"/>
      <w:r>
        <w:rPr>
          <w:rFonts w:hint="eastAsia" w:ascii="黑体" w:hAnsi="黑体" w:eastAsia="黑体" w:cs="黑体"/>
          <w:b/>
          <w:bCs/>
          <w:color w:val="auto"/>
          <w:sz w:val="36"/>
          <w:szCs w:val="36"/>
          <w:highlight w:val="none"/>
        </w:rPr>
        <w:t>摘  要</w:t>
      </w:r>
      <w:bookmarkEnd w:id="0"/>
    </w:p>
    <w:p w14:paraId="3E17EFA0">
      <w:pPr>
        <w:overflowPunct w:val="0"/>
        <w:adjustRightInd w:val="0"/>
        <w:snapToGrid w:val="0"/>
        <w:spacing w:line="570" w:lineRule="exact"/>
        <w:ind w:firstLine="629"/>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一、基本情况</w:t>
      </w:r>
    </w:p>
    <w:p w14:paraId="65F7896D">
      <w:pPr>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加强滇池流域水生生物保护，改善水生生物生存环境，推进滇池“十年禁渔”工作，根据农业农村部、财政部、人力资源社会保障部《关于印发〈长江流域重点水域禁捕和建立补偿制度实施方案〉的通知》（农长渔发〔2019〕1号）和《云南省农业农村厅、云南省财政厅、云南省人力资源和社会保障厅转发长江流域重点水域禁捕和建立补偿制度实施方案的通知》（云农渔〔2019〕11号）要求，结合滇池实际，市政府2022年10月10日召开专题会议要求：长江流域“十年禁渔”是党中央为全局计、为子孙谋作出的重大决策部署，全市各级各有关部门要切实提高思想认识和政治站位，不折不扣抓好贯彻落实，从长远思考谋划好滇池“十年禁渔”各项工作，采取措施积极妥善化解滇池“十年禁渔”后出现的社会稳定风险，根据实际情况制定滇池流域重点水域渔船、渔具回收处置工作方案，明确任务分工及工作时限，组织开展好渔船、渔具回收补偿工作，确保渔船、渔具回收处置工作平稳顺利完成。</w:t>
      </w:r>
    </w:p>
    <w:p w14:paraId="39E0C6C0">
      <w:pPr>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2023年6月1日，昆明市财政局、昆明市滇池管理局下达了《关于下达滇池流域重点水域渔船、网具回收处置经费的通知》（昆财资环〔2023〕24号），同年6月29日，昆明市晋宁区人民政府下发了《关于滇池流域重点水域渔船、网具回收处置经费的批复》（晋政复〔2023〕221号），拟进行项目实施，但该项资金未实际下达到位，项目未实施。2024年4月昆明市晋宁区人民政府下发《关于滇池流域重点水域渔船、网具回收处置资金的批复》（晋政复〔2024〕101号），经第二届昆明市晋宁区人民政府第81次常务会研究，同意预算追加滇池流域重点水域渔船、网具回收处置资金，9月由晋宁区财政保障并下达资金。2024年9-12月晋宁区政府下达、拨付资金至项目实施乡镇（街道），进行滇池流域重点水域渔船、网具回收处置、补偿。</w:t>
      </w:r>
    </w:p>
    <w:p w14:paraId="16168E6E">
      <w:pPr>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晋宁区滇池流域重点水域渔船、网具回收处置经费项目实施方案，对持有2019年经滇池渔业行政管理部门审验合格的640本《内陆渔业捕捞许可证》及渔船、网具进行注销、回收补偿，其中晋城街道364本、上蒜镇175本、昆阳街道101本。项目资金估算总费用832万元，其中：市级补助资金665.60万元，区级财政承担资金166.4万元。</w:t>
      </w:r>
    </w:p>
    <w:p w14:paraId="7AC54379">
      <w:pPr>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截至2024年12月31日，区级财政拨入专项经费资金635.40万元，实际到位资金635.40万元。实际已使用资金635.40万元，资金使用率100%。</w:t>
      </w:r>
    </w:p>
    <w:p w14:paraId="2231C1E9">
      <w:pPr>
        <w:overflowPunct w:val="0"/>
        <w:adjustRightInd w:val="0"/>
        <w:snapToGrid w:val="0"/>
        <w:spacing w:line="560" w:lineRule="exact"/>
        <w:ind w:firstLine="629"/>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二、绩效评价结论</w:t>
      </w:r>
    </w:p>
    <w:p w14:paraId="304CE39C">
      <w:pPr>
        <w:overflowPunct w:val="0"/>
        <w:adjustRightInd w:val="0"/>
        <w:snapToGrid w:val="0"/>
        <w:spacing w:line="560" w:lineRule="exact"/>
        <w:ind w:firstLine="62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晋宁滇池流域重点水域渔船、网具回收处置经费项目绩效评价得分84.00分，评价等级为“良”。</w:t>
      </w:r>
    </w:p>
    <w:p w14:paraId="38B18E0F">
      <w:pPr>
        <w:overflowPunct w:val="0"/>
        <w:adjustRightInd w:val="0"/>
        <w:snapToGrid w:val="0"/>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农业农村部、财政部、人力资源社会保障部《关于印发〈长江流域重点水域禁捕和建立补偿制度实施方案〉的通知》（农长渔发〔2019〕1号）和《云南省农业农村厅、云南省财政厅、云南省人力资源和社会保障厅转发长江流域重点水域禁捕和建立补偿制度实施方案的通知》（云农渔〔2019〕11号）要求，加</w:t>
      </w:r>
      <w:r>
        <w:rPr>
          <w:rFonts w:hint="eastAsia" w:asciiTheme="minorEastAsia" w:hAnsiTheme="minorEastAsia" w:eastAsiaTheme="minorEastAsia" w:cstheme="minorEastAsia"/>
          <w:color w:val="auto"/>
          <w:w w:val="95"/>
          <w:sz w:val="28"/>
          <w:szCs w:val="28"/>
          <w:highlight w:val="none"/>
        </w:rPr>
        <w:t>强滇池流域水生生物保护，改善水生生物生存环境，推</w:t>
      </w:r>
      <w:r>
        <w:rPr>
          <w:rFonts w:hint="eastAsia" w:asciiTheme="minorEastAsia" w:hAnsiTheme="minorEastAsia" w:eastAsiaTheme="minorEastAsia" w:cstheme="minorEastAsia"/>
          <w:color w:val="auto"/>
          <w:sz w:val="28"/>
          <w:szCs w:val="28"/>
          <w:highlight w:val="none"/>
        </w:rPr>
        <w:t xml:space="preserve">进滇池“十年禁渔”工作，根据滇池流域重点水域“十年禁渔" </w:t>
      </w:r>
      <w:r>
        <w:rPr>
          <w:rFonts w:hint="eastAsia" w:asciiTheme="minorEastAsia" w:hAnsiTheme="minorEastAsia" w:eastAsiaTheme="minorEastAsia" w:cstheme="minorEastAsia"/>
          <w:color w:val="auto"/>
          <w:w w:val="95"/>
          <w:sz w:val="28"/>
          <w:szCs w:val="28"/>
          <w:highlight w:val="none"/>
        </w:rPr>
        <w:t>工作领导小组办公室下发的《滇池流域重点水域渔船、网具回收</w:t>
      </w:r>
      <w:r>
        <w:rPr>
          <w:rFonts w:hint="eastAsia" w:asciiTheme="minorEastAsia" w:hAnsiTheme="minorEastAsia" w:eastAsiaTheme="minorEastAsia" w:cstheme="minorEastAsia"/>
          <w:color w:val="auto"/>
          <w:spacing w:val="-1"/>
          <w:w w:val="95"/>
          <w:sz w:val="28"/>
          <w:szCs w:val="28"/>
          <w:highlight w:val="none"/>
        </w:rPr>
        <w:t>处置实施方案》及《</w:t>
      </w:r>
      <w:r>
        <w:rPr>
          <w:rFonts w:hint="eastAsia" w:asciiTheme="minorEastAsia" w:hAnsiTheme="minorEastAsia" w:eastAsiaTheme="minorEastAsia" w:cstheme="minorEastAsia"/>
          <w:color w:val="auto"/>
          <w:sz w:val="28"/>
          <w:szCs w:val="28"/>
          <w:highlight w:val="none"/>
        </w:rPr>
        <w:t>晋宁区滇池流域重点水域渔船、网具回收处置经费项目实施方案</w:t>
      </w:r>
      <w:r>
        <w:rPr>
          <w:rFonts w:hint="eastAsia" w:asciiTheme="minorEastAsia" w:hAnsiTheme="minorEastAsia" w:eastAsiaTheme="minorEastAsia" w:cstheme="minorEastAsia"/>
          <w:color w:val="auto"/>
          <w:spacing w:val="-1"/>
          <w:w w:val="95"/>
          <w:sz w:val="28"/>
          <w:szCs w:val="28"/>
          <w:highlight w:val="none"/>
        </w:rPr>
        <w:t>》文件精神和工作要求</w:t>
      </w:r>
      <w:r>
        <w:rPr>
          <w:rFonts w:hint="eastAsia" w:asciiTheme="minorEastAsia" w:hAnsiTheme="minorEastAsia" w:eastAsiaTheme="minorEastAsia" w:cstheme="minorEastAsia"/>
          <w:color w:val="auto"/>
          <w:sz w:val="28"/>
          <w:szCs w:val="28"/>
          <w:highlight w:val="none"/>
        </w:rPr>
        <w:t>实施项目。</w:t>
      </w:r>
    </w:p>
    <w:p w14:paraId="11F798A6">
      <w:pPr>
        <w:overflowPunct w:val="0"/>
        <w:adjustRightInd w:val="0"/>
        <w:snapToGrid w:val="0"/>
        <w:spacing w:line="560" w:lineRule="exact"/>
        <w:ind w:firstLine="629"/>
        <w:rPr>
          <w:rFonts w:asciiTheme="minorEastAsia" w:hAnsiTheme="minorEastAsia" w:eastAsiaTheme="minorEastAsia" w:cstheme="minorEastAsia"/>
          <w:color w:val="auto"/>
          <w:spacing w:val="-1"/>
          <w:w w:val="95"/>
          <w:sz w:val="28"/>
          <w:szCs w:val="28"/>
          <w:highlight w:val="none"/>
        </w:rPr>
      </w:pPr>
      <w:r>
        <w:rPr>
          <w:rFonts w:hint="eastAsia" w:asciiTheme="minorEastAsia" w:hAnsiTheme="minorEastAsia" w:eastAsiaTheme="minorEastAsia" w:cstheme="minorEastAsia"/>
          <w:color w:val="auto"/>
          <w:sz w:val="28"/>
          <w:szCs w:val="28"/>
          <w:highlight w:val="none"/>
        </w:rPr>
        <w:t>按照</w:t>
      </w:r>
      <w:r>
        <w:rPr>
          <w:rFonts w:hint="eastAsia" w:asciiTheme="minorEastAsia" w:hAnsiTheme="minorEastAsia" w:eastAsiaTheme="minorEastAsia" w:cstheme="minorEastAsia"/>
          <w:color w:val="auto"/>
          <w:spacing w:val="-1"/>
          <w:w w:val="95"/>
          <w:sz w:val="28"/>
          <w:szCs w:val="28"/>
          <w:highlight w:val="none"/>
        </w:rPr>
        <w:t>《</w:t>
      </w:r>
      <w:r>
        <w:rPr>
          <w:rFonts w:hint="eastAsia" w:asciiTheme="minorEastAsia" w:hAnsiTheme="minorEastAsia" w:eastAsiaTheme="minorEastAsia" w:cstheme="minorEastAsia"/>
          <w:color w:val="auto"/>
          <w:sz w:val="28"/>
          <w:szCs w:val="28"/>
          <w:highlight w:val="none"/>
        </w:rPr>
        <w:t>晋宁区滇池流域重点水域渔船、网具回收处置经费项目实施方案</w:t>
      </w:r>
      <w:r>
        <w:rPr>
          <w:rFonts w:hint="eastAsia" w:asciiTheme="minorEastAsia" w:hAnsiTheme="minorEastAsia" w:eastAsiaTheme="minorEastAsia" w:cstheme="minorEastAsia"/>
          <w:color w:val="auto"/>
          <w:spacing w:val="-1"/>
          <w:w w:val="95"/>
          <w:sz w:val="28"/>
          <w:szCs w:val="28"/>
          <w:highlight w:val="none"/>
        </w:rPr>
        <w:t>》：</w:t>
      </w:r>
      <w:r>
        <w:rPr>
          <w:rFonts w:hint="eastAsia" w:asciiTheme="minorEastAsia" w:hAnsiTheme="minorEastAsia" w:eastAsiaTheme="minorEastAsia" w:cstheme="minorEastAsia"/>
          <w:color w:val="auto"/>
          <w:sz w:val="28"/>
          <w:szCs w:val="28"/>
          <w:highlight w:val="none"/>
        </w:rPr>
        <w:t>项目于2023年7月开始</w:t>
      </w:r>
      <w:r>
        <w:rPr>
          <w:rFonts w:hint="eastAsia" w:asciiTheme="minorEastAsia" w:hAnsiTheme="minorEastAsia" w:eastAsiaTheme="minorEastAsia" w:cstheme="minorEastAsia"/>
          <w:color w:val="auto"/>
          <w:spacing w:val="-1"/>
          <w:w w:val="95"/>
          <w:sz w:val="28"/>
          <w:szCs w:val="28"/>
          <w:highlight w:val="none"/>
        </w:rPr>
        <w:t>证照、渔船、网具开展登记、评估、台账整理等工作，并于7月23日进行了补偿及奖励资金公示；资金方面由</w:t>
      </w:r>
      <w:r>
        <w:rPr>
          <w:rFonts w:hint="eastAsia" w:asciiTheme="minorEastAsia" w:hAnsiTheme="minorEastAsia" w:eastAsiaTheme="minorEastAsia" w:cstheme="minorEastAsia"/>
          <w:color w:val="auto"/>
          <w:sz w:val="28"/>
          <w:szCs w:val="28"/>
          <w:highlight w:val="none"/>
        </w:rPr>
        <w:t>市级补助资金和区级财政资金共同承担。2023年6月昆明市财政局、昆明市滇池管理局下达了的相关经费通知（昆财资环〔2023〕24 号），但资金未实际下达到位，</w:t>
      </w:r>
      <w:r>
        <w:rPr>
          <w:rFonts w:hint="eastAsia" w:asciiTheme="minorEastAsia" w:hAnsiTheme="minorEastAsia" w:eastAsiaTheme="minorEastAsia" w:cstheme="minorEastAsia"/>
          <w:color w:val="auto"/>
          <w:spacing w:val="-1"/>
          <w:w w:val="95"/>
          <w:sz w:val="28"/>
          <w:szCs w:val="28"/>
          <w:highlight w:val="none"/>
        </w:rPr>
        <w:t>故2023年未进行补偿及奖励资金支付。</w:t>
      </w:r>
    </w:p>
    <w:p w14:paraId="486183C4">
      <w:pPr>
        <w:overflowPunct w:val="0"/>
        <w:adjustRightInd w:val="0"/>
        <w:snapToGrid w:val="0"/>
        <w:spacing w:line="560" w:lineRule="exact"/>
        <w:ind w:firstLine="62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w w:val="95"/>
          <w:sz w:val="28"/>
          <w:szCs w:val="28"/>
          <w:highlight w:val="none"/>
        </w:rPr>
        <w:t>2024年4月昆明市晋宁区人民政府经第二届昆明市晋宁区人民政府第81次常务会研究，同意</w:t>
      </w:r>
      <w:r>
        <w:rPr>
          <w:rFonts w:hint="eastAsia" w:asciiTheme="minorEastAsia" w:hAnsiTheme="minorEastAsia" w:eastAsiaTheme="minorEastAsia" w:cstheme="minorEastAsia"/>
          <w:color w:val="auto"/>
          <w:sz w:val="28"/>
          <w:szCs w:val="28"/>
          <w:highlight w:val="none"/>
        </w:rPr>
        <w:t>预算追加滇池流域重点水域渔船、网具回收处置资金，同年9月至12月由晋宁区财政保障并下达资金。截至2024年12月实际到位资金635.40万元，全部用于滇池流域重点水域渔船、网具回收处置、补偿及奖励，资金使用率100%</w:t>
      </w:r>
    </w:p>
    <w:p w14:paraId="3A0FFC65">
      <w:pPr>
        <w:overflowPunct w:val="0"/>
        <w:adjustRightInd w:val="0"/>
        <w:snapToGrid w:val="0"/>
        <w:spacing w:line="560" w:lineRule="exact"/>
        <w:ind w:firstLine="62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总体目标实现情况：2023年6月26日至7月25日，对全区639户（晋城街道364户、昆阳街道101户、上蒜镇175户）证照、渔船、网具开展登记、评估、台账整理等工作；经核算，晋宁区共有各类渔船545条、大鱼网579949米、其它鱼网1858张，共需兑付补偿及奖励资金635.40万元。</w:t>
      </w:r>
    </w:p>
    <w:p w14:paraId="407E329D">
      <w:pPr>
        <w:overflowPunct w:val="0"/>
        <w:adjustRightInd w:val="0"/>
        <w:snapToGrid w:val="0"/>
        <w:spacing w:line="560" w:lineRule="exact"/>
        <w:ind w:firstLine="62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滇池流域实施“十年禁渔”及重点水域渔船、网具回收政策，是云南省为恢复滇池生态系统、保护生物多样性而采取的重要举措，该项目实施后产生了一定的生态、社会及经济收益，恢复了滇池鱼类资源与生物多样性，逐步改善水体生态平衡，改善滇池水质与环境，促进替代传统渔业，加快经济转型，配套渔船网具回收政策，减少执法难度，树立生态保护意识。</w:t>
      </w:r>
    </w:p>
    <w:p w14:paraId="2B471A6F">
      <w:pPr>
        <w:overflowPunct w:val="0"/>
        <w:adjustRightInd w:val="0"/>
        <w:snapToGrid w:val="0"/>
        <w:spacing w:line="560" w:lineRule="exact"/>
        <w:ind w:firstLine="62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但项目在实施过程中仍存在部分绩效目标设定不完整，未与年度设定相对应；项目资金预算调整不规范，资金到位不及时；未根据项目特点，探索建立长效机制，确保治理工作能够科学、可持续开展。</w:t>
      </w:r>
    </w:p>
    <w:p w14:paraId="6B0A8694">
      <w:pPr>
        <w:overflowPunct w:val="0"/>
        <w:adjustRightInd w:val="0"/>
        <w:snapToGrid w:val="0"/>
        <w:spacing w:line="560" w:lineRule="exact"/>
        <w:ind w:firstLine="629"/>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三、存在的主要问题</w:t>
      </w:r>
    </w:p>
    <w:p w14:paraId="7643795A">
      <w:pPr>
        <w:adjustRightInd w:val="0"/>
        <w:snapToGrid w:val="0"/>
        <w:spacing w:line="560" w:lineRule="exact"/>
        <w:ind w:firstLine="590"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（一）绩效目标设定不完整，且未与年度设定相对应</w:t>
      </w:r>
    </w:p>
    <w:p w14:paraId="3FABA250">
      <w:pPr>
        <w:adjustRightInd w:val="0"/>
        <w:snapToGrid w:val="0"/>
        <w:spacing w:line="560" w:lineRule="exact"/>
        <w:ind w:firstLine="590" w:firstLineChars="200"/>
        <w:rPr>
          <w:rFonts w:asciiTheme="minorEastAsia" w:hAnsiTheme="minorEastAsia" w:eastAsiaTheme="minorEastAsia" w:cstheme="minorEastAsia"/>
          <w:color w:val="auto"/>
          <w:sz w:val="28"/>
          <w:szCs w:val="28"/>
          <w:highlight w:val="none"/>
        </w:rPr>
      </w:pPr>
      <w:bookmarkStart w:id="2" w:name="OLE_LINK2"/>
      <w:r>
        <w:rPr>
          <w:rFonts w:hint="eastAsia" w:asciiTheme="minorEastAsia" w:hAnsiTheme="minorEastAsia" w:eastAsiaTheme="minorEastAsia" w:cstheme="minorEastAsia"/>
          <w:color w:val="auto"/>
          <w:sz w:val="28"/>
          <w:szCs w:val="28"/>
          <w:highlight w:val="none"/>
        </w:rPr>
        <w:t>项目绩效目标</w:t>
      </w:r>
      <w:bookmarkEnd w:id="2"/>
      <w:r>
        <w:rPr>
          <w:rFonts w:hint="eastAsia" w:asciiTheme="minorEastAsia" w:hAnsiTheme="minorEastAsia" w:eastAsiaTheme="minorEastAsia" w:cstheme="minorEastAsia"/>
          <w:color w:val="auto"/>
          <w:sz w:val="28"/>
          <w:szCs w:val="28"/>
          <w:highlight w:val="none"/>
        </w:rPr>
        <w:t>未细化，项目申报预算资金是2023年度，2023年资金未到位，项目未实施，未与2024年度绩效目标相对应。</w:t>
      </w:r>
    </w:p>
    <w:p w14:paraId="6A1960A5">
      <w:pPr>
        <w:adjustRightInd w:val="0"/>
        <w:snapToGrid w:val="0"/>
        <w:spacing w:line="560" w:lineRule="exact"/>
        <w:ind w:firstLine="590"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（二）项目投资概算资金调整不规范、资金到位不及时</w:t>
      </w:r>
    </w:p>
    <w:p w14:paraId="1ADCD97C">
      <w:pPr>
        <w:adjustRightInd w:val="0"/>
        <w:snapToGrid w:val="0"/>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根据晋宁区滇池流域重点水域渔船、网具回收处置经费项目实施方案，项目资金估算总费用832万元，根据2023年6月《昆明市财政局 昆明市滇池管理局关于下达滇池流域重点水域渔船、网具回收处置经费的通知》（昆财资环〔2023〕24 号)“经费下达-晋宁区 665.6 万元”，项目资金无预算调整资料。2023年上级补助资金未下达，也未能结转至2024年使用，2024年用区级资金安排保障，</w:t>
      </w:r>
      <w:r>
        <w:rPr>
          <w:rFonts w:hint="eastAsia" w:asciiTheme="minorEastAsia" w:hAnsiTheme="minorEastAsia" w:eastAsiaTheme="minorEastAsia" w:cstheme="minorEastAsia"/>
          <w:color w:val="auto"/>
          <w:spacing w:val="-1"/>
          <w:w w:val="95"/>
          <w:sz w:val="28"/>
          <w:szCs w:val="28"/>
          <w:highlight w:val="none"/>
        </w:rPr>
        <w:t>2024年</w:t>
      </w:r>
      <w:r>
        <w:rPr>
          <w:rFonts w:hint="eastAsia" w:asciiTheme="minorEastAsia" w:hAnsiTheme="minorEastAsia" w:eastAsiaTheme="minorEastAsia" w:cstheme="minorEastAsia"/>
          <w:color w:val="auto"/>
          <w:sz w:val="28"/>
          <w:szCs w:val="28"/>
          <w:highlight w:val="none"/>
        </w:rPr>
        <w:t xml:space="preserve">9月至12月由晋宁区财政保障并下达资金。截至2024年12月实际到位资金635.40万元，2023年度资金到位不及时。   </w:t>
      </w:r>
    </w:p>
    <w:p w14:paraId="4BF99611">
      <w:pPr>
        <w:adjustRightInd w:val="0"/>
        <w:snapToGrid w:val="0"/>
        <w:spacing w:line="560" w:lineRule="exact"/>
        <w:ind w:firstLine="590" w:firstLineChars="200"/>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（三）未建立项目长期管理机制</w:t>
      </w:r>
    </w:p>
    <w:p w14:paraId="4CAEE527">
      <w:pPr>
        <w:widowControl/>
        <w:adjustRightInd w:val="0"/>
        <w:spacing w:line="560" w:lineRule="exact"/>
        <w:ind w:firstLine="590" w:firstLineChars="200"/>
        <w:rPr>
          <w:rFonts w:asciiTheme="majorEastAsia" w:hAnsiTheme="majorEastAsia" w:eastAsiaTheme="majorEastAsia" w:cstheme="majorEastAsia"/>
          <w:color w:val="auto"/>
          <w:sz w:val="28"/>
          <w:szCs w:val="28"/>
          <w:highlight w:val="none"/>
        </w:rPr>
        <w:sectPr>
          <w:headerReference r:id="rId6" w:type="default"/>
          <w:footerReference r:id="rId7" w:type="default"/>
          <w:footerReference r:id="rId8" w:type="even"/>
          <w:pgSz w:w="11906" w:h="16838"/>
          <w:pgMar w:top="2098" w:right="1474" w:bottom="1985" w:left="1588" w:header="851" w:footer="1474" w:gutter="0"/>
          <w:pgNumType w:fmt="upperRoman" w:start="1"/>
          <w:cols w:space="425" w:num="1"/>
          <w:docGrid w:type="linesAndChars" w:linePitch="579" w:charSpace="3247"/>
        </w:sectPr>
      </w:pPr>
    </w:p>
    <w:p w14:paraId="03231806">
      <w:pPr>
        <w:widowControl/>
        <w:adjustRightInd w:val="0"/>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未根据项目特点，探索、建立符合项目特点的长效管理机制，确保滇池流域重点水域渔船、网具回收处置及滇池治理工作能够科学、可持续开展。</w:t>
      </w:r>
    </w:p>
    <w:p w14:paraId="4C37DFFB">
      <w:pPr>
        <w:overflowPunct w:val="0"/>
        <w:adjustRightInd w:val="0"/>
        <w:snapToGrid w:val="0"/>
        <w:spacing w:line="560" w:lineRule="exact"/>
        <w:ind w:firstLine="629"/>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四、建议</w:t>
      </w:r>
    </w:p>
    <w:p w14:paraId="4C836A9E">
      <w:pPr>
        <w:adjustRightInd w:val="0"/>
        <w:snapToGrid w:val="0"/>
        <w:spacing w:line="560" w:lineRule="exact"/>
        <w:ind w:firstLine="590"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（一）做好项目前期调研工作，完整设定绩效目标工作任务，做好项目资金预算，规范项目投资估（概）算调整审批程序，实现有效使用专项资金及绩效评价的规范性</w:t>
      </w:r>
    </w:p>
    <w:p w14:paraId="64779907">
      <w:pPr>
        <w:adjustRightInd w:val="0"/>
        <w:snapToGrid w:val="0"/>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项目实施前应充分考虑项目的特点，加强项目前期的实时调研，根据测量（算）、调研结果，做好项目资金预算，在预算编制阶段严格绩效目标合规性审查，适时、合理、及时进行项目投资概算调整及报批。</w:t>
      </w:r>
    </w:p>
    <w:p w14:paraId="53145756">
      <w:pPr>
        <w:numPr>
          <w:ilvl w:val="0"/>
          <w:numId w:val="1"/>
        </w:numPr>
        <w:adjustRightInd w:val="0"/>
        <w:snapToGrid w:val="0"/>
        <w:spacing w:line="560" w:lineRule="exact"/>
        <w:ind w:firstLine="590"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及时、足额投入项目资金，避免因项目投资不到位，影响项目实施效果</w:t>
      </w:r>
    </w:p>
    <w:p w14:paraId="73416271">
      <w:pPr>
        <w:spacing w:line="560" w:lineRule="exact"/>
        <w:ind w:firstLine="59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滇池流域禁渔政策实施过程中，若渔船网具回收资金未能及时到位，可能引发渔民抵触情绪，甚至导致政策执行受阻。建议及时、足额投入项目资金，确保禁渔与生态修复目标按期达成，同时维护社会稳定。</w:t>
      </w:r>
    </w:p>
    <w:p w14:paraId="67B716B1">
      <w:pPr>
        <w:numPr>
          <w:ilvl w:val="0"/>
          <w:numId w:val="1"/>
        </w:numPr>
        <w:adjustRightInd w:val="0"/>
        <w:snapToGrid w:val="0"/>
        <w:spacing w:line="560" w:lineRule="exact"/>
        <w:ind w:firstLine="590"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建立长效管理可持续性机制</w:t>
      </w:r>
    </w:p>
    <w:p w14:paraId="6D5A109D">
      <w:pPr>
        <w:spacing w:line="560" w:lineRule="exact"/>
        <w:ind w:firstLine="590" w:firstLineChars="200"/>
        <w:rPr>
          <w:rFonts w:hint="eastAsia" w:eastAsiaTheme="minorEastAsia"/>
          <w:color w:val="auto"/>
          <w:highlight w:val="none"/>
          <w:lang w:eastAsia="zh-CN"/>
        </w:rPr>
        <w:sectPr>
          <w:type w:val="continuous"/>
          <w:pgSz w:w="11906" w:h="16838"/>
          <w:pgMar w:top="2098" w:right="1474" w:bottom="1985" w:left="1588" w:header="851" w:footer="1474" w:gutter="0"/>
          <w:pgNumType w:fmt="upperRoman"/>
          <w:cols w:space="425" w:num="1"/>
          <w:docGrid w:type="linesAndChars" w:linePitch="579" w:charSpace="3247"/>
        </w:sectPr>
      </w:pPr>
      <w:r>
        <w:rPr>
          <w:rFonts w:hint="eastAsia" w:asciiTheme="minorEastAsia" w:hAnsiTheme="minorEastAsia" w:eastAsiaTheme="minorEastAsia" w:cstheme="minorEastAsia"/>
          <w:color w:val="auto"/>
          <w:sz w:val="28"/>
          <w:szCs w:val="28"/>
          <w:highlight w:val="none"/>
        </w:rPr>
        <w:t>为确保政策可持续性，需建立渔船网具回收与长效管理机制，推动“禁渔”从行政管控转向生态自觉，通过系统化回收与长效管理，滇池禁渔将从“政策约束”升华为“生态共识”，为长江经济带可持续发展提供实践示范</w:t>
      </w:r>
      <w:r>
        <w:rPr>
          <w:rFonts w:hint="eastAsia" w:asciiTheme="minorEastAsia" w:hAnsiTheme="minorEastAsia" w:eastAsiaTheme="minorEastAsia" w:cstheme="minorEastAsia"/>
          <w:color w:val="auto"/>
          <w:sz w:val="28"/>
          <w:szCs w:val="28"/>
          <w:highlight w:val="none"/>
          <w:lang w:eastAsia="zh-CN"/>
        </w:rPr>
        <w:t>。</w:t>
      </w:r>
    </w:p>
    <w:p w14:paraId="78052916">
      <w:pPr>
        <w:rPr>
          <w:rFonts w:hint="eastAsia"/>
          <w:color w:val="auto"/>
          <w:highlight w:val="none"/>
        </w:rPr>
        <w:sectPr>
          <w:headerReference r:id="rId9" w:type="default"/>
          <w:footerReference r:id="rId10" w:type="default"/>
          <w:type w:val="continuous"/>
          <w:pgSz w:w="11906" w:h="16838"/>
          <w:pgMar w:top="2098" w:right="1474" w:bottom="1985" w:left="1588" w:header="851" w:footer="1474" w:gutter="0"/>
          <w:pgNumType w:fmt="upperRoman"/>
          <w:cols w:space="425" w:num="1"/>
          <w:docGrid w:type="linesAndChars" w:linePitch="579" w:charSpace="3247"/>
        </w:sectPr>
      </w:pPr>
    </w:p>
    <w:p w14:paraId="4EAF6389">
      <w:pPr>
        <w:pStyle w:val="2"/>
        <w:ind w:left="0" w:leftChars="0" w:firstLine="0" w:firstLineChars="0"/>
        <w:rPr>
          <w:color w:val="auto"/>
          <w:highlight w:val="none"/>
        </w:rPr>
      </w:pPr>
    </w:p>
    <w:bookmarkEnd w:id="1"/>
    <w:p w14:paraId="5386D6E8">
      <w:pPr>
        <w:spacing w:line="570" w:lineRule="exact"/>
        <w:jc w:val="center"/>
        <w:rPr>
          <w:rFonts w:ascii="黑体" w:hAnsi="黑体" w:eastAsia="黑体" w:cs="黑体"/>
          <w:b w:val="0"/>
          <w:bCs w:val="0"/>
          <w:color w:val="auto"/>
          <w:sz w:val="36"/>
          <w:szCs w:val="36"/>
          <w:highlight w:val="none"/>
        </w:rPr>
      </w:pPr>
      <w:r>
        <w:rPr>
          <w:rFonts w:hint="eastAsia" w:ascii="黑体" w:hAnsi="黑体" w:eastAsia="黑体" w:cs="黑体"/>
          <w:b w:val="0"/>
          <w:bCs w:val="0"/>
          <w:color w:val="auto"/>
          <w:spacing w:val="6"/>
          <w:kern w:val="0"/>
          <w:sz w:val="36"/>
          <w:szCs w:val="36"/>
          <w:highlight w:val="none"/>
        </w:rPr>
        <w:t>晋宁滇池流域重点水域渔船、网具回收处置经费项目</w:t>
      </w:r>
      <w:r>
        <w:rPr>
          <w:rFonts w:hint="eastAsia" w:ascii="黑体" w:hAnsi="黑体" w:eastAsia="黑体" w:cs="黑体"/>
          <w:b w:val="0"/>
          <w:bCs w:val="0"/>
          <w:color w:val="auto"/>
          <w:sz w:val="36"/>
          <w:szCs w:val="36"/>
          <w:highlight w:val="none"/>
        </w:rPr>
        <w:t>绩效评价报告</w:t>
      </w:r>
    </w:p>
    <w:p w14:paraId="7CF400AE">
      <w:pPr>
        <w:spacing w:line="570" w:lineRule="exact"/>
        <w:ind w:firstLine="510" w:firstLineChars="200"/>
        <w:jc w:val="right"/>
        <w:rPr>
          <w:rFonts w:hint="eastAsia" w:ascii="宋体" w:hAnsi="宋体" w:eastAsia="宋体"/>
          <w:b/>
          <w:bCs/>
          <w:color w:val="auto"/>
          <w:sz w:val="24"/>
          <w:szCs w:val="24"/>
          <w:highlight w:val="none"/>
        </w:rPr>
      </w:pPr>
    </w:p>
    <w:p w14:paraId="60C2234E">
      <w:pPr>
        <w:spacing w:line="570" w:lineRule="exact"/>
        <w:ind w:firstLine="510" w:firstLineChars="200"/>
        <w:jc w:val="righ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大华核字[202</w:t>
      </w:r>
      <w:r>
        <w:rPr>
          <w:rFonts w:hint="eastAsia" w:ascii="宋体" w:hAnsi="宋体" w:eastAsia="宋体"/>
          <w:b/>
          <w:bCs/>
          <w:color w:val="auto"/>
          <w:sz w:val="24"/>
          <w:szCs w:val="24"/>
          <w:highlight w:val="none"/>
          <w:lang w:val="en-US" w:eastAsia="zh-CN"/>
        </w:rPr>
        <w:t>6</w:t>
      </w:r>
      <w:r>
        <w:rPr>
          <w:rFonts w:hint="eastAsia" w:ascii="宋体" w:hAnsi="宋体" w:eastAsia="宋体"/>
          <w:b/>
          <w:bCs/>
          <w:color w:val="auto"/>
          <w:sz w:val="24"/>
          <w:szCs w:val="24"/>
          <w:highlight w:val="none"/>
        </w:rPr>
        <w:t>]2011000253号</w:t>
      </w:r>
    </w:p>
    <w:p w14:paraId="1B8C3C72">
      <w:pPr>
        <w:spacing w:line="570" w:lineRule="exact"/>
        <w:ind w:firstLine="630" w:firstLineChars="200"/>
        <w:rPr>
          <w:rFonts w:hint="eastAsia" w:hAnsi="仿宋"/>
          <w:color w:val="auto"/>
          <w:szCs w:val="30"/>
          <w:highlight w:val="none"/>
        </w:rPr>
      </w:pPr>
    </w:p>
    <w:p w14:paraId="23AA3537">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中华人民共和国预算法》规定，按照《财政部关于印发&lt;项目支出绩效评价管理办法&gt;的通知》(财预〔2020〕10号)、《中共云南省委、云南省政府关于全面实施预算绩效管理的实施意见》（云发〔2019〕11号）、《云南省财政厅关于印发&lt;云南省项目支出绩效评价管理办法&gt;的通知》（云财绩〔2020〕11号）、《晋宁预算绩效管理实施办法》的要求，昆明市晋宁区财政局委托大华会计师事务所（特殊普通合伙）云南分所于2025年9-11月对晋宁滇池流域重点水域渔船、网具回收处置经费项目开展绩效评价。现将绩效评价情况报告如下：</w:t>
      </w:r>
    </w:p>
    <w:p w14:paraId="4B20E497">
      <w:pPr>
        <w:keepNext w:val="0"/>
        <w:keepLines w:val="0"/>
        <w:pageBreakBefore w:val="0"/>
        <w:widowControl w:val="0"/>
        <w:kinsoku/>
        <w:wordWrap/>
        <w:topLinePunct w:val="0"/>
        <w:autoSpaceDE/>
        <w:autoSpaceDN/>
        <w:bidi w:val="0"/>
        <w:spacing w:line="560" w:lineRule="exact"/>
        <w:ind w:firstLine="670" w:firstLineChars="200"/>
        <w:jc w:val="both"/>
        <w:textAlignment w:val="auto"/>
        <w:outlineLvl w:val="0"/>
        <w:rPr>
          <w:rFonts w:ascii="黑体" w:hAnsi="黑体" w:eastAsia="黑体" w:cs="宋体"/>
          <w:b/>
          <w:bCs/>
          <w:color w:val="auto"/>
          <w:sz w:val="32"/>
          <w:szCs w:val="32"/>
          <w:highlight w:val="none"/>
        </w:rPr>
      </w:pPr>
      <w:bookmarkStart w:id="3" w:name="_Toc9800"/>
      <w:r>
        <w:rPr>
          <w:rFonts w:hint="eastAsia" w:ascii="黑体" w:hAnsi="黑体" w:eastAsia="黑体" w:cs="宋体"/>
          <w:b/>
          <w:bCs/>
          <w:color w:val="auto"/>
          <w:sz w:val="32"/>
          <w:szCs w:val="32"/>
          <w:highlight w:val="none"/>
        </w:rPr>
        <w:t>一、基本情况</w:t>
      </w:r>
      <w:bookmarkEnd w:id="3"/>
    </w:p>
    <w:p w14:paraId="7A637B2F">
      <w:pPr>
        <w:keepNext w:val="0"/>
        <w:keepLines w:val="0"/>
        <w:pageBreakBefore w:val="0"/>
        <w:widowControl w:val="0"/>
        <w:kinsoku/>
        <w:wordWrap/>
        <w:topLinePunct w:val="0"/>
        <w:autoSpaceDE/>
        <w:autoSpaceDN/>
        <w:bidi w:val="0"/>
        <w:spacing w:line="560" w:lineRule="exact"/>
        <w:ind w:firstLine="590" w:firstLineChars="200"/>
        <w:jc w:val="both"/>
        <w:textAlignment w:val="auto"/>
        <w:outlineLvl w:val="1"/>
        <w:rPr>
          <w:rFonts w:hint="eastAsia" w:asciiTheme="minorEastAsia" w:hAnsiTheme="minorEastAsia" w:eastAsiaTheme="minorEastAsia" w:cstheme="minorEastAsia"/>
          <w:b/>
          <w:bCs/>
          <w:color w:val="auto"/>
          <w:sz w:val="28"/>
          <w:szCs w:val="28"/>
          <w:highlight w:val="none"/>
        </w:rPr>
      </w:pPr>
      <w:bookmarkStart w:id="4" w:name="_Toc8352"/>
      <w:r>
        <w:rPr>
          <w:rFonts w:hint="eastAsia" w:asciiTheme="minorEastAsia" w:hAnsiTheme="minorEastAsia" w:eastAsiaTheme="minorEastAsia" w:cstheme="minorEastAsia"/>
          <w:b/>
          <w:bCs/>
          <w:color w:val="auto"/>
          <w:sz w:val="28"/>
          <w:szCs w:val="28"/>
          <w:highlight w:val="none"/>
        </w:rPr>
        <w:t>（一）项目概况</w:t>
      </w:r>
      <w:bookmarkEnd w:id="4"/>
    </w:p>
    <w:p w14:paraId="404CE7AB">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1.项目背景及目的</w:t>
      </w:r>
    </w:p>
    <w:p w14:paraId="6E1530C5">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加强滇池流域水生生物保护，改善水生生物生存环境，推进滇池“十年禁渔”工作，根据农业农村部、财政部、人力资源社会保障部《关于印发〈长江流域重点水域禁捕和建立补偿制度实施方案〉的通知》（农长渔发〔2019〕1号）和《云南省农业农村厅、云南省财政厅、云南省人力资源和社会保障厅转发长江流域重点水域禁捕和建立补偿制度实施方案的通知》（云农渔〔2019〕11号）要求，结合滇池实际，市政府2022年10月10日召开专题会议要求：长江流域“十年禁渔”是党中央为全局计、为子孙谋作出的重大决策部署，全市各级各有关部门要切实提高思想认识和政治站位，不折不扣抓好贯彻落实，从长远思考谋划好滇池“十年禁渔”各项工作，采取措施积极妥善化解滇池“十年禁渔”后出现的社会稳定风险，根据实际情况晋宁区制定了《滇池流域重点水域渔船、渔具回收处置工作方案》，明确任务分工及工作时限，组织开展好渔船、渔具回收补偿工作，确保渔船、渔具回收处置工作平稳顺利完成。</w:t>
      </w:r>
    </w:p>
    <w:p w14:paraId="2AF0D4EB">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2.项目实施内容</w:t>
      </w:r>
    </w:p>
    <w:p w14:paraId="3B6C538D">
      <w:pPr>
        <w:keepNext w:val="0"/>
        <w:keepLines w:val="0"/>
        <w:pageBreakBefore w:val="0"/>
        <w:widowControl w:val="0"/>
        <w:kinsoku/>
        <w:wordWrap/>
        <w:overflowPunct w:val="0"/>
        <w:topLinePunct w:val="0"/>
        <w:autoSpaceDE/>
        <w:autoSpaceDN/>
        <w:bidi w:val="0"/>
        <w:adjustRightInd w:val="0"/>
        <w:snapToGrid w:val="0"/>
        <w:spacing w:line="560" w:lineRule="exact"/>
        <w:ind w:firstLine="629"/>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晋宁区滇池流域重点水域渔船、网具回收处置实施方案》，对持有2019年经滇池渔业行政管理部门审验合格的640本《内陆渔业捕捞许可证》及渔船、网具进行注销、回收补偿，其中晋城街道364本、上蒜镇175本、昆阳街道101本。具体实施情况为：</w:t>
      </w:r>
    </w:p>
    <w:p w14:paraId="61E5978F">
      <w:pPr>
        <w:keepNext w:val="0"/>
        <w:keepLines w:val="0"/>
        <w:pageBreakBefore w:val="0"/>
        <w:widowControl w:val="0"/>
        <w:kinsoku/>
        <w:wordWrap/>
        <w:overflowPunct w:val="0"/>
        <w:topLinePunct w:val="0"/>
        <w:autoSpaceDE/>
        <w:autoSpaceDN/>
        <w:bidi w:val="0"/>
        <w:adjustRightInd w:val="0"/>
        <w:snapToGrid w:val="0"/>
        <w:spacing w:line="560" w:lineRule="exact"/>
        <w:ind w:firstLine="629"/>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晋宁区共有各类渔船545条、大鱼网579949米、其它鱼网1858张。2023年6月26日至7月25日，对全区639户（其中：晋城街道364户、昆阳街道101户、上蒜镇174户，上蒜镇河泊村村民何忠未能交回证号为20130987的《内陆渔业捕捞许可证》，多次与其沟通，拒绝配合相关渔船、网具处置工作，未纳入本次补偿范围）证照、渔船、网具开展登记、评估、台账整理等工作。评估工作由昆明市滇池管理局渔业行政执法处委托云南诺太评估咨询有限公司进行，由其出具评估结果，并于7月23日进行了补偿及奖励资金公示。滇池流域重点水域回收渔船、网具专项回收处置工作由昆明市滇池管理局渔业行政执法处公开招标，由云南汇腾工贸有限公司作为成交人，实施相关渔船、网具专项回收处置。相关补偿、奖励资金到位、补偿后，由昆明市晋宁区水务局于2025年3月开始渔船销毁处置工作，共回收处置渔船545条（其中铁船542条，木船3条），其中乡镇（街道）申请保留渔船193条（昆阳街道40条，上蒜镇108条，晋城街道45条），剩余船只均全部销毁，共计销毁处置铁船349条，木船3条，渔船销毁处置工作已于2025年5月份全部完成。</w:t>
      </w:r>
    </w:p>
    <w:p w14:paraId="7102DFF5">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3.项目资金来源及使用情况</w:t>
      </w:r>
    </w:p>
    <w:p w14:paraId="2D5E065F">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（1）项目资金来源</w:t>
      </w:r>
    </w:p>
    <w:p w14:paraId="70EC5872">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根据晋宁区滇池流域重点水域渔船、网具回收处置经费项目实施方案，项目资金估算总费用832万元，其中：市级补助资金665.60万元，区级财政承担资金166.40万元。</w:t>
      </w:r>
    </w:p>
    <w:p w14:paraId="1B9CBD5A">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（2）资金到位情况</w:t>
      </w:r>
    </w:p>
    <w:p w14:paraId="1356F2B6">
      <w:pPr>
        <w:keepNext w:val="0"/>
        <w:keepLines w:val="0"/>
        <w:pageBreakBefore w:val="0"/>
        <w:widowControl w:val="0"/>
        <w:kinsoku/>
        <w:wordWrap/>
        <w:overflowPunct w:val="0"/>
        <w:topLinePunct w:val="0"/>
        <w:autoSpaceDE/>
        <w:autoSpaceDN/>
        <w:bidi w:val="0"/>
        <w:adjustRightInd w:val="0"/>
        <w:snapToGrid w:val="0"/>
        <w:spacing w:line="560" w:lineRule="exact"/>
        <w:ind w:firstLine="629"/>
        <w:jc w:val="both"/>
        <w:textAlignment w:val="auto"/>
        <w:rPr>
          <w:rFonts w:hint="eastAsia" w:asciiTheme="minorEastAsia" w:hAnsiTheme="minorEastAsia" w:eastAsiaTheme="minorEastAsia" w:cstheme="minorEastAsia"/>
          <w:color w:val="auto"/>
          <w:spacing w:val="-1"/>
          <w:w w:val="95"/>
          <w:sz w:val="28"/>
          <w:szCs w:val="28"/>
          <w:highlight w:val="none"/>
        </w:rPr>
      </w:pPr>
      <w:r>
        <w:rPr>
          <w:rFonts w:hint="eastAsia" w:asciiTheme="minorEastAsia" w:hAnsiTheme="minorEastAsia" w:eastAsiaTheme="minorEastAsia" w:cstheme="minorEastAsia"/>
          <w:color w:val="auto"/>
          <w:sz w:val="28"/>
          <w:szCs w:val="28"/>
          <w:highlight w:val="none"/>
        </w:rPr>
        <w:t>2023年6月昆明市财政局、昆明市滇池管理局下达了的《昆明市财政局 昆明市滇池管理局关于下达滇池流域重点水域渔船、网具回收处置经费的通知》（昆财资环〔2023〕24 号），但资金未实际下达到位，</w:t>
      </w:r>
      <w:r>
        <w:rPr>
          <w:rFonts w:hint="eastAsia" w:asciiTheme="minorEastAsia" w:hAnsiTheme="minorEastAsia" w:eastAsiaTheme="minorEastAsia" w:cstheme="minorEastAsia"/>
          <w:color w:val="auto"/>
          <w:spacing w:val="-1"/>
          <w:w w:val="95"/>
          <w:sz w:val="28"/>
          <w:szCs w:val="28"/>
          <w:highlight w:val="none"/>
        </w:rPr>
        <w:t>故2023年未进行补偿及奖励资金支付。</w:t>
      </w:r>
    </w:p>
    <w:p w14:paraId="560389CE">
      <w:pPr>
        <w:keepNext w:val="0"/>
        <w:keepLines w:val="0"/>
        <w:pageBreakBefore w:val="0"/>
        <w:widowControl w:val="0"/>
        <w:kinsoku/>
        <w:wordWrap/>
        <w:overflowPunct w:val="0"/>
        <w:topLinePunct w:val="0"/>
        <w:autoSpaceDE/>
        <w:autoSpaceDN/>
        <w:bidi w:val="0"/>
        <w:adjustRightInd w:val="0"/>
        <w:snapToGrid w:val="0"/>
        <w:spacing w:line="560" w:lineRule="exact"/>
        <w:ind w:firstLine="629"/>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w w:val="95"/>
          <w:sz w:val="28"/>
          <w:szCs w:val="28"/>
          <w:highlight w:val="none"/>
        </w:rPr>
        <w:t>2024年4月昆明市晋宁区人民政府经第二届昆明市晋宁区人民政府第81次常务会研究，同意</w:t>
      </w:r>
      <w:r>
        <w:rPr>
          <w:rFonts w:hint="eastAsia" w:asciiTheme="minorEastAsia" w:hAnsiTheme="minorEastAsia" w:eastAsiaTheme="minorEastAsia" w:cstheme="minorEastAsia"/>
          <w:color w:val="auto"/>
          <w:sz w:val="28"/>
          <w:szCs w:val="28"/>
          <w:highlight w:val="none"/>
        </w:rPr>
        <w:t>预算追加滇池流域重点水域渔船、网具回收处置资金，同年9月至12月由晋宁区财政保障并下达资金。</w:t>
      </w:r>
    </w:p>
    <w:p w14:paraId="58B33834">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（3）资金使用情况</w:t>
      </w:r>
    </w:p>
    <w:p w14:paraId="67CADE95">
      <w:pPr>
        <w:keepNext w:val="0"/>
        <w:keepLines w:val="0"/>
        <w:pageBreakBefore w:val="0"/>
        <w:widowControl w:val="0"/>
        <w:kinsoku/>
        <w:wordWrap/>
        <w:overflowPunct w:val="0"/>
        <w:topLinePunct w:val="0"/>
        <w:autoSpaceDE/>
        <w:autoSpaceDN/>
        <w:bidi w:val="0"/>
        <w:adjustRightInd w:val="0"/>
        <w:snapToGrid w:val="0"/>
        <w:spacing w:line="560" w:lineRule="exact"/>
        <w:ind w:firstLine="629"/>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截至2024年12月实际到位资金635.40万元，全部用于滇池流域重点水域渔船、网具回收处置、补偿及奖励，资金资金使用率100%。在评审过程未发现资金使用不规范的现象。</w:t>
      </w:r>
    </w:p>
    <w:p w14:paraId="7D52C456">
      <w:pPr>
        <w:keepNext w:val="0"/>
        <w:keepLines w:val="0"/>
        <w:pageBreakBefore w:val="0"/>
        <w:widowControl w:val="0"/>
        <w:kinsoku/>
        <w:wordWrap/>
        <w:topLinePunct w:val="0"/>
        <w:autoSpaceDE/>
        <w:autoSpaceDN/>
        <w:bidi w:val="0"/>
        <w:spacing w:line="560" w:lineRule="exact"/>
        <w:ind w:firstLine="590" w:firstLineChars="200"/>
        <w:jc w:val="both"/>
        <w:textAlignment w:val="auto"/>
        <w:outlineLvl w:val="1"/>
        <w:rPr>
          <w:rFonts w:hint="eastAsia" w:asciiTheme="minorEastAsia" w:hAnsiTheme="minorEastAsia" w:eastAsiaTheme="minorEastAsia" w:cstheme="minorEastAsia"/>
          <w:b/>
          <w:bCs/>
          <w:color w:val="auto"/>
          <w:sz w:val="28"/>
          <w:szCs w:val="28"/>
          <w:highlight w:val="none"/>
        </w:rPr>
      </w:pPr>
      <w:bookmarkStart w:id="5" w:name="_Toc20497"/>
      <w:r>
        <w:rPr>
          <w:rFonts w:hint="eastAsia" w:asciiTheme="minorEastAsia" w:hAnsiTheme="minorEastAsia" w:eastAsiaTheme="minorEastAsia" w:cstheme="minorEastAsia"/>
          <w:b/>
          <w:bCs/>
          <w:color w:val="auto"/>
          <w:sz w:val="28"/>
          <w:szCs w:val="28"/>
          <w:highlight w:val="none"/>
        </w:rPr>
        <w:t>（二）项目绩效目标</w:t>
      </w:r>
      <w:bookmarkEnd w:id="5"/>
    </w:p>
    <w:p w14:paraId="63351F94">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bookmarkStart w:id="6" w:name="_Hlk525314309"/>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bCs/>
          <w:color w:val="auto"/>
          <w:sz w:val="28"/>
          <w:szCs w:val="28"/>
          <w:highlight w:val="none"/>
        </w:rPr>
        <w:t>项目总目标</w:t>
      </w:r>
    </w:p>
    <w:p w14:paraId="48781692">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晋宁区滇池流域重点水域渔船、网具回收处置经费项目实施方案，对持有2019年经滇池渔业行政管理部门审验合格的640本《内陆渔业捕捞许可证》及渔船、网具进行注销、回收补偿，其中晋城街道364本、上蒜镇175本、昆阳街道101本。</w:t>
      </w:r>
    </w:p>
    <w:p w14:paraId="2635BB85">
      <w:pPr>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预期效果：通过实施晋宁区滇池流域重点水域渔船、网具回收处置项目，加强滇池流域水生生物保护，改善水生生物生存环境，推进滇池”十年禁渔“工作。</w:t>
      </w:r>
    </w:p>
    <w:bookmarkEnd w:id="6"/>
    <w:p w14:paraId="14280BD3">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color w:val="auto"/>
          <w:sz w:val="28"/>
          <w:szCs w:val="28"/>
          <w:highlight w:val="none"/>
        </w:rPr>
      </w:pPr>
      <w:bookmarkStart w:id="7" w:name="_Toc23365"/>
      <w:r>
        <w:rPr>
          <w:rFonts w:hint="eastAsia" w:asciiTheme="minorEastAsia" w:hAnsiTheme="minorEastAsia" w:eastAsiaTheme="minorEastAsia" w:cstheme="minorEastAsia"/>
          <w:b/>
          <w:bCs/>
          <w:color w:val="auto"/>
          <w:sz w:val="28"/>
          <w:szCs w:val="28"/>
          <w:highlight w:val="none"/>
        </w:rPr>
        <w:t>（三）</w:t>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"_Toc434746189"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t>组织管理情况</w:t>
      </w:r>
      <w:bookmarkEnd w:id="7"/>
    </w:p>
    <w:p w14:paraId="5383F8EA">
      <w:pPr>
        <w:keepNext w:val="0"/>
        <w:keepLines w:val="0"/>
        <w:pageBreakBefore w:val="0"/>
        <w:widowControl w:val="0"/>
        <w:kinsoku/>
        <w:wordWrap/>
        <w:topLinePunct w:val="0"/>
        <w:autoSpaceDE/>
        <w:autoSpaceDN/>
        <w:bidi w:val="0"/>
        <w:adjustRightInd w:val="0"/>
        <w:snapToGrid w:val="0"/>
        <w:spacing w:line="560" w:lineRule="exact"/>
        <w:ind w:firstLine="614" w:firstLineChars="200"/>
        <w:jc w:val="both"/>
        <w:textAlignment w:val="auto"/>
        <w:rPr>
          <w:rFonts w:hint="eastAsia" w:asciiTheme="minorEastAsia" w:hAnsiTheme="minorEastAsia" w:eastAsiaTheme="minorEastAsia" w:cstheme="minorEastAsia"/>
          <w:color w:val="auto"/>
          <w:spacing w:val="6"/>
          <w:kern w:val="0"/>
          <w:sz w:val="28"/>
          <w:szCs w:val="28"/>
          <w:highlight w:val="none"/>
        </w:rPr>
      </w:pPr>
      <w:r>
        <w:rPr>
          <w:rFonts w:hint="eastAsia" w:asciiTheme="minorEastAsia" w:hAnsiTheme="minorEastAsia" w:eastAsiaTheme="minorEastAsia" w:cstheme="minorEastAsia"/>
          <w:color w:val="auto"/>
          <w:spacing w:val="6"/>
          <w:kern w:val="0"/>
          <w:sz w:val="28"/>
          <w:szCs w:val="28"/>
          <w:highlight w:val="none"/>
        </w:rPr>
        <w:t>1.项目管理情况</w:t>
      </w:r>
    </w:p>
    <w:p w14:paraId="282E86E6">
      <w:pPr>
        <w:pStyle w:val="8"/>
        <w:keepNext w:val="0"/>
        <w:keepLines w:val="0"/>
        <w:pageBreakBefore w:val="0"/>
        <w:widowControl w:val="0"/>
        <w:kinsoku/>
        <w:wordWrap/>
        <w:topLinePunct w:val="0"/>
        <w:autoSpaceDE/>
        <w:autoSpaceDN/>
        <w:bidi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晋宁滇池流域重点水域渔船、网具回收处置经费项目管理单位为昆明市晋宁区水务局，实施单位为晋宁区晋城、上蒜及昆阳乡镇（街道）。</w:t>
      </w:r>
    </w:p>
    <w:p w14:paraId="5379172D">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2.资金安排程序</w:t>
      </w:r>
    </w:p>
    <w:p w14:paraId="75031B83">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区级项目资金补助资金由区级财政局下拨资金至昆明市晋宁区上蒜、晋城及昆阳财政所，再由各财政所拨付至各村委会将补偿、奖励资金发放到具体的补偿对象。</w:t>
      </w:r>
    </w:p>
    <w:p w14:paraId="1A2EC30F">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3.专项资金组织管理</w:t>
      </w:r>
    </w:p>
    <w:p w14:paraId="4AAAA19F">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项目资金使用执行昆明市晋宁区水务局</w:t>
      </w:r>
      <w:r>
        <w:rPr>
          <w:rFonts w:hint="eastAsia" w:asciiTheme="minorEastAsia" w:hAnsiTheme="minorEastAsia" w:eastAsiaTheme="minorEastAsia" w:cstheme="minorEastAsia"/>
          <w:color w:val="auto"/>
          <w:w w:val="105"/>
          <w:sz w:val="28"/>
          <w:szCs w:val="28"/>
          <w:highlight w:val="none"/>
        </w:rPr>
        <w:t>及</w:t>
      </w:r>
      <w:r>
        <w:rPr>
          <w:rFonts w:hint="eastAsia" w:asciiTheme="minorEastAsia" w:hAnsiTheme="minorEastAsia" w:eastAsiaTheme="minorEastAsia" w:cstheme="minorEastAsia"/>
          <w:color w:val="auto"/>
          <w:sz w:val="28"/>
          <w:szCs w:val="28"/>
          <w:highlight w:val="none"/>
        </w:rPr>
        <w:t>街道相关内控管理制度和财务管理办法，按规定的审批流程进行专项资金拨付。</w:t>
      </w:r>
    </w:p>
    <w:p w14:paraId="72D3205B">
      <w:pPr>
        <w:keepNext w:val="0"/>
        <w:keepLines w:val="0"/>
        <w:pageBreakBefore w:val="0"/>
        <w:widowControl w:val="0"/>
        <w:kinsoku/>
        <w:wordWrap/>
        <w:topLinePunct w:val="0"/>
        <w:autoSpaceDE/>
        <w:autoSpaceDN/>
        <w:bidi w:val="0"/>
        <w:adjustRightInd w:val="0"/>
        <w:snapToGrid w:val="0"/>
        <w:spacing w:line="560" w:lineRule="exact"/>
        <w:ind w:firstLine="670" w:firstLineChars="200"/>
        <w:jc w:val="both"/>
        <w:textAlignment w:val="auto"/>
        <w:outlineLvl w:val="0"/>
        <w:rPr>
          <w:rFonts w:hint="eastAsia" w:ascii="黑体" w:hAnsi="黑体" w:eastAsia="黑体" w:cs="黑体"/>
          <w:b/>
          <w:bCs/>
          <w:color w:val="auto"/>
          <w:sz w:val="32"/>
          <w:szCs w:val="32"/>
          <w:highlight w:val="none"/>
        </w:rPr>
      </w:pPr>
      <w:bookmarkStart w:id="8" w:name="_Toc20036"/>
      <w:r>
        <w:rPr>
          <w:rFonts w:hint="eastAsia" w:ascii="黑体" w:hAnsi="黑体" w:eastAsia="黑体" w:cs="黑体"/>
          <w:b/>
          <w:bCs/>
          <w:color w:val="auto"/>
          <w:sz w:val="32"/>
          <w:szCs w:val="32"/>
          <w:highlight w:val="none"/>
        </w:rPr>
        <w:t>二、绩效评价工作开展情况</w:t>
      </w:r>
      <w:bookmarkEnd w:id="8"/>
    </w:p>
    <w:p w14:paraId="41D22E54">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color w:val="auto"/>
          <w:sz w:val="28"/>
          <w:szCs w:val="28"/>
          <w:highlight w:val="none"/>
        </w:rPr>
      </w:pPr>
      <w:bookmarkStart w:id="9" w:name="_Toc21474"/>
      <w:r>
        <w:rPr>
          <w:rFonts w:hint="eastAsia" w:asciiTheme="minorEastAsia" w:hAnsiTheme="minorEastAsia" w:eastAsiaTheme="minorEastAsia" w:cstheme="minorEastAsia"/>
          <w:b/>
          <w:bCs/>
          <w:color w:val="auto"/>
          <w:sz w:val="28"/>
          <w:szCs w:val="28"/>
          <w:highlight w:val="none"/>
        </w:rPr>
        <w:t>（一）绩效评价目的、对象和范围</w:t>
      </w:r>
      <w:bookmarkEnd w:id="9"/>
    </w:p>
    <w:p w14:paraId="734E6673">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1.绩效评价目的</w:t>
      </w:r>
    </w:p>
    <w:p w14:paraId="015F3B77">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财政支出绩效评价是运用客观的指标体系，对公共资源使用效率、效益进行综合分析和评价，促进政府职能转变，提高资源配置效率，推进政府管理科学化的重要抓手。绩效评价对于公共政策执行质量、效益、能力的提高等有一定的理论意义与实践价值。本次绩效评价受昆明市晋宁区财政局的委托，对项目决策、项目管理、项目产出、项目效益，做出综合的评价，为政府科学决策和项目长效管理提供依据。</w:t>
      </w:r>
    </w:p>
    <w:p w14:paraId="1E4D9236">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通过本次绩效评价，有助于管理部门明确项目绩效目标，重视项目实施的规范性。并且总结经验教训，及时发现不足，对以后年度的计划安排和资金拨付以及工作开展，进行有益的探索和实践。</w:t>
      </w:r>
    </w:p>
    <w:p w14:paraId="7CD45A45">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2.绩效评价的对象和范围</w:t>
      </w:r>
    </w:p>
    <w:p w14:paraId="14AD0EF1">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本次绩效评价对象为晋宁滇池流域重点水域渔船、网具回收处置经费项目的专项补助资金，评价范围为2024年晋城、上蒜及昆阳街道涉及的滇池流域重点水域渔船、网具回收处置经费专项资金使用情况。</w:t>
      </w:r>
    </w:p>
    <w:p w14:paraId="1CC9E669">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outlineLvl w:val="1"/>
        <w:rPr>
          <w:rFonts w:hint="eastAsia" w:asciiTheme="minorEastAsia" w:hAnsiTheme="minorEastAsia" w:eastAsiaTheme="minorEastAsia" w:cstheme="minorEastAsia"/>
          <w:b/>
          <w:bCs w:val="0"/>
          <w:color w:val="auto"/>
          <w:sz w:val="28"/>
          <w:szCs w:val="28"/>
          <w:highlight w:val="none"/>
        </w:rPr>
      </w:pPr>
      <w:bookmarkStart w:id="10" w:name="_Toc4585"/>
      <w:bookmarkStart w:id="11" w:name="_Toc83886773"/>
      <w:bookmarkStart w:id="12" w:name="_Toc83888587"/>
      <w:bookmarkStart w:id="13" w:name="_Toc84243563"/>
      <w:bookmarkStart w:id="14" w:name="_Toc83892453"/>
      <w:bookmarkStart w:id="15" w:name="_Toc83664572"/>
      <w:bookmarkStart w:id="16" w:name="_Toc11677"/>
      <w:r>
        <w:rPr>
          <w:rFonts w:hint="eastAsia" w:asciiTheme="minorEastAsia" w:hAnsiTheme="minorEastAsia" w:eastAsiaTheme="minorEastAsia" w:cstheme="minorEastAsia"/>
          <w:b/>
          <w:bCs w:val="0"/>
          <w:color w:val="auto"/>
          <w:sz w:val="28"/>
          <w:szCs w:val="28"/>
          <w:highlight w:val="none"/>
        </w:rPr>
        <w:t>（二）绩效评价原则、评价指标体系、评价方法、评价标准和评价抽样</w:t>
      </w:r>
      <w:bookmarkEnd w:id="10"/>
      <w:bookmarkEnd w:id="11"/>
      <w:bookmarkEnd w:id="12"/>
      <w:bookmarkEnd w:id="13"/>
      <w:bookmarkEnd w:id="14"/>
      <w:bookmarkEnd w:id="15"/>
    </w:p>
    <w:p w14:paraId="6117833C">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1.绩效评价原则</w:t>
      </w:r>
    </w:p>
    <w:p w14:paraId="69EAAB2E">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本次绩效评价遵循科学规范、公正公开、绩效相关的基本原则：</w:t>
      </w:r>
    </w:p>
    <w:p w14:paraId="7EDEB945">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（1）科学规范原则。绩效评价注重财政支出经济性、效率性和有效性，严格执行规定的程序，采用定量与定性分析相结合的方法。</w:t>
      </w:r>
    </w:p>
    <w:p w14:paraId="6619EEC3">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（2）公正公开原则。绩效评价客观公正，标准统一，资料可靠，依法公开并接受监督。</w:t>
      </w:r>
    </w:p>
    <w:p w14:paraId="4E6E8311">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（3）绩效相关原则。绩效评价围绕绩效目标、针对具体支出及其产出绩效进行评价，评价结果清晰反映支出和产出绩效之间的对应关系。</w:t>
      </w:r>
    </w:p>
    <w:p w14:paraId="1C2EFABB">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2.绩效评价体系</w:t>
      </w:r>
    </w:p>
    <w:p w14:paraId="198E9C69">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（1）绩效评价指标</w:t>
      </w:r>
    </w:p>
    <w:p w14:paraId="308AF30C">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根据项目相关性、重要性、可比性、经济性、系统性原则，结合财政支出项目绩效评价的相关要求设立相应的指标，并分配相应的权重（分值）。根据项目特点，本项目评价指标拟设置4个一级指标（</w:t>
      </w:r>
      <w:r>
        <w:rPr>
          <w:rFonts w:hint="eastAsia" w:asciiTheme="minorEastAsia" w:hAnsiTheme="minorEastAsia" w:eastAsiaTheme="minorEastAsia" w:cstheme="minorEastAsia"/>
          <w:bCs/>
          <w:color w:val="auto"/>
          <w:spacing w:val="6"/>
          <w:kern w:val="0"/>
          <w:sz w:val="28"/>
          <w:szCs w:val="28"/>
          <w:highlight w:val="none"/>
        </w:rPr>
        <w:t>决策、过程、产出、效果</w:t>
      </w:r>
      <w:r>
        <w:rPr>
          <w:rFonts w:hint="eastAsia" w:asciiTheme="minorEastAsia" w:hAnsiTheme="minorEastAsia" w:eastAsiaTheme="minorEastAsia" w:cstheme="minorEastAsia"/>
          <w:bCs/>
          <w:color w:val="auto"/>
          <w:sz w:val="28"/>
          <w:szCs w:val="28"/>
          <w:highlight w:val="none"/>
        </w:rPr>
        <w:t>）；7个二级指标（项目立项、绩效目标、资金投入、项目管理、资金管理、产出数量、产出质量、时效指标、经济效益、社会效益、环境效益、可持续影响、满意度）；24个三级指标。</w:t>
      </w:r>
    </w:p>
    <w:p w14:paraId="4F877AF8">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具体内容详见“附件2：绩效评价指标体系”。</w:t>
      </w:r>
    </w:p>
    <w:p w14:paraId="48AD2268">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（2）绩效评价指标分值权重</w:t>
      </w:r>
    </w:p>
    <w:p w14:paraId="03196FCD">
      <w:pPr>
        <w:keepNext w:val="0"/>
        <w:keepLines w:val="0"/>
        <w:pageBreakBefore w:val="0"/>
        <w:widowControl w:val="0"/>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根据云南省财政厅关于印发《云南省项目支出绩效评价管理办法》的通知（云财绩〔2020〕11号）及</w:t>
      </w:r>
      <w:r>
        <w:rPr>
          <w:rFonts w:hint="eastAsia" w:asciiTheme="minorEastAsia" w:hAnsiTheme="minorEastAsia" w:eastAsiaTheme="minorEastAsia" w:cstheme="minorEastAsia"/>
          <w:color w:val="auto"/>
          <w:sz w:val="28"/>
          <w:szCs w:val="28"/>
          <w:highlight w:val="none"/>
        </w:rPr>
        <w:t>《晋宁区绩效管理实施办法》</w:t>
      </w:r>
      <w:r>
        <w:rPr>
          <w:rFonts w:hint="eastAsia" w:asciiTheme="minorEastAsia" w:hAnsiTheme="minorEastAsia" w:eastAsiaTheme="minorEastAsia" w:cstheme="minorEastAsia"/>
          <w:bCs/>
          <w:color w:val="auto"/>
          <w:spacing w:val="6"/>
          <w:sz w:val="28"/>
          <w:szCs w:val="28"/>
          <w:highlight w:val="none"/>
        </w:rPr>
        <w:t>要求，</w:t>
      </w:r>
      <w:r>
        <w:rPr>
          <w:rFonts w:hint="eastAsia" w:asciiTheme="minorEastAsia" w:hAnsiTheme="minorEastAsia" w:eastAsiaTheme="minorEastAsia" w:cstheme="minorEastAsia"/>
          <w:bCs/>
          <w:color w:val="auto"/>
          <w:sz w:val="28"/>
          <w:szCs w:val="28"/>
          <w:highlight w:val="none"/>
        </w:rPr>
        <w:t>通过研究项目的实施背景与政策目标，分析梳理前期调研和试点获取的相关数据和资料，查看行业专家论点和相关文献，综合判断各级评价指标对实现绩效目标的关键程度，确定各评价指标的分值权重。</w:t>
      </w:r>
    </w:p>
    <w:p w14:paraId="3BED96A4">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绩效评价指标体系从</w:t>
      </w:r>
      <w:r>
        <w:rPr>
          <w:rFonts w:hint="eastAsia" w:asciiTheme="minorEastAsia" w:hAnsiTheme="minorEastAsia" w:eastAsiaTheme="minorEastAsia" w:cstheme="minorEastAsia"/>
          <w:bCs/>
          <w:color w:val="auto"/>
          <w:spacing w:val="6"/>
          <w:sz w:val="28"/>
          <w:szCs w:val="28"/>
          <w:highlight w:val="none"/>
        </w:rPr>
        <w:t>决策、过程、产出、效果四</w:t>
      </w:r>
      <w:r>
        <w:rPr>
          <w:rFonts w:hint="eastAsia" w:asciiTheme="minorEastAsia" w:hAnsiTheme="minorEastAsia" w:eastAsiaTheme="minorEastAsia" w:cstheme="minorEastAsia"/>
          <w:bCs/>
          <w:color w:val="auto"/>
          <w:sz w:val="28"/>
          <w:szCs w:val="28"/>
          <w:highlight w:val="none"/>
        </w:rPr>
        <w:t>个方面进行构建，“决策”分值权重20分，“过程”分值权重20分，“产出”分值权重30分，“效益”分值权重30分。</w:t>
      </w:r>
    </w:p>
    <w:p w14:paraId="36F0DC18">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本次评价采用百分制，各级指标依据其指标权重确定分值，最终得分由各级评价指标得分加总形成。</w:t>
      </w:r>
    </w:p>
    <w:p w14:paraId="2C9C9BDC">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（3）指标解释</w:t>
      </w:r>
    </w:p>
    <w:p w14:paraId="0E2E5D0C">
      <w:pPr>
        <w:keepNext w:val="0"/>
        <w:keepLines w:val="0"/>
        <w:pageBreakBefore w:val="0"/>
        <w:widowControl w:val="0"/>
        <w:kinsoku/>
        <w:wordWrap/>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z w:val="28"/>
          <w:szCs w:val="28"/>
          <w:highlight w:val="none"/>
        </w:rPr>
        <w:t>根据云南省财政厅关于印发《云南省项目支出绩效评价管理</w:t>
      </w:r>
      <w:r>
        <w:rPr>
          <w:rFonts w:hint="eastAsia" w:asciiTheme="minorEastAsia" w:hAnsiTheme="minorEastAsia" w:eastAsiaTheme="minorEastAsia" w:cstheme="minorEastAsia"/>
          <w:bCs/>
          <w:color w:val="auto"/>
          <w:spacing w:val="6"/>
          <w:sz w:val="28"/>
          <w:szCs w:val="28"/>
          <w:highlight w:val="none"/>
        </w:rPr>
        <w:t>办法》的通知（云财绩〔2020〕11号）</w:t>
      </w:r>
      <w:r>
        <w:rPr>
          <w:rFonts w:hint="eastAsia" w:asciiTheme="minorEastAsia" w:hAnsiTheme="minorEastAsia" w:eastAsiaTheme="minorEastAsia" w:cstheme="minorEastAsia"/>
          <w:color w:val="auto"/>
          <w:sz w:val="28"/>
          <w:szCs w:val="28"/>
          <w:highlight w:val="none"/>
        </w:rPr>
        <w:t>《晋宁区全过程预算绩效管理实施办法》</w:t>
      </w:r>
      <w:r>
        <w:rPr>
          <w:rFonts w:hint="eastAsia" w:asciiTheme="minorEastAsia" w:hAnsiTheme="minorEastAsia" w:eastAsiaTheme="minorEastAsia" w:cstheme="minorEastAsia"/>
          <w:bCs/>
          <w:color w:val="auto"/>
          <w:spacing w:val="6"/>
          <w:sz w:val="28"/>
          <w:szCs w:val="28"/>
          <w:highlight w:val="none"/>
        </w:rPr>
        <w:t>要求，绩效评价指标从“决策、过程、产出、效果”四个方面，对项目执行效果及各项绩效目标的实现程度进行全面绩效评价。</w:t>
      </w:r>
    </w:p>
    <w:p w14:paraId="2DA88E0A">
      <w:pPr>
        <w:keepNext w:val="0"/>
        <w:keepLines w:val="0"/>
        <w:pageBreakBefore w:val="0"/>
        <w:widowControl w:val="0"/>
        <w:kinsoku/>
        <w:wordWrap/>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①“决策”指标由“</w:t>
      </w:r>
      <w:r>
        <w:rPr>
          <w:rFonts w:hint="eastAsia" w:asciiTheme="minorEastAsia" w:hAnsiTheme="minorEastAsia" w:eastAsiaTheme="minorEastAsia" w:cstheme="minorEastAsia"/>
          <w:bCs/>
          <w:color w:val="auto"/>
          <w:sz w:val="28"/>
          <w:szCs w:val="28"/>
          <w:highlight w:val="none"/>
        </w:rPr>
        <w:t>项目立项、绩效目标</w:t>
      </w:r>
      <w:r>
        <w:rPr>
          <w:rFonts w:hint="eastAsia" w:asciiTheme="minorEastAsia" w:hAnsiTheme="minorEastAsia" w:eastAsiaTheme="minorEastAsia" w:cstheme="minorEastAsia"/>
          <w:bCs/>
          <w:color w:val="auto"/>
          <w:spacing w:val="6"/>
          <w:sz w:val="28"/>
          <w:szCs w:val="28"/>
          <w:highlight w:val="none"/>
        </w:rPr>
        <w:t>”2个二级指标构成，同时将2个二级指标细化为5个三级指标。主要考核立项依据充分性、立项程序规范性、绩效目标合理性、绩效指标明确性、预算编制科学性。</w:t>
      </w:r>
    </w:p>
    <w:p w14:paraId="30FD043F">
      <w:pPr>
        <w:keepNext w:val="0"/>
        <w:keepLines w:val="0"/>
        <w:pageBreakBefore w:val="0"/>
        <w:widowControl w:val="0"/>
        <w:kinsoku/>
        <w:wordWrap/>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②“过程”指标由“</w:t>
      </w:r>
      <w:r>
        <w:rPr>
          <w:rFonts w:hint="eastAsia" w:asciiTheme="minorEastAsia" w:hAnsiTheme="minorEastAsia" w:eastAsiaTheme="minorEastAsia" w:cstheme="minorEastAsia"/>
          <w:bCs/>
          <w:color w:val="auto"/>
          <w:sz w:val="28"/>
          <w:szCs w:val="28"/>
          <w:highlight w:val="none"/>
        </w:rPr>
        <w:t>项目投入、财务、实施管理</w:t>
      </w:r>
      <w:r>
        <w:rPr>
          <w:rFonts w:hint="eastAsia" w:asciiTheme="minorEastAsia" w:hAnsiTheme="minorEastAsia" w:eastAsiaTheme="minorEastAsia" w:cstheme="minorEastAsia"/>
          <w:bCs/>
          <w:color w:val="auto"/>
          <w:spacing w:val="6"/>
          <w:sz w:val="28"/>
          <w:szCs w:val="28"/>
          <w:highlight w:val="none"/>
        </w:rPr>
        <w:t>”3个二级指标构成，同时将3个二级指标细化为10个三级指标。主要围绕项目管理、财务管理及项目实施管理为主线展开，依据相关项目管理制度和资金办理办法设计考核点，评价项目实施过程中资金到位率、预算执行率、资金使用合规性、管理制度健全性、制度执行有效性、监督考核及档案管理情况等。</w:t>
      </w:r>
    </w:p>
    <w:p w14:paraId="52D5BCE3">
      <w:pPr>
        <w:keepNext w:val="0"/>
        <w:keepLines w:val="0"/>
        <w:pageBreakBefore w:val="0"/>
        <w:widowControl w:val="0"/>
        <w:tabs>
          <w:tab w:val="right" w:pos="8214"/>
        </w:tabs>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③“产出”指标设置了产出指标由“</w:t>
      </w:r>
      <w:r>
        <w:rPr>
          <w:rFonts w:hint="eastAsia" w:asciiTheme="minorEastAsia" w:hAnsiTheme="minorEastAsia" w:eastAsiaTheme="minorEastAsia" w:cstheme="minorEastAsia"/>
          <w:bCs/>
          <w:color w:val="auto"/>
          <w:sz w:val="28"/>
          <w:szCs w:val="28"/>
          <w:highlight w:val="none"/>
        </w:rPr>
        <w:t>产出数量、产出质量、时效指标及成本控制为4个三级指标组成，</w:t>
      </w:r>
      <w:r>
        <w:rPr>
          <w:rFonts w:hint="eastAsia" w:asciiTheme="minorEastAsia" w:hAnsiTheme="minorEastAsia" w:eastAsiaTheme="minorEastAsia" w:cstheme="minorEastAsia"/>
          <w:bCs/>
          <w:color w:val="auto"/>
          <w:spacing w:val="6"/>
          <w:sz w:val="28"/>
          <w:szCs w:val="28"/>
          <w:highlight w:val="none"/>
        </w:rPr>
        <w:t>即将1个二级指标细化为4个三级指标</w:t>
      </w:r>
      <w:r>
        <w:rPr>
          <w:rFonts w:hint="eastAsia" w:asciiTheme="minorEastAsia" w:hAnsiTheme="minorEastAsia" w:eastAsiaTheme="minorEastAsia" w:cstheme="minorEastAsia"/>
          <w:bCs/>
          <w:color w:val="auto"/>
          <w:sz w:val="28"/>
          <w:szCs w:val="28"/>
          <w:highlight w:val="none"/>
        </w:rPr>
        <w:t>主要考核池流域重点水域渔船、网具回收处置完成情况、项目实施规范性、项目进度、时性及成本控制等。</w:t>
      </w:r>
    </w:p>
    <w:p w14:paraId="307986D9">
      <w:pPr>
        <w:keepNext w:val="0"/>
        <w:keepLines w:val="0"/>
        <w:pageBreakBefore w:val="0"/>
        <w:widowControl w:val="0"/>
        <w:kinsoku/>
        <w:wordWrap/>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④“效果”指标由“经济效益、社会效益、环境效益、可持续影响、满意度”5个二级指标构成，同时将1个二级指标细化为5个三级指标，主要考核项目投资完成情况对滇池流域重点水域水生生物资源和水域生态环境改善情况、促进经济发展、长效管理可持续性及项目实施效果的满意度等。</w:t>
      </w:r>
    </w:p>
    <w:p w14:paraId="16BDEFDD">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bookmarkStart w:id="17" w:name="_Toc84242052"/>
      <w:bookmarkStart w:id="18" w:name="_Toc84243566"/>
      <w:bookmarkStart w:id="19" w:name="_Toc84242639"/>
      <w:bookmarkStart w:id="20" w:name="_Toc83892456"/>
      <w:bookmarkStart w:id="21" w:name="_Toc83888521"/>
      <w:bookmarkStart w:id="22" w:name="_Toc83886776"/>
      <w:bookmarkStart w:id="23" w:name="_Toc84241854"/>
      <w:bookmarkStart w:id="24" w:name="_Toc83664576"/>
      <w:bookmarkStart w:id="25" w:name="_Toc83721333"/>
      <w:r>
        <w:rPr>
          <w:rFonts w:hint="eastAsia" w:asciiTheme="minorEastAsia" w:hAnsiTheme="minorEastAsia" w:eastAsiaTheme="minorEastAsia" w:cstheme="minorEastAsia"/>
          <w:color w:val="auto"/>
          <w:sz w:val="28"/>
          <w:szCs w:val="28"/>
          <w:highlight w:val="none"/>
        </w:rPr>
        <w:t>3.绩效评价方法</w:t>
      </w:r>
      <w:bookmarkEnd w:id="17"/>
      <w:bookmarkEnd w:id="18"/>
      <w:bookmarkEnd w:id="19"/>
      <w:bookmarkEnd w:id="20"/>
      <w:bookmarkEnd w:id="21"/>
      <w:bookmarkEnd w:id="22"/>
      <w:bookmarkEnd w:id="23"/>
      <w:bookmarkEnd w:id="24"/>
      <w:bookmarkEnd w:id="25"/>
    </w:p>
    <w:p w14:paraId="6D89F381">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本次绩效评价采用定量与定性相结合、审阅评价相结合，对收集的相关基础资料、各种技术经济数据，在归集、整理、分析的基础上，运用资料审阅法、实地查勘法、分析比较法、公众问卷调查法等，系统、科学的反映拟评价项目综合绩效情况。</w:t>
      </w:r>
    </w:p>
    <w:p w14:paraId="40569CDD">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bookmarkStart w:id="26" w:name="_Toc83721334"/>
      <w:bookmarkStart w:id="27" w:name="_Toc84242640"/>
      <w:bookmarkStart w:id="28" w:name="_Toc84242053"/>
      <w:bookmarkStart w:id="29" w:name="_Toc83664577"/>
      <w:bookmarkStart w:id="30" w:name="_Toc83886777"/>
      <w:bookmarkStart w:id="31" w:name="_Toc83892457"/>
      <w:bookmarkStart w:id="32" w:name="_Toc84243567"/>
      <w:bookmarkStart w:id="33" w:name="_Toc84241855"/>
      <w:bookmarkStart w:id="34" w:name="_Toc83888522"/>
      <w:r>
        <w:rPr>
          <w:rFonts w:hint="eastAsia" w:asciiTheme="minorEastAsia" w:hAnsiTheme="minorEastAsia" w:eastAsiaTheme="minorEastAsia" w:cstheme="minorEastAsia"/>
          <w:color w:val="auto"/>
          <w:sz w:val="28"/>
          <w:szCs w:val="28"/>
          <w:highlight w:val="none"/>
        </w:rPr>
        <w:t>4.评价标准</w:t>
      </w:r>
      <w:bookmarkEnd w:id="26"/>
      <w:bookmarkEnd w:id="27"/>
      <w:bookmarkEnd w:id="28"/>
      <w:bookmarkEnd w:id="29"/>
      <w:bookmarkEnd w:id="30"/>
      <w:bookmarkEnd w:id="31"/>
      <w:bookmarkEnd w:id="32"/>
      <w:bookmarkEnd w:id="33"/>
      <w:bookmarkEnd w:id="34"/>
    </w:p>
    <w:p w14:paraId="79C6C0D7">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本次评价采用百分制，各级指标依据其指标权重确定分值，最终得分由各级评价指标得分加总形成。根据最终得分将评价标准分为四个等级：优（得分≥90分）；良（80分≤得分＜90分）；中（60≤得分＜80分）；差（得分＜60分）。</w:t>
      </w:r>
    </w:p>
    <w:p w14:paraId="735378B6">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bookmarkStart w:id="35" w:name="_Toc83664578"/>
      <w:bookmarkStart w:id="36" w:name="_Toc84242054"/>
      <w:bookmarkStart w:id="37" w:name="_Toc83888523"/>
      <w:bookmarkStart w:id="38" w:name="_Toc84241856"/>
      <w:bookmarkStart w:id="39" w:name="_Toc83721335"/>
      <w:bookmarkStart w:id="40" w:name="_Toc83886778"/>
      <w:bookmarkStart w:id="41" w:name="_Toc84242641"/>
      <w:bookmarkStart w:id="42" w:name="_Toc83892458"/>
      <w:bookmarkStart w:id="43" w:name="_Toc84243568"/>
      <w:r>
        <w:rPr>
          <w:rFonts w:hint="eastAsia" w:asciiTheme="minorEastAsia" w:hAnsiTheme="minorEastAsia" w:eastAsiaTheme="minorEastAsia" w:cstheme="minorEastAsia"/>
          <w:color w:val="auto"/>
          <w:sz w:val="28"/>
          <w:szCs w:val="28"/>
          <w:highlight w:val="none"/>
        </w:rPr>
        <w:t>5.实地评价抽样</w:t>
      </w:r>
      <w:bookmarkEnd w:id="35"/>
      <w:bookmarkEnd w:id="36"/>
      <w:bookmarkEnd w:id="37"/>
      <w:bookmarkEnd w:id="38"/>
      <w:bookmarkEnd w:id="39"/>
      <w:bookmarkEnd w:id="40"/>
      <w:bookmarkEnd w:id="41"/>
      <w:bookmarkEnd w:id="42"/>
      <w:bookmarkEnd w:id="43"/>
    </w:p>
    <w:p w14:paraId="6CB967B9">
      <w:pPr>
        <w:keepNext w:val="0"/>
        <w:keepLines w:val="0"/>
        <w:pageBreakBefore w:val="0"/>
        <w:widowControl w:val="0"/>
        <w:kinsoku/>
        <w:wordWrap/>
        <w:topLinePunct w:val="0"/>
        <w:autoSpaceDE/>
        <w:autoSpaceDN/>
        <w:bidi w:val="0"/>
        <w:adjustRightInd w:val="0"/>
        <w:snapToGrid w:val="0"/>
        <w:spacing w:line="560" w:lineRule="exact"/>
        <w:ind w:firstLine="59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该项目选择100%全覆盖的实地评价方式。</w:t>
      </w:r>
    </w:p>
    <w:bookmarkEnd w:id="16"/>
    <w:p w14:paraId="43B6848C">
      <w:pPr>
        <w:keepNext w:val="0"/>
        <w:keepLines w:val="0"/>
        <w:pageBreakBefore w:val="0"/>
        <w:widowControl w:val="0"/>
        <w:kinsoku/>
        <w:wordWrap/>
        <w:topLinePunct w:val="0"/>
        <w:autoSpaceDE/>
        <w:autoSpaceDN/>
        <w:bidi w:val="0"/>
        <w:adjustRightInd w:val="0"/>
        <w:spacing w:line="560" w:lineRule="exact"/>
        <w:ind w:firstLine="590" w:firstLineChars="200"/>
        <w:jc w:val="both"/>
        <w:textAlignment w:val="auto"/>
        <w:outlineLvl w:val="1"/>
        <w:rPr>
          <w:rFonts w:hint="eastAsia" w:asciiTheme="minorEastAsia" w:hAnsiTheme="minorEastAsia" w:eastAsiaTheme="minorEastAsia" w:cstheme="minorEastAsia"/>
          <w:b/>
          <w:bCs w:val="0"/>
          <w:color w:val="auto"/>
          <w:sz w:val="28"/>
          <w:szCs w:val="28"/>
          <w:highlight w:val="none"/>
        </w:rPr>
      </w:pPr>
      <w:bookmarkStart w:id="44" w:name="_Toc83888588"/>
      <w:bookmarkStart w:id="45" w:name="_Toc83892459"/>
      <w:bookmarkStart w:id="46" w:name="_Toc27429"/>
      <w:bookmarkStart w:id="47" w:name="_Toc83664579"/>
      <w:bookmarkStart w:id="48" w:name="_Toc84243569"/>
      <w:bookmarkStart w:id="49" w:name="_Toc83886779"/>
      <w:r>
        <w:rPr>
          <w:rFonts w:hint="eastAsia" w:asciiTheme="minorEastAsia" w:hAnsiTheme="minorEastAsia" w:eastAsiaTheme="minorEastAsia" w:cstheme="minorEastAsia"/>
          <w:b/>
          <w:bCs w:val="0"/>
          <w:color w:val="auto"/>
          <w:sz w:val="28"/>
          <w:szCs w:val="28"/>
          <w:highlight w:val="none"/>
        </w:rPr>
        <w:t>（三）绩效评价工作过程</w:t>
      </w:r>
      <w:bookmarkEnd w:id="44"/>
      <w:bookmarkEnd w:id="45"/>
      <w:bookmarkEnd w:id="46"/>
      <w:bookmarkEnd w:id="47"/>
      <w:bookmarkEnd w:id="48"/>
      <w:bookmarkEnd w:id="49"/>
    </w:p>
    <w:p w14:paraId="47FDA512">
      <w:pPr>
        <w:keepNext w:val="0"/>
        <w:keepLines w:val="0"/>
        <w:pageBreakBefore w:val="0"/>
        <w:widowControl w:val="0"/>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kern w:val="0"/>
          <w:sz w:val="28"/>
          <w:szCs w:val="28"/>
          <w:highlight w:val="none"/>
        </w:rPr>
      </w:pPr>
      <w:r>
        <w:rPr>
          <w:rFonts w:hint="eastAsia" w:asciiTheme="minorEastAsia" w:hAnsiTheme="minorEastAsia" w:eastAsiaTheme="minorEastAsia" w:cstheme="minorEastAsia"/>
          <w:bCs/>
          <w:color w:val="auto"/>
          <w:spacing w:val="6"/>
          <w:kern w:val="0"/>
          <w:sz w:val="28"/>
          <w:szCs w:val="28"/>
          <w:highlight w:val="none"/>
        </w:rPr>
        <w:t>绩效评价小组严格按照评价工作方案中确定的评价思路，通过研读项目相关文件资料、填报基础数据采集表、问卷调查、访谈等方法收集项目相关数据。具体实施过程如下：</w:t>
      </w:r>
    </w:p>
    <w:p w14:paraId="18A1F4F4">
      <w:pPr>
        <w:keepNext w:val="0"/>
        <w:keepLines w:val="0"/>
        <w:pageBreakBefore w:val="0"/>
        <w:widowControl w:val="0"/>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kern w:val="0"/>
          <w:sz w:val="28"/>
          <w:szCs w:val="28"/>
          <w:highlight w:val="none"/>
        </w:rPr>
      </w:pPr>
      <w:r>
        <w:rPr>
          <w:rFonts w:hint="eastAsia" w:asciiTheme="minorEastAsia" w:hAnsiTheme="minorEastAsia" w:eastAsiaTheme="minorEastAsia" w:cstheme="minorEastAsia"/>
          <w:bCs/>
          <w:color w:val="auto"/>
          <w:spacing w:val="6"/>
          <w:kern w:val="0"/>
          <w:sz w:val="28"/>
          <w:szCs w:val="28"/>
          <w:highlight w:val="none"/>
        </w:rPr>
        <w:t>1.数据填报和采集。本次绩效评价数据包括定性和定量两种数据，定性数据主要通过实地考察、面对面访谈、问卷调研等社会调查的方式来采集。定量数据的采集主要通过被评价单位上报数据、服务绩效考核数据和实地复核数据相结合的方式，形成数据采集两条线，有效保证数据的真实性和可靠性。</w:t>
      </w:r>
    </w:p>
    <w:p w14:paraId="0BF9E3CE">
      <w:pPr>
        <w:keepNext w:val="0"/>
        <w:keepLines w:val="0"/>
        <w:pageBreakBefore w:val="0"/>
        <w:widowControl w:val="0"/>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kern w:val="0"/>
          <w:sz w:val="28"/>
          <w:szCs w:val="28"/>
          <w:highlight w:val="none"/>
        </w:rPr>
      </w:pPr>
      <w:r>
        <w:rPr>
          <w:rFonts w:hint="eastAsia" w:asciiTheme="minorEastAsia" w:hAnsiTheme="minorEastAsia" w:eastAsiaTheme="minorEastAsia" w:cstheme="minorEastAsia"/>
          <w:bCs/>
          <w:color w:val="auto"/>
          <w:spacing w:val="6"/>
          <w:kern w:val="0"/>
          <w:sz w:val="28"/>
          <w:szCs w:val="28"/>
          <w:highlight w:val="none"/>
          <w:lang w:val="en-US" w:eastAsia="zh-CN"/>
        </w:rPr>
        <w:t>2.</w:t>
      </w:r>
      <w:r>
        <w:rPr>
          <w:rFonts w:hint="eastAsia" w:asciiTheme="minorEastAsia" w:hAnsiTheme="minorEastAsia" w:eastAsiaTheme="minorEastAsia" w:cstheme="minorEastAsia"/>
          <w:bCs/>
          <w:color w:val="auto"/>
          <w:spacing w:val="6"/>
          <w:kern w:val="0"/>
          <w:sz w:val="28"/>
          <w:szCs w:val="28"/>
          <w:highlight w:val="none"/>
        </w:rPr>
        <w:t>采用一对一现场访谈的形式对项目相关负责人进行了访谈，了解了项目组织、实施和管理的具体情况。根据工作方案中确定的调查对象、调查内容和抽样方式，以问卷调查的形式对项目实施受益对象开展满意度调查，对管理部门发放调查问卷15份，对施工单位、监理单位及造价单位发放调查问卷10份，回收率均100%；对社会公众共发放问卷100份，实际回收有效问卷100份，回收率100%，根据问卷调查结果，项目组撰写了社会调查问卷分析报告，详见附件</w:t>
      </w:r>
      <w:r>
        <w:rPr>
          <w:rFonts w:hint="eastAsia" w:asciiTheme="minorEastAsia" w:hAnsiTheme="minorEastAsia" w:eastAsiaTheme="minorEastAsia" w:cstheme="minorEastAsia"/>
          <w:bCs/>
          <w:color w:val="auto"/>
          <w:spacing w:val="6"/>
          <w:kern w:val="0"/>
          <w:sz w:val="28"/>
          <w:szCs w:val="28"/>
          <w:highlight w:val="none"/>
          <w:lang w:val="en-US" w:eastAsia="zh-CN"/>
        </w:rPr>
        <w:t>5</w:t>
      </w:r>
      <w:r>
        <w:rPr>
          <w:rFonts w:hint="eastAsia" w:asciiTheme="minorEastAsia" w:hAnsiTheme="minorEastAsia" w:eastAsiaTheme="minorEastAsia" w:cstheme="minorEastAsia"/>
          <w:bCs/>
          <w:color w:val="auto"/>
          <w:spacing w:val="6"/>
          <w:kern w:val="0"/>
          <w:sz w:val="28"/>
          <w:szCs w:val="28"/>
          <w:highlight w:val="none"/>
        </w:rPr>
        <w:t>。</w:t>
      </w:r>
    </w:p>
    <w:p w14:paraId="6BE6B141">
      <w:pPr>
        <w:keepNext w:val="0"/>
        <w:keepLines w:val="0"/>
        <w:pageBreakBefore w:val="0"/>
        <w:widowControl w:val="0"/>
        <w:kinsoku/>
        <w:wordWrap/>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kern w:val="0"/>
          <w:sz w:val="28"/>
          <w:szCs w:val="28"/>
          <w:highlight w:val="none"/>
        </w:rPr>
      </w:pPr>
      <w:r>
        <w:rPr>
          <w:rFonts w:hint="eastAsia" w:asciiTheme="minorEastAsia" w:hAnsiTheme="minorEastAsia" w:eastAsiaTheme="minorEastAsia" w:cstheme="minorEastAsia"/>
          <w:bCs/>
          <w:color w:val="auto"/>
          <w:spacing w:val="6"/>
          <w:kern w:val="0"/>
          <w:sz w:val="28"/>
          <w:szCs w:val="28"/>
          <w:highlight w:val="none"/>
        </w:rPr>
        <w:t>3.数据分析和撰写报告。项目组根据绩效评价的原理和规范，对采集的数据进行甄别、分析和评分，并提炼结论撰写报告，在规定时间内上报委托方，由委托方对报告进行评审。</w:t>
      </w:r>
    </w:p>
    <w:p w14:paraId="7C65BC76">
      <w:pPr>
        <w:keepNext w:val="0"/>
        <w:keepLines w:val="0"/>
        <w:pageBreakBefore w:val="0"/>
        <w:widowControl w:val="0"/>
        <w:kinsoku/>
        <w:wordWrap/>
        <w:overflowPunct/>
        <w:topLinePunct w:val="0"/>
        <w:autoSpaceDE/>
        <w:autoSpaceDN/>
        <w:bidi w:val="0"/>
        <w:adjustRightInd w:val="0"/>
        <w:snapToGrid w:val="0"/>
        <w:spacing w:line="560" w:lineRule="exact"/>
        <w:ind w:firstLine="670" w:firstLineChars="200"/>
        <w:textAlignment w:val="auto"/>
        <w:outlineLvl w:val="0"/>
        <w:rPr>
          <w:rFonts w:hint="eastAsia" w:asciiTheme="minorEastAsia" w:hAnsiTheme="minorEastAsia" w:eastAsiaTheme="minorEastAsia" w:cstheme="minorEastAsia"/>
          <w:color w:val="auto"/>
          <w:sz w:val="28"/>
          <w:szCs w:val="28"/>
          <w:highlight w:val="none"/>
        </w:rPr>
      </w:pPr>
      <w:bookmarkStart w:id="50" w:name="_Toc26025"/>
      <w:r>
        <w:rPr>
          <w:rFonts w:hint="eastAsia" w:ascii="黑体" w:hAnsi="黑体" w:eastAsia="黑体" w:cs="黑体"/>
          <w:b/>
          <w:bCs/>
          <w:color w:val="auto"/>
          <w:sz w:val="32"/>
          <w:szCs w:val="32"/>
          <w:highlight w:val="none"/>
        </w:rPr>
        <w:t>三、绩效评价结论</w:t>
      </w:r>
      <w:bookmarkEnd w:id="50"/>
    </w:p>
    <w:p w14:paraId="1E2A0E9F">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outlineLvl w:val="1"/>
        <w:rPr>
          <w:rFonts w:hint="eastAsia" w:asciiTheme="minorEastAsia" w:hAnsiTheme="minorEastAsia" w:eastAsiaTheme="minorEastAsia" w:cstheme="minorEastAsia"/>
          <w:b/>
          <w:bCs/>
          <w:color w:val="auto"/>
          <w:sz w:val="28"/>
          <w:szCs w:val="28"/>
          <w:highlight w:val="none"/>
        </w:rPr>
      </w:pPr>
      <w:bookmarkStart w:id="51" w:name="_Toc25316"/>
      <w:r>
        <w:rPr>
          <w:rFonts w:hint="eastAsia" w:asciiTheme="minorEastAsia" w:hAnsiTheme="minorEastAsia" w:eastAsiaTheme="minorEastAsia" w:cstheme="minorEastAsia"/>
          <w:b/>
          <w:bCs/>
          <w:color w:val="auto"/>
          <w:sz w:val="28"/>
          <w:szCs w:val="28"/>
          <w:highlight w:val="none"/>
        </w:rPr>
        <w:t>（一）绩效评价综合结论</w:t>
      </w:r>
      <w:bookmarkEnd w:id="51"/>
    </w:p>
    <w:p w14:paraId="59516848">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bookmarkStart w:id="52" w:name="_Hlk525314439"/>
      <w:r>
        <w:rPr>
          <w:rFonts w:hint="eastAsia" w:asciiTheme="minorEastAsia" w:hAnsiTheme="minorEastAsia" w:eastAsiaTheme="minorEastAsia" w:cstheme="minorEastAsia"/>
          <w:color w:val="auto"/>
          <w:sz w:val="28"/>
          <w:szCs w:val="28"/>
          <w:highlight w:val="none"/>
        </w:rPr>
        <w:t>晋宁滇池流域重点水域渔船、网具回收处置经费项目农业产业结构调整项目绩效评价得分84.00分，评价等级为“良”。一级指标具体得分情况详见下表：</w:t>
      </w:r>
    </w:p>
    <w:p w14:paraId="34502308">
      <w:pPr>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表8：绩效评价得分情况表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7EF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8" w:hRule="atLeast"/>
          <w:tblHeader/>
          <w:jc w:val="center"/>
        </w:trPr>
        <w:tc>
          <w:tcPr>
            <w:tcW w:w="2212" w:type="dxa"/>
            <w:tcBorders>
              <w:top w:val="single" w:color="auto" w:sz="4" w:space="0"/>
            </w:tcBorders>
            <w:vAlign w:val="center"/>
          </w:tcPr>
          <w:p w14:paraId="6D24CBA7">
            <w:pPr>
              <w:snapToGrid w:val="0"/>
              <w:spacing w:line="570" w:lineRule="exact"/>
              <w:jc w:val="center"/>
              <w:rPr>
                <w:rFonts w:hint="eastAsia" w:asciiTheme="minorEastAsia" w:hAnsiTheme="minorEastAsia" w:eastAsiaTheme="minorEastAsia" w:cstheme="minorEastAsia"/>
                <w:b/>
                <w:bCs/>
                <w:color w:val="auto"/>
                <w:spacing w:val="6"/>
                <w:sz w:val="18"/>
                <w:szCs w:val="18"/>
                <w:highlight w:val="none"/>
              </w:rPr>
            </w:pPr>
            <w:r>
              <w:rPr>
                <w:rFonts w:hint="eastAsia" w:asciiTheme="minorEastAsia" w:hAnsiTheme="minorEastAsia" w:eastAsiaTheme="minorEastAsia" w:cstheme="minorEastAsia"/>
                <w:b/>
                <w:bCs/>
                <w:color w:val="auto"/>
                <w:spacing w:val="6"/>
                <w:sz w:val="18"/>
                <w:szCs w:val="18"/>
                <w:highlight w:val="none"/>
              </w:rPr>
              <w:t>一级指标</w:t>
            </w:r>
          </w:p>
        </w:tc>
        <w:tc>
          <w:tcPr>
            <w:tcW w:w="2211" w:type="dxa"/>
            <w:tcBorders>
              <w:top w:val="single" w:color="auto" w:sz="4" w:space="0"/>
            </w:tcBorders>
            <w:vAlign w:val="center"/>
          </w:tcPr>
          <w:p w14:paraId="7E1CFE98">
            <w:pPr>
              <w:snapToGrid w:val="0"/>
              <w:spacing w:line="570" w:lineRule="exact"/>
              <w:jc w:val="center"/>
              <w:rPr>
                <w:rFonts w:hint="eastAsia" w:asciiTheme="minorEastAsia" w:hAnsiTheme="minorEastAsia" w:eastAsiaTheme="minorEastAsia" w:cstheme="minorEastAsia"/>
                <w:b/>
                <w:bCs/>
                <w:color w:val="auto"/>
                <w:spacing w:val="6"/>
                <w:sz w:val="18"/>
                <w:szCs w:val="18"/>
                <w:highlight w:val="none"/>
              </w:rPr>
            </w:pPr>
            <w:r>
              <w:rPr>
                <w:rFonts w:hint="eastAsia" w:asciiTheme="minorEastAsia" w:hAnsiTheme="minorEastAsia" w:eastAsiaTheme="minorEastAsia" w:cstheme="minorEastAsia"/>
                <w:b/>
                <w:bCs/>
                <w:color w:val="auto"/>
                <w:spacing w:val="6"/>
                <w:sz w:val="18"/>
                <w:szCs w:val="18"/>
                <w:highlight w:val="none"/>
              </w:rPr>
              <w:t>指标分值</w:t>
            </w:r>
          </w:p>
        </w:tc>
        <w:tc>
          <w:tcPr>
            <w:tcW w:w="2211" w:type="dxa"/>
            <w:tcBorders>
              <w:top w:val="single" w:color="auto" w:sz="4" w:space="0"/>
            </w:tcBorders>
            <w:vAlign w:val="center"/>
          </w:tcPr>
          <w:p w14:paraId="7C93BD85">
            <w:pPr>
              <w:snapToGrid w:val="0"/>
              <w:spacing w:line="570" w:lineRule="exact"/>
              <w:jc w:val="center"/>
              <w:rPr>
                <w:rFonts w:hint="eastAsia" w:asciiTheme="minorEastAsia" w:hAnsiTheme="minorEastAsia" w:eastAsiaTheme="minorEastAsia" w:cstheme="minorEastAsia"/>
                <w:b/>
                <w:bCs/>
                <w:color w:val="auto"/>
                <w:spacing w:val="6"/>
                <w:sz w:val="18"/>
                <w:szCs w:val="18"/>
                <w:highlight w:val="none"/>
              </w:rPr>
            </w:pPr>
            <w:r>
              <w:rPr>
                <w:rFonts w:hint="eastAsia" w:asciiTheme="minorEastAsia" w:hAnsiTheme="minorEastAsia" w:eastAsiaTheme="minorEastAsia" w:cstheme="minorEastAsia"/>
                <w:b/>
                <w:bCs/>
                <w:color w:val="auto"/>
                <w:spacing w:val="6"/>
                <w:sz w:val="18"/>
                <w:szCs w:val="18"/>
                <w:highlight w:val="none"/>
              </w:rPr>
              <w:t>评价得分</w:t>
            </w:r>
          </w:p>
        </w:tc>
        <w:tc>
          <w:tcPr>
            <w:tcW w:w="2211" w:type="dxa"/>
            <w:tcBorders>
              <w:top w:val="single" w:color="auto" w:sz="4" w:space="0"/>
            </w:tcBorders>
            <w:vAlign w:val="center"/>
          </w:tcPr>
          <w:p w14:paraId="652D15EF">
            <w:pPr>
              <w:snapToGrid w:val="0"/>
              <w:spacing w:line="570" w:lineRule="exact"/>
              <w:jc w:val="center"/>
              <w:rPr>
                <w:rFonts w:hint="eastAsia" w:asciiTheme="minorEastAsia" w:hAnsiTheme="minorEastAsia" w:eastAsiaTheme="minorEastAsia" w:cstheme="minorEastAsia"/>
                <w:b/>
                <w:bCs/>
                <w:color w:val="auto"/>
                <w:spacing w:val="6"/>
                <w:sz w:val="18"/>
                <w:szCs w:val="18"/>
                <w:highlight w:val="none"/>
              </w:rPr>
            </w:pPr>
            <w:r>
              <w:rPr>
                <w:rFonts w:hint="eastAsia" w:asciiTheme="minorEastAsia" w:hAnsiTheme="minorEastAsia" w:eastAsiaTheme="minorEastAsia" w:cstheme="minorEastAsia"/>
                <w:b/>
                <w:bCs/>
                <w:color w:val="auto"/>
                <w:spacing w:val="6"/>
                <w:sz w:val="18"/>
                <w:szCs w:val="18"/>
                <w:highlight w:val="none"/>
              </w:rPr>
              <w:t>得分率</w:t>
            </w:r>
          </w:p>
        </w:tc>
      </w:tr>
      <w:tr w14:paraId="0AA0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6" w:hRule="atLeast"/>
          <w:jc w:val="center"/>
        </w:trPr>
        <w:tc>
          <w:tcPr>
            <w:tcW w:w="2212" w:type="dxa"/>
            <w:vAlign w:val="center"/>
          </w:tcPr>
          <w:p w14:paraId="35605EFA">
            <w:pPr>
              <w:snapToGrid w:val="0"/>
              <w:spacing w:line="570" w:lineRule="exact"/>
              <w:jc w:val="center"/>
              <w:rPr>
                <w:rFonts w:hint="eastAsia" w:asciiTheme="minorEastAsia" w:hAnsiTheme="minorEastAsia" w:eastAsiaTheme="minorEastAsia" w:cstheme="minorEastAsia"/>
                <w:bCs/>
                <w:color w:val="auto"/>
                <w:spacing w:val="6"/>
                <w:sz w:val="18"/>
                <w:szCs w:val="18"/>
                <w:highlight w:val="none"/>
              </w:rPr>
            </w:pPr>
            <w:r>
              <w:rPr>
                <w:rFonts w:hint="eastAsia" w:asciiTheme="minorEastAsia" w:hAnsiTheme="minorEastAsia" w:eastAsiaTheme="minorEastAsia" w:cstheme="minorEastAsia"/>
                <w:bCs/>
                <w:color w:val="auto"/>
                <w:spacing w:val="6"/>
                <w:sz w:val="18"/>
                <w:szCs w:val="18"/>
                <w:highlight w:val="none"/>
              </w:rPr>
              <w:t>决策</w:t>
            </w:r>
          </w:p>
        </w:tc>
        <w:tc>
          <w:tcPr>
            <w:tcW w:w="2211" w:type="dxa"/>
            <w:vAlign w:val="center"/>
          </w:tcPr>
          <w:p w14:paraId="4B966CA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20</w:t>
            </w:r>
          </w:p>
        </w:tc>
        <w:tc>
          <w:tcPr>
            <w:tcW w:w="2211" w:type="dxa"/>
            <w:vAlign w:val="center"/>
          </w:tcPr>
          <w:p w14:paraId="20082D2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18</w:t>
            </w:r>
          </w:p>
        </w:tc>
        <w:tc>
          <w:tcPr>
            <w:tcW w:w="2211" w:type="dxa"/>
            <w:vAlign w:val="center"/>
          </w:tcPr>
          <w:p w14:paraId="07E4541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90.00%</w:t>
            </w:r>
          </w:p>
        </w:tc>
      </w:tr>
      <w:tr w14:paraId="523E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atLeast"/>
          <w:jc w:val="center"/>
        </w:trPr>
        <w:tc>
          <w:tcPr>
            <w:tcW w:w="2212" w:type="dxa"/>
            <w:vAlign w:val="center"/>
          </w:tcPr>
          <w:p w14:paraId="6D0F3803">
            <w:pPr>
              <w:snapToGrid w:val="0"/>
              <w:spacing w:line="570" w:lineRule="exact"/>
              <w:jc w:val="center"/>
              <w:rPr>
                <w:rFonts w:hint="eastAsia" w:asciiTheme="minorEastAsia" w:hAnsiTheme="minorEastAsia" w:eastAsiaTheme="minorEastAsia" w:cstheme="minorEastAsia"/>
                <w:bCs/>
                <w:color w:val="auto"/>
                <w:spacing w:val="6"/>
                <w:sz w:val="18"/>
                <w:szCs w:val="18"/>
                <w:highlight w:val="none"/>
              </w:rPr>
            </w:pPr>
            <w:r>
              <w:rPr>
                <w:rFonts w:hint="eastAsia" w:asciiTheme="minorEastAsia" w:hAnsiTheme="minorEastAsia" w:eastAsiaTheme="minorEastAsia" w:cstheme="minorEastAsia"/>
                <w:bCs/>
                <w:color w:val="auto"/>
                <w:spacing w:val="6"/>
                <w:sz w:val="18"/>
                <w:szCs w:val="18"/>
                <w:highlight w:val="none"/>
              </w:rPr>
              <w:t>过程（管理）</w:t>
            </w:r>
          </w:p>
        </w:tc>
        <w:tc>
          <w:tcPr>
            <w:tcW w:w="2211" w:type="dxa"/>
            <w:vAlign w:val="center"/>
          </w:tcPr>
          <w:p w14:paraId="6EF212B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20</w:t>
            </w:r>
          </w:p>
        </w:tc>
        <w:tc>
          <w:tcPr>
            <w:tcW w:w="2211" w:type="dxa"/>
            <w:vAlign w:val="center"/>
          </w:tcPr>
          <w:p w14:paraId="0428E6B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16</w:t>
            </w:r>
          </w:p>
        </w:tc>
        <w:tc>
          <w:tcPr>
            <w:tcW w:w="2211" w:type="dxa"/>
            <w:vAlign w:val="center"/>
          </w:tcPr>
          <w:p w14:paraId="54B5F21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80.00%</w:t>
            </w:r>
          </w:p>
        </w:tc>
      </w:tr>
      <w:tr w14:paraId="2C4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2" w:hRule="atLeast"/>
          <w:jc w:val="center"/>
        </w:trPr>
        <w:tc>
          <w:tcPr>
            <w:tcW w:w="2212" w:type="dxa"/>
            <w:vAlign w:val="center"/>
          </w:tcPr>
          <w:p w14:paraId="7477F1AB">
            <w:pPr>
              <w:snapToGrid w:val="0"/>
              <w:spacing w:line="570" w:lineRule="exact"/>
              <w:jc w:val="center"/>
              <w:rPr>
                <w:rFonts w:hint="eastAsia" w:asciiTheme="minorEastAsia" w:hAnsiTheme="minorEastAsia" w:eastAsiaTheme="minorEastAsia" w:cstheme="minorEastAsia"/>
                <w:bCs/>
                <w:color w:val="auto"/>
                <w:spacing w:val="6"/>
                <w:sz w:val="18"/>
                <w:szCs w:val="18"/>
                <w:highlight w:val="none"/>
              </w:rPr>
            </w:pPr>
            <w:r>
              <w:rPr>
                <w:rFonts w:hint="eastAsia" w:asciiTheme="minorEastAsia" w:hAnsiTheme="minorEastAsia" w:eastAsiaTheme="minorEastAsia" w:cstheme="minorEastAsia"/>
                <w:bCs/>
                <w:color w:val="auto"/>
                <w:spacing w:val="6"/>
                <w:sz w:val="18"/>
                <w:szCs w:val="18"/>
                <w:highlight w:val="none"/>
              </w:rPr>
              <w:t>产出</w:t>
            </w:r>
          </w:p>
        </w:tc>
        <w:tc>
          <w:tcPr>
            <w:tcW w:w="2211" w:type="dxa"/>
            <w:vAlign w:val="center"/>
          </w:tcPr>
          <w:p w14:paraId="24E2B7E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30</w:t>
            </w:r>
          </w:p>
        </w:tc>
        <w:tc>
          <w:tcPr>
            <w:tcW w:w="2211" w:type="dxa"/>
            <w:vAlign w:val="center"/>
          </w:tcPr>
          <w:p w14:paraId="6681D3F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29</w:t>
            </w:r>
          </w:p>
        </w:tc>
        <w:tc>
          <w:tcPr>
            <w:tcW w:w="2211" w:type="dxa"/>
            <w:vAlign w:val="center"/>
          </w:tcPr>
          <w:p w14:paraId="4BAD98CF">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96.67%</w:t>
            </w:r>
          </w:p>
        </w:tc>
      </w:tr>
      <w:tr w14:paraId="797A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212" w:type="dxa"/>
            <w:vAlign w:val="center"/>
          </w:tcPr>
          <w:p w14:paraId="1AF8C2DD">
            <w:pPr>
              <w:snapToGrid w:val="0"/>
              <w:spacing w:line="570" w:lineRule="exact"/>
              <w:jc w:val="center"/>
              <w:rPr>
                <w:rFonts w:hint="eastAsia" w:asciiTheme="minorEastAsia" w:hAnsiTheme="minorEastAsia" w:eastAsiaTheme="minorEastAsia" w:cstheme="minorEastAsia"/>
                <w:bCs/>
                <w:color w:val="auto"/>
                <w:spacing w:val="6"/>
                <w:sz w:val="18"/>
                <w:szCs w:val="18"/>
                <w:highlight w:val="none"/>
              </w:rPr>
            </w:pPr>
            <w:r>
              <w:rPr>
                <w:rFonts w:hint="eastAsia" w:asciiTheme="minorEastAsia" w:hAnsiTheme="minorEastAsia" w:eastAsiaTheme="minorEastAsia" w:cstheme="minorEastAsia"/>
                <w:bCs/>
                <w:color w:val="auto"/>
                <w:spacing w:val="6"/>
                <w:sz w:val="18"/>
                <w:szCs w:val="18"/>
                <w:highlight w:val="none"/>
              </w:rPr>
              <w:t>效益</w:t>
            </w:r>
          </w:p>
        </w:tc>
        <w:tc>
          <w:tcPr>
            <w:tcW w:w="2211" w:type="dxa"/>
            <w:vAlign w:val="center"/>
          </w:tcPr>
          <w:p w14:paraId="4354046F">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30</w:t>
            </w:r>
          </w:p>
        </w:tc>
        <w:tc>
          <w:tcPr>
            <w:tcW w:w="2211" w:type="dxa"/>
            <w:vAlign w:val="center"/>
          </w:tcPr>
          <w:p w14:paraId="0A484A0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21</w:t>
            </w:r>
          </w:p>
        </w:tc>
        <w:tc>
          <w:tcPr>
            <w:tcW w:w="2211" w:type="dxa"/>
            <w:vAlign w:val="center"/>
          </w:tcPr>
          <w:p w14:paraId="564AEE9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70.00%</w:t>
            </w:r>
          </w:p>
        </w:tc>
      </w:tr>
      <w:tr w14:paraId="436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5" w:hRule="atLeast"/>
          <w:jc w:val="center"/>
        </w:trPr>
        <w:tc>
          <w:tcPr>
            <w:tcW w:w="2212" w:type="dxa"/>
            <w:vAlign w:val="center"/>
          </w:tcPr>
          <w:p w14:paraId="7BE41E53">
            <w:pPr>
              <w:snapToGrid w:val="0"/>
              <w:spacing w:line="570" w:lineRule="exact"/>
              <w:jc w:val="center"/>
              <w:rPr>
                <w:rFonts w:hint="eastAsia" w:asciiTheme="minorEastAsia" w:hAnsiTheme="minorEastAsia" w:eastAsiaTheme="minorEastAsia" w:cstheme="minorEastAsia"/>
                <w:b/>
                <w:bCs/>
                <w:color w:val="auto"/>
                <w:spacing w:val="6"/>
                <w:sz w:val="18"/>
                <w:szCs w:val="18"/>
                <w:highlight w:val="none"/>
              </w:rPr>
            </w:pPr>
            <w:r>
              <w:rPr>
                <w:rFonts w:hint="eastAsia" w:asciiTheme="minorEastAsia" w:hAnsiTheme="minorEastAsia" w:eastAsiaTheme="minorEastAsia" w:cstheme="minorEastAsia"/>
                <w:b/>
                <w:bCs/>
                <w:color w:val="auto"/>
                <w:spacing w:val="6"/>
                <w:sz w:val="18"/>
                <w:szCs w:val="18"/>
                <w:highlight w:val="none"/>
              </w:rPr>
              <w:t>合 计</w:t>
            </w:r>
          </w:p>
        </w:tc>
        <w:tc>
          <w:tcPr>
            <w:tcW w:w="2211" w:type="dxa"/>
            <w:vAlign w:val="center"/>
          </w:tcPr>
          <w:p w14:paraId="45AD8FDA">
            <w:pPr>
              <w:snapToGrid w:val="0"/>
              <w:spacing w:line="570" w:lineRule="exact"/>
              <w:jc w:val="center"/>
              <w:rPr>
                <w:rFonts w:hint="eastAsia" w:ascii="Arial Narrow" w:hAnsi="Arial Narrow" w:cs="Arial Narrow" w:eastAsiaTheme="minorEastAsia"/>
                <w:b/>
                <w:bCs/>
                <w:color w:val="auto"/>
                <w:spacing w:val="6"/>
                <w:sz w:val="18"/>
                <w:szCs w:val="18"/>
                <w:highlight w:val="none"/>
              </w:rPr>
            </w:pPr>
            <w:r>
              <w:rPr>
                <w:rFonts w:hint="eastAsia" w:ascii="Arial Narrow" w:hAnsi="Arial Narrow" w:cs="Arial Narrow" w:eastAsiaTheme="minorEastAsia"/>
                <w:b/>
                <w:bCs/>
                <w:color w:val="auto"/>
                <w:spacing w:val="6"/>
                <w:sz w:val="18"/>
                <w:szCs w:val="18"/>
                <w:highlight w:val="none"/>
              </w:rPr>
              <w:t>100</w:t>
            </w:r>
          </w:p>
        </w:tc>
        <w:tc>
          <w:tcPr>
            <w:tcW w:w="2211" w:type="dxa"/>
            <w:vAlign w:val="center"/>
          </w:tcPr>
          <w:p w14:paraId="5BBFE484">
            <w:pPr>
              <w:snapToGrid w:val="0"/>
              <w:spacing w:line="570" w:lineRule="exact"/>
              <w:jc w:val="center"/>
              <w:rPr>
                <w:rFonts w:hint="eastAsia" w:ascii="Arial Narrow" w:hAnsi="Arial Narrow" w:cs="Arial Narrow" w:eastAsiaTheme="minorEastAsia"/>
                <w:b/>
                <w:bCs/>
                <w:color w:val="auto"/>
                <w:spacing w:val="6"/>
                <w:sz w:val="18"/>
                <w:szCs w:val="18"/>
                <w:highlight w:val="none"/>
              </w:rPr>
            </w:pPr>
            <w:r>
              <w:rPr>
                <w:rFonts w:hint="eastAsia" w:ascii="Arial Narrow" w:hAnsi="Arial Narrow" w:cs="Arial Narrow" w:eastAsiaTheme="minorEastAsia"/>
                <w:b/>
                <w:bCs/>
                <w:color w:val="auto"/>
                <w:spacing w:val="6"/>
                <w:sz w:val="18"/>
                <w:szCs w:val="18"/>
                <w:highlight w:val="none"/>
              </w:rPr>
              <w:t>84.00</w:t>
            </w:r>
          </w:p>
        </w:tc>
        <w:tc>
          <w:tcPr>
            <w:tcW w:w="2211" w:type="dxa"/>
            <w:vAlign w:val="center"/>
          </w:tcPr>
          <w:p w14:paraId="66B18B02">
            <w:pPr>
              <w:snapToGrid w:val="0"/>
              <w:spacing w:line="570" w:lineRule="exact"/>
              <w:jc w:val="center"/>
              <w:rPr>
                <w:rFonts w:hint="eastAsia" w:ascii="Arial Narrow" w:hAnsi="Arial Narrow" w:cs="Arial Narrow" w:eastAsiaTheme="minorEastAsia"/>
                <w:b/>
                <w:bCs/>
                <w:color w:val="auto"/>
                <w:spacing w:val="6"/>
                <w:sz w:val="18"/>
                <w:szCs w:val="18"/>
                <w:highlight w:val="none"/>
              </w:rPr>
            </w:pPr>
            <w:r>
              <w:rPr>
                <w:rFonts w:hint="eastAsia" w:ascii="Arial Narrow" w:hAnsi="Arial Narrow" w:cs="Arial Narrow" w:eastAsiaTheme="minorEastAsia"/>
                <w:b/>
                <w:bCs/>
                <w:color w:val="auto"/>
                <w:spacing w:val="6"/>
                <w:sz w:val="18"/>
                <w:szCs w:val="18"/>
                <w:highlight w:val="none"/>
              </w:rPr>
              <w:t>84.00%</w:t>
            </w:r>
          </w:p>
        </w:tc>
      </w:tr>
    </w:tbl>
    <w:p w14:paraId="0A84E2CE">
      <w:pPr>
        <w:keepNext w:val="0"/>
        <w:keepLines w:val="0"/>
        <w:pageBreakBefore w:val="0"/>
        <w:widowControl w:val="0"/>
        <w:kinsoku/>
        <w:wordWrap/>
        <w:overflowPunct w:val="0"/>
        <w:topLinePunct w:val="0"/>
        <w:autoSpaceDE/>
        <w:autoSpaceDN/>
        <w:bidi w:val="0"/>
        <w:adjustRightInd w:val="0"/>
        <w:snapToGrid w:val="0"/>
        <w:spacing w:line="560" w:lineRule="exact"/>
        <w:ind w:firstLine="629"/>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从项目总体目标实现情况看，已完成对全区639户（晋城街道364户、昆阳街道101户、上蒜镇174户）《内陆渔业捕捞许可证》、渔船、网具登记、评估、台账整理及补偿、处置工作。</w:t>
      </w:r>
    </w:p>
    <w:p w14:paraId="00F1C42A">
      <w:pPr>
        <w:keepNext w:val="0"/>
        <w:keepLines w:val="0"/>
        <w:pageBreakBefore w:val="0"/>
        <w:widowControl w:val="0"/>
        <w:kinsoku/>
        <w:wordWrap/>
        <w:overflowPunct w:val="0"/>
        <w:topLinePunct w:val="0"/>
        <w:autoSpaceDE/>
        <w:autoSpaceDN/>
        <w:bidi w:val="0"/>
        <w:adjustRightInd w:val="0"/>
        <w:snapToGrid w:val="0"/>
        <w:spacing w:line="560" w:lineRule="exact"/>
        <w:ind w:firstLine="629"/>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昆明市晋宁区水务局于2025年3月开始渔船销毁处置工作，共回收处置渔船545条（其中铁船542条，木船3条），其中乡镇（街道）申请保留渔船193条（昆阳街道40条，上蒜镇108条，晋城街道45条），剩余船只均全部销毁，共计销毁处置铁船349条，木船3条，渔船销毁处置工作已于2025年5月份全部完成。</w:t>
      </w:r>
    </w:p>
    <w:p w14:paraId="1CEB766E">
      <w:pPr>
        <w:keepNext w:val="0"/>
        <w:keepLines w:val="0"/>
        <w:pageBreakBefore w:val="0"/>
        <w:widowControl w:val="0"/>
        <w:kinsoku/>
        <w:wordWrap/>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从管理层面看，项目资金使用及管理执行项目单位内部管理办法相关规定，项目单位有效执行了所属单位的内控管理制度和财务管理制度。</w:t>
      </w:r>
    </w:p>
    <w:p w14:paraId="66787B7E">
      <w:pPr>
        <w:keepNext w:val="0"/>
        <w:keepLines w:val="0"/>
        <w:pageBreakBefore w:val="0"/>
        <w:widowControl w:val="0"/>
        <w:kinsoku/>
        <w:wordWrap/>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从产出及效益情况看，项目按实施方案完成了晋宁滇池流域重点水域渔船、网具回收处置工作，评审过程中进行了问卷调查和满意度调查，受益对象对项目实施的满意度93.63%。</w:t>
      </w:r>
    </w:p>
    <w:p w14:paraId="0DA4E5C8">
      <w:pPr>
        <w:keepNext w:val="0"/>
        <w:keepLines w:val="0"/>
        <w:pageBreakBefore w:val="0"/>
        <w:widowControl w:val="0"/>
        <w:kinsoku/>
        <w:wordWrap/>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通过问卷调查，项目的实施在生态效益方面，有效保护滇池流域重点水域水生生物资源和水域生态环境；社会效益目标实现方面，项目实施一定程度上化解了滇池“十年禁渔”后出现的社会稳定风险，对项目实施的工作人员的服务态度、工作效率也相对满意；一定程度上改善城市环境，促进经济发展，带动一定的经济收益。</w:t>
      </w:r>
    </w:p>
    <w:bookmarkEnd w:id="52"/>
    <w:p w14:paraId="138E0258">
      <w:pPr>
        <w:keepNext w:val="0"/>
        <w:keepLines w:val="0"/>
        <w:pageBreakBefore w:val="0"/>
        <w:widowControl w:val="0"/>
        <w:kinsoku/>
        <w:wordWrap/>
        <w:topLinePunct w:val="0"/>
        <w:autoSpaceDE/>
        <w:autoSpaceDN/>
        <w:bidi w:val="0"/>
        <w:adjustRightInd w:val="0"/>
        <w:snapToGrid w:val="0"/>
        <w:spacing w:line="560" w:lineRule="exact"/>
        <w:ind w:firstLine="590" w:firstLineChars="200"/>
        <w:textAlignment w:val="auto"/>
        <w:outlineLvl w:val="1"/>
        <w:rPr>
          <w:rFonts w:hint="eastAsia" w:asciiTheme="minorEastAsia" w:hAnsiTheme="minorEastAsia" w:eastAsiaTheme="minorEastAsia" w:cstheme="minorEastAsia"/>
          <w:b/>
          <w:bCs/>
          <w:color w:val="auto"/>
          <w:sz w:val="28"/>
          <w:szCs w:val="28"/>
          <w:highlight w:val="none"/>
        </w:rPr>
      </w:pPr>
      <w:bookmarkStart w:id="53" w:name="_Toc26260"/>
      <w:r>
        <w:rPr>
          <w:rFonts w:hint="eastAsia" w:asciiTheme="minorEastAsia" w:hAnsiTheme="minorEastAsia" w:eastAsiaTheme="minorEastAsia" w:cstheme="minorEastAsia"/>
          <w:b/>
          <w:bCs/>
          <w:color w:val="auto"/>
          <w:sz w:val="28"/>
          <w:szCs w:val="28"/>
          <w:highlight w:val="none"/>
        </w:rPr>
        <w:t>（二）绩效目标实现情况</w:t>
      </w:r>
      <w:bookmarkEnd w:id="53"/>
    </w:p>
    <w:p w14:paraId="664C40BF">
      <w:pPr>
        <w:keepNext w:val="0"/>
        <w:keepLines w:val="0"/>
        <w:pageBreakBefore w:val="0"/>
        <w:widowControl w:val="0"/>
        <w:kinsoku/>
        <w:wordWrap/>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bookmarkStart w:id="54" w:name="_Hlk525314457"/>
      <w:r>
        <w:rPr>
          <w:rFonts w:hint="eastAsia" w:asciiTheme="minorEastAsia" w:hAnsiTheme="minorEastAsia" w:eastAsiaTheme="minorEastAsia" w:cstheme="minorEastAsia"/>
          <w:color w:val="auto"/>
          <w:sz w:val="28"/>
          <w:szCs w:val="28"/>
          <w:highlight w:val="none"/>
        </w:rPr>
        <w:t>根据评价情况，晋宁滇池流域重点水域渔船、网具回收处置经费项目部分绩效目标未全部实现，15项具体绩效指标有13项实现预期目标,完成比例为86.67%；2项指标未完成，未实现比例为13.33%。各指标完成情况详见下表：</w:t>
      </w:r>
    </w:p>
    <w:p w14:paraId="3C5E400D">
      <w:pPr>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表9：绩效指标完成情况表</w:t>
      </w:r>
    </w:p>
    <w:bookmarkEnd w:id="54"/>
    <w:tbl>
      <w:tblPr>
        <w:tblStyle w:val="1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411"/>
        <w:gridCol w:w="2274"/>
        <w:gridCol w:w="709"/>
        <w:gridCol w:w="3402"/>
      </w:tblGrid>
      <w:tr w14:paraId="552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46" w:type="dxa"/>
            <w:shd w:val="clear" w:color="auto" w:fill="auto"/>
            <w:vAlign w:val="center"/>
          </w:tcPr>
          <w:p w14:paraId="7B5895E1">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一级指标</w:t>
            </w:r>
          </w:p>
        </w:tc>
        <w:tc>
          <w:tcPr>
            <w:tcW w:w="1134" w:type="dxa"/>
            <w:shd w:val="clear" w:color="auto" w:fill="auto"/>
            <w:vAlign w:val="center"/>
          </w:tcPr>
          <w:p w14:paraId="1A67D7CD">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二级指标</w:t>
            </w:r>
          </w:p>
        </w:tc>
        <w:tc>
          <w:tcPr>
            <w:tcW w:w="1411" w:type="dxa"/>
            <w:shd w:val="clear" w:color="auto" w:fill="auto"/>
            <w:vAlign w:val="center"/>
          </w:tcPr>
          <w:p w14:paraId="1B276311">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三级指标</w:t>
            </w:r>
          </w:p>
        </w:tc>
        <w:tc>
          <w:tcPr>
            <w:tcW w:w="2274" w:type="dxa"/>
            <w:shd w:val="clear" w:color="auto" w:fill="auto"/>
            <w:vAlign w:val="center"/>
          </w:tcPr>
          <w:p w14:paraId="61F67E37">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指标值</w:t>
            </w:r>
          </w:p>
        </w:tc>
        <w:tc>
          <w:tcPr>
            <w:tcW w:w="709" w:type="dxa"/>
            <w:shd w:val="clear" w:color="auto" w:fill="auto"/>
            <w:vAlign w:val="center"/>
          </w:tcPr>
          <w:p w14:paraId="0250EC4C">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指标实现情况</w:t>
            </w:r>
          </w:p>
        </w:tc>
        <w:tc>
          <w:tcPr>
            <w:tcW w:w="3402" w:type="dxa"/>
            <w:shd w:val="clear" w:color="auto" w:fill="auto"/>
            <w:vAlign w:val="center"/>
          </w:tcPr>
          <w:p w14:paraId="5FACBFF9">
            <w:pPr>
              <w:widowControl/>
              <w:adjustRightInd w:val="0"/>
              <w:snapToGrid w:val="0"/>
              <w:spacing w:line="24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完成情况说明</w:t>
            </w:r>
          </w:p>
        </w:tc>
      </w:tr>
      <w:tr w14:paraId="0DFE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46" w:type="dxa"/>
            <w:vMerge w:val="restart"/>
            <w:tcBorders>
              <w:top w:val="nil"/>
            </w:tcBorders>
            <w:vAlign w:val="center"/>
          </w:tcPr>
          <w:p w14:paraId="5C64E0E6">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556CD24E">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0518A92B">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704F015D">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3481708D">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2A211A73">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产出</w:t>
            </w:r>
          </w:p>
          <w:p w14:paraId="6455A344">
            <w:pPr>
              <w:adjustRightInd w:val="0"/>
              <w:snapToGrid w:val="0"/>
              <w:spacing w:line="240" w:lineRule="exac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指标</w:t>
            </w:r>
          </w:p>
          <w:p w14:paraId="768C033D">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406EDD96">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18A13A55">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119D8FCD">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54A515D5">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162CB6CE">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0722605B">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33CAB966">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74E7D800">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p w14:paraId="46424A92">
            <w:pPr>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p>
        </w:tc>
        <w:tc>
          <w:tcPr>
            <w:tcW w:w="1134" w:type="dxa"/>
            <w:vMerge w:val="restart"/>
            <w:vAlign w:val="center"/>
          </w:tcPr>
          <w:p w14:paraId="5CAE7305">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6251BAAD">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3CDB8E44">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78ACFF95">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2F943EC8">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46D5B56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2FCDA2EA">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31B37BB4">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41CB353C">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0047BBA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597C6B38">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31EDBD17">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71E8C1CE">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p w14:paraId="4889967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数量指标</w:t>
            </w:r>
          </w:p>
        </w:tc>
        <w:tc>
          <w:tcPr>
            <w:tcW w:w="1411" w:type="dxa"/>
            <w:shd w:val="clear" w:color="auto" w:fill="auto"/>
            <w:vAlign w:val="center"/>
          </w:tcPr>
          <w:p w14:paraId="7D38F829">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滇池流域重点水域渔船、网具回收处置补偿及奖励资金公示规范性</w:t>
            </w:r>
          </w:p>
        </w:tc>
        <w:tc>
          <w:tcPr>
            <w:tcW w:w="2274" w:type="dxa"/>
            <w:shd w:val="clear" w:color="auto" w:fill="auto"/>
            <w:vAlign w:val="center"/>
          </w:tcPr>
          <w:p w14:paraId="7779BF11">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考察渔船、网具回收处置补偿及奖励资金是否进行公示。</w:t>
            </w:r>
          </w:p>
        </w:tc>
        <w:tc>
          <w:tcPr>
            <w:tcW w:w="709" w:type="dxa"/>
            <w:shd w:val="clear" w:color="auto" w:fill="auto"/>
            <w:vAlign w:val="center"/>
          </w:tcPr>
          <w:p w14:paraId="19D8C33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restart"/>
            <w:shd w:val="clear" w:color="auto" w:fill="auto"/>
            <w:vAlign w:val="center"/>
          </w:tcPr>
          <w:p w14:paraId="2001336D">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全区639户（晋城街道364户、昆阳街道101户、上蒜镇175户）证照、渔船、网具开展登记、评估、台账整理等工作；经核算，我区共有各类渔船545条、大鱼网579949米、其它鱼网1858张，共兑付补偿及奖励资金635.40万元。</w:t>
            </w:r>
          </w:p>
        </w:tc>
      </w:tr>
      <w:tr w14:paraId="7EAE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46" w:type="dxa"/>
            <w:vMerge w:val="continue"/>
            <w:vAlign w:val="center"/>
          </w:tcPr>
          <w:p w14:paraId="55720698">
            <w:pPr>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vAlign w:val="center"/>
          </w:tcPr>
          <w:p w14:paraId="1008225C">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1993FF47">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回收的渔船信息登记、照片相符的渔船；回收网具规范性</w:t>
            </w:r>
          </w:p>
        </w:tc>
        <w:tc>
          <w:tcPr>
            <w:tcW w:w="2274" w:type="dxa"/>
            <w:shd w:val="clear" w:color="auto" w:fill="auto"/>
            <w:vAlign w:val="center"/>
          </w:tcPr>
          <w:p w14:paraId="4A5F6AE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考察回收的渔船是否为经“三证合一”后的滇池《内陆渔业捕捞许可证》登记信息、照片相符的渔船。</w:t>
            </w:r>
          </w:p>
        </w:tc>
        <w:tc>
          <w:tcPr>
            <w:tcW w:w="709" w:type="dxa"/>
            <w:shd w:val="clear" w:color="auto" w:fill="auto"/>
            <w:vAlign w:val="center"/>
          </w:tcPr>
          <w:p w14:paraId="3A09F5BE">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continue"/>
            <w:shd w:val="clear" w:color="auto" w:fill="auto"/>
            <w:vAlign w:val="center"/>
          </w:tcPr>
          <w:p w14:paraId="0119B6C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r>
      <w:tr w14:paraId="7B50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46" w:type="dxa"/>
            <w:vMerge w:val="continue"/>
            <w:vAlign w:val="center"/>
          </w:tcPr>
          <w:p w14:paraId="7272C6BD">
            <w:pPr>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vAlign w:val="center"/>
          </w:tcPr>
          <w:p w14:paraId="3A39782C">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306C4324">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滇池流域重点水域渔船、网具回收处置补偿及奖励资金公示规范性</w:t>
            </w:r>
          </w:p>
        </w:tc>
        <w:tc>
          <w:tcPr>
            <w:tcW w:w="2274" w:type="dxa"/>
            <w:shd w:val="clear" w:color="auto" w:fill="auto"/>
            <w:vAlign w:val="center"/>
          </w:tcPr>
          <w:p w14:paraId="56E12CE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考察回收注销的《内陆渔业捕捞许可证》是否经过滇池渔业行政管理部门审验合格</w:t>
            </w:r>
          </w:p>
        </w:tc>
        <w:tc>
          <w:tcPr>
            <w:tcW w:w="709" w:type="dxa"/>
            <w:shd w:val="clear" w:color="auto" w:fill="auto"/>
            <w:vAlign w:val="center"/>
          </w:tcPr>
          <w:p w14:paraId="31ED10AD">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continue"/>
            <w:shd w:val="clear" w:color="auto" w:fill="auto"/>
            <w:vAlign w:val="center"/>
          </w:tcPr>
          <w:p w14:paraId="6BC8F4C2">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r>
      <w:tr w14:paraId="063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46" w:type="dxa"/>
            <w:vMerge w:val="continue"/>
            <w:shd w:val="clear" w:color="auto" w:fill="auto"/>
            <w:vAlign w:val="center"/>
          </w:tcPr>
          <w:p w14:paraId="7A202CCF">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restart"/>
            <w:shd w:val="clear" w:color="auto" w:fill="auto"/>
            <w:vAlign w:val="center"/>
          </w:tcPr>
          <w:p w14:paraId="6A3B179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质量指标</w:t>
            </w:r>
          </w:p>
        </w:tc>
        <w:tc>
          <w:tcPr>
            <w:tcW w:w="1411" w:type="dxa"/>
            <w:shd w:val="clear" w:color="auto" w:fill="auto"/>
            <w:vAlign w:val="center"/>
          </w:tcPr>
          <w:p w14:paraId="4A865A94">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回收的渔船信息登记、照片相符的渔船；回收网具规范性</w:t>
            </w:r>
          </w:p>
        </w:tc>
        <w:tc>
          <w:tcPr>
            <w:tcW w:w="2274" w:type="dxa"/>
            <w:shd w:val="clear" w:color="auto" w:fill="auto"/>
            <w:vAlign w:val="center"/>
          </w:tcPr>
          <w:p w14:paraId="551AFD72">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考察渔船、网具回收处置补偿及奖励资金是否进行公示。</w:t>
            </w:r>
          </w:p>
        </w:tc>
        <w:tc>
          <w:tcPr>
            <w:tcW w:w="709" w:type="dxa"/>
            <w:shd w:val="clear" w:color="auto" w:fill="auto"/>
            <w:vAlign w:val="center"/>
          </w:tcPr>
          <w:p w14:paraId="221ABBC9">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restart"/>
            <w:shd w:val="clear" w:color="auto" w:fill="auto"/>
            <w:vAlign w:val="center"/>
          </w:tcPr>
          <w:p w14:paraId="4323A09C">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按项目管理办法、滇池流域重点水域渔船、网具回收处置实施方案、关于滇池流域重点水域渔船、网具回收评估的公示公告实施、完成项目。</w:t>
            </w:r>
          </w:p>
        </w:tc>
      </w:tr>
      <w:tr w14:paraId="02F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46" w:type="dxa"/>
            <w:vMerge w:val="continue"/>
            <w:shd w:val="clear" w:color="auto" w:fill="auto"/>
            <w:vAlign w:val="center"/>
          </w:tcPr>
          <w:p w14:paraId="7A66CB31">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shd w:val="clear" w:color="auto" w:fill="auto"/>
            <w:vAlign w:val="center"/>
          </w:tcPr>
          <w:p w14:paraId="1E9A1E9D">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4FE90585">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注销的《内陆渔业捕捞许可证》信息完整性</w:t>
            </w:r>
          </w:p>
        </w:tc>
        <w:tc>
          <w:tcPr>
            <w:tcW w:w="2274" w:type="dxa"/>
            <w:shd w:val="clear" w:color="auto" w:fill="auto"/>
            <w:vAlign w:val="center"/>
          </w:tcPr>
          <w:p w14:paraId="2FB9B401">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考察回收的渔船是否为经“三证合一”后的滇池《内陆渔业捕捞许可证》登记信息、照片相符的渔船。</w:t>
            </w:r>
          </w:p>
        </w:tc>
        <w:tc>
          <w:tcPr>
            <w:tcW w:w="709" w:type="dxa"/>
            <w:shd w:val="clear" w:color="auto" w:fill="auto"/>
            <w:vAlign w:val="center"/>
          </w:tcPr>
          <w:p w14:paraId="6C4EA69E">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continue"/>
            <w:shd w:val="clear" w:color="auto" w:fill="auto"/>
            <w:vAlign w:val="center"/>
          </w:tcPr>
          <w:p w14:paraId="78FA94F2">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r>
      <w:tr w14:paraId="0F44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1C796659">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shd w:val="clear" w:color="auto" w:fill="auto"/>
            <w:vAlign w:val="center"/>
          </w:tcPr>
          <w:p w14:paraId="52900F86">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7F3466D7">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注销的《内陆渔业捕捞许可证》规范性</w:t>
            </w:r>
          </w:p>
        </w:tc>
        <w:tc>
          <w:tcPr>
            <w:tcW w:w="2274" w:type="dxa"/>
            <w:shd w:val="clear" w:color="auto" w:fill="auto"/>
            <w:vAlign w:val="center"/>
          </w:tcPr>
          <w:p w14:paraId="408A1E2D">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考察回收注销的《内陆渔业捕捞许可证》是否经过滇池渔业行政管理部门审验合格</w:t>
            </w:r>
          </w:p>
        </w:tc>
        <w:tc>
          <w:tcPr>
            <w:tcW w:w="709" w:type="dxa"/>
            <w:shd w:val="clear" w:color="auto" w:fill="auto"/>
            <w:vAlign w:val="center"/>
          </w:tcPr>
          <w:p w14:paraId="79F94B92">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vMerge w:val="continue"/>
            <w:shd w:val="clear" w:color="auto" w:fill="auto"/>
            <w:vAlign w:val="center"/>
          </w:tcPr>
          <w:p w14:paraId="6593B86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r>
      <w:tr w14:paraId="6289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5C18B8E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77AD588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时效指标</w:t>
            </w:r>
          </w:p>
        </w:tc>
        <w:tc>
          <w:tcPr>
            <w:tcW w:w="1411" w:type="dxa"/>
            <w:shd w:val="clear" w:color="auto" w:fill="auto"/>
            <w:vAlign w:val="center"/>
          </w:tcPr>
          <w:p w14:paraId="530AD289">
            <w:pPr>
              <w:widowControl/>
              <w:jc w:val="left"/>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项目进度及时性</w:t>
            </w:r>
          </w:p>
        </w:tc>
        <w:tc>
          <w:tcPr>
            <w:tcW w:w="2274" w:type="dxa"/>
            <w:shd w:val="clear" w:color="auto" w:fill="auto"/>
            <w:vAlign w:val="center"/>
          </w:tcPr>
          <w:p w14:paraId="2AE046BD">
            <w:pPr>
              <w:widowControl/>
              <w:jc w:val="left"/>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经费支出拨付是否及时，项目是否及时实施</w:t>
            </w:r>
          </w:p>
        </w:tc>
        <w:tc>
          <w:tcPr>
            <w:tcW w:w="709" w:type="dxa"/>
            <w:shd w:val="clear" w:color="auto" w:fill="auto"/>
            <w:vAlign w:val="center"/>
          </w:tcPr>
          <w:p w14:paraId="6FC4E507">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未完成</w:t>
            </w:r>
          </w:p>
        </w:tc>
        <w:tc>
          <w:tcPr>
            <w:tcW w:w="3402" w:type="dxa"/>
            <w:shd w:val="clear" w:color="auto" w:fill="auto"/>
            <w:vAlign w:val="center"/>
          </w:tcPr>
          <w:p w14:paraId="2E964931">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根据市级昆财资环《关于滇池流域重点水域渔船、网具回收处置经费的批复》（晋政复〔2023〕221号）“此次下达经费-晋宁区 665.6 万元”，但该项资金未实际下达、到位，项目未实施。至2024年9月由晋宁区财政保障并下达资金。项目补偿、奖励款及时拨付，并于2024年12月份全部兑付完毕，2025年3月开始渔船销毁处置工作。2024年资金拨付到位，项目继续推进，但未按2023年实施方案完成。</w:t>
            </w:r>
          </w:p>
        </w:tc>
      </w:tr>
      <w:tr w14:paraId="720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263BBC1C">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3E9F5567">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产出成本</w:t>
            </w:r>
          </w:p>
        </w:tc>
        <w:tc>
          <w:tcPr>
            <w:tcW w:w="1411" w:type="dxa"/>
            <w:shd w:val="clear" w:color="auto" w:fill="auto"/>
            <w:vAlign w:val="center"/>
          </w:tcPr>
          <w:p w14:paraId="1D8176EE">
            <w:pPr>
              <w:widowControl/>
              <w:adjustRightInd w:val="0"/>
              <w:snapToGrid w:val="0"/>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晋宁滇池流域重点水域渔船、网具回收处置经费补偿、奖励经费控制率</w:t>
            </w:r>
          </w:p>
        </w:tc>
        <w:tc>
          <w:tcPr>
            <w:tcW w:w="2274" w:type="dxa"/>
            <w:shd w:val="clear" w:color="auto" w:fill="auto"/>
            <w:vAlign w:val="center"/>
          </w:tcPr>
          <w:p w14:paraId="4574B214">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考察晋宁区滇池流域重点水域渔船、网具回收处置实际支付经费是否超过项目评估金额。</w:t>
            </w:r>
          </w:p>
        </w:tc>
        <w:tc>
          <w:tcPr>
            <w:tcW w:w="709" w:type="dxa"/>
            <w:shd w:val="clear" w:color="auto" w:fill="auto"/>
            <w:vAlign w:val="center"/>
          </w:tcPr>
          <w:p w14:paraId="28929E21">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5B6C2384">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云南诺太评估咨询有限公司进行渔船、网具评估公告</w:t>
            </w:r>
          </w:p>
        </w:tc>
      </w:tr>
      <w:tr w14:paraId="55B5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restart"/>
            <w:shd w:val="clear" w:color="auto" w:fill="auto"/>
            <w:vAlign w:val="center"/>
          </w:tcPr>
          <w:p w14:paraId="05E54977">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效益指标</w:t>
            </w:r>
          </w:p>
          <w:p w14:paraId="5F55389C">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590771A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48EDD5A0">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18AF028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7FF6B190">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403CE7EA">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79C8C27F">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25435F62">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40F27207">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64FBD4CF">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6626081C">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494AC86E">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49A1604F">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3F98C903">
            <w:pPr>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p w14:paraId="6227E9A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044B7469">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经济效益</w:t>
            </w:r>
          </w:p>
        </w:tc>
        <w:tc>
          <w:tcPr>
            <w:tcW w:w="1411" w:type="dxa"/>
            <w:shd w:val="clear" w:color="auto" w:fill="auto"/>
            <w:vAlign w:val="center"/>
          </w:tcPr>
          <w:p w14:paraId="084B44E9">
            <w:pPr>
              <w:widowControl/>
              <w:adjustRightInd w:val="0"/>
              <w:snapToGrid w:val="0"/>
              <w:spacing w:line="240" w:lineRule="exact"/>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项目实施您对滇池流域重点水域渔船、网具回收处置项目的补偿额满意度</w:t>
            </w:r>
          </w:p>
        </w:tc>
        <w:tc>
          <w:tcPr>
            <w:tcW w:w="2274" w:type="dxa"/>
            <w:shd w:val="clear" w:color="auto" w:fill="auto"/>
            <w:vAlign w:val="center"/>
          </w:tcPr>
          <w:p w14:paraId="5D85C29D">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过项目实施问卷，对补偿金额都基本满意。</w:t>
            </w:r>
          </w:p>
        </w:tc>
        <w:tc>
          <w:tcPr>
            <w:tcW w:w="709" w:type="dxa"/>
            <w:shd w:val="clear" w:color="auto" w:fill="auto"/>
            <w:vAlign w:val="center"/>
          </w:tcPr>
          <w:p w14:paraId="1483FBB1">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207F586C">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现场调查、访谈。</w:t>
            </w:r>
          </w:p>
        </w:tc>
      </w:tr>
      <w:tr w14:paraId="1E21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04CEF33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restart"/>
            <w:shd w:val="clear" w:color="auto" w:fill="auto"/>
            <w:vAlign w:val="center"/>
          </w:tcPr>
          <w:p w14:paraId="2445E9F8">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社会效益</w:t>
            </w:r>
          </w:p>
        </w:tc>
        <w:tc>
          <w:tcPr>
            <w:tcW w:w="1411" w:type="dxa"/>
            <w:shd w:val="clear" w:color="auto" w:fill="auto"/>
            <w:vAlign w:val="center"/>
          </w:tcPr>
          <w:p w14:paraId="759CC602">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滇池流域重点水域渔船、网具回收处置项目实施对社会稳定风险的作用</w:t>
            </w:r>
          </w:p>
        </w:tc>
        <w:tc>
          <w:tcPr>
            <w:tcW w:w="2274" w:type="dxa"/>
            <w:shd w:val="clear" w:color="auto" w:fill="auto"/>
            <w:vAlign w:val="center"/>
          </w:tcPr>
          <w:p w14:paraId="221750E8">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考察通过项目实施，是否妥善化解滇池“十年禁渔”后出现的社会稳定风险。</w:t>
            </w:r>
          </w:p>
        </w:tc>
        <w:tc>
          <w:tcPr>
            <w:tcW w:w="709" w:type="dxa"/>
            <w:shd w:val="clear" w:color="auto" w:fill="auto"/>
            <w:vAlign w:val="center"/>
          </w:tcPr>
          <w:p w14:paraId="0AFC3BD3">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04CC773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问卷调查结果：认为项目完全缓解社会稳定风险的比例为57%，认为缓解的比例为43%，两者合计占比100%，表明大部分受访人员对项目在化解该风险方面持肯定态度。</w:t>
            </w:r>
          </w:p>
        </w:tc>
      </w:tr>
      <w:tr w14:paraId="5ABD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15B449B5">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shd w:val="clear" w:color="auto" w:fill="auto"/>
            <w:vAlign w:val="center"/>
          </w:tcPr>
          <w:p w14:paraId="5526000A">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292AA11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对负责滇池流域重点水域渔船、网具回收处置项目实施的工作人员服务、工作效率的态度</w:t>
            </w:r>
          </w:p>
        </w:tc>
        <w:tc>
          <w:tcPr>
            <w:tcW w:w="2274" w:type="dxa"/>
            <w:shd w:val="clear" w:color="auto" w:fill="auto"/>
            <w:vAlign w:val="center"/>
          </w:tcPr>
          <w:p w14:paraId="04CDC30E">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考察通过负责滇池流域重点水域渔船、网具回收处置项目实施工作人员的服务、工作效率的态度。</w:t>
            </w:r>
          </w:p>
        </w:tc>
        <w:tc>
          <w:tcPr>
            <w:tcW w:w="709" w:type="dxa"/>
            <w:shd w:val="clear" w:color="auto" w:fill="auto"/>
            <w:vAlign w:val="center"/>
          </w:tcPr>
          <w:p w14:paraId="71FA7EDF">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3F184B5B">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问卷调查结果：71%的受访人员对项目实施的工作人员的服务态度、工作效率十分满意，29%的受访人员对项目实施的工作人员表示满意，</w:t>
            </w:r>
          </w:p>
        </w:tc>
      </w:tr>
      <w:tr w14:paraId="010B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Merge w:val="continue"/>
            <w:shd w:val="clear" w:color="auto" w:fill="auto"/>
            <w:vAlign w:val="center"/>
          </w:tcPr>
          <w:p w14:paraId="2AB3E31B">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vMerge w:val="continue"/>
            <w:shd w:val="clear" w:color="auto" w:fill="auto"/>
            <w:vAlign w:val="center"/>
          </w:tcPr>
          <w:p w14:paraId="7EB5119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411" w:type="dxa"/>
            <w:shd w:val="clear" w:color="auto" w:fill="auto"/>
            <w:vAlign w:val="center"/>
          </w:tcPr>
          <w:p w14:paraId="260F90F2">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项目总体完成情况</w:t>
            </w:r>
          </w:p>
        </w:tc>
        <w:tc>
          <w:tcPr>
            <w:tcW w:w="2274" w:type="dxa"/>
            <w:shd w:val="clear" w:color="auto" w:fill="auto"/>
            <w:vAlign w:val="center"/>
          </w:tcPr>
          <w:p w14:paraId="1A444987">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考察通过项目实施的整体完成情况。</w:t>
            </w:r>
          </w:p>
        </w:tc>
        <w:tc>
          <w:tcPr>
            <w:tcW w:w="709" w:type="dxa"/>
            <w:shd w:val="clear" w:color="auto" w:fill="auto"/>
            <w:vAlign w:val="center"/>
          </w:tcPr>
          <w:p w14:paraId="64315BC2">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47CE578A">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问卷调查结果：认为项目实施情况“非常好”的比例为64%，“好”的比例为35%，两者合计占比99%，而选择“一般”的仅占1%，</w:t>
            </w:r>
          </w:p>
        </w:tc>
      </w:tr>
      <w:tr w14:paraId="7DF8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Merge w:val="continue"/>
            <w:shd w:val="clear" w:color="auto" w:fill="auto"/>
            <w:vAlign w:val="center"/>
          </w:tcPr>
          <w:p w14:paraId="02CF9146">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025F862D">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生态效益</w:t>
            </w:r>
          </w:p>
        </w:tc>
        <w:tc>
          <w:tcPr>
            <w:tcW w:w="1411" w:type="dxa"/>
            <w:shd w:val="clear" w:color="auto" w:fill="auto"/>
            <w:vAlign w:val="center"/>
          </w:tcPr>
          <w:p w14:paraId="5A197B79">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有效保护滇池流域重点水域水生生物资源和水域生态环境</w:t>
            </w:r>
          </w:p>
        </w:tc>
        <w:tc>
          <w:tcPr>
            <w:tcW w:w="2274" w:type="dxa"/>
            <w:shd w:val="clear" w:color="auto" w:fill="auto"/>
            <w:vAlign w:val="center"/>
          </w:tcPr>
          <w:p w14:paraId="33779758">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考察通过项目实施，是否对滇池生态环境修复有明显的优化。</w:t>
            </w:r>
          </w:p>
        </w:tc>
        <w:tc>
          <w:tcPr>
            <w:tcW w:w="709" w:type="dxa"/>
            <w:shd w:val="clear" w:color="auto" w:fill="auto"/>
            <w:vAlign w:val="center"/>
          </w:tcPr>
          <w:p w14:paraId="69BC1D55">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684F6266">
            <w:pPr>
              <w:widowControl/>
              <w:adjustRightInd w:val="0"/>
              <w:snapToGrid w:val="0"/>
              <w:spacing w:line="24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72%的受访人员认为项目的实施对改善无持证群众的渔船渔具停（摆）、无持证群众捕捞现象以及有效保护滇池流域重点水域水生生物资源和水域生态环境的作用非常明显，28%的受访人员认为作用明显，两者占比合计100%</w:t>
            </w:r>
          </w:p>
        </w:tc>
      </w:tr>
      <w:tr w14:paraId="3AC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6" w:type="dxa"/>
            <w:vMerge w:val="continue"/>
            <w:shd w:val="clear" w:color="auto" w:fill="auto"/>
            <w:vAlign w:val="center"/>
          </w:tcPr>
          <w:p w14:paraId="7315FAA6">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136B6BD4">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可持续影响</w:t>
            </w:r>
          </w:p>
        </w:tc>
        <w:tc>
          <w:tcPr>
            <w:tcW w:w="1411" w:type="dxa"/>
            <w:shd w:val="clear" w:color="auto" w:fill="auto"/>
            <w:vAlign w:val="center"/>
          </w:tcPr>
          <w:p w14:paraId="7C060026">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长效管理可持续性</w:t>
            </w:r>
          </w:p>
        </w:tc>
        <w:tc>
          <w:tcPr>
            <w:tcW w:w="2274" w:type="dxa"/>
            <w:shd w:val="clear" w:color="auto" w:fill="auto"/>
            <w:vAlign w:val="center"/>
          </w:tcPr>
          <w:p w14:paraId="304B23C7">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在项目的实施过程中，是否探索建立长效机制，确保治理工作能够科学、可持续开展。</w:t>
            </w:r>
          </w:p>
        </w:tc>
        <w:tc>
          <w:tcPr>
            <w:tcW w:w="709" w:type="dxa"/>
            <w:shd w:val="clear" w:color="auto" w:fill="auto"/>
            <w:vAlign w:val="center"/>
          </w:tcPr>
          <w:p w14:paraId="52417621">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未完成</w:t>
            </w:r>
          </w:p>
        </w:tc>
        <w:tc>
          <w:tcPr>
            <w:tcW w:w="3402" w:type="dxa"/>
            <w:shd w:val="clear" w:color="auto" w:fill="auto"/>
            <w:vAlign w:val="center"/>
          </w:tcPr>
          <w:p w14:paraId="379F8985">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在项目的实施过程中，未探索建立长效机制，确保治理工作能够科学、可持续开展。</w:t>
            </w:r>
          </w:p>
        </w:tc>
      </w:tr>
      <w:tr w14:paraId="7480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6" w:type="dxa"/>
            <w:vMerge w:val="continue"/>
            <w:vAlign w:val="center"/>
          </w:tcPr>
          <w:p w14:paraId="6FCD899A">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134" w:type="dxa"/>
            <w:shd w:val="clear" w:color="auto" w:fill="auto"/>
            <w:vAlign w:val="center"/>
          </w:tcPr>
          <w:p w14:paraId="209E3FFF">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社会公众满意度</w:t>
            </w:r>
          </w:p>
        </w:tc>
        <w:tc>
          <w:tcPr>
            <w:tcW w:w="1411" w:type="dxa"/>
            <w:shd w:val="clear" w:color="auto" w:fill="auto"/>
            <w:vAlign w:val="center"/>
          </w:tcPr>
          <w:p w14:paraId="07D04385">
            <w:pPr>
              <w:widowControl/>
              <w:adjustRightInd w:val="0"/>
              <w:snapToGrid w:val="0"/>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社会公众满意度</w:t>
            </w:r>
          </w:p>
        </w:tc>
        <w:tc>
          <w:tcPr>
            <w:tcW w:w="2274" w:type="dxa"/>
            <w:shd w:val="clear" w:color="auto" w:fill="auto"/>
            <w:vAlign w:val="center"/>
          </w:tcPr>
          <w:p w14:paraId="4CC95AB1">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社会公众对项目实施的满意度≥90%。</w:t>
            </w:r>
          </w:p>
        </w:tc>
        <w:tc>
          <w:tcPr>
            <w:tcW w:w="709" w:type="dxa"/>
            <w:shd w:val="clear" w:color="auto" w:fill="auto"/>
            <w:vAlign w:val="center"/>
          </w:tcPr>
          <w:p w14:paraId="3623020D">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w:t>
            </w:r>
          </w:p>
        </w:tc>
        <w:tc>
          <w:tcPr>
            <w:tcW w:w="3402" w:type="dxa"/>
            <w:shd w:val="clear" w:color="auto" w:fill="auto"/>
            <w:vAlign w:val="center"/>
          </w:tcPr>
          <w:p w14:paraId="17696BA3">
            <w:pPr>
              <w:widowControl/>
              <w:adjustRightInd w:val="0"/>
              <w:snapToGrid w:val="0"/>
              <w:spacing w:line="24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社会公众满意度93.63%</w:t>
            </w:r>
          </w:p>
        </w:tc>
      </w:tr>
    </w:tbl>
    <w:p w14:paraId="0087E86B">
      <w:pPr>
        <w:adjustRightInd w:val="0"/>
        <w:snapToGrid w:val="0"/>
        <w:spacing w:line="570" w:lineRule="exact"/>
        <w:ind w:firstLine="670" w:firstLineChars="200"/>
        <w:outlineLvl w:val="0"/>
        <w:rPr>
          <w:rFonts w:hint="eastAsia" w:ascii="黑体" w:hAnsi="黑体" w:eastAsia="黑体" w:cs="黑体"/>
          <w:color w:val="auto"/>
          <w:sz w:val="32"/>
          <w:szCs w:val="32"/>
          <w:highlight w:val="none"/>
        </w:rPr>
      </w:pPr>
      <w:bookmarkStart w:id="55" w:name="_Toc25676"/>
      <w:r>
        <w:rPr>
          <w:rFonts w:hint="eastAsia" w:ascii="黑体" w:hAnsi="黑体" w:eastAsia="黑体" w:cs="黑体"/>
          <w:color w:val="auto"/>
          <w:sz w:val="32"/>
          <w:szCs w:val="32"/>
          <w:highlight w:val="none"/>
        </w:rPr>
        <w:t>四、绩效评价指标分析</w:t>
      </w:r>
      <w:bookmarkEnd w:id="55"/>
    </w:p>
    <w:p w14:paraId="06F2451C">
      <w:pPr>
        <w:adjustRightInd w:val="0"/>
        <w:snapToGrid w:val="0"/>
        <w:spacing w:line="570" w:lineRule="exact"/>
        <w:ind w:firstLine="590" w:firstLineChars="200"/>
        <w:outlineLvl w:val="1"/>
        <w:rPr>
          <w:rFonts w:hint="eastAsia" w:asciiTheme="minorEastAsia" w:hAnsiTheme="minorEastAsia" w:eastAsiaTheme="minorEastAsia" w:cstheme="minorEastAsia"/>
          <w:b/>
          <w:bCs/>
          <w:color w:val="auto"/>
          <w:sz w:val="28"/>
          <w:szCs w:val="28"/>
          <w:highlight w:val="none"/>
        </w:rPr>
      </w:pPr>
      <w:bookmarkStart w:id="56" w:name="_Toc8182"/>
      <w:bookmarkStart w:id="57" w:name="_Toc518317811"/>
      <w:bookmarkStart w:id="58" w:name="_Toc517260975"/>
      <w:r>
        <w:rPr>
          <w:rFonts w:hint="eastAsia" w:asciiTheme="minorEastAsia" w:hAnsiTheme="minorEastAsia" w:eastAsiaTheme="minorEastAsia" w:cstheme="minorEastAsia"/>
          <w:b/>
          <w:bCs/>
          <w:color w:val="auto"/>
          <w:sz w:val="28"/>
          <w:szCs w:val="28"/>
          <w:highlight w:val="none"/>
        </w:rPr>
        <w:t>（一）项目决策情况</w:t>
      </w:r>
      <w:bookmarkEnd w:id="56"/>
      <w:bookmarkEnd w:id="57"/>
      <w:bookmarkEnd w:id="58"/>
    </w:p>
    <w:p w14:paraId="0409F9F8">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项目决策类指标，包括项目立项、绩效目标两个方面的内容，由5个三级指标构成。该项指标评价满分20分，实际得分16分，得分率80.00%，具体分析如下：</w:t>
      </w:r>
      <w:r>
        <w:rPr>
          <w:rFonts w:hint="eastAsia" w:asciiTheme="minorEastAsia" w:hAnsiTheme="minorEastAsia" w:eastAsiaTheme="minorEastAsia" w:cstheme="minorEastAsia"/>
          <w:bCs/>
          <w:color w:val="auto"/>
          <w:sz w:val="28"/>
          <w:szCs w:val="28"/>
          <w:highlight w:val="none"/>
        </w:rPr>
        <w:t xml:space="preserve"> </w:t>
      </w:r>
    </w:p>
    <w:p w14:paraId="4C5B15E0">
      <w:pPr>
        <w:keepNext w:val="0"/>
        <w:keepLines w:val="0"/>
        <w:pageBreakBefore w:val="0"/>
        <w:numPr>
          <w:ilvl w:val="0"/>
          <w:numId w:val="2"/>
        </w:numP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项目立项方面</w:t>
      </w:r>
    </w:p>
    <w:p w14:paraId="366094E7">
      <w:pPr>
        <w:keepNext w:val="0"/>
        <w:keepLines w:val="0"/>
        <w:pageBreakBefore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该部分主要考察项目立项是否与部门中长期规划目标适应性，是否有充分的依据，符合国家、省、市相关规定，以及项目的申请、设立过程是否符合相关要求。各指标的业绩值和绩效分值详见表4-1：</w:t>
      </w:r>
    </w:p>
    <w:p w14:paraId="3EE5B66C">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表4-1：“项目立项”指标评价分析及绩效得分情况</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1598"/>
        <w:gridCol w:w="1153"/>
        <w:gridCol w:w="1220"/>
      </w:tblGrid>
      <w:tr w14:paraId="4B68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74" w:type="dxa"/>
          </w:tcPr>
          <w:p w14:paraId="22A4DE35">
            <w:pPr>
              <w:tabs>
                <w:tab w:val="left" w:pos="1276"/>
              </w:tabs>
              <w:adjustRightInd w:val="0"/>
              <w:spacing w:line="570" w:lineRule="exact"/>
              <w:jc w:val="center"/>
              <w:rPr>
                <w:rFonts w:hint="eastAsia" w:asciiTheme="minorEastAsia" w:hAnsiTheme="minorEastAsia" w:eastAsiaTheme="minorEastAsia" w:cstheme="minorEastAsia"/>
                <w:b/>
                <w:bCs w:val="0"/>
                <w:color w:val="auto"/>
                <w:sz w:val="18"/>
                <w:szCs w:val="18"/>
                <w:highlight w:val="none"/>
              </w:rPr>
            </w:pPr>
            <w:r>
              <w:rPr>
                <w:rFonts w:hint="eastAsia" w:asciiTheme="minorEastAsia" w:hAnsiTheme="minorEastAsia" w:eastAsiaTheme="minorEastAsia" w:cstheme="minorEastAsia"/>
                <w:b/>
                <w:bCs w:val="0"/>
                <w:color w:val="auto"/>
                <w:sz w:val="18"/>
                <w:szCs w:val="18"/>
                <w:highlight w:val="none"/>
              </w:rPr>
              <w:t>指标名称</w:t>
            </w:r>
          </w:p>
        </w:tc>
        <w:tc>
          <w:tcPr>
            <w:tcW w:w="1598" w:type="dxa"/>
          </w:tcPr>
          <w:p w14:paraId="7351D2B1">
            <w:pPr>
              <w:tabs>
                <w:tab w:val="left" w:pos="1276"/>
              </w:tabs>
              <w:adjustRightInd w:val="0"/>
              <w:spacing w:line="570" w:lineRule="exact"/>
              <w:jc w:val="center"/>
              <w:rPr>
                <w:rFonts w:hint="eastAsia" w:asciiTheme="minorEastAsia" w:hAnsiTheme="minorEastAsia" w:eastAsiaTheme="minorEastAsia" w:cstheme="minorEastAsia"/>
                <w:b/>
                <w:bCs w:val="0"/>
                <w:color w:val="auto"/>
                <w:sz w:val="18"/>
                <w:szCs w:val="18"/>
                <w:highlight w:val="none"/>
              </w:rPr>
            </w:pPr>
            <w:r>
              <w:rPr>
                <w:rFonts w:hint="eastAsia" w:asciiTheme="minorEastAsia" w:hAnsiTheme="minorEastAsia" w:eastAsiaTheme="minorEastAsia" w:cstheme="minorEastAsia"/>
                <w:b/>
                <w:bCs w:val="0"/>
                <w:color w:val="auto"/>
                <w:sz w:val="18"/>
                <w:szCs w:val="18"/>
                <w:highlight w:val="none"/>
              </w:rPr>
              <w:t>指标权重</w:t>
            </w:r>
          </w:p>
        </w:tc>
        <w:tc>
          <w:tcPr>
            <w:tcW w:w="1153" w:type="dxa"/>
          </w:tcPr>
          <w:p w14:paraId="7B87E894">
            <w:pPr>
              <w:tabs>
                <w:tab w:val="left" w:pos="1276"/>
              </w:tabs>
              <w:adjustRightInd w:val="0"/>
              <w:spacing w:line="570" w:lineRule="exact"/>
              <w:jc w:val="center"/>
              <w:rPr>
                <w:rFonts w:hint="eastAsia" w:asciiTheme="minorEastAsia" w:hAnsiTheme="minorEastAsia" w:eastAsiaTheme="minorEastAsia" w:cstheme="minorEastAsia"/>
                <w:b/>
                <w:bCs w:val="0"/>
                <w:color w:val="auto"/>
                <w:sz w:val="18"/>
                <w:szCs w:val="18"/>
                <w:highlight w:val="none"/>
              </w:rPr>
            </w:pPr>
            <w:r>
              <w:rPr>
                <w:rFonts w:hint="eastAsia" w:asciiTheme="minorEastAsia" w:hAnsiTheme="minorEastAsia" w:eastAsiaTheme="minorEastAsia" w:cstheme="minorEastAsia"/>
                <w:b/>
                <w:bCs w:val="0"/>
                <w:color w:val="auto"/>
                <w:sz w:val="18"/>
                <w:szCs w:val="18"/>
                <w:highlight w:val="none"/>
              </w:rPr>
              <w:t>业绩值</w:t>
            </w:r>
          </w:p>
        </w:tc>
        <w:tc>
          <w:tcPr>
            <w:tcW w:w="1220" w:type="dxa"/>
          </w:tcPr>
          <w:p w14:paraId="46433B0F">
            <w:pPr>
              <w:tabs>
                <w:tab w:val="left" w:pos="1276"/>
              </w:tabs>
              <w:adjustRightInd w:val="0"/>
              <w:spacing w:line="570" w:lineRule="exact"/>
              <w:jc w:val="center"/>
              <w:rPr>
                <w:rFonts w:hint="eastAsia" w:asciiTheme="minorEastAsia" w:hAnsiTheme="minorEastAsia" w:eastAsiaTheme="minorEastAsia" w:cstheme="minorEastAsia"/>
                <w:b/>
                <w:bCs w:val="0"/>
                <w:color w:val="auto"/>
                <w:sz w:val="18"/>
                <w:szCs w:val="18"/>
                <w:highlight w:val="none"/>
              </w:rPr>
            </w:pPr>
            <w:r>
              <w:rPr>
                <w:rFonts w:hint="eastAsia" w:asciiTheme="minorEastAsia" w:hAnsiTheme="minorEastAsia" w:eastAsiaTheme="minorEastAsia" w:cstheme="minorEastAsia"/>
                <w:b/>
                <w:bCs w:val="0"/>
                <w:color w:val="auto"/>
                <w:sz w:val="18"/>
                <w:szCs w:val="18"/>
                <w:highlight w:val="none"/>
              </w:rPr>
              <w:t>实际得分</w:t>
            </w:r>
          </w:p>
        </w:tc>
      </w:tr>
      <w:tr w14:paraId="48F4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74" w:type="dxa"/>
          </w:tcPr>
          <w:p w14:paraId="1DFD7384">
            <w:pPr>
              <w:tabs>
                <w:tab w:val="left" w:pos="1276"/>
              </w:tabs>
              <w:adjustRightInd w:val="0"/>
              <w:spacing w:line="570" w:lineRule="exact"/>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与部门中长期规划目标适应性</w:t>
            </w:r>
          </w:p>
        </w:tc>
        <w:tc>
          <w:tcPr>
            <w:tcW w:w="1598" w:type="dxa"/>
          </w:tcPr>
          <w:p w14:paraId="65B7151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c>
          <w:tcPr>
            <w:tcW w:w="1153" w:type="dxa"/>
          </w:tcPr>
          <w:p w14:paraId="25B2849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20" w:type="dxa"/>
          </w:tcPr>
          <w:p w14:paraId="7A6BFDB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r>
      <w:tr w14:paraId="7E6C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6B1E8345">
            <w:pPr>
              <w:tabs>
                <w:tab w:val="left" w:pos="1276"/>
              </w:tabs>
              <w:adjustRightInd w:val="0"/>
              <w:spacing w:line="570" w:lineRule="exact"/>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立项依据充分性</w:t>
            </w:r>
          </w:p>
        </w:tc>
        <w:tc>
          <w:tcPr>
            <w:tcW w:w="1598" w:type="dxa"/>
            <w:vAlign w:val="center"/>
          </w:tcPr>
          <w:p w14:paraId="44D8CE5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153" w:type="dxa"/>
            <w:vAlign w:val="center"/>
          </w:tcPr>
          <w:p w14:paraId="3FB4071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20" w:type="dxa"/>
            <w:vAlign w:val="center"/>
          </w:tcPr>
          <w:p w14:paraId="11CB992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208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2D5E56B8">
            <w:pPr>
              <w:tabs>
                <w:tab w:val="left" w:pos="1276"/>
              </w:tabs>
              <w:adjustRightInd w:val="0"/>
              <w:spacing w:line="570" w:lineRule="exact"/>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项目立项规范性</w:t>
            </w:r>
          </w:p>
        </w:tc>
        <w:tc>
          <w:tcPr>
            <w:tcW w:w="1598" w:type="dxa"/>
            <w:vAlign w:val="center"/>
          </w:tcPr>
          <w:p w14:paraId="4C589D1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c>
          <w:tcPr>
            <w:tcW w:w="1153" w:type="dxa"/>
            <w:vAlign w:val="center"/>
          </w:tcPr>
          <w:p w14:paraId="1E548E4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20" w:type="dxa"/>
            <w:vAlign w:val="center"/>
          </w:tcPr>
          <w:p w14:paraId="2725D18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7944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74" w:type="dxa"/>
          </w:tcPr>
          <w:p w14:paraId="771F7CCB">
            <w:pPr>
              <w:tabs>
                <w:tab w:val="left" w:pos="1276"/>
              </w:tabs>
              <w:adjustRightInd w:val="0"/>
              <w:spacing w:line="570" w:lineRule="exact"/>
              <w:jc w:val="cente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小  计</w:t>
            </w:r>
          </w:p>
        </w:tc>
        <w:tc>
          <w:tcPr>
            <w:tcW w:w="1598" w:type="dxa"/>
            <w:vAlign w:val="center"/>
          </w:tcPr>
          <w:p w14:paraId="2B3405E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w:t>
            </w:r>
          </w:p>
        </w:tc>
        <w:tc>
          <w:tcPr>
            <w:tcW w:w="1153" w:type="dxa"/>
            <w:vAlign w:val="center"/>
          </w:tcPr>
          <w:p w14:paraId="75FCEDE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20" w:type="dxa"/>
            <w:vAlign w:val="center"/>
          </w:tcPr>
          <w:p w14:paraId="39181E8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w:t>
            </w:r>
          </w:p>
        </w:tc>
      </w:tr>
    </w:tbl>
    <w:p w14:paraId="14FB72B4">
      <w:pPr>
        <w:keepNext w:val="0"/>
        <w:keepLines w:val="0"/>
        <w:pageBreakBefore w:val="0"/>
        <w:kinsoku/>
        <w:wordWrap/>
        <w:overflowPunct/>
        <w:topLinePunct w:val="0"/>
        <w:autoSpaceDE/>
        <w:autoSpaceDN/>
        <w:bidi w:val="0"/>
        <w:snapToGrid/>
        <w:spacing w:line="560" w:lineRule="exact"/>
        <w:ind w:firstLine="590"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color w:val="auto"/>
          <w:sz w:val="28"/>
          <w:szCs w:val="28"/>
          <w:highlight w:val="none"/>
        </w:rPr>
        <w:t>2023年6月29日，昆明市晋宁区人民政府下发了《关于滇池流域重点水域渔船、网具回收处置经费的批复》（晋政复〔2023〕221号），拟进行项目实施，制定了晋宁滇池流域重点水域渔船、网具回收处置经费项目实施方案，</w:t>
      </w:r>
      <w:r>
        <w:rPr>
          <w:rFonts w:hint="eastAsia" w:asciiTheme="minorEastAsia" w:hAnsiTheme="minorEastAsia" w:eastAsiaTheme="minorEastAsia" w:cstheme="minorEastAsia"/>
          <w:bCs/>
          <w:color w:val="auto"/>
          <w:sz w:val="28"/>
          <w:szCs w:val="28"/>
          <w:highlight w:val="none"/>
        </w:rPr>
        <w:t>项目的申请、设立过程符合相关要求。</w:t>
      </w:r>
    </w:p>
    <w:p w14:paraId="2A51831A">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该项指标满分为8分，根据评分标准得8分。</w:t>
      </w:r>
    </w:p>
    <w:p w14:paraId="629A5E6B">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2</w:t>
      </w:r>
      <w:r>
        <w:rPr>
          <w:rFonts w:hint="eastAsia" w:asciiTheme="minorEastAsia" w:hAnsiTheme="minorEastAsia" w:eastAsiaTheme="minorEastAsia" w:cstheme="minorEastAsia"/>
          <w:bCs/>
          <w:color w:val="auto"/>
          <w:spacing w:val="6"/>
          <w:sz w:val="28"/>
          <w:szCs w:val="28"/>
          <w:highlight w:val="none"/>
          <w:lang w:eastAsia="zh-CN"/>
        </w:rPr>
        <w:t>.</w:t>
      </w:r>
      <w:r>
        <w:rPr>
          <w:rFonts w:hint="eastAsia" w:asciiTheme="minorEastAsia" w:hAnsiTheme="minorEastAsia" w:eastAsiaTheme="minorEastAsia" w:cstheme="minorEastAsia"/>
          <w:bCs/>
          <w:color w:val="auto"/>
          <w:spacing w:val="6"/>
          <w:sz w:val="28"/>
          <w:szCs w:val="28"/>
          <w:highlight w:val="none"/>
        </w:rPr>
        <w:t>绩效目标方面</w:t>
      </w:r>
    </w:p>
    <w:p w14:paraId="231A13FE">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该部分主要考察所设定的项目绩效目标是否依据充分、完整且与预算相匹配，细化分解的绩效目标是否与绩效目标相适应。各指标的业绩值和绩效分值详见表4-2：</w:t>
      </w:r>
    </w:p>
    <w:p w14:paraId="4ECEEF51">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表4-2：“绩效目标”指标评价分析及绩效得分情况</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7BE7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568105B8">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656" w:type="dxa"/>
          </w:tcPr>
          <w:p w14:paraId="63646C63">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192" w:type="dxa"/>
          </w:tcPr>
          <w:p w14:paraId="39ABA29E">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62" w:type="dxa"/>
          </w:tcPr>
          <w:p w14:paraId="3F6A84E9">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79B3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419E04B2">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绩效目标设定的合理性</w:t>
            </w:r>
          </w:p>
        </w:tc>
        <w:tc>
          <w:tcPr>
            <w:tcW w:w="1656" w:type="dxa"/>
          </w:tcPr>
          <w:p w14:paraId="3F899E2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c>
          <w:tcPr>
            <w:tcW w:w="1192" w:type="dxa"/>
          </w:tcPr>
          <w:p w14:paraId="44BEF44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83.33%</w:t>
            </w:r>
          </w:p>
        </w:tc>
        <w:tc>
          <w:tcPr>
            <w:tcW w:w="1262" w:type="dxa"/>
          </w:tcPr>
          <w:p w14:paraId="1D827A1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r>
      <w:tr w14:paraId="6674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0DD3DECD">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绩效指标设定的明确性</w:t>
            </w:r>
          </w:p>
        </w:tc>
        <w:tc>
          <w:tcPr>
            <w:tcW w:w="1656" w:type="dxa"/>
          </w:tcPr>
          <w:p w14:paraId="4B6B637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c>
          <w:tcPr>
            <w:tcW w:w="1192" w:type="dxa"/>
          </w:tcPr>
          <w:p w14:paraId="0228AF0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83.33%</w:t>
            </w:r>
          </w:p>
        </w:tc>
        <w:tc>
          <w:tcPr>
            <w:tcW w:w="1262" w:type="dxa"/>
          </w:tcPr>
          <w:p w14:paraId="7C8C926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r>
      <w:tr w14:paraId="7BD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76768B6D">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656" w:type="dxa"/>
          </w:tcPr>
          <w:p w14:paraId="7336E8D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12</w:t>
            </w:r>
          </w:p>
        </w:tc>
        <w:tc>
          <w:tcPr>
            <w:tcW w:w="1192" w:type="dxa"/>
          </w:tcPr>
          <w:p w14:paraId="71FD281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83.33%</w:t>
            </w:r>
          </w:p>
        </w:tc>
        <w:tc>
          <w:tcPr>
            <w:tcW w:w="1262" w:type="dxa"/>
          </w:tcPr>
          <w:p w14:paraId="68622F3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w:t>
            </w:r>
          </w:p>
        </w:tc>
      </w:tr>
    </w:tbl>
    <w:p w14:paraId="7B2D2EDC">
      <w:pPr>
        <w:widowControl/>
        <w:adjustRightInd w:val="0"/>
        <w:spacing w:line="570" w:lineRule="exact"/>
        <w:ind w:firstLine="614" w:firstLineChars="200"/>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项目绩效目标与预算的匹配性不规范，项目申报预算资金是2023年度，2023年资金未到位，项目未实施，项目绩效目标未与2024年度绩效目标对应。</w:t>
      </w:r>
    </w:p>
    <w:p w14:paraId="3926AC20">
      <w:pPr>
        <w:widowControl/>
        <w:adjustRightInd w:val="0"/>
        <w:spacing w:line="570" w:lineRule="exact"/>
        <w:ind w:firstLine="614" w:firstLineChars="200"/>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该项指标满分为12分，根据评分标准得10分。</w:t>
      </w:r>
    </w:p>
    <w:p w14:paraId="2DED4D42">
      <w:pPr>
        <w:adjustRightInd w:val="0"/>
        <w:snapToGrid w:val="0"/>
        <w:spacing w:line="570" w:lineRule="exact"/>
        <w:ind w:firstLine="590" w:firstLineChars="200"/>
        <w:outlineLvl w:val="1"/>
        <w:rPr>
          <w:rFonts w:hint="eastAsia" w:asciiTheme="minorEastAsia" w:hAnsiTheme="minorEastAsia" w:eastAsiaTheme="minorEastAsia" w:cstheme="minorEastAsia"/>
          <w:b/>
          <w:bCs/>
          <w:color w:val="auto"/>
          <w:sz w:val="28"/>
          <w:szCs w:val="28"/>
          <w:highlight w:val="none"/>
        </w:rPr>
      </w:pPr>
      <w:bookmarkStart w:id="59" w:name="_Toc8435"/>
      <w:bookmarkStart w:id="60" w:name="_Toc517260976"/>
      <w:bookmarkStart w:id="61" w:name="_Toc518317812"/>
      <w:r>
        <w:rPr>
          <w:rFonts w:hint="eastAsia" w:asciiTheme="minorEastAsia" w:hAnsiTheme="minorEastAsia" w:eastAsiaTheme="minorEastAsia" w:cstheme="minorEastAsia"/>
          <w:b/>
          <w:bCs/>
          <w:color w:val="auto"/>
          <w:sz w:val="28"/>
          <w:szCs w:val="28"/>
          <w:highlight w:val="none"/>
        </w:rPr>
        <w:t>（二）项目过程情况</w:t>
      </w:r>
      <w:bookmarkEnd w:id="59"/>
      <w:bookmarkEnd w:id="60"/>
      <w:bookmarkEnd w:id="61"/>
    </w:p>
    <w:p w14:paraId="61573D28">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项目过程类指标，包括项目投入、财务管理和项目实施三方面的内容，由10个三级指标构成。该指标评价满分20分，实际得分16.00分，得分率80.00%。</w:t>
      </w:r>
    </w:p>
    <w:p w14:paraId="507390A2">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项目投入方面</w:t>
      </w:r>
    </w:p>
    <w:p w14:paraId="0A3351EB">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该部分主要考察项目实施单位项目资金预算编制合理性、预算调整规范性、预算执行率及预算资金到位情况。各指标分值和得分情况详见表4-3：</w:t>
      </w:r>
    </w:p>
    <w:p w14:paraId="30EE1E7B">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表4-3：“项目管理”指标评价分析及绩效得分情况</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5EEC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22A6384E">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656" w:type="dxa"/>
          </w:tcPr>
          <w:p w14:paraId="52A46F95">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192" w:type="dxa"/>
          </w:tcPr>
          <w:p w14:paraId="0CB7779F">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62" w:type="dxa"/>
          </w:tcPr>
          <w:p w14:paraId="498A3E61">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286A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40DC3792">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预算编制合理性</w:t>
            </w:r>
          </w:p>
        </w:tc>
        <w:tc>
          <w:tcPr>
            <w:tcW w:w="1656" w:type="dxa"/>
            <w:vAlign w:val="center"/>
          </w:tcPr>
          <w:p w14:paraId="7DA870D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c>
          <w:tcPr>
            <w:tcW w:w="1192" w:type="dxa"/>
            <w:vAlign w:val="center"/>
          </w:tcPr>
          <w:p w14:paraId="606BC15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62" w:type="dxa"/>
            <w:vAlign w:val="center"/>
          </w:tcPr>
          <w:p w14:paraId="6B3BE52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r>
      <w:tr w14:paraId="0E79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4C607CDD">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预算调整规范性</w:t>
            </w:r>
          </w:p>
        </w:tc>
        <w:tc>
          <w:tcPr>
            <w:tcW w:w="1656" w:type="dxa"/>
            <w:vAlign w:val="center"/>
          </w:tcPr>
          <w:p w14:paraId="4C7798B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c>
          <w:tcPr>
            <w:tcW w:w="1192" w:type="dxa"/>
            <w:vAlign w:val="center"/>
          </w:tcPr>
          <w:p w14:paraId="135DBBF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0.00%</w:t>
            </w:r>
          </w:p>
        </w:tc>
        <w:tc>
          <w:tcPr>
            <w:tcW w:w="1262" w:type="dxa"/>
            <w:vAlign w:val="center"/>
          </w:tcPr>
          <w:p w14:paraId="3941FC4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w:t>
            </w:r>
          </w:p>
        </w:tc>
      </w:tr>
      <w:tr w14:paraId="3848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4EA6C76B">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预算资金到位、及时率</w:t>
            </w:r>
          </w:p>
        </w:tc>
        <w:tc>
          <w:tcPr>
            <w:tcW w:w="1656" w:type="dxa"/>
            <w:vAlign w:val="center"/>
          </w:tcPr>
          <w:p w14:paraId="7A31014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c>
          <w:tcPr>
            <w:tcW w:w="1192" w:type="dxa"/>
            <w:vAlign w:val="center"/>
          </w:tcPr>
          <w:p w14:paraId="3B20046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0.00</w:t>
            </w:r>
          </w:p>
        </w:tc>
        <w:tc>
          <w:tcPr>
            <w:tcW w:w="1262" w:type="dxa"/>
            <w:vAlign w:val="center"/>
          </w:tcPr>
          <w:p w14:paraId="45972BE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w:t>
            </w:r>
          </w:p>
        </w:tc>
      </w:tr>
      <w:tr w14:paraId="0A1B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208468E4">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预算执行率</w:t>
            </w:r>
          </w:p>
        </w:tc>
        <w:tc>
          <w:tcPr>
            <w:tcW w:w="1656" w:type="dxa"/>
            <w:vAlign w:val="center"/>
          </w:tcPr>
          <w:p w14:paraId="5156FC7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c>
          <w:tcPr>
            <w:tcW w:w="1192" w:type="dxa"/>
            <w:vAlign w:val="center"/>
          </w:tcPr>
          <w:p w14:paraId="44A4479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62" w:type="dxa"/>
            <w:vAlign w:val="center"/>
          </w:tcPr>
          <w:p w14:paraId="7415042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r>
      <w:tr w14:paraId="6A06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525B7DDA">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656" w:type="dxa"/>
          </w:tcPr>
          <w:p w14:paraId="14C3D49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192" w:type="dxa"/>
          </w:tcPr>
          <w:p w14:paraId="74A2FA3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40.00%</w:t>
            </w:r>
          </w:p>
        </w:tc>
        <w:tc>
          <w:tcPr>
            <w:tcW w:w="1262" w:type="dxa"/>
          </w:tcPr>
          <w:p w14:paraId="6F67177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bl>
    <w:p w14:paraId="166A5564">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（1）</w:t>
      </w:r>
      <w:r>
        <w:rPr>
          <w:rFonts w:hint="eastAsia" w:asciiTheme="minorEastAsia" w:hAnsiTheme="minorEastAsia" w:eastAsiaTheme="minorEastAsia" w:cstheme="minorEastAsia"/>
          <w:color w:val="auto"/>
          <w:sz w:val="28"/>
          <w:szCs w:val="28"/>
          <w:highlight w:val="none"/>
        </w:rPr>
        <w:t>项目资金预算编制合理性</w:t>
      </w:r>
    </w:p>
    <w:p w14:paraId="2513BE15">
      <w:pPr>
        <w:keepNext w:val="0"/>
        <w:keepLines w:val="0"/>
        <w:pageBreakBefore w:val="0"/>
        <w:widowControl w:val="0"/>
        <w:kinsoku/>
        <w:wordWrap/>
        <w:overflowPunct/>
        <w:topLinePunct w:val="0"/>
        <w:autoSpaceDE/>
        <w:autoSpaceDN/>
        <w:bidi w:val="0"/>
        <w:snapToGrid/>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项目管理、实施单位对项目资金预算编制是否合理性。</w:t>
      </w:r>
    </w:p>
    <w:p w14:paraId="17776716">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该项指标满分为1分，根据评分标准得1分。</w:t>
      </w:r>
    </w:p>
    <w:p w14:paraId="62AA4208">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（2）项目资金预算调整规范性</w:t>
      </w:r>
    </w:p>
    <w:p w14:paraId="3F7A8BE1">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在实地评价过程中，2023年项目预算金额、实施方案估算资金与2024年实际到位金额不致，未提供项目概算资金调整的报、审程序资料。</w:t>
      </w:r>
    </w:p>
    <w:p w14:paraId="3CC25FA8">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该项指标满分为1分，根据评分标准得0分。</w:t>
      </w:r>
    </w:p>
    <w:p w14:paraId="47D8C60C">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（3）项目资金到位、及时率</w:t>
      </w:r>
    </w:p>
    <w:p w14:paraId="0EC32ADC">
      <w:pPr>
        <w:keepNext w:val="0"/>
        <w:keepLines w:val="0"/>
        <w:pageBreakBefore w:val="0"/>
        <w:widowControl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根据2023年6月1日昆明市财政局 昆明市滇池管理局《关于下达滇池流域重点水域渔船、网具回收处置经费的通知》昆财资环〔2023〕24 号“此次下达经费-晋宁区 665.6 万元”，但该项资金未实际下达到位，项目未实施，至2024年9月由晋宁区财政保障并下达资金，进行项目实施。无预算调整资料。资金到位不及时。</w:t>
      </w:r>
      <w:r>
        <w:rPr>
          <w:rFonts w:hint="eastAsia" w:asciiTheme="minorEastAsia" w:hAnsiTheme="minorEastAsia" w:eastAsiaTheme="minorEastAsia" w:cstheme="minorEastAsia"/>
          <w:color w:val="auto"/>
          <w:sz w:val="28"/>
          <w:szCs w:val="28"/>
          <w:highlight w:val="none"/>
        </w:rPr>
        <w:t>实际到位资金635.40万元</w:t>
      </w:r>
      <w:r>
        <w:rPr>
          <w:rFonts w:hint="eastAsia" w:asciiTheme="minorEastAsia" w:hAnsiTheme="minorEastAsia" w:eastAsiaTheme="minorEastAsia" w:cstheme="minorEastAsia"/>
          <w:bCs/>
          <w:color w:val="auto"/>
          <w:sz w:val="28"/>
          <w:szCs w:val="28"/>
          <w:highlight w:val="none"/>
        </w:rPr>
        <w:t>。</w:t>
      </w:r>
    </w:p>
    <w:p w14:paraId="7E125A0F">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该项指标满分为2分，根据评分标准得0分。</w:t>
      </w:r>
    </w:p>
    <w:p w14:paraId="39EA8A62">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预算执行率</w:t>
      </w:r>
    </w:p>
    <w:p w14:paraId="774CF2D1">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在实地评价过程中，评价项目资金预算执行情况。</w:t>
      </w:r>
      <w:r>
        <w:rPr>
          <w:rFonts w:hint="eastAsia" w:asciiTheme="minorEastAsia" w:hAnsiTheme="minorEastAsia" w:eastAsiaTheme="minorEastAsia" w:cstheme="minorEastAsia"/>
          <w:bCs/>
          <w:color w:val="auto"/>
          <w:sz w:val="28"/>
          <w:szCs w:val="28"/>
          <w:highlight w:val="none"/>
        </w:rPr>
        <w:t>项目预算执行率100.00%。</w:t>
      </w:r>
    </w:p>
    <w:p w14:paraId="55617B92">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该项指标满分为1分，根据评分标准得1分。</w:t>
      </w:r>
    </w:p>
    <w:p w14:paraId="744EE7B8">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财务管理方面。</w:t>
      </w:r>
    </w:p>
    <w:p w14:paraId="316F844C">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该部分主要考察项目资金使用情况，项目资金拨付程序是否完整，会计核算是否合规。各指标分值和得分情况详见表4-4：</w:t>
      </w:r>
    </w:p>
    <w:p w14:paraId="33053EE4">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表4-4：“财务管理”指标评价分析及绩效得分情况</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77A7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6652B4D6">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656" w:type="dxa"/>
          </w:tcPr>
          <w:p w14:paraId="6AFC4034">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192" w:type="dxa"/>
          </w:tcPr>
          <w:p w14:paraId="179DD314">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62" w:type="dxa"/>
          </w:tcPr>
          <w:p w14:paraId="27E93402">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1ED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9EF13CF">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资金使用情况</w:t>
            </w:r>
          </w:p>
        </w:tc>
        <w:tc>
          <w:tcPr>
            <w:tcW w:w="1656" w:type="dxa"/>
          </w:tcPr>
          <w:p w14:paraId="3EABE74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c>
          <w:tcPr>
            <w:tcW w:w="1192" w:type="dxa"/>
          </w:tcPr>
          <w:p w14:paraId="5466A4D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1C0D625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r w14:paraId="092B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166B9F1">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资金管理制度健全性</w:t>
            </w:r>
          </w:p>
        </w:tc>
        <w:tc>
          <w:tcPr>
            <w:tcW w:w="1656" w:type="dxa"/>
          </w:tcPr>
          <w:p w14:paraId="7005184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c>
          <w:tcPr>
            <w:tcW w:w="1192" w:type="dxa"/>
          </w:tcPr>
          <w:p w14:paraId="37B6EAE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2D2D49E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r>
      <w:tr w14:paraId="6B7F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0943A533">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财务监控有效性</w:t>
            </w:r>
          </w:p>
        </w:tc>
        <w:tc>
          <w:tcPr>
            <w:tcW w:w="1656" w:type="dxa"/>
          </w:tcPr>
          <w:p w14:paraId="0E5B799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c>
          <w:tcPr>
            <w:tcW w:w="1192" w:type="dxa"/>
          </w:tcPr>
          <w:p w14:paraId="5D96A2F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73BB101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r w14:paraId="6F6F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24303A7C">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656" w:type="dxa"/>
          </w:tcPr>
          <w:p w14:paraId="2DF0CF4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192" w:type="dxa"/>
          </w:tcPr>
          <w:p w14:paraId="5A3895F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203A5D3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r>
    </w:tbl>
    <w:p w14:paraId="53837E99">
      <w:pPr>
        <w:keepNext w:val="0"/>
        <w:keepLines w:val="0"/>
        <w:pageBreakBefore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（1）资金使用情况</w:t>
      </w:r>
    </w:p>
    <w:p w14:paraId="6733B2DE">
      <w:pPr>
        <w:keepNext w:val="0"/>
        <w:keepLines w:val="0"/>
        <w:pageBreakBefore w:val="0"/>
        <w:kinsoku/>
        <w:wordWrap/>
        <w:overflowPunct/>
        <w:topLinePunct w:val="0"/>
        <w:autoSpaceDE/>
        <w:autoSpaceDN/>
        <w:bidi w:val="0"/>
        <w:snapToGrid/>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资金使用执行相关内控管理制度，未发现使用不规范情况。</w:t>
      </w:r>
    </w:p>
    <w:p w14:paraId="66824E55">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该项指标满分为2分，根据评分标准得2分。</w:t>
      </w:r>
    </w:p>
    <w:p w14:paraId="0EF7845F">
      <w:pPr>
        <w:keepNext w:val="0"/>
        <w:keepLines w:val="0"/>
        <w:pageBreakBefore w:val="0"/>
        <w:kinsoku/>
        <w:wordWrap/>
        <w:overflowPunct/>
        <w:topLinePunct w:val="0"/>
        <w:autoSpaceDE/>
        <w:autoSpaceDN/>
        <w:bidi w:val="0"/>
        <w:adjustRightInd w:val="0"/>
        <w:snapToGrid/>
        <w:spacing w:line="560" w:lineRule="exact"/>
        <w:ind w:firstLine="59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（2）资金管理制度健全性</w:t>
      </w:r>
    </w:p>
    <w:p w14:paraId="7E981E85">
      <w:pPr>
        <w:keepNext w:val="0"/>
        <w:keepLines w:val="0"/>
        <w:pageBreakBefore w:val="0"/>
        <w:kinsoku/>
        <w:wordWrap/>
        <w:overflowPunct/>
        <w:topLinePunct w:val="0"/>
        <w:autoSpaceDE/>
        <w:autoSpaceDN/>
        <w:bidi w:val="0"/>
        <w:snapToGrid/>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内控管理制度中资金管理制度健全性。预算执行率为100%。</w:t>
      </w:r>
    </w:p>
    <w:p w14:paraId="023DF383">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该项指标满分为1分，根据评分标准得1分。</w:t>
      </w:r>
    </w:p>
    <w:p w14:paraId="710BE885">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（3）财务监控有效性</w:t>
      </w:r>
    </w:p>
    <w:p w14:paraId="26CCD890">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地评价，资金的拨付有完整的审批程序和手续，未发现未按批复用途使用资金的情况，资金使用符合国家财经法规和财务管理制度规定以及有关专项资金管理办法的规定。未发现存在截留、挤占、挪用、虚列支出等情况，资金拨付程序完整,财务制度有效执行</w:t>
      </w:r>
      <w:r>
        <w:rPr>
          <w:rFonts w:hint="eastAsia" w:asciiTheme="minorEastAsia" w:hAnsiTheme="minorEastAsia" w:eastAsiaTheme="minorEastAsia" w:cstheme="minorEastAsia"/>
          <w:bCs/>
          <w:color w:val="auto"/>
          <w:sz w:val="28"/>
          <w:szCs w:val="28"/>
          <w:highlight w:val="none"/>
        </w:rPr>
        <w:t>。</w:t>
      </w:r>
    </w:p>
    <w:p w14:paraId="4701ED9C">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该项指标满分为2分，根据评分标准得2分。</w:t>
      </w:r>
    </w:p>
    <w:p w14:paraId="58C14739">
      <w:pPr>
        <w:keepNext w:val="0"/>
        <w:keepLines w:val="0"/>
        <w:pageBreakBefore w:val="0"/>
        <w:numPr>
          <w:ilvl w:val="0"/>
          <w:numId w:val="3"/>
        </w:numP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项目实施</w:t>
      </w:r>
    </w:p>
    <w:p w14:paraId="5E581292">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该部分主要考察项目管理制度健全性、执行有效性、政府采购规范性及绩效管理执行规范性。各指标分值和得分情况详见表4-5：</w:t>
      </w:r>
    </w:p>
    <w:p w14:paraId="298D16D0">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表4-5：“项目实施”指标评价分析及绩效得分情况</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9"/>
        <w:gridCol w:w="1656"/>
        <w:gridCol w:w="1192"/>
        <w:gridCol w:w="1262"/>
      </w:tblGrid>
      <w:tr w14:paraId="2A34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69" w:type="dxa"/>
          </w:tcPr>
          <w:p w14:paraId="55BF3581">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656" w:type="dxa"/>
          </w:tcPr>
          <w:p w14:paraId="027CA233">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192" w:type="dxa"/>
          </w:tcPr>
          <w:p w14:paraId="6B72A612">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62" w:type="dxa"/>
          </w:tcPr>
          <w:p w14:paraId="40C384DE">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2DB8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732815E2">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项目管理制度健全性</w:t>
            </w:r>
          </w:p>
        </w:tc>
        <w:tc>
          <w:tcPr>
            <w:tcW w:w="1656" w:type="dxa"/>
          </w:tcPr>
          <w:p w14:paraId="2F91D5A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c>
          <w:tcPr>
            <w:tcW w:w="1192" w:type="dxa"/>
          </w:tcPr>
          <w:p w14:paraId="5CCC8C0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1E40EDB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r w14:paraId="22E9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20D9D783">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项目管理制度执行有效性</w:t>
            </w:r>
          </w:p>
        </w:tc>
        <w:tc>
          <w:tcPr>
            <w:tcW w:w="1656" w:type="dxa"/>
          </w:tcPr>
          <w:p w14:paraId="5CF6EA2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c>
          <w:tcPr>
            <w:tcW w:w="1192" w:type="dxa"/>
          </w:tcPr>
          <w:p w14:paraId="70B2628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w:t>
            </w:r>
          </w:p>
        </w:tc>
        <w:tc>
          <w:tcPr>
            <w:tcW w:w="1262" w:type="dxa"/>
          </w:tcPr>
          <w:p w14:paraId="71966B6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r>
      <w:tr w14:paraId="10FA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vAlign w:val="center"/>
          </w:tcPr>
          <w:p w14:paraId="261C7818">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绩效管理执行规范性</w:t>
            </w:r>
          </w:p>
        </w:tc>
        <w:tc>
          <w:tcPr>
            <w:tcW w:w="1656" w:type="dxa"/>
          </w:tcPr>
          <w:p w14:paraId="3E3F686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c>
          <w:tcPr>
            <w:tcW w:w="1192" w:type="dxa"/>
          </w:tcPr>
          <w:p w14:paraId="4FF247A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50%</w:t>
            </w:r>
          </w:p>
        </w:tc>
        <w:tc>
          <w:tcPr>
            <w:tcW w:w="1262" w:type="dxa"/>
          </w:tcPr>
          <w:p w14:paraId="249E002F">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w:t>
            </w:r>
          </w:p>
        </w:tc>
      </w:tr>
      <w:tr w14:paraId="63B0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9" w:type="dxa"/>
          </w:tcPr>
          <w:p w14:paraId="5DE55CB3">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656" w:type="dxa"/>
          </w:tcPr>
          <w:p w14:paraId="448F633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w:t>
            </w:r>
          </w:p>
        </w:tc>
        <w:tc>
          <w:tcPr>
            <w:tcW w:w="1192" w:type="dxa"/>
          </w:tcPr>
          <w:p w14:paraId="1EA80C6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90.00%</w:t>
            </w:r>
          </w:p>
        </w:tc>
        <w:tc>
          <w:tcPr>
            <w:tcW w:w="1262" w:type="dxa"/>
          </w:tcPr>
          <w:p w14:paraId="37DDC77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9</w:t>
            </w:r>
          </w:p>
        </w:tc>
      </w:tr>
    </w:tbl>
    <w:p w14:paraId="170B11FB">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（1）项目管理制度健全性</w:t>
      </w:r>
    </w:p>
    <w:p w14:paraId="080DAE99">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根据实地评价，项目实施过程中单位管理制度健全性及项目组织机构保障性按照昆明市晋宁区水务局相关内控管理制度执行。</w:t>
      </w:r>
    </w:p>
    <w:p w14:paraId="0FAE33F4">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该项指标满分为2分，根据评分标准得2分。</w:t>
      </w:r>
    </w:p>
    <w:p w14:paraId="73857651">
      <w:pPr>
        <w:keepNext w:val="0"/>
        <w:keepLines w:val="0"/>
        <w:pageBreakBefore w:val="0"/>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（2）项目管理制度执行有效性</w:t>
      </w:r>
    </w:p>
    <w:p w14:paraId="47F15933">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根据实地评价，按项目管理办法实施项目管理，建立台账记录、项目合同执行有效。</w:t>
      </w:r>
    </w:p>
    <w:p w14:paraId="50E5598E">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该项指标满分为6分，根据评分标准得6分。</w:t>
      </w:r>
    </w:p>
    <w:p w14:paraId="6E4247BA">
      <w:pPr>
        <w:keepNext w:val="0"/>
        <w:keepLines w:val="0"/>
        <w:pageBreakBefore w:val="0"/>
        <w:numPr>
          <w:ilvl w:val="0"/>
          <w:numId w:val="5"/>
        </w:numPr>
        <w:kinsoku/>
        <w:wordWrap/>
        <w:overflowPunct/>
        <w:topLinePunct w:val="0"/>
        <w:autoSpaceDE/>
        <w:autoSpaceDN/>
        <w:bidi w:val="0"/>
        <w:adjustRightInd w:val="0"/>
        <w:spacing w:line="560" w:lineRule="exact"/>
        <w:ind w:firstLine="590"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绩效管理执行规范性</w:t>
      </w:r>
    </w:p>
    <w:p w14:paraId="749BB27C">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根据实地评价，项目自评报告中相关指标设计未结合年初预算批复的项目支出及项目特点，补充设计个性指标。</w:t>
      </w:r>
    </w:p>
    <w:p w14:paraId="01611B15">
      <w:pPr>
        <w:keepNext w:val="0"/>
        <w:keepLines w:val="0"/>
        <w:pageBreakBefore w:val="0"/>
        <w:kinsoku/>
        <w:wordWrap/>
        <w:overflowPunct/>
        <w:topLinePunct w:val="0"/>
        <w:autoSpaceDE/>
        <w:autoSpaceDN/>
        <w:bidi w:val="0"/>
        <w:adjustRightInd w:val="0"/>
        <w:spacing w:line="560" w:lineRule="exact"/>
        <w:ind w:firstLine="614" w:firstLineChars="200"/>
        <w:jc w:val="both"/>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该项指标满分为2分，根据评分标准得1分</w:t>
      </w:r>
    </w:p>
    <w:p w14:paraId="30C5A135">
      <w:pPr>
        <w:keepNext w:val="0"/>
        <w:keepLines w:val="0"/>
        <w:pageBreakBefore w:val="0"/>
        <w:kinsoku/>
        <w:wordWrap/>
        <w:overflowPunct/>
        <w:topLinePunct w:val="0"/>
        <w:autoSpaceDE/>
        <w:autoSpaceDN/>
        <w:bidi w:val="0"/>
        <w:adjustRightInd w:val="0"/>
        <w:snapToGrid w:val="0"/>
        <w:spacing w:line="560" w:lineRule="exact"/>
        <w:ind w:firstLine="590" w:firstLineChars="200"/>
        <w:jc w:val="both"/>
        <w:textAlignment w:val="auto"/>
        <w:outlineLvl w:val="1"/>
        <w:rPr>
          <w:rFonts w:hint="eastAsia" w:asciiTheme="minorEastAsia" w:hAnsiTheme="minorEastAsia" w:eastAsiaTheme="minorEastAsia" w:cstheme="minorEastAsia"/>
          <w:b/>
          <w:bCs/>
          <w:color w:val="auto"/>
          <w:sz w:val="28"/>
          <w:szCs w:val="28"/>
          <w:highlight w:val="none"/>
        </w:rPr>
      </w:pPr>
      <w:bookmarkStart w:id="62" w:name="_Toc518317813"/>
      <w:bookmarkStart w:id="63" w:name="_Toc19134"/>
      <w:bookmarkStart w:id="64" w:name="_Toc517260977"/>
      <w:r>
        <w:rPr>
          <w:rFonts w:hint="eastAsia" w:asciiTheme="minorEastAsia" w:hAnsiTheme="minorEastAsia" w:eastAsiaTheme="minorEastAsia" w:cstheme="minorEastAsia"/>
          <w:b/>
          <w:bCs/>
          <w:color w:val="auto"/>
          <w:sz w:val="28"/>
          <w:szCs w:val="28"/>
          <w:highlight w:val="none"/>
        </w:rPr>
        <w:t>（三）项目产出情况</w:t>
      </w:r>
      <w:bookmarkEnd w:id="62"/>
      <w:bookmarkEnd w:id="63"/>
      <w:bookmarkEnd w:id="64"/>
    </w:p>
    <w:p w14:paraId="2C4D9599">
      <w:pPr>
        <w:keepNext w:val="0"/>
        <w:keepLines w:val="0"/>
        <w:pageBreakBefore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项目产出类指标，包括产出数量、产出质量、产出时效和产出成本控制四个方面的内容，由4个三级指标构成。指标得分满分30分，实际得分29分，得分率96.67%。</w:t>
      </w:r>
    </w:p>
    <w:p w14:paraId="2AD7BD8B">
      <w:pPr>
        <w:keepNext w:val="0"/>
        <w:keepLines w:val="0"/>
        <w:pageBreakBefore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1</w:t>
      </w:r>
      <w:r>
        <w:rPr>
          <w:rFonts w:hint="eastAsia" w:asciiTheme="minorEastAsia" w:hAnsiTheme="minorEastAsia" w:eastAsiaTheme="minorEastAsia" w:cstheme="minorEastAsia"/>
          <w:bCs/>
          <w:color w:val="auto"/>
          <w:spacing w:val="6"/>
          <w:sz w:val="28"/>
          <w:szCs w:val="28"/>
          <w:highlight w:val="none"/>
          <w:lang w:eastAsia="zh-CN"/>
        </w:rPr>
        <w:t>、</w:t>
      </w:r>
      <w:r>
        <w:rPr>
          <w:rFonts w:hint="eastAsia" w:asciiTheme="minorEastAsia" w:hAnsiTheme="minorEastAsia" w:eastAsiaTheme="minorEastAsia" w:cstheme="minorEastAsia"/>
          <w:bCs/>
          <w:color w:val="auto"/>
          <w:spacing w:val="6"/>
          <w:sz w:val="28"/>
          <w:szCs w:val="28"/>
          <w:highlight w:val="none"/>
        </w:rPr>
        <w:t>产出数量</w:t>
      </w:r>
    </w:p>
    <w:p w14:paraId="20B63CC1">
      <w:pPr>
        <w:keepNext w:val="0"/>
        <w:keepLines w:val="0"/>
        <w:pageBreakBefore w:val="0"/>
        <w:kinsoku/>
        <w:wordWrap/>
        <w:overflowPunct/>
        <w:topLinePunct w:val="0"/>
        <w:autoSpaceDE/>
        <w:autoSpaceDN/>
        <w:bidi w:val="0"/>
        <w:adjustRightInd w:val="0"/>
        <w:spacing w:line="560" w:lineRule="exact"/>
        <w:ind w:firstLine="624"/>
        <w:jc w:val="both"/>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该部分主要考察项目产出数量的目标完成情况。各指标分值和得分情况详见表4-6：</w:t>
      </w:r>
    </w:p>
    <w:p w14:paraId="1B4D6747">
      <w:pPr>
        <w:keepNext w:val="0"/>
        <w:keepLines w:val="0"/>
        <w:pageBreakBefore w:val="0"/>
        <w:widowControl/>
        <w:kinsoku/>
        <w:wordWrap/>
        <w:overflowPunct/>
        <w:topLinePunct w:val="0"/>
        <w:autoSpaceDE/>
        <w:autoSpaceDN/>
        <w:bidi w:val="0"/>
        <w:adjustRightInd w:val="0"/>
        <w:spacing w:line="56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表4-6：“产出数量”指标评价分析及绩效得分情况</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1B4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625B0F41">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276" w:type="dxa"/>
          </w:tcPr>
          <w:p w14:paraId="4FE68E94">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276" w:type="dxa"/>
          </w:tcPr>
          <w:p w14:paraId="59FAE769">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45" w:type="dxa"/>
          </w:tcPr>
          <w:p w14:paraId="703E4EBE">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247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35259EC5">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晋宁区滇池流域重点水域捕捞许可证注销完成率</w:t>
            </w:r>
          </w:p>
        </w:tc>
        <w:tc>
          <w:tcPr>
            <w:tcW w:w="1276" w:type="dxa"/>
            <w:vAlign w:val="center"/>
          </w:tcPr>
          <w:p w14:paraId="6B8F12C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c>
          <w:tcPr>
            <w:tcW w:w="1276" w:type="dxa"/>
          </w:tcPr>
          <w:p w14:paraId="07FCC56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02DDC83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49D4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7A64ABBD">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网具、渔船回收、处置完成率</w:t>
            </w:r>
          </w:p>
        </w:tc>
        <w:tc>
          <w:tcPr>
            <w:tcW w:w="1276" w:type="dxa"/>
            <w:vAlign w:val="center"/>
          </w:tcPr>
          <w:p w14:paraId="3475DD0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c>
          <w:tcPr>
            <w:tcW w:w="1276" w:type="dxa"/>
          </w:tcPr>
          <w:p w14:paraId="1004E64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1652386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084E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98F37E1">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奖励费</w:t>
            </w:r>
          </w:p>
        </w:tc>
        <w:tc>
          <w:tcPr>
            <w:tcW w:w="1276" w:type="dxa"/>
            <w:vAlign w:val="center"/>
          </w:tcPr>
          <w:p w14:paraId="7D105E9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c>
          <w:tcPr>
            <w:tcW w:w="1276" w:type="dxa"/>
          </w:tcPr>
          <w:p w14:paraId="275BBB8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5DE8733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01FA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26364FD1">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276" w:type="dxa"/>
          </w:tcPr>
          <w:p w14:paraId="66E4C29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12</w:t>
            </w:r>
          </w:p>
        </w:tc>
        <w:tc>
          <w:tcPr>
            <w:tcW w:w="1276" w:type="dxa"/>
          </w:tcPr>
          <w:p w14:paraId="52184F5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4182EE5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12</w:t>
            </w:r>
          </w:p>
        </w:tc>
      </w:tr>
    </w:tbl>
    <w:p w14:paraId="0615E927">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（1）晋宁区滇池流域重点水域捕捞许可证注销完成率</w:t>
      </w:r>
    </w:p>
    <w:p w14:paraId="1363BDF7">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根据实施方案，完成晋宁区滇池流域重点水域捕捞许可证注销639本（晋城街道364户、昆阳街道101户、上蒜镇174户），项目完成率100%。</w:t>
      </w:r>
    </w:p>
    <w:p w14:paraId="7408C1F8">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该项指标满分为4分，根据评分标准得4分。</w:t>
      </w:r>
    </w:p>
    <w:p w14:paraId="7401103B">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（2）渔具、渔船回收、处置工作完成率</w:t>
      </w:r>
    </w:p>
    <w:p w14:paraId="25761983">
      <w:pPr>
        <w:keepNext w:val="0"/>
        <w:keepLines w:val="0"/>
        <w:pageBreakBefore w:val="0"/>
        <w:widowControl w:val="0"/>
        <w:kinsoku/>
        <w:wordWrap/>
        <w:overflowPunct/>
        <w:topLinePunct w:val="0"/>
        <w:autoSpaceDE/>
        <w:autoSpaceDN/>
        <w:bidi w:val="0"/>
        <w:snapToGrid/>
        <w:spacing w:line="560" w:lineRule="exact"/>
        <w:ind w:firstLine="614"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根据实施方案，完成情况渔船545条、大鱼网579949米、其它鱼网1858张网的渔具、渔船回收、处置工作</w:t>
      </w:r>
      <w:r>
        <w:rPr>
          <w:rFonts w:hint="eastAsia" w:asciiTheme="minorEastAsia" w:hAnsiTheme="minorEastAsia" w:eastAsiaTheme="minorEastAsia" w:cstheme="minorEastAsia"/>
          <w:color w:val="auto"/>
          <w:sz w:val="28"/>
          <w:szCs w:val="28"/>
          <w:highlight w:val="none"/>
        </w:rPr>
        <w:t xml:space="preserve">。                                                                                                                                                                     </w:t>
      </w:r>
    </w:p>
    <w:p w14:paraId="47DF72A5">
      <w:pPr>
        <w:keepNext w:val="0"/>
        <w:keepLines w:val="0"/>
        <w:pageBreakBefore w:val="0"/>
        <w:widowControl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该项指标满分为4分，根据评分标准得4分。</w:t>
      </w:r>
    </w:p>
    <w:p w14:paraId="4ADF1060">
      <w:pPr>
        <w:keepNext w:val="0"/>
        <w:keepLines w:val="0"/>
        <w:pageBreakBefore w:val="0"/>
        <w:widowControl w:val="0"/>
        <w:numPr>
          <w:ilvl w:val="0"/>
          <w:numId w:val="6"/>
        </w:numPr>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完成奖励费支付</w:t>
      </w:r>
    </w:p>
    <w:p w14:paraId="74878855">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按处置渔船数以1000元/船奖励，完成545人奖励费的相关工作内容。</w:t>
      </w:r>
    </w:p>
    <w:p w14:paraId="63C4520B">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该项指标满分为4分，根据评分标准得4分。</w:t>
      </w:r>
    </w:p>
    <w:p w14:paraId="5D3F9D9D">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2</w:t>
      </w:r>
      <w:r>
        <w:rPr>
          <w:rFonts w:hint="eastAsia" w:asciiTheme="minorEastAsia" w:hAnsiTheme="minorEastAsia" w:eastAsiaTheme="minorEastAsia" w:cstheme="minorEastAsia"/>
          <w:bCs/>
          <w:color w:val="auto"/>
          <w:spacing w:val="6"/>
          <w:sz w:val="28"/>
          <w:szCs w:val="28"/>
          <w:highlight w:val="none"/>
          <w:lang w:eastAsia="zh-CN"/>
        </w:rPr>
        <w:t>、</w:t>
      </w:r>
      <w:r>
        <w:rPr>
          <w:rFonts w:hint="eastAsia" w:asciiTheme="minorEastAsia" w:hAnsiTheme="minorEastAsia" w:eastAsiaTheme="minorEastAsia" w:cstheme="minorEastAsia"/>
          <w:bCs/>
          <w:color w:val="auto"/>
          <w:spacing w:val="6"/>
          <w:sz w:val="28"/>
          <w:szCs w:val="28"/>
          <w:highlight w:val="none"/>
        </w:rPr>
        <w:t>产出质量</w:t>
      </w:r>
    </w:p>
    <w:p w14:paraId="20A2AD8F">
      <w:pPr>
        <w:keepNext w:val="0"/>
        <w:keepLines w:val="0"/>
        <w:pageBreakBefore w:val="0"/>
        <w:widowControl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反映项目产出质量情况，主要是考察项目施工过程中的施工质量，各分项指标的业绩值和绩效分值如下表所示：</w:t>
      </w:r>
    </w:p>
    <w:p w14:paraId="79E0A216">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表4-7：“产出质量”指标评价分析及绩效得分情况</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6D54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1FD6BFDB">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276" w:type="dxa"/>
          </w:tcPr>
          <w:p w14:paraId="23EB42A8">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276" w:type="dxa"/>
          </w:tcPr>
          <w:p w14:paraId="4111013C">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45" w:type="dxa"/>
          </w:tcPr>
          <w:p w14:paraId="71FA565D">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7DFE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799B8024">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回收的渔船信息登记、照片相符的渔船；回收网具规范性</w:t>
            </w:r>
          </w:p>
        </w:tc>
        <w:tc>
          <w:tcPr>
            <w:tcW w:w="1276" w:type="dxa"/>
          </w:tcPr>
          <w:p w14:paraId="50C71C2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c>
          <w:tcPr>
            <w:tcW w:w="1276" w:type="dxa"/>
          </w:tcPr>
          <w:p w14:paraId="04146D2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277B3D9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57D4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D632266">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注销的《内陆渔业捕捞许可证》信息完整性</w:t>
            </w:r>
          </w:p>
        </w:tc>
        <w:tc>
          <w:tcPr>
            <w:tcW w:w="1276" w:type="dxa"/>
          </w:tcPr>
          <w:p w14:paraId="100CD6B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tcPr>
          <w:p w14:paraId="375E802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30BFAF8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41C4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53F16505">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注销的《内陆渔业捕捞许可证》规范性</w:t>
            </w:r>
          </w:p>
        </w:tc>
        <w:tc>
          <w:tcPr>
            <w:tcW w:w="1276" w:type="dxa"/>
          </w:tcPr>
          <w:p w14:paraId="56B305E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tcPr>
          <w:p w14:paraId="1874FCD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371648F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0187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2DBBB010">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276" w:type="dxa"/>
          </w:tcPr>
          <w:p w14:paraId="7EEECC0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w:t>
            </w:r>
          </w:p>
        </w:tc>
        <w:tc>
          <w:tcPr>
            <w:tcW w:w="1276" w:type="dxa"/>
          </w:tcPr>
          <w:p w14:paraId="5244B96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7E884AD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w:t>
            </w:r>
          </w:p>
        </w:tc>
      </w:tr>
    </w:tbl>
    <w:p w14:paraId="296EBC0B">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（1）按方案完成渔船、网具回收处置补偿及奖励资金的公示。</w:t>
      </w:r>
    </w:p>
    <w:p w14:paraId="227AD3B7">
      <w:pPr>
        <w:keepNext w:val="0"/>
        <w:keepLines w:val="0"/>
        <w:pageBreakBefore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该项指标满分为4分，根据评分标准得4分。</w:t>
      </w:r>
    </w:p>
    <w:p w14:paraId="34B78D26">
      <w:pPr>
        <w:keepNext w:val="0"/>
        <w:keepLines w:val="0"/>
        <w:pageBreakBefore w:val="0"/>
        <w:kinsoku/>
        <w:wordWrap/>
        <w:overflowPunct/>
        <w:topLinePunct w:val="0"/>
        <w:autoSpaceDE/>
        <w:autoSpaceDN/>
        <w:bidi w:val="0"/>
        <w:adjustRightInd w:val="0"/>
        <w:snapToGrid/>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（2）注销的《内陆渔业捕捞许可证》是经“三证合一”后的滇池《内陆渔业捕捞许可证》登记信息、照片相符的渔船。</w:t>
      </w:r>
    </w:p>
    <w:p w14:paraId="2DA7D060">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该项指标满分为3分，根据评分标准得3分。</w:t>
      </w:r>
    </w:p>
    <w:p w14:paraId="7EE973A3">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（3）注销的《内陆渔业捕捞许可证》是经过滇池渔业行政管理部门审验合格的证件。</w:t>
      </w:r>
    </w:p>
    <w:p w14:paraId="1A00BE36">
      <w:pPr>
        <w:keepNext w:val="0"/>
        <w:keepLines w:val="0"/>
        <w:pageBreakBefore w:val="0"/>
        <w:widowControl/>
        <w:kinsoku/>
        <w:wordWrap/>
        <w:overflowPunct/>
        <w:topLinePunct w:val="0"/>
        <w:autoSpaceDE/>
        <w:autoSpaceDN/>
        <w:bidi w:val="0"/>
        <w:adjustRightInd w:val="0"/>
        <w:snapToGrid/>
        <w:spacing w:line="560" w:lineRule="exact"/>
        <w:ind w:left="63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该项指标满分为3分，根据评分标准得3分。</w:t>
      </w:r>
    </w:p>
    <w:p w14:paraId="6BBD65F8">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3</w:t>
      </w:r>
      <w:r>
        <w:rPr>
          <w:rFonts w:hint="eastAsia" w:asciiTheme="minorEastAsia" w:hAnsiTheme="minorEastAsia" w:eastAsiaTheme="minorEastAsia" w:cstheme="minorEastAsia"/>
          <w:bCs/>
          <w:color w:val="auto"/>
          <w:spacing w:val="6"/>
          <w:sz w:val="28"/>
          <w:szCs w:val="28"/>
          <w:highlight w:val="none"/>
          <w:lang w:eastAsia="zh-CN"/>
        </w:rPr>
        <w:t>、</w:t>
      </w:r>
      <w:r>
        <w:rPr>
          <w:rFonts w:hint="eastAsia" w:asciiTheme="minorEastAsia" w:hAnsiTheme="minorEastAsia" w:eastAsiaTheme="minorEastAsia" w:cstheme="minorEastAsia"/>
          <w:bCs/>
          <w:color w:val="auto"/>
          <w:spacing w:val="6"/>
          <w:sz w:val="28"/>
          <w:szCs w:val="28"/>
          <w:highlight w:val="none"/>
        </w:rPr>
        <w:t>产出时效</w:t>
      </w:r>
    </w:p>
    <w:p w14:paraId="2C9DAA9D">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反映的是项目产出时效，主要是考察项目是否制定进度计划并按期完成，用以反映项目产出时效。各分项指标的业绩值和绩效分值如下表所示：</w:t>
      </w:r>
    </w:p>
    <w:p w14:paraId="0930433C">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表4-8：“产出时效”指标评价分析及绩效得分情况</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679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4915F70A">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276" w:type="dxa"/>
          </w:tcPr>
          <w:p w14:paraId="66BB1152">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276" w:type="dxa"/>
          </w:tcPr>
          <w:p w14:paraId="38E22D37">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45" w:type="dxa"/>
          </w:tcPr>
          <w:p w14:paraId="437E3619">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634D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4D47568C">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滇池流域重点水域渔船、网具回收处置补偿及奖励资金拨付及时性</w:t>
            </w:r>
          </w:p>
        </w:tc>
        <w:tc>
          <w:tcPr>
            <w:tcW w:w="1276" w:type="dxa"/>
          </w:tcPr>
          <w:p w14:paraId="240B0B3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tcPr>
          <w:p w14:paraId="33A4C21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4781C13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r w14:paraId="18FC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05DFABD2">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276" w:type="dxa"/>
          </w:tcPr>
          <w:p w14:paraId="2E3149B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tcPr>
          <w:p w14:paraId="2CD9B14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80.00%</w:t>
            </w:r>
          </w:p>
        </w:tc>
        <w:tc>
          <w:tcPr>
            <w:tcW w:w="1245" w:type="dxa"/>
          </w:tcPr>
          <w:p w14:paraId="502DD6A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4</w:t>
            </w:r>
          </w:p>
        </w:tc>
      </w:tr>
    </w:tbl>
    <w:p w14:paraId="77446F60">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pacing w:val="6"/>
          <w:sz w:val="28"/>
          <w:szCs w:val="28"/>
          <w:highlight w:val="none"/>
        </w:rPr>
        <w:t>根据</w:t>
      </w:r>
      <w:r>
        <w:rPr>
          <w:rFonts w:hint="eastAsia" w:asciiTheme="minorEastAsia" w:hAnsiTheme="minorEastAsia" w:eastAsiaTheme="minorEastAsia" w:cstheme="minorEastAsia"/>
          <w:bCs/>
          <w:color w:val="auto"/>
          <w:sz w:val="28"/>
          <w:szCs w:val="28"/>
          <w:highlight w:val="none"/>
        </w:rPr>
        <w:t>昆明市财政局 昆明市滇池管理局《关于下达滇池流域重点水域渔船、网具回收处置经费的通知》（</w:t>
      </w:r>
      <w:r>
        <w:rPr>
          <w:rFonts w:hint="eastAsia" w:asciiTheme="minorEastAsia" w:hAnsiTheme="minorEastAsia" w:eastAsiaTheme="minorEastAsia" w:cstheme="minorEastAsia"/>
          <w:bCs/>
          <w:color w:val="auto"/>
          <w:spacing w:val="6"/>
          <w:sz w:val="28"/>
          <w:szCs w:val="28"/>
          <w:highlight w:val="none"/>
        </w:rPr>
        <w:t xml:space="preserve">昆财资环〔2023〕24 号）“此次下达经费-晋宁区 665.6 万元”，但该项资金未实际下达到位，项目未实施。至2024年9月由晋宁区财政保障并下达资金。项目补偿、奖励款及时拨付，并于2024年12月份全部兑付完毕，2025年3月开始渔船销毁处置工作。2024年资金拨付到位，项目继续推进，但未按2023年实施方案完成。                                       </w:t>
      </w:r>
      <w:r>
        <w:rPr>
          <w:rFonts w:hint="eastAsia" w:asciiTheme="minorEastAsia" w:hAnsiTheme="minorEastAsia" w:eastAsiaTheme="minorEastAsia" w:cstheme="minorEastAsia"/>
          <w:color w:val="auto"/>
          <w:sz w:val="28"/>
          <w:szCs w:val="28"/>
          <w:highlight w:val="none"/>
        </w:rPr>
        <w:t xml:space="preserve">                      </w:t>
      </w:r>
    </w:p>
    <w:p w14:paraId="146E6A5C">
      <w:pPr>
        <w:keepNext w:val="0"/>
        <w:keepLines w:val="0"/>
        <w:pageBreakBefore w:val="0"/>
        <w:widowControl/>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该项指标满分为5分，根据评分标准得4分。</w:t>
      </w:r>
    </w:p>
    <w:p w14:paraId="2CAC0E99">
      <w:pPr>
        <w:keepNext w:val="0"/>
        <w:keepLines w:val="0"/>
        <w:pageBreakBefore w:val="0"/>
        <w:widowControl/>
        <w:numPr>
          <w:ilvl w:val="0"/>
          <w:numId w:val="7"/>
        </w:numPr>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产出成本</w:t>
      </w:r>
    </w:p>
    <w:p w14:paraId="4E9779EA">
      <w:pPr>
        <w:keepNext w:val="0"/>
        <w:keepLines w:val="0"/>
        <w:pageBreakBefore w:val="0"/>
        <w:kinsoku/>
        <w:wordWrap/>
        <w:overflowPunct/>
        <w:topLinePunct w:val="0"/>
        <w:autoSpaceDE/>
        <w:autoSpaceDN/>
        <w:bidi w:val="0"/>
        <w:adjustRightInd w:val="0"/>
        <w:snapToGrid/>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反映的是项目成本控制率，主要考察项目总体实际支出成本与项目实施方案项目估算中相关成本的控制率。各分项指标的业绩值和绩效分值如下表所示：</w:t>
      </w:r>
    </w:p>
    <w:p w14:paraId="4DE9451B">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表4-9：“产出成本”指标评价分析及绩效得分情况</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8"/>
        <w:gridCol w:w="1080"/>
        <w:gridCol w:w="1000"/>
        <w:gridCol w:w="1072"/>
      </w:tblGrid>
      <w:tr w14:paraId="68A8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88" w:type="dxa"/>
          </w:tcPr>
          <w:p w14:paraId="155E7910">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080" w:type="dxa"/>
          </w:tcPr>
          <w:p w14:paraId="24658D66">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000" w:type="dxa"/>
          </w:tcPr>
          <w:p w14:paraId="29CEC9A6">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072" w:type="dxa"/>
          </w:tcPr>
          <w:p w14:paraId="2BAC6479">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2033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8" w:type="dxa"/>
            <w:vAlign w:val="center"/>
          </w:tcPr>
          <w:p w14:paraId="3E4553D4">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晋宁区滇池流域重点水域渔船、网具回收处置经费（成本）控制率</w:t>
            </w:r>
          </w:p>
        </w:tc>
        <w:tc>
          <w:tcPr>
            <w:tcW w:w="1080" w:type="dxa"/>
            <w:vAlign w:val="center"/>
          </w:tcPr>
          <w:p w14:paraId="17866F7D">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3</w:t>
            </w:r>
          </w:p>
        </w:tc>
        <w:tc>
          <w:tcPr>
            <w:tcW w:w="1000" w:type="dxa"/>
          </w:tcPr>
          <w:p w14:paraId="6EAD8A16">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100%</w:t>
            </w:r>
          </w:p>
        </w:tc>
        <w:tc>
          <w:tcPr>
            <w:tcW w:w="1072" w:type="dxa"/>
            <w:vAlign w:val="center"/>
          </w:tcPr>
          <w:p w14:paraId="1E36D189">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3</w:t>
            </w:r>
          </w:p>
        </w:tc>
      </w:tr>
      <w:tr w14:paraId="7D59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8" w:type="dxa"/>
          </w:tcPr>
          <w:p w14:paraId="0755A331">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080" w:type="dxa"/>
            <w:vAlign w:val="center"/>
          </w:tcPr>
          <w:p w14:paraId="0BCFFCCC">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3</w:t>
            </w:r>
          </w:p>
        </w:tc>
        <w:tc>
          <w:tcPr>
            <w:tcW w:w="1000" w:type="dxa"/>
          </w:tcPr>
          <w:p w14:paraId="518F3959">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100%</w:t>
            </w:r>
          </w:p>
        </w:tc>
        <w:tc>
          <w:tcPr>
            <w:tcW w:w="1072" w:type="dxa"/>
          </w:tcPr>
          <w:p w14:paraId="136292A1">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3</w:t>
            </w:r>
          </w:p>
        </w:tc>
      </w:tr>
    </w:tbl>
    <w:p w14:paraId="40AAFAF0">
      <w:pPr>
        <w:keepNext w:val="0"/>
        <w:keepLines w:val="0"/>
        <w:pageBreakBefore w:val="0"/>
        <w:widowControl/>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晋宁区滇池流域重点水域渔船、网具回收处置实际支付经费按项目评估金额足额支付。</w:t>
      </w:r>
    </w:p>
    <w:p w14:paraId="0D643C44">
      <w:pPr>
        <w:keepNext w:val="0"/>
        <w:keepLines w:val="0"/>
        <w:pageBreakBefore w:val="0"/>
        <w:widowControl/>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该指标满分为3分，根据评分标准得3分</w:t>
      </w:r>
    </w:p>
    <w:p w14:paraId="69B12B0D">
      <w:pPr>
        <w:keepNext w:val="0"/>
        <w:keepLines w:val="0"/>
        <w:pageBreakBefore w:val="0"/>
        <w:kinsoku/>
        <w:wordWrap/>
        <w:overflowPunct/>
        <w:topLinePunct w:val="0"/>
        <w:autoSpaceDE/>
        <w:autoSpaceDN/>
        <w:bidi w:val="0"/>
        <w:adjustRightInd w:val="0"/>
        <w:snapToGrid w:val="0"/>
        <w:spacing w:line="560" w:lineRule="exact"/>
        <w:ind w:firstLine="590" w:firstLineChars="200"/>
        <w:textAlignment w:val="auto"/>
        <w:outlineLvl w:val="1"/>
        <w:rPr>
          <w:rFonts w:hint="eastAsia" w:asciiTheme="minorEastAsia" w:hAnsiTheme="minorEastAsia" w:eastAsiaTheme="minorEastAsia" w:cstheme="minorEastAsia"/>
          <w:b/>
          <w:bCs/>
          <w:color w:val="auto"/>
          <w:sz w:val="28"/>
          <w:szCs w:val="28"/>
          <w:highlight w:val="none"/>
        </w:rPr>
      </w:pPr>
      <w:bookmarkStart w:id="65" w:name="_Toc11529"/>
      <w:bookmarkStart w:id="66" w:name="_Toc518317814"/>
      <w:bookmarkStart w:id="67" w:name="_Toc517260978"/>
      <w:r>
        <w:rPr>
          <w:rFonts w:hint="eastAsia" w:asciiTheme="minorEastAsia" w:hAnsiTheme="minorEastAsia" w:eastAsiaTheme="minorEastAsia" w:cstheme="minorEastAsia"/>
          <w:b/>
          <w:bCs/>
          <w:color w:val="auto"/>
          <w:sz w:val="28"/>
          <w:szCs w:val="28"/>
          <w:highlight w:val="none"/>
        </w:rPr>
        <w:t>（四）项目效益情况</w:t>
      </w:r>
      <w:bookmarkEnd w:id="65"/>
      <w:bookmarkEnd w:id="66"/>
      <w:bookmarkEnd w:id="67"/>
    </w:p>
    <w:p w14:paraId="66B07D8C">
      <w:pPr>
        <w:keepNext w:val="0"/>
        <w:keepLines w:val="0"/>
        <w:pageBreakBefore w:val="0"/>
        <w:kinsoku/>
        <w:wordWrap/>
        <w:overflowPunct/>
        <w:topLinePunct w:val="0"/>
        <w:autoSpaceDE/>
        <w:autoSpaceDN/>
        <w:bidi w:val="0"/>
        <w:adjustRightInd w:val="0"/>
        <w:spacing w:line="560" w:lineRule="exact"/>
        <w:ind w:firstLine="624"/>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项目效益类指标，包括生态效益、经济效益、社会效益和可持续影响和服务对象满意度五个方面的内容，由5个三级指标构成。指标得分满分30分，实际得分21.00分，得分率70.00%。</w:t>
      </w:r>
    </w:p>
    <w:p w14:paraId="4140F7AA">
      <w:pPr>
        <w:keepNext w:val="0"/>
        <w:keepLines w:val="0"/>
        <w:pageBreakBefore w:val="0"/>
        <w:widowControl/>
        <w:kinsoku/>
        <w:wordWrap/>
        <w:overflowPunct/>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该部分主要考察项目生态效益、经济效益、社会效益、环境效益、可持续影响和服务对象满意度等方面的实现情况。各指标分值和得分情况详见表4-10：</w:t>
      </w:r>
    </w:p>
    <w:p w14:paraId="21626F09">
      <w:pPr>
        <w:widowControl/>
        <w:adjustRightInd w:val="0"/>
        <w:spacing w:line="57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表4-10：“项目效益”指标评价分析及绩效得分情况</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1276"/>
        <w:gridCol w:w="1276"/>
        <w:gridCol w:w="1245"/>
      </w:tblGrid>
      <w:tr w14:paraId="4D4D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43" w:type="dxa"/>
          </w:tcPr>
          <w:p w14:paraId="7ED03717">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指标名称</w:t>
            </w:r>
          </w:p>
        </w:tc>
        <w:tc>
          <w:tcPr>
            <w:tcW w:w="1276" w:type="dxa"/>
          </w:tcPr>
          <w:p w14:paraId="502ECA75">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指标权重</w:t>
            </w:r>
          </w:p>
        </w:tc>
        <w:tc>
          <w:tcPr>
            <w:tcW w:w="1276" w:type="dxa"/>
          </w:tcPr>
          <w:p w14:paraId="008EAEFE">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业绩值</w:t>
            </w:r>
          </w:p>
        </w:tc>
        <w:tc>
          <w:tcPr>
            <w:tcW w:w="1245" w:type="dxa"/>
          </w:tcPr>
          <w:p w14:paraId="1C0DD001">
            <w:pPr>
              <w:widowControl/>
              <w:adjustRightInd w:val="0"/>
              <w:spacing w:line="570" w:lineRule="exact"/>
              <w:jc w:val="center"/>
              <w:rPr>
                <w:rFonts w:hint="eastAsia" w:asciiTheme="minorEastAsia" w:hAnsiTheme="minorEastAsia" w:eastAsiaTheme="minorEastAsia" w:cstheme="minorEastAsia"/>
                <w:b/>
                <w:bCs w:val="0"/>
                <w:color w:val="auto"/>
                <w:kern w:val="0"/>
                <w:sz w:val="18"/>
                <w:szCs w:val="18"/>
                <w:highlight w:val="none"/>
              </w:rPr>
            </w:pPr>
            <w:r>
              <w:rPr>
                <w:rFonts w:hint="eastAsia" w:asciiTheme="minorEastAsia" w:hAnsiTheme="minorEastAsia" w:eastAsiaTheme="minorEastAsia" w:cstheme="minorEastAsia"/>
                <w:b/>
                <w:bCs w:val="0"/>
                <w:color w:val="auto"/>
                <w:kern w:val="0"/>
                <w:sz w:val="18"/>
                <w:szCs w:val="18"/>
                <w:highlight w:val="none"/>
              </w:rPr>
              <w:t>实际得分</w:t>
            </w:r>
          </w:p>
        </w:tc>
      </w:tr>
      <w:tr w14:paraId="64B4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414A6E94">
            <w:pPr>
              <w:widowControl/>
              <w:adjustRightInd w:val="0"/>
              <w:spacing w:line="570" w:lineRule="exact"/>
              <w:jc w:val="left"/>
              <w:rPr>
                <w:rFonts w:hint="eastAsia" w:asciiTheme="minorEastAsia" w:hAnsiTheme="minorEastAsia" w:eastAsiaTheme="minorEastAsia" w:cstheme="minorEastAsia"/>
                <w:b w:val="0"/>
                <w:bCs/>
                <w:color w:val="auto"/>
                <w:kern w:val="0"/>
                <w:sz w:val="18"/>
                <w:szCs w:val="18"/>
                <w:highlight w:val="none"/>
              </w:rPr>
            </w:pPr>
            <w:r>
              <w:rPr>
                <w:rFonts w:hint="eastAsia" w:asciiTheme="minorEastAsia" w:hAnsiTheme="minorEastAsia" w:eastAsiaTheme="minorEastAsia" w:cstheme="minorEastAsia"/>
                <w:b w:val="0"/>
                <w:bCs/>
                <w:color w:val="auto"/>
                <w:kern w:val="0"/>
                <w:sz w:val="18"/>
                <w:szCs w:val="18"/>
                <w:highlight w:val="none"/>
              </w:rPr>
              <w:t>1.生态效益</w:t>
            </w:r>
          </w:p>
        </w:tc>
        <w:tc>
          <w:tcPr>
            <w:tcW w:w="1276" w:type="dxa"/>
          </w:tcPr>
          <w:p w14:paraId="601FB9E1">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c>
          <w:tcPr>
            <w:tcW w:w="1276" w:type="dxa"/>
          </w:tcPr>
          <w:p w14:paraId="7A9BC24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26EEFD9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r>
      <w:tr w14:paraId="1D6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5ADE229">
            <w:pPr>
              <w:widowControl/>
              <w:adjustRightInd w:val="0"/>
              <w:spacing w:line="570" w:lineRule="exact"/>
              <w:ind w:firstLine="390" w:firstLineChars="200"/>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sz w:val="18"/>
                <w:szCs w:val="18"/>
                <w:highlight w:val="none"/>
              </w:rPr>
              <w:t>1-1.有效保护滇池流域重点水域水生生物资源和水域生态环境满意度。</w:t>
            </w:r>
          </w:p>
        </w:tc>
        <w:tc>
          <w:tcPr>
            <w:tcW w:w="1276" w:type="dxa"/>
            <w:vAlign w:val="center"/>
          </w:tcPr>
          <w:p w14:paraId="29D8BCD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c>
          <w:tcPr>
            <w:tcW w:w="1276" w:type="dxa"/>
            <w:vAlign w:val="center"/>
          </w:tcPr>
          <w:p w14:paraId="1C83320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3153ADE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w:t>
            </w:r>
          </w:p>
        </w:tc>
      </w:tr>
      <w:tr w14:paraId="4CD7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3A40965">
            <w:pPr>
              <w:widowControl/>
              <w:adjustRightInd w:val="0"/>
              <w:spacing w:line="570" w:lineRule="exact"/>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2.社会效益</w:t>
            </w:r>
          </w:p>
        </w:tc>
        <w:tc>
          <w:tcPr>
            <w:tcW w:w="1276" w:type="dxa"/>
            <w:vAlign w:val="center"/>
          </w:tcPr>
          <w:p w14:paraId="605DE97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11</w:t>
            </w:r>
          </w:p>
        </w:tc>
        <w:tc>
          <w:tcPr>
            <w:tcW w:w="1276" w:type="dxa"/>
            <w:vAlign w:val="center"/>
          </w:tcPr>
          <w:p w14:paraId="5260878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72.73%</w:t>
            </w:r>
          </w:p>
        </w:tc>
        <w:tc>
          <w:tcPr>
            <w:tcW w:w="1245" w:type="dxa"/>
            <w:vAlign w:val="center"/>
          </w:tcPr>
          <w:p w14:paraId="1D34C67C">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8</w:t>
            </w:r>
          </w:p>
        </w:tc>
      </w:tr>
      <w:tr w14:paraId="775C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65BC0AE">
            <w:pPr>
              <w:widowControl/>
              <w:adjustRightInd w:val="0"/>
              <w:spacing w:line="570" w:lineRule="exact"/>
              <w:ind w:firstLine="390" w:firstLineChars="200"/>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2-1滇池流域重点水域渔船、网具回收处置项目实施对社会稳定风险作用的满意度</w:t>
            </w:r>
          </w:p>
        </w:tc>
        <w:tc>
          <w:tcPr>
            <w:tcW w:w="1276" w:type="dxa"/>
          </w:tcPr>
          <w:p w14:paraId="7B6DE99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vAlign w:val="center"/>
          </w:tcPr>
          <w:p w14:paraId="7BDEB71E">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60.00%</w:t>
            </w:r>
          </w:p>
        </w:tc>
        <w:tc>
          <w:tcPr>
            <w:tcW w:w="1245" w:type="dxa"/>
          </w:tcPr>
          <w:p w14:paraId="23E6382D">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5F82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2310EC33">
            <w:pPr>
              <w:widowControl/>
              <w:adjustRightInd w:val="0"/>
              <w:spacing w:line="570" w:lineRule="exact"/>
              <w:ind w:firstLine="390" w:firstLineChars="200"/>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2-2对负责滇池流域重点水域渔船、网具回收处置项目实施工作人员的服务、工作效率的满意度</w:t>
            </w:r>
          </w:p>
        </w:tc>
        <w:tc>
          <w:tcPr>
            <w:tcW w:w="1276" w:type="dxa"/>
          </w:tcPr>
          <w:p w14:paraId="1AD5BF7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vAlign w:val="center"/>
          </w:tcPr>
          <w:p w14:paraId="3F84580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tcPr>
          <w:p w14:paraId="4F9ACCC5">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1EC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3276AB0B">
            <w:pPr>
              <w:widowControl/>
              <w:adjustRightInd w:val="0"/>
              <w:spacing w:line="570" w:lineRule="exact"/>
              <w:ind w:firstLine="390" w:firstLineChars="200"/>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2-3项目实施的整体完成情况</w:t>
            </w:r>
          </w:p>
        </w:tc>
        <w:tc>
          <w:tcPr>
            <w:tcW w:w="1276" w:type="dxa"/>
          </w:tcPr>
          <w:p w14:paraId="2E4BA1A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vAlign w:val="center"/>
          </w:tcPr>
          <w:p w14:paraId="609EF88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66.67%</w:t>
            </w:r>
          </w:p>
        </w:tc>
        <w:tc>
          <w:tcPr>
            <w:tcW w:w="1245" w:type="dxa"/>
          </w:tcPr>
          <w:p w14:paraId="2839994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r w14:paraId="1181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43B273C7">
            <w:pPr>
              <w:widowControl/>
              <w:adjustRightInd w:val="0"/>
              <w:spacing w:line="570" w:lineRule="exact"/>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3.经济效益</w:t>
            </w:r>
          </w:p>
        </w:tc>
        <w:tc>
          <w:tcPr>
            <w:tcW w:w="1276" w:type="dxa"/>
            <w:shd w:val="clear" w:color="auto" w:fill="auto"/>
            <w:vAlign w:val="center"/>
          </w:tcPr>
          <w:p w14:paraId="774BA25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shd w:val="clear" w:color="auto" w:fill="auto"/>
            <w:vAlign w:val="center"/>
          </w:tcPr>
          <w:p w14:paraId="49E162B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shd w:val="clear" w:color="auto" w:fill="auto"/>
            <w:vAlign w:val="center"/>
          </w:tcPr>
          <w:p w14:paraId="1D3B391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r>
      <w:tr w14:paraId="326E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671C956A">
            <w:pPr>
              <w:widowControl/>
              <w:adjustRightInd w:val="0"/>
              <w:spacing w:line="570" w:lineRule="exact"/>
              <w:ind w:firstLine="390" w:firstLineChars="200"/>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3-1.项目实施您对滇池流域重点水域渔船、网具回收处置项目的补偿额满意度</w:t>
            </w:r>
          </w:p>
        </w:tc>
        <w:tc>
          <w:tcPr>
            <w:tcW w:w="1276" w:type="dxa"/>
            <w:vAlign w:val="center"/>
          </w:tcPr>
          <w:p w14:paraId="1E6C792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w:t>
            </w:r>
          </w:p>
        </w:tc>
        <w:tc>
          <w:tcPr>
            <w:tcW w:w="1276" w:type="dxa"/>
            <w:vAlign w:val="center"/>
          </w:tcPr>
          <w:p w14:paraId="0DCB142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66.67%</w:t>
            </w:r>
          </w:p>
        </w:tc>
        <w:tc>
          <w:tcPr>
            <w:tcW w:w="1245" w:type="dxa"/>
            <w:vAlign w:val="center"/>
          </w:tcPr>
          <w:p w14:paraId="7096D86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w:t>
            </w:r>
          </w:p>
        </w:tc>
      </w:tr>
      <w:tr w14:paraId="0A6C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5CF1FE8F">
            <w:pPr>
              <w:widowControl/>
              <w:adjustRightInd w:val="0"/>
              <w:spacing w:line="570" w:lineRule="exact"/>
              <w:jc w:val="left"/>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bCs/>
                <w:color w:val="auto"/>
                <w:sz w:val="18"/>
                <w:szCs w:val="18"/>
                <w:highlight w:val="none"/>
              </w:rPr>
              <w:t>4.可持续影响指标</w:t>
            </w:r>
          </w:p>
        </w:tc>
        <w:tc>
          <w:tcPr>
            <w:tcW w:w="1276" w:type="dxa"/>
            <w:shd w:val="clear" w:color="auto" w:fill="auto"/>
            <w:vAlign w:val="center"/>
          </w:tcPr>
          <w:p w14:paraId="0CEBCD2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shd w:val="clear" w:color="auto" w:fill="auto"/>
            <w:vAlign w:val="center"/>
          </w:tcPr>
          <w:p w14:paraId="13620BD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w:t>
            </w:r>
          </w:p>
        </w:tc>
        <w:tc>
          <w:tcPr>
            <w:tcW w:w="1245" w:type="dxa"/>
            <w:shd w:val="clear" w:color="auto" w:fill="auto"/>
            <w:vAlign w:val="center"/>
          </w:tcPr>
          <w:p w14:paraId="11B5E986">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w:t>
            </w:r>
          </w:p>
        </w:tc>
      </w:tr>
      <w:tr w14:paraId="14E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08B0717E">
            <w:pPr>
              <w:widowControl/>
              <w:adjustRightInd w:val="0"/>
              <w:spacing w:line="570" w:lineRule="exact"/>
              <w:ind w:firstLine="390" w:firstLineChars="200"/>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sz w:val="18"/>
                <w:szCs w:val="18"/>
                <w:highlight w:val="none"/>
              </w:rPr>
              <w:t>4-1. 长效管理可持续性</w:t>
            </w:r>
          </w:p>
        </w:tc>
        <w:tc>
          <w:tcPr>
            <w:tcW w:w="1276" w:type="dxa"/>
            <w:vAlign w:val="center"/>
          </w:tcPr>
          <w:p w14:paraId="7B968C1A">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vAlign w:val="center"/>
          </w:tcPr>
          <w:p w14:paraId="002EAF27">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w:t>
            </w:r>
          </w:p>
        </w:tc>
        <w:tc>
          <w:tcPr>
            <w:tcW w:w="1245" w:type="dxa"/>
            <w:vAlign w:val="center"/>
          </w:tcPr>
          <w:p w14:paraId="234718DF">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0</w:t>
            </w:r>
          </w:p>
        </w:tc>
      </w:tr>
      <w:tr w14:paraId="54F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4ED87527">
            <w:pPr>
              <w:widowControl/>
              <w:adjustRightInd w:val="0"/>
              <w:spacing w:line="570" w:lineRule="exact"/>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5.服务对象满意度</w:t>
            </w:r>
          </w:p>
        </w:tc>
        <w:tc>
          <w:tcPr>
            <w:tcW w:w="1276" w:type="dxa"/>
            <w:vAlign w:val="center"/>
          </w:tcPr>
          <w:p w14:paraId="13BAE5E2">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tcPr>
          <w:p w14:paraId="15E607A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17A2B3D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r>
      <w:tr w14:paraId="31F5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vAlign w:val="center"/>
          </w:tcPr>
          <w:p w14:paraId="19B67FCE">
            <w:pPr>
              <w:widowControl/>
              <w:adjustRightInd w:val="0"/>
              <w:spacing w:line="570" w:lineRule="exact"/>
              <w:ind w:firstLine="390" w:firstLineChars="200"/>
              <w:jc w:val="left"/>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5-1.</w:t>
            </w:r>
            <w:r>
              <w:rPr>
                <w:rFonts w:hint="eastAsia" w:asciiTheme="minorEastAsia" w:hAnsiTheme="minorEastAsia" w:eastAsiaTheme="minorEastAsia" w:cstheme="minorEastAsia"/>
                <w:color w:val="auto"/>
                <w:sz w:val="18"/>
                <w:szCs w:val="18"/>
                <w:highlight w:val="none"/>
              </w:rPr>
              <w:t xml:space="preserve"> </w:t>
            </w:r>
            <w:r>
              <w:rPr>
                <w:rFonts w:hint="eastAsia" w:asciiTheme="minorEastAsia" w:hAnsiTheme="minorEastAsia" w:eastAsiaTheme="minorEastAsia" w:cstheme="minorEastAsia"/>
                <w:bCs/>
                <w:color w:val="auto"/>
                <w:kern w:val="0"/>
                <w:sz w:val="18"/>
                <w:szCs w:val="18"/>
                <w:highlight w:val="none"/>
              </w:rPr>
              <w:t>社会公众对项目实施效果的满意度</w:t>
            </w:r>
          </w:p>
        </w:tc>
        <w:tc>
          <w:tcPr>
            <w:tcW w:w="1276" w:type="dxa"/>
            <w:vAlign w:val="center"/>
          </w:tcPr>
          <w:p w14:paraId="5F6D7270">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c>
          <w:tcPr>
            <w:tcW w:w="1276" w:type="dxa"/>
          </w:tcPr>
          <w:p w14:paraId="58F1ED98">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100.00%</w:t>
            </w:r>
          </w:p>
        </w:tc>
        <w:tc>
          <w:tcPr>
            <w:tcW w:w="1245" w:type="dxa"/>
            <w:vAlign w:val="center"/>
          </w:tcPr>
          <w:p w14:paraId="3B0A7C03">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5</w:t>
            </w:r>
          </w:p>
        </w:tc>
      </w:tr>
      <w:tr w14:paraId="2EF9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3" w:type="dxa"/>
          </w:tcPr>
          <w:p w14:paraId="61E6578B">
            <w:pPr>
              <w:widowControl/>
              <w:adjustRightInd w:val="0"/>
              <w:spacing w:line="570" w:lineRule="exact"/>
              <w:jc w:val="center"/>
              <w:rPr>
                <w:rFonts w:hint="eastAsia" w:asciiTheme="minorEastAsia" w:hAnsiTheme="minorEastAsia" w:eastAsiaTheme="minorEastAsia" w:cstheme="minorEastAsia"/>
                <w:bCs/>
                <w:color w:val="auto"/>
                <w:kern w:val="0"/>
                <w:sz w:val="18"/>
                <w:szCs w:val="18"/>
                <w:highlight w:val="none"/>
              </w:rPr>
            </w:pPr>
            <w:r>
              <w:rPr>
                <w:rFonts w:hint="eastAsia" w:asciiTheme="minorEastAsia" w:hAnsiTheme="minorEastAsia" w:eastAsiaTheme="minorEastAsia" w:cstheme="minorEastAsia"/>
                <w:bCs/>
                <w:color w:val="auto"/>
                <w:kern w:val="0"/>
                <w:sz w:val="18"/>
                <w:szCs w:val="18"/>
                <w:highlight w:val="none"/>
              </w:rPr>
              <w:t>小  计</w:t>
            </w:r>
          </w:p>
        </w:tc>
        <w:tc>
          <w:tcPr>
            <w:tcW w:w="1276" w:type="dxa"/>
          </w:tcPr>
          <w:p w14:paraId="658DDC84">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30</w:t>
            </w:r>
          </w:p>
        </w:tc>
        <w:tc>
          <w:tcPr>
            <w:tcW w:w="1276" w:type="dxa"/>
          </w:tcPr>
          <w:p w14:paraId="73064439">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70.00%</w:t>
            </w:r>
          </w:p>
        </w:tc>
        <w:tc>
          <w:tcPr>
            <w:tcW w:w="1245" w:type="dxa"/>
          </w:tcPr>
          <w:p w14:paraId="765E23AB">
            <w:pPr>
              <w:snapToGrid w:val="0"/>
              <w:spacing w:line="570" w:lineRule="exact"/>
              <w:jc w:val="center"/>
              <w:rPr>
                <w:rFonts w:hint="eastAsia" w:ascii="Arial Narrow" w:hAnsi="Arial Narrow" w:cs="Arial Narrow" w:eastAsiaTheme="minorEastAsia"/>
                <w:bCs/>
                <w:color w:val="auto"/>
                <w:spacing w:val="6"/>
                <w:sz w:val="18"/>
                <w:szCs w:val="18"/>
                <w:highlight w:val="none"/>
              </w:rPr>
            </w:pPr>
            <w:r>
              <w:rPr>
                <w:rFonts w:hint="eastAsia" w:ascii="Arial Narrow" w:hAnsi="Arial Narrow" w:cs="Arial Narrow" w:eastAsiaTheme="minorEastAsia"/>
                <w:bCs/>
                <w:color w:val="auto"/>
                <w:spacing w:val="6"/>
                <w:sz w:val="18"/>
                <w:szCs w:val="18"/>
                <w:highlight w:val="none"/>
              </w:rPr>
              <w:t>21</w:t>
            </w:r>
          </w:p>
        </w:tc>
      </w:tr>
    </w:tbl>
    <w:p w14:paraId="42D358DB">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1.生态效益。100%的受调查群众认为该项目实施有效保护滇池流域重点水域水生生物资源和水域生态环境作用明显。</w:t>
      </w:r>
    </w:p>
    <w:p w14:paraId="5D8693F2">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该项指标满分为6分，根据评分标准得6分。</w:t>
      </w:r>
    </w:p>
    <w:p w14:paraId="52A09185">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2.社会效益</w:t>
      </w:r>
    </w:p>
    <w:p w14:paraId="01DE3561">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根据受调查群众问卷调查，项目实施对整体完成情况、实施工作人员的服务、工作效率和的满意度和渔船、网具回收处置项目实施对社会稳定风险作用满意，但仍有部分认不是十分满意。</w:t>
      </w:r>
    </w:p>
    <w:p w14:paraId="582E21A6">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该项指标满分为11分，根据评分标准得8分。</w:t>
      </w:r>
    </w:p>
    <w:p w14:paraId="4C827372">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3.经济效益。项目实施对滇池流域重点水域渔船、网具回收处置项目的补偿额满意度。</w:t>
      </w:r>
    </w:p>
    <w:p w14:paraId="2D947254">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该项指标满分为3分，根据评分标准得2分。</w:t>
      </w:r>
    </w:p>
    <w:p w14:paraId="334A2C5D">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4.可持续影响。项目实施后，未根据项目特点，探索、建立符合项目特点的长效管理机制，确保治理工作能够科学、可持续开展。</w:t>
      </w:r>
    </w:p>
    <w:p w14:paraId="77BE4FB1">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该项指标满分为5分，根据评分标准得0分。</w:t>
      </w:r>
    </w:p>
    <w:p w14:paraId="0CB1F435">
      <w:pPr>
        <w:keepNext w:val="0"/>
        <w:keepLines w:val="0"/>
        <w:pageBreakBefore w:val="0"/>
        <w:kinsoku/>
        <w:wordWrap/>
        <w:overflowPunct w:val="0"/>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5.社会公众满意度。通过发放调查问卷，了解社会公众的满意程度，本次问卷调查向社会群众共发放100份，有效回收100份，有效回收率100%，受益对象对项目实施的满意度93.63%</w:t>
      </w:r>
    </w:p>
    <w:p w14:paraId="03C218B6">
      <w:pPr>
        <w:keepNext w:val="0"/>
        <w:keepLines w:val="0"/>
        <w:pageBreakBefore w:val="0"/>
        <w:widowControl/>
        <w:kinsoku/>
        <w:wordWrap/>
        <w:topLinePunct w:val="0"/>
        <w:autoSpaceDE/>
        <w:autoSpaceDN/>
        <w:bidi w:val="0"/>
        <w:adjustRightInd w:val="0"/>
        <w:spacing w:line="560" w:lineRule="exact"/>
        <w:ind w:firstLine="614" w:firstLineChars="200"/>
        <w:textAlignment w:val="auto"/>
        <w:rPr>
          <w:rFonts w:hint="eastAsia" w:asciiTheme="minorEastAsia" w:hAnsiTheme="minorEastAsia" w:eastAsiaTheme="minorEastAsia" w:cstheme="minorEastAsia"/>
          <w:bCs/>
          <w:color w:val="auto"/>
          <w:spacing w:val="6"/>
          <w:sz w:val="28"/>
          <w:szCs w:val="28"/>
          <w:highlight w:val="none"/>
        </w:rPr>
      </w:pPr>
      <w:r>
        <w:rPr>
          <w:rFonts w:hint="eastAsia" w:asciiTheme="minorEastAsia" w:hAnsiTheme="minorEastAsia" w:eastAsiaTheme="minorEastAsia" w:cstheme="minorEastAsia"/>
          <w:bCs/>
          <w:color w:val="auto"/>
          <w:spacing w:val="6"/>
          <w:sz w:val="28"/>
          <w:szCs w:val="28"/>
          <w:highlight w:val="none"/>
        </w:rPr>
        <w:t>该项指标满分为5分，根据评分标准得5分。</w:t>
      </w:r>
    </w:p>
    <w:p w14:paraId="221AD7A5">
      <w:pPr>
        <w:adjustRightInd w:val="0"/>
        <w:snapToGrid w:val="0"/>
        <w:spacing w:line="570" w:lineRule="exact"/>
        <w:ind w:firstLine="670" w:firstLineChars="200"/>
        <w:outlineLvl w:val="0"/>
        <w:rPr>
          <w:rFonts w:hint="eastAsia" w:ascii="黑体" w:hAnsi="黑体" w:eastAsia="黑体" w:cs="黑体"/>
          <w:b/>
          <w:bCs/>
          <w:color w:val="auto"/>
          <w:sz w:val="32"/>
          <w:szCs w:val="32"/>
          <w:highlight w:val="none"/>
        </w:rPr>
      </w:pPr>
      <w:bookmarkStart w:id="68" w:name="_Toc30031"/>
      <w:bookmarkStart w:id="69" w:name="_Hlk528850248"/>
      <w:r>
        <w:rPr>
          <w:rFonts w:hint="eastAsia" w:ascii="黑体" w:hAnsi="黑体" w:eastAsia="黑体" w:cs="黑体"/>
          <w:b/>
          <w:bCs/>
          <w:color w:val="auto"/>
          <w:sz w:val="32"/>
          <w:szCs w:val="32"/>
          <w:highlight w:val="none"/>
        </w:rPr>
        <w:t>五、存在问题及原因分析</w:t>
      </w:r>
      <w:bookmarkEnd w:id="68"/>
      <w:bookmarkEnd w:id="69"/>
    </w:p>
    <w:p w14:paraId="5CA38F1D">
      <w:pPr>
        <w:adjustRightInd w:val="0"/>
        <w:snapToGrid w:val="0"/>
        <w:spacing w:line="570" w:lineRule="exact"/>
        <w:ind w:firstLine="590" w:firstLineChars="200"/>
        <w:rPr>
          <w:rFonts w:hint="eastAsia" w:asciiTheme="minorEastAsia" w:hAnsiTheme="minorEastAsia" w:eastAsiaTheme="minorEastAsia" w:cstheme="minorEastAsia"/>
          <w:b/>
          <w:bCs/>
          <w:color w:val="auto"/>
          <w:sz w:val="28"/>
          <w:szCs w:val="28"/>
          <w:highlight w:val="none"/>
        </w:rPr>
      </w:pPr>
      <w:bookmarkStart w:id="70" w:name="_Hlk528850280"/>
      <w:r>
        <w:rPr>
          <w:rFonts w:hint="eastAsia" w:asciiTheme="minorEastAsia" w:hAnsiTheme="minorEastAsia" w:eastAsiaTheme="minorEastAsia" w:cstheme="minorEastAsia"/>
          <w:b/>
          <w:bCs/>
          <w:color w:val="auto"/>
          <w:sz w:val="28"/>
          <w:szCs w:val="28"/>
          <w:highlight w:val="none"/>
        </w:rPr>
        <w:t>（一）绩效目标设定不完整，且未与年度设定相对应</w:t>
      </w:r>
    </w:p>
    <w:p w14:paraId="4F73659A">
      <w:pPr>
        <w:adjustRightInd w:val="0"/>
        <w:snapToGrid w:val="0"/>
        <w:spacing w:line="570" w:lineRule="exact"/>
        <w:ind w:firstLine="59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项目绩效目标未细化，项目申报预算资金是2023年度，2023年资金未到位，项目未实施，未与2024年度绩效目标相对应。</w:t>
      </w:r>
    </w:p>
    <w:p w14:paraId="3B3E1B57">
      <w:pPr>
        <w:adjustRightInd w:val="0"/>
        <w:snapToGrid w:val="0"/>
        <w:spacing w:line="570" w:lineRule="exact"/>
        <w:ind w:firstLine="59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（二）项目投资概算资金调整不规范、资金到位不及时</w:t>
      </w:r>
    </w:p>
    <w:p w14:paraId="24B44E1B">
      <w:pPr>
        <w:adjustRightInd w:val="0"/>
        <w:snapToGrid w:val="0"/>
        <w:spacing w:line="570" w:lineRule="exact"/>
        <w:ind w:firstLine="59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根据《晋宁区滇池流域重点水域渔船、网具回收处置实施方案》，项目资金估算总费用832万元，根据2023年6月《昆明市财政局 昆明市滇池管理局关于下达滇池流域重点水域渔船、网具回收处置经费的通知》（昆财资环〔2023〕24号）“此次下达经费-晋宁区 665.6 万元”，项目资金无预算调整资料。2023年上级补助资金未下达，也未能结转至2024年使用，2024年用区级资金安排保障。截至2024年12月实际到位资金635.40万元，2023年度资金到位不及时。 </w:t>
      </w:r>
    </w:p>
    <w:p w14:paraId="13B4A998">
      <w:pPr>
        <w:adjustRightInd w:val="0"/>
        <w:snapToGrid w:val="0"/>
        <w:spacing w:line="570" w:lineRule="exact"/>
        <w:ind w:firstLine="59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（三）未建立项目长期管理机制</w:t>
      </w:r>
    </w:p>
    <w:p w14:paraId="6677FA2C">
      <w:pPr>
        <w:widowControl/>
        <w:adjustRightInd w:val="0"/>
        <w:spacing w:line="570" w:lineRule="exact"/>
        <w:ind w:firstLine="590" w:firstLineChars="200"/>
        <w:rPr>
          <w:rFonts w:hint="eastAsia" w:asciiTheme="minorEastAsia" w:hAnsiTheme="minorEastAsia" w:eastAsiaTheme="minorEastAsia" w:cstheme="minorEastAsia"/>
          <w:color w:val="auto"/>
          <w:sz w:val="28"/>
          <w:szCs w:val="28"/>
          <w:highlight w:val="none"/>
        </w:rPr>
      </w:pPr>
      <w:bookmarkStart w:id="71" w:name="OLE_LINK1"/>
      <w:r>
        <w:rPr>
          <w:rFonts w:hint="eastAsia" w:asciiTheme="minorEastAsia" w:hAnsiTheme="minorEastAsia" w:eastAsiaTheme="minorEastAsia" w:cstheme="minorEastAsia"/>
          <w:color w:val="auto"/>
          <w:sz w:val="28"/>
          <w:szCs w:val="28"/>
          <w:highlight w:val="none"/>
        </w:rPr>
        <w:t>未根据项目特点，探索、建立符合项目特点的长效管理机制，确保滇池流域重点水域渔船、网具回收处置及滇池治理工作能够科学、可持续开展</w:t>
      </w:r>
      <w:bookmarkEnd w:id="71"/>
      <w:r>
        <w:rPr>
          <w:rFonts w:hint="eastAsia" w:asciiTheme="minorEastAsia" w:hAnsiTheme="minorEastAsia" w:eastAsiaTheme="minorEastAsia" w:cstheme="minorEastAsia"/>
          <w:color w:val="auto"/>
          <w:sz w:val="28"/>
          <w:szCs w:val="28"/>
          <w:highlight w:val="none"/>
        </w:rPr>
        <w:t>。</w:t>
      </w:r>
    </w:p>
    <w:p w14:paraId="03E58B4A">
      <w:pPr>
        <w:keepNext w:val="0"/>
        <w:keepLines w:val="0"/>
        <w:pageBreakBefore w:val="0"/>
        <w:widowControl w:val="0"/>
        <w:kinsoku/>
        <w:wordWrap/>
        <w:overflowPunct/>
        <w:topLinePunct w:val="0"/>
        <w:autoSpaceDE/>
        <w:autoSpaceDN/>
        <w:bidi w:val="0"/>
        <w:adjustRightInd w:val="0"/>
        <w:snapToGrid w:val="0"/>
        <w:spacing w:line="560" w:lineRule="exact"/>
        <w:ind w:firstLine="670" w:firstLineChars="200"/>
        <w:textAlignment w:val="auto"/>
        <w:outlineLvl w:val="0"/>
        <w:rPr>
          <w:rFonts w:hint="eastAsia" w:ascii="黑体" w:hAnsi="黑体" w:eastAsia="黑体" w:cs="黑体"/>
          <w:b/>
          <w:bCs/>
          <w:color w:val="auto"/>
          <w:sz w:val="32"/>
          <w:szCs w:val="32"/>
          <w:highlight w:val="none"/>
        </w:rPr>
      </w:pPr>
      <w:bookmarkStart w:id="72" w:name="_Toc25722"/>
      <w:r>
        <w:rPr>
          <w:rFonts w:hint="eastAsia" w:ascii="黑体" w:hAnsi="黑体" w:eastAsia="黑体" w:cs="黑体"/>
          <w:b/>
          <w:bCs/>
          <w:color w:val="auto"/>
          <w:sz w:val="32"/>
          <w:szCs w:val="32"/>
          <w:highlight w:val="none"/>
        </w:rPr>
        <w:t>六、建议</w:t>
      </w:r>
      <w:bookmarkEnd w:id="72"/>
    </w:p>
    <w:bookmarkEnd w:id="70"/>
    <w:p w14:paraId="50604D4E">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（一）做好项目前期调研工作，完整设定绩效目标工作任务，做好项目资金预算，规范项目投资估（概）算调整审批程序，实现有效使用专项资金及绩效评价的规范性</w:t>
      </w:r>
    </w:p>
    <w:p w14:paraId="666023D2">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确保预算目标与年度工作任务之间的匹配性和有效性，是组织实现战略目标的关键环节，为确保滇池禁渔政策的可持续性和生态修复目标的实现，需科学制定预算目标，并分解为年度工作任务，形成“资金-执行-考核”闭环管理，项目实施前应充分考虑项目的特点，加强项目前期的实时调研，根据统计、调研结果，做好项目资金预算，在预算编制阶段严格绩效目标合规性审查，适时、合理、及时进行项目投资概算调整及报批。</w:t>
      </w:r>
    </w:p>
    <w:p w14:paraId="104D83E6">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（二）及时、足额投入项目资金，避免因项目投资不到位，影响项目实施效果</w:t>
      </w:r>
    </w:p>
    <w:p w14:paraId="3ABEF110">
      <w:pPr>
        <w:keepNext w:val="0"/>
        <w:keepLines w:val="0"/>
        <w:pageBreakBefore w:val="0"/>
        <w:widowControl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滇池流域禁渔政策实施过程中，若渔船网具回收资金未能及时到位，可能引发渔民抵触情绪，甚至导致政策执行受阻。建议及时、足额投入项目资金，确保禁渔与生态修复目标按期达成，同时维护社会稳定。</w:t>
      </w:r>
    </w:p>
    <w:p w14:paraId="0FE2A8A5">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（三）建立长效管理可持续性机制</w:t>
      </w:r>
    </w:p>
    <w:p w14:paraId="26A72400">
      <w:pPr>
        <w:keepNext w:val="0"/>
        <w:keepLines w:val="0"/>
        <w:pageBreakBefore w:val="0"/>
        <w:widowControl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确保政策可持续性，需建立渔船网具回收与长效管理机制，推动“禁渔”从行政管控转向生态自觉，通过系统化回收与长效管理，建立动态监测体系，加强技术防控和网格化管理；积极探索生态修复与替代产业，发展“滇池生态品牌”，扶持有机农业、观鸟旅游等产业，优先雇佣退捕渔民；加强水域巡查和环保宣传，通过短视频、社区讲座普及禁渔案例，设立生态荣誉奖励；通过系统化回收与长效管理，滇池禁渔将从“政策约束”升华为“生态共识”，为长江经济带可持续发展提供实践示范。</w:t>
      </w:r>
    </w:p>
    <w:p w14:paraId="360B2CA5">
      <w:pPr>
        <w:adjustRightInd w:val="0"/>
        <w:snapToGrid w:val="0"/>
        <w:spacing w:line="570" w:lineRule="exact"/>
        <w:ind w:firstLine="670" w:firstLineChars="200"/>
        <w:outlineLvl w:val="0"/>
        <w:rPr>
          <w:rFonts w:hint="eastAsia" w:ascii="黑体" w:hAnsi="黑体" w:eastAsia="黑体" w:cs="黑体"/>
          <w:b/>
          <w:bCs/>
          <w:color w:val="auto"/>
          <w:sz w:val="32"/>
          <w:szCs w:val="32"/>
          <w:highlight w:val="none"/>
        </w:rPr>
      </w:pPr>
      <w:bookmarkStart w:id="73" w:name="_Toc16052"/>
      <w:r>
        <w:rPr>
          <w:rFonts w:hint="eastAsia" w:ascii="黑体" w:hAnsi="黑体" w:eastAsia="黑体" w:cs="黑体"/>
          <w:b/>
          <w:bCs/>
          <w:color w:val="auto"/>
          <w:sz w:val="32"/>
          <w:szCs w:val="32"/>
          <w:highlight w:val="none"/>
        </w:rPr>
        <w:t>七、其他需说明的情况</w:t>
      </w:r>
      <w:bookmarkEnd w:id="73"/>
    </w:p>
    <w:p w14:paraId="3432E3AC">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bookmarkStart w:id="74" w:name="_Hlk525314514"/>
      <w:r>
        <w:rPr>
          <w:rFonts w:hint="eastAsia" w:asciiTheme="minorEastAsia" w:hAnsiTheme="minorEastAsia" w:eastAsiaTheme="minorEastAsia" w:cstheme="minorEastAsia"/>
          <w:color w:val="auto"/>
          <w:sz w:val="28"/>
          <w:szCs w:val="28"/>
          <w:highlight w:val="none"/>
        </w:rPr>
        <w:t>无。</w:t>
      </w:r>
    </w:p>
    <w:bookmarkEnd w:id="74"/>
    <w:p w14:paraId="7C587BA1">
      <w:pPr>
        <w:keepNext w:val="0"/>
        <w:keepLines w:val="0"/>
        <w:pageBreakBefore w:val="0"/>
        <w:widowControl w:val="0"/>
        <w:kinsoku/>
        <w:wordWrap/>
        <w:overflowPunct/>
        <w:topLinePunct w:val="0"/>
        <w:autoSpaceDE/>
        <w:autoSpaceDN/>
        <w:bidi w:val="0"/>
        <w:adjustRightInd w:val="0"/>
        <w:snapToGrid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p>
    <w:p w14:paraId="13EE76AD">
      <w:pPr>
        <w:keepNext w:val="0"/>
        <w:keepLines w:val="0"/>
        <w:pageBreakBefore w:val="0"/>
        <w:kinsoku/>
        <w:wordWrap/>
        <w:overflowPunct/>
        <w:topLinePunct w:val="0"/>
        <w:autoSpaceDE/>
        <w:autoSpaceDN/>
        <w:bidi w:val="0"/>
        <w:spacing w:line="560" w:lineRule="exact"/>
        <w:ind w:firstLine="590" w:firstLineChars="200"/>
        <w:textAlignment w:val="auto"/>
        <w:rPr>
          <w:rFonts w:hint="eastAsia" w:asciiTheme="minorEastAsia" w:hAnsiTheme="minorEastAsia" w:eastAsiaTheme="minorEastAsia" w:cstheme="minorEastAsia"/>
          <w:color w:val="auto"/>
          <w:sz w:val="28"/>
          <w:szCs w:val="28"/>
          <w:highlight w:val="none"/>
        </w:rPr>
      </w:pPr>
      <w:bookmarkStart w:id="75" w:name="_Hlk525314575"/>
      <w:r>
        <w:rPr>
          <w:rFonts w:hint="eastAsia" w:asciiTheme="minorEastAsia" w:hAnsiTheme="minorEastAsia" w:eastAsiaTheme="minorEastAsia" w:cstheme="minorEastAsia"/>
          <w:color w:val="auto"/>
          <w:sz w:val="28"/>
          <w:szCs w:val="28"/>
          <w:highlight w:val="none"/>
        </w:rPr>
        <w:t>附件：1.绩效目标表</w:t>
      </w:r>
    </w:p>
    <w:p w14:paraId="2181464B">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bookmarkStart w:id="76" w:name="_Hlk527019547"/>
      <w:r>
        <w:rPr>
          <w:rFonts w:hint="eastAsia" w:asciiTheme="minorEastAsia" w:hAnsiTheme="minorEastAsia" w:eastAsiaTheme="minorEastAsia" w:cstheme="minorEastAsia"/>
          <w:color w:val="auto"/>
          <w:sz w:val="28"/>
          <w:szCs w:val="28"/>
          <w:highlight w:val="none"/>
        </w:rPr>
        <w:t>绩效评价指标体系及评分表</w:t>
      </w:r>
      <w:bookmarkEnd w:id="76"/>
    </w:p>
    <w:p w14:paraId="109CA5E0">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bookmarkStart w:id="77" w:name="_Hlk527019566"/>
      <w:r>
        <w:rPr>
          <w:rFonts w:hint="eastAsia" w:asciiTheme="minorEastAsia" w:hAnsiTheme="minorEastAsia" w:eastAsiaTheme="minorEastAsia" w:cstheme="minorEastAsia"/>
          <w:color w:val="auto"/>
          <w:sz w:val="28"/>
          <w:szCs w:val="28"/>
          <w:highlight w:val="none"/>
        </w:rPr>
        <w:t>资金使用情况表</w:t>
      </w:r>
      <w:bookmarkEnd w:id="77"/>
    </w:p>
    <w:p w14:paraId="107441CD">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bookmarkStart w:id="78" w:name="_Hlk527019595"/>
      <w:r>
        <w:rPr>
          <w:rFonts w:hint="eastAsia" w:asciiTheme="minorEastAsia" w:hAnsiTheme="minorEastAsia" w:eastAsiaTheme="minorEastAsia" w:cstheme="minorEastAsia"/>
          <w:color w:val="auto"/>
          <w:sz w:val="28"/>
          <w:szCs w:val="28"/>
          <w:highlight w:val="none"/>
        </w:rPr>
        <w:t>发现问题汇总表</w:t>
      </w:r>
      <w:bookmarkEnd w:id="78"/>
    </w:p>
    <w:p w14:paraId="78A493C2">
      <w:pPr>
        <w:keepNext w:val="0"/>
        <w:keepLines w:val="0"/>
        <w:pageBreakBefore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bookmarkStart w:id="79" w:name="_Hlk527019673"/>
      <w:r>
        <w:rPr>
          <w:rFonts w:hint="eastAsia" w:asciiTheme="minorEastAsia" w:hAnsiTheme="minorEastAsia" w:eastAsiaTheme="minorEastAsia" w:cstheme="minorEastAsia"/>
          <w:color w:val="auto"/>
          <w:sz w:val="28"/>
          <w:szCs w:val="28"/>
          <w:highlight w:val="none"/>
        </w:rPr>
        <w:t>调查问卷结果汇总</w:t>
      </w:r>
      <w:bookmarkEnd w:id="79"/>
      <w:r>
        <w:rPr>
          <w:rFonts w:hint="eastAsia" w:asciiTheme="minorEastAsia" w:hAnsiTheme="minorEastAsia" w:eastAsiaTheme="minorEastAsia" w:cstheme="minorEastAsia"/>
          <w:color w:val="auto"/>
          <w:sz w:val="28"/>
          <w:szCs w:val="28"/>
          <w:highlight w:val="none"/>
        </w:rPr>
        <w:t>报告</w:t>
      </w:r>
    </w:p>
    <w:p w14:paraId="1EB80B18">
      <w:pPr>
        <w:keepNext w:val="0"/>
        <w:keepLines w:val="0"/>
        <w:pageBreakBefore w:val="0"/>
        <w:widowControl w:val="0"/>
        <w:kinsoku/>
        <w:wordWrap/>
        <w:overflowPunct/>
        <w:topLinePunct w:val="0"/>
        <w:autoSpaceDE/>
        <w:autoSpaceDN/>
        <w:bidi w:val="0"/>
        <w:spacing w:line="560" w:lineRule="exact"/>
        <w:ind w:firstLine="1475" w:firstLineChars="500"/>
        <w:textAlignment w:val="auto"/>
        <w:rPr>
          <w:rFonts w:hint="eastAsia" w:asciiTheme="minorEastAsia" w:hAnsiTheme="minorEastAsia" w:eastAsiaTheme="minorEastAsia" w:cstheme="minorEastAsia"/>
          <w:color w:val="auto"/>
          <w:sz w:val="28"/>
          <w:szCs w:val="28"/>
          <w:highlight w:val="none"/>
        </w:rPr>
      </w:pPr>
    </w:p>
    <w:p w14:paraId="48D99B2A">
      <w:pPr>
        <w:pStyle w:val="4"/>
        <w:rPr>
          <w:rFonts w:hint="eastAsia" w:asciiTheme="minorEastAsia" w:hAnsiTheme="minorEastAsia" w:eastAsiaTheme="minorEastAsia" w:cstheme="minorEastAsia"/>
          <w:color w:val="auto"/>
          <w:sz w:val="28"/>
          <w:szCs w:val="28"/>
          <w:highlight w:val="none"/>
        </w:rPr>
      </w:pPr>
    </w:p>
    <w:p w14:paraId="2E76F117">
      <w:pPr>
        <w:rPr>
          <w:rFonts w:hint="eastAsia" w:asciiTheme="minorEastAsia" w:hAnsiTheme="minorEastAsia" w:eastAsiaTheme="minorEastAsia" w:cstheme="minorEastAsia"/>
          <w:color w:val="auto"/>
          <w:sz w:val="28"/>
          <w:szCs w:val="28"/>
          <w:highlight w:val="none"/>
        </w:rPr>
      </w:pPr>
    </w:p>
    <w:p w14:paraId="55964358">
      <w:pPr>
        <w:pStyle w:val="4"/>
        <w:rPr>
          <w:rFonts w:hint="eastAsia"/>
          <w:color w:val="auto"/>
          <w:highlight w:val="none"/>
        </w:rPr>
      </w:pPr>
    </w:p>
    <w:bookmarkEnd w:id="75"/>
    <w:p w14:paraId="15891271">
      <w:pPr>
        <w:spacing w:line="590" w:lineRule="exact"/>
        <w:rPr>
          <w:rFonts w:hint="eastAsia" w:asciiTheme="minorEastAsia" w:hAnsiTheme="minorEastAsia" w:eastAsiaTheme="minorEastAsia" w:cstheme="minorEastAsia"/>
          <w:color w:val="auto"/>
          <w:spacing w:val="6"/>
          <w:kern w:val="0"/>
          <w:sz w:val="28"/>
          <w:szCs w:val="28"/>
          <w:highlight w:val="none"/>
        </w:rPr>
      </w:pPr>
    </w:p>
    <w:p w14:paraId="61AE63C8">
      <w:pPr>
        <w:spacing w:line="590" w:lineRule="exact"/>
        <w:rPr>
          <w:rFonts w:hint="eastAsia" w:asciiTheme="minorEastAsia" w:hAnsiTheme="minorEastAsia" w:eastAsiaTheme="minorEastAsia" w:cstheme="minorEastAsia"/>
          <w:color w:val="auto"/>
          <w:spacing w:val="6"/>
          <w:kern w:val="0"/>
          <w:sz w:val="28"/>
          <w:szCs w:val="28"/>
          <w:highlight w:val="none"/>
        </w:rPr>
      </w:pPr>
      <w:r>
        <w:rPr>
          <w:rFonts w:hint="eastAsia" w:asciiTheme="minorEastAsia" w:hAnsiTheme="minorEastAsia" w:eastAsiaTheme="minorEastAsia" w:cstheme="minorEastAsia"/>
          <w:color w:val="auto"/>
          <w:spacing w:val="6"/>
          <w:kern w:val="0"/>
          <w:sz w:val="28"/>
          <w:szCs w:val="28"/>
          <w:highlight w:val="none"/>
        </w:rPr>
        <w:t>[此页无正文，为大华核字[202</w:t>
      </w:r>
      <w:r>
        <w:rPr>
          <w:rFonts w:hint="eastAsia" w:asciiTheme="minorEastAsia" w:hAnsiTheme="minorEastAsia" w:eastAsiaTheme="minorEastAsia" w:cstheme="minorEastAsia"/>
          <w:color w:val="auto"/>
          <w:spacing w:val="6"/>
          <w:kern w:val="0"/>
          <w:sz w:val="28"/>
          <w:szCs w:val="28"/>
          <w:highlight w:val="none"/>
          <w:lang w:val="en-US" w:eastAsia="zh-CN"/>
        </w:rPr>
        <w:t>6</w:t>
      </w:r>
      <w:r>
        <w:rPr>
          <w:rFonts w:hint="eastAsia" w:asciiTheme="minorEastAsia" w:hAnsiTheme="minorEastAsia" w:eastAsiaTheme="minorEastAsia" w:cstheme="minorEastAsia"/>
          <w:color w:val="auto"/>
          <w:spacing w:val="6"/>
          <w:kern w:val="0"/>
          <w:sz w:val="28"/>
          <w:szCs w:val="28"/>
          <w:highlight w:val="none"/>
        </w:rPr>
        <w:t>]</w:t>
      </w:r>
      <w:r>
        <w:rPr>
          <w:rFonts w:hint="eastAsia" w:asciiTheme="minorEastAsia" w:hAnsiTheme="minorEastAsia" w:eastAsiaTheme="minorEastAsia" w:cstheme="minorEastAsia"/>
          <w:color w:val="auto"/>
          <w:sz w:val="28"/>
          <w:szCs w:val="28"/>
          <w:highlight w:val="none"/>
        </w:rPr>
        <w:t>201100025</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pacing w:val="6"/>
          <w:kern w:val="0"/>
          <w:sz w:val="28"/>
          <w:szCs w:val="28"/>
          <w:highlight w:val="none"/>
        </w:rPr>
        <w:t>号报告签章页]</w:t>
      </w:r>
    </w:p>
    <w:p w14:paraId="390403B0">
      <w:pPr>
        <w:pStyle w:val="4"/>
        <w:rPr>
          <w:rFonts w:ascii="仿宋_GB2312" w:hAnsi="Arial Narrow" w:eastAsia="仿宋_GB2312"/>
          <w:color w:val="auto"/>
          <w:spacing w:val="6"/>
          <w:kern w:val="0"/>
          <w:szCs w:val="30"/>
          <w:highlight w:val="none"/>
        </w:rPr>
      </w:pPr>
    </w:p>
    <w:p w14:paraId="32D62409">
      <w:pPr>
        <w:rPr>
          <w:rFonts w:ascii="仿宋_GB2312" w:hAnsi="Arial Narrow" w:eastAsia="仿宋_GB2312"/>
          <w:color w:val="auto"/>
          <w:spacing w:val="6"/>
          <w:kern w:val="0"/>
          <w:szCs w:val="30"/>
          <w:highlight w:val="none"/>
        </w:rPr>
      </w:pPr>
    </w:p>
    <w:p w14:paraId="12DCC824">
      <w:pPr>
        <w:pStyle w:val="4"/>
        <w:rPr>
          <w:color w:val="auto"/>
          <w:highlight w:val="none"/>
        </w:rPr>
      </w:pPr>
    </w:p>
    <w:tbl>
      <w:tblPr>
        <w:tblStyle w:val="17"/>
        <w:tblW w:w="0" w:type="auto"/>
        <w:jc w:val="center"/>
        <w:tblLayout w:type="fixed"/>
        <w:tblCellMar>
          <w:top w:w="0" w:type="dxa"/>
          <w:left w:w="108" w:type="dxa"/>
          <w:bottom w:w="0" w:type="dxa"/>
          <w:right w:w="108" w:type="dxa"/>
        </w:tblCellMar>
      </w:tblPr>
      <w:tblGrid>
        <w:gridCol w:w="4851"/>
        <w:gridCol w:w="363"/>
        <w:gridCol w:w="2608"/>
        <w:gridCol w:w="1352"/>
      </w:tblGrid>
      <w:tr w14:paraId="51E703CE">
        <w:tblPrEx>
          <w:tblCellMar>
            <w:top w:w="0" w:type="dxa"/>
            <w:left w:w="108" w:type="dxa"/>
            <w:bottom w:w="0" w:type="dxa"/>
            <w:right w:w="108" w:type="dxa"/>
          </w:tblCellMar>
        </w:tblPrEx>
        <w:trPr>
          <w:trHeight w:val="707" w:hRule="exact"/>
          <w:jc w:val="center"/>
        </w:trPr>
        <w:tc>
          <w:tcPr>
            <w:tcW w:w="4851" w:type="dxa"/>
            <w:noWrap w:val="0"/>
            <w:vAlign w:val="center"/>
          </w:tcPr>
          <w:p w14:paraId="08320878">
            <w:pPr>
              <w:widowControl/>
              <w:snapToGrid w:val="0"/>
              <w:spacing w:line="560" w:lineRule="exact"/>
              <w:ind w:left="-78" w:leftChars="-25" w:right="-78" w:rightChars="-25"/>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大华会计师事务所(特殊普通合伙)</w:t>
            </w:r>
          </w:p>
        </w:tc>
        <w:tc>
          <w:tcPr>
            <w:tcW w:w="363" w:type="dxa"/>
            <w:noWrap w:val="0"/>
            <w:vAlign w:val="center"/>
          </w:tcPr>
          <w:p w14:paraId="6065B607">
            <w:pPr>
              <w:widowControl/>
              <w:snapToGrid w:val="0"/>
              <w:spacing w:line="560" w:lineRule="exact"/>
              <w:jc w:val="left"/>
              <w:rPr>
                <w:rFonts w:hint="eastAsia" w:asciiTheme="minorEastAsia" w:hAnsiTheme="minorEastAsia" w:eastAsiaTheme="minorEastAsia" w:cstheme="minorEastAsia"/>
                <w:color w:val="auto"/>
                <w:kern w:val="0"/>
                <w:sz w:val="28"/>
                <w:szCs w:val="28"/>
                <w:highlight w:val="none"/>
              </w:rPr>
            </w:pPr>
          </w:p>
        </w:tc>
        <w:tc>
          <w:tcPr>
            <w:tcW w:w="2608" w:type="dxa"/>
            <w:noWrap w:val="0"/>
            <w:vAlign w:val="center"/>
          </w:tcPr>
          <w:p w14:paraId="154250B0">
            <w:pPr>
              <w:snapToGrid w:val="0"/>
              <w:spacing w:line="560" w:lineRule="exact"/>
              <w:ind w:left="-78" w:leftChars="-25" w:right="-78" w:rightChars="-25"/>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中国注册会计师：</w:t>
            </w:r>
          </w:p>
        </w:tc>
        <w:tc>
          <w:tcPr>
            <w:tcW w:w="1352" w:type="dxa"/>
            <w:tcBorders>
              <w:bottom w:val="single" w:color="auto" w:sz="4" w:space="0"/>
            </w:tcBorders>
            <w:noWrap w:val="0"/>
            <w:vAlign w:val="center"/>
          </w:tcPr>
          <w:p w14:paraId="62835685">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p>
        </w:tc>
      </w:tr>
      <w:tr w14:paraId="3F8BD1EB">
        <w:tblPrEx>
          <w:tblCellMar>
            <w:top w:w="0" w:type="dxa"/>
            <w:left w:w="108" w:type="dxa"/>
            <w:bottom w:w="0" w:type="dxa"/>
            <w:right w:w="108" w:type="dxa"/>
          </w:tblCellMar>
        </w:tblPrEx>
        <w:trPr>
          <w:trHeight w:val="964" w:hRule="exact"/>
          <w:jc w:val="center"/>
        </w:trPr>
        <w:tc>
          <w:tcPr>
            <w:tcW w:w="4851" w:type="dxa"/>
            <w:noWrap w:val="0"/>
            <w:vAlign w:val="center"/>
          </w:tcPr>
          <w:p w14:paraId="58C44CB5">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云南分所</w:t>
            </w:r>
          </w:p>
        </w:tc>
        <w:tc>
          <w:tcPr>
            <w:tcW w:w="363" w:type="dxa"/>
            <w:noWrap w:val="0"/>
            <w:vAlign w:val="center"/>
          </w:tcPr>
          <w:p w14:paraId="0B48E13F">
            <w:pPr>
              <w:widowControl/>
              <w:snapToGrid w:val="0"/>
              <w:spacing w:line="560" w:lineRule="exact"/>
              <w:jc w:val="left"/>
              <w:rPr>
                <w:rFonts w:hint="eastAsia" w:asciiTheme="minorEastAsia" w:hAnsiTheme="minorEastAsia" w:eastAsiaTheme="minorEastAsia" w:cstheme="minorEastAsia"/>
                <w:color w:val="auto"/>
                <w:kern w:val="0"/>
                <w:sz w:val="28"/>
                <w:szCs w:val="28"/>
                <w:highlight w:val="none"/>
              </w:rPr>
            </w:pPr>
          </w:p>
        </w:tc>
        <w:tc>
          <w:tcPr>
            <w:tcW w:w="2608" w:type="dxa"/>
            <w:noWrap w:val="0"/>
            <w:vAlign w:val="center"/>
          </w:tcPr>
          <w:p w14:paraId="1E4E2B4D">
            <w:pPr>
              <w:snapToGrid w:val="0"/>
              <w:spacing w:after="234" w:afterLines="75" w:line="560" w:lineRule="exact"/>
              <w:jc w:val="center"/>
              <w:rPr>
                <w:rFonts w:hint="eastAsia" w:asciiTheme="minorEastAsia" w:hAnsiTheme="minorEastAsia" w:eastAsiaTheme="minorEastAsia" w:cstheme="minorEastAsia"/>
                <w:color w:val="auto"/>
                <w:kern w:val="0"/>
                <w:sz w:val="28"/>
                <w:szCs w:val="28"/>
                <w:highlight w:val="none"/>
              </w:rPr>
            </w:pPr>
          </w:p>
        </w:tc>
        <w:tc>
          <w:tcPr>
            <w:tcW w:w="1352" w:type="dxa"/>
            <w:tcBorders>
              <w:top w:val="single" w:color="auto" w:sz="4" w:space="0"/>
            </w:tcBorders>
            <w:noWrap w:val="0"/>
            <w:vAlign w:val="center"/>
          </w:tcPr>
          <w:p w14:paraId="5D226384">
            <w:pPr>
              <w:snapToGrid w:val="0"/>
              <w:spacing w:after="234" w:afterLines="75" w:line="560" w:lineRule="exac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扶成柏</w:t>
            </w:r>
          </w:p>
        </w:tc>
      </w:tr>
      <w:tr w14:paraId="012359B5">
        <w:tblPrEx>
          <w:tblCellMar>
            <w:top w:w="0" w:type="dxa"/>
            <w:left w:w="108" w:type="dxa"/>
            <w:bottom w:w="0" w:type="dxa"/>
            <w:right w:w="108" w:type="dxa"/>
          </w:tblCellMar>
        </w:tblPrEx>
        <w:trPr>
          <w:trHeight w:val="564" w:hRule="exact"/>
          <w:jc w:val="center"/>
        </w:trPr>
        <w:tc>
          <w:tcPr>
            <w:tcW w:w="4851" w:type="dxa"/>
            <w:noWrap w:val="0"/>
            <w:vAlign w:val="center"/>
          </w:tcPr>
          <w:p w14:paraId="77CFD4BE">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中国</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color w:val="auto"/>
                <w:sz w:val="28"/>
                <w:szCs w:val="28"/>
                <w:highlight w:val="none"/>
              </w:rPr>
              <w:t>昆明</w:t>
            </w:r>
          </w:p>
        </w:tc>
        <w:tc>
          <w:tcPr>
            <w:tcW w:w="363" w:type="dxa"/>
            <w:noWrap w:val="0"/>
            <w:vAlign w:val="center"/>
          </w:tcPr>
          <w:p w14:paraId="13CDD439">
            <w:pPr>
              <w:widowControl/>
              <w:snapToGrid w:val="0"/>
              <w:spacing w:line="560" w:lineRule="exact"/>
              <w:jc w:val="left"/>
              <w:rPr>
                <w:rFonts w:hint="eastAsia" w:asciiTheme="minorEastAsia" w:hAnsiTheme="minorEastAsia" w:eastAsiaTheme="minorEastAsia" w:cstheme="minorEastAsia"/>
                <w:color w:val="auto"/>
                <w:kern w:val="0"/>
                <w:sz w:val="28"/>
                <w:szCs w:val="28"/>
                <w:highlight w:val="none"/>
              </w:rPr>
            </w:pPr>
          </w:p>
        </w:tc>
        <w:tc>
          <w:tcPr>
            <w:tcW w:w="2608" w:type="dxa"/>
            <w:noWrap w:val="0"/>
            <w:vAlign w:val="center"/>
          </w:tcPr>
          <w:p w14:paraId="19B3AEA3">
            <w:pPr>
              <w:snapToGrid w:val="0"/>
              <w:spacing w:line="560" w:lineRule="exact"/>
              <w:ind w:left="-78" w:leftChars="-25" w:right="-78" w:rightChars="-25"/>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中国注册会计师：</w:t>
            </w:r>
          </w:p>
        </w:tc>
        <w:tc>
          <w:tcPr>
            <w:tcW w:w="1352" w:type="dxa"/>
            <w:tcBorders>
              <w:bottom w:val="single" w:color="auto" w:sz="4" w:space="0"/>
            </w:tcBorders>
            <w:noWrap w:val="0"/>
            <w:vAlign w:val="center"/>
          </w:tcPr>
          <w:p w14:paraId="6ADE4B74">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p>
        </w:tc>
      </w:tr>
      <w:tr w14:paraId="0F7CD273">
        <w:tblPrEx>
          <w:tblCellMar>
            <w:top w:w="0" w:type="dxa"/>
            <w:left w:w="108" w:type="dxa"/>
            <w:bottom w:w="0" w:type="dxa"/>
            <w:right w:w="108" w:type="dxa"/>
          </w:tblCellMar>
        </w:tblPrEx>
        <w:trPr>
          <w:trHeight w:val="964" w:hRule="exact"/>
          <w:jc w:val="center"/>
        </w:trPr>
        <w:tc>
          <w:tcPr>
            <w:tcW w:w="4851" w:type="dxa"/>
            <w:noWrap w:val="0"/>
            <w:vAlign w:val="center"/>
          </w:tcPr>
          <w:p w14:paraId="4831CF0E">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p>
        </w:tc>
        <w:tc>
          <w:tcPr>
            <w:tcW w:w="363" w:type="dxa"/>
            <w:noWrap w:val="0"/>
            <w:vAlign w:val="center"/>
          </w:tcPr>
          <w:p w14:paraId="36DF0DEB">
            <w:pPr>
              <w:widowControl/>
              <w:snapToGrid w:val="0"/>
              <w:spacing w:line="560" w:lineRule="exact"/>
              <w:jc w:val="left"/>
              <w:rPr>
                <w:rFonts w:hint="eastAsia" w:asciiTheme="minorEastAsia" w:hAnsiTheme="minorEastAsia" w:eastAsiaTheme="minorEastAsia" w:cstheme="minorEastAsia"/>
                <w:color w:val="auto"/>
                <w:kern w:val="0"/>
                <w:sz w:val="28"/>
                <w:szCs w:val="28"/>
                <w:highlight w:val="none"/>
              </w:rPr>
            </w:pPr>
          </w:p>
        </w:tc>
        <w:tc>
          <w:tcPr>
            <w:tcW w:w="2608" w:type="dxa"/>
            <w:noWrap w:val="0"/>
            <w:vAlign w:val="center"/>
          </w:tcPr>
          <w:p w14:paraId="004AE61F">
            <w:pPr>
              <w:snapToGrid w:val="0"/>
              <w:spacing w:after="234" w:afterLines="75" w:line="560" w:lineRule="exact"/>
              <w:jc w:val="center"/>
              <w:rPr>
                <w:rFonts w:hint="eastAsia" w:asciiTheme="minorEastAsia" w:hAnsiTheme="minorEastAsia" w:eastAsiaTheme="minorEastAsia" w:cstheme="minorEastAsia"/>
                <w:color w:val="auto"/>
                <w:kern w:val="0"/>
                <w:sz w:val="28"/>
                <w:szCs w:val="28"/>
                <w:highlight w:val="none"/>
              </w:rPr>
            </w:pPr>
          </w:p>
        </w:tc>
        <w:tc>
          <w:tcPr>
            <w:tcW w:w="1352" w:type="dxa"/>
            <w:tcBorders>
              <w:top w:val="single" w:color="auto" w:sz="4" w:space="0"/>
            </w:tcBorders>
            <w:noWrap w:val="0"/>
            <w:vAlign w:val="center"/>
          </w:tcPr>
          <w:p w14:paraId="54742AE2">
            <w:pPr>
              <w:snapToGrid w:val="0"/>
              <w:spacing w:after="234" w:afterLines="75" w:line="560" w:lineRule="exac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陈红霞</w:t>
            </w:r>
          </w:p>
        </w:tc>
      </w:tr>
      <w:tr w14:paraId="665E933D">
        <w:tblPrEx>
          <w:tblCellMar>
            <w:top w:w="0" w:type="dxa"/>
            <w:left w:w="108" w:type="dxa"/>
            <w:bottom w:w="0" w:type="dxa"/>
            <w:right w:w="108" w:type="dxa"/>
          </w:tblCellMar>
        </w:tblPrEx>
        <w:trPr>
          <w:trHeight w:val="567" w:hRule="exact"/>
          <w:jc w:val="center"/>
        </w:trPr>
        <w:tc>
          <w:tcPr>
            <w:tcW w:w="4851" w:type="dxa"/>
            <w:noWrap w:val="0"/>
            <w:vAlign w:val="center"/>
          </w:tcPr>
          <w:p w14:paraId="2F7DEDFD">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p>
        </w:tc>
        <w:tc>
          <w:tcPr>
            <w:tcW w:w="363" w:type="dxa"/>
            <w:noWrap w:val="0"/>
            <w:vAlign w:val="center"/>
          </w:tcPr>
          <w:p w14:paraId="70D082B9">
            <w:pPr>
              <w:widowControl/>
              <w:snapToGrid w:val="0"/>
              <w:spacing w:line="560" w:lineRule="exact"/>
              <w:jc w:val="left"/>
              <w:rPr>
                <w:rFonts w:hint="eastAsia" w:asciiTheme="minorEastAsia" w:hAnsiTheme="minorEastAsia" w:eastAsiaTheme="minorEastAsia" w:cstheme="minorEastAsia"/>
                <w:color w:val="auto"/>
                <w:kern w:val="0"/>
                <w:sz w:val="28"/>
                <w:szCs w:val="28"/>
                <w:highlight w:val="none"/>
              </w:rPr>
            </w:pPr>
          </w:p>
        </w:tc>
        <w:tc>
          <w:tcPr>
            <w:tcW w:w="3960" w:type="dxa"/>
            <w:gridSpan w:val="2"/>
            <w:noWrap w:val="0"/>
            <w:vAlign w:val="center"/>
          </w:tcPr>
          <w:p w14:paraId="40312D28">
            <w:pPr>
              <w:widowControl/>
              <w:snapToGrid w:val="0"/>
              <w:spacing w:line="560" w:lineRule="exac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二〇二五</w:t>
            </w:r>
            <w:r>
              <w:rPr>
                <w:rFonts w:hint="eastAsia" w:asciiTheme="minorEastAsia" w:hAnsiTheme="minorEastAsia" w:eastAsiaTheme="minorEastAsia" w:cstheme="minorEastAsia"/>
                <w:color w:val="auto"/>
                <w:sz w:val="28"/>
                <w:szCs w:val="28"/>
                <w:highlight w:val="none"/>
              </w:rPr>
              <w:t>年十二月</w:t>
            </w:r>
            <w:r>
              <w:rPr>
                <w:rFonts w:hint="eastAsia" w:asciiTheme="minorEastAsia" w:hAnsiTheme="minorEastAsia" w:eastAsiaTheme="minorEastAsia" w:cstheme="minorEastAsia"/>
                <w:color w:val="auto"/>
                <w:sz w:val="28"/>
                <w:szCs w:val="28"/>
                <w:highlight w:val="none"/>
                <w:lang w:val="en-US" w:eastAsia="zh-CN"/>
              </w:rPr>
              <w:t>二十五</w:t>
            </w:r>
            <w:r>
              <w:rPr>
                <w:rFonts w:hint="eastAsia" w:asciiTheme="minorEastAsia" w:hAnsiTheme="minorEastAsia" w:eastAsiaTheme="minorEastAsia" w:cstheme="minorEastAsia"/>
                <w:color w:val="auto"/>
                <w:sz w:val="28"/>
                <w:szCs w:val="28"/>
                <w:highlight w:val="none"/>
              </w:rPr>
              <w:t>日</w:t>
            </w:r>
          </w:p>
        </w:tc>
      </w:tr>
    </w:tbl>
    <w:p w14:paraId="5C788D2B">
      <w:pPr>
        <w:spacing w:line="590" w:lineRule="exact"/>
        <w:rPr>
          <w:rFonts w:ascii="仿宋_GB2312" w:hAnsi="Arial Narrow" w:eastAsia="仿宋_GB2312"/>
          <w:spacing w:val="6"/>
          <w:kern w:val="0"/>
          <w:szCs w:val="30"/>
        </w:rPr>
      </w:pPr>
    </w:p>
    <w:sectPr>
      <w:headerReference r:id="rId11" w:type="default"/>
      <w:footerReference r:id="rId12" w:type="default"/>
      <w:type w:val="continuous"/>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E453">
    <w:pPr>
      <w:pStyle w:val="12"/>
      <w:jc w:val="center"/>
      <w:rPr>
        <w:rFonts w:ascii="仿宋" w:hAnsi="仿宋" w:eastAsia="仿宋"/>
        <w:sz w:val="28"/>
        <w:szCs w:val="2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5788">
    <w:pPr>
      <w:pStyle w:val="12"/>
      <w:jc w:val="center"/>
      <w:rPr>
        <w:rFonts w:ascii="仿宋" w:hAnsi="仿宋" w:eastAsia="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C825">
    <w:pPr>
      <w:pStyle w:val="12"/>
      <w:jc w:val="center"/>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24747">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i</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524747">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i</w:t>
                    </w:r>
                    <w:r>
                      <w:rPr>
                        <w:rFonts w:hint="eastAsia" w:asciiTheme="minorEastAsia" w:hAnsiTheme="minorEastAsia" w:cstheme="minorEastAsia"/>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A195">
    <w:pPr>
      <w:pStyle w:val="12"/>
      <w:rPr>
        <w:rFonts w:ascii="仿宋" w:hAnsi="仿宋" w:eastAsia="仿宋"/>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82C4">
    <w:pPr>
      <w:pStyle w:val="12"/>
      <w:jc w:val="right"/>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097FF">
                          <w:pPr>
                            <w:pStyle w:val="12"/>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C097FF">
                    <w:pPr>
                      <w:pStyle w:val="12"/>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34A5">
    <w:pPr>
      <w:pStyle w:val="12"/>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172C">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v</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FA172C">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v</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CF2F">
    <w:pPr>
      <w:pStyle w:val="13"/>
      <w:pBdr>
        <w:bottom w:val="none" w:color="auto" w:sz="0" w:space="1"/>
      </w:pBdr>
    </w:pPr>
    <w:r>
      <w:rPr>
        <w:rFonts w:hint="eastAsia" w:ascii="等线" w:hAnsi="等线" w:eastAsia="等线" w:cs="黑体"/>
        <w:b/>
        <w:b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A93F">
    <w:pPr>
      <w:pStyle w:val="13"/>
      <w:pBdr>
        <w:bottom w:val="none" w:color="auto" w:sz="0" w:space="0"/>
      </w:pBdr>
      <w:jc w:val="right"/>
      <w:rPr>
        <w:rFonts w:ascii="等线" w:hAnsi="等线" w:eastAsia="等线" w:cs="黑体"/>
        <w:sz w:val="13"/>
        <w:szCs w:val="13"/>
      </w:rPr>
    </w:pPr>
    <w:r>
      <w:rPr>
        <w:rFonts w:hint="eastAsia" w:ascii="等线" w:hAnsi="等线" w:eastAsia="等线" w:cs="黑体"/>
        <w:b/>
        <w:bCs/>
        <w:sz w:val="15"/>
        <w:szCs w:val="15"/>
      </w:rPr>
      <w:t xml:space="preserve">                     </w:t>
    </w:r>
  </w:p>
  <w:p w14:paraId="7A4DBEB1">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D1AE">
    <w:pPr>
      <w:pStyle w:val="13"/>
      <w:pBdr>
        <w:bottom w:val="none" w:color="auto" w:sz="0" w:space="0"/>
      </w:pBdr>
      <w:jc w:val="both"/>
      <w:rPr>
        <w:rFonts w:ascii="等线" w:hAnsi="等线" w:eastAsia="等线" w:cs="黑体"/>
        <w:b/>
        <w:bCs/>
        <w:sz w:val="15"/>
        <w:szCs w:val="15"/>
      </w:rPr>
    </w:pPr>
    <w:r>
      <w:rPr>
        <w:rFonts w:ascii="等线" w:hAnsi="等线" w:eastAsia="等线" w:cs="黑体"/>
        <w:sz w:val="13"/>
        <w:szCs w:val="13"/>
      </w:rPr>
      <w:drawing>
        <wp:inline distT="0" distB="0" distL="114300" distR="114300">
          <wp:extent cx="2428875" cy="447675"/>
          <wp:effectExtent l="0" t="0" r="9525" b="9525"/>
          <wp:docPr id="6" name="图片 4" descr="QQ图片20230413155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QQ图片20230413155904.png"/>
                  <pic:cNvPicPr>
                    <a:picLocks noChangeAspect="1"/>
                  </pic:cNvPicPr>
                </pic:nvPicPr>
                <pic:blipFill>
                  <a:blip r:embed="rId1"/>
                  <a:stretch>
                    <a:fillRect/>
                  </a:stretch>
                </pic:blipFill>
                <pic:spPr>
                  <a:xfrm>
                    <a:off x="0" y="0"/>
                    <a:ext cx="2428875" cy="447675"/>
                  </a:xfrm>
                  <a:prstGeom prst="rect">
                    <a:avLst/>
                  </a:prstGeom>
                  <a:noFill/>
                  <a:ln>
                    <a:noFill/>
                  </a:ln>
                </pic:spPr>
              </pic:pic>
            </a:graphicData>
          </a:graphic>
        </wp:inline>
      </w:drawing>
    </w:r>
    <w:r>
      <w:rPr>
        <w:rFonts w:hint="eastAsia" w:ascii="等线" w:hAnsi="等线" w:eastAsia="等线" w:cs="黑体"/>
        <w:b/>
        <w:bCs/>
        <w:sz w:val="15"/>
        <w:szCs w:val="15"/>
      </w:rPr>
      <w:t xml:space="preserve">                           大华会计师事务所（特殊普通合伙）云南分所</w:t>
    </w:r>
  </w:p>
  <w:p w14:paraId="7DE385E8">
    <w:pPr>
      <w:pStyle w:val="13"/>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云南省昆明市西山区日新中路广福城A8座7楼 </w:t>
    </w:r>
  </w:p>
  <w:p w14:paraId="3D4D40AC">
    <w:pPr>
      <w:pStyle w:val="13"/>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电话：0871-63955266 传真：0871-68236561 </w:t>
    </w:r>
  </w:p>
  <w:p w14:paraId="625E9BDB">
    <w:pPr>
      <w:pStyle w:val="13"/>
      <w:pBdr>
        <w:bottom w:val="none" w:color="auto" w:sz="0" w:space="0"/>
      </w:pBdr>
      <w:jc w:val="right"/>
      <w:rPr>
        <w:rFonts w:ascii="等线" w:hAnsi="等线" w:eastAsia="等线" w:cs="黑体"/>
        <w:sz w:val="13"/>
        <w:szCs w:val="13"/>
      </w:rPr>
    </w:pPr>
    <w:r>
      <w:fldChar w:fldCharType="begin"/>
    </w:r>
    <w:r>
      <w:instrText xml:space="preserve"> HYPERLINK "http://www.dahua-cpa.com" </w:instrText>
    </w:r>
    <w:r>
      <w:fldChar w:fldCharType="separate"/>
    </w:r>
    <w:r>
      <w:rPr>
        <w:rStyle w:val="21"/>
        <w:rFonts w:hint="eastAsia" w:ascii="等线 Light" w:hAnsi="等线 Light" w:eastAsia="等线" w:cs="等线 Light"/>
        <w:b/>
        <w:bCs/>
        <w:i/>
        <w:iCs/>
        <w:color w:val="004B65"/>
        <w:sz w:val="15"/>
        <w:szCs w:val="15"/>
      </w:rPr>
      <w:t>www.dahua-cpa.com</w:t>
    </w:r>
    <w:r>
      <w:rPr>
        <w:rFonts w:hint="eastAsia" w:ascii="等线 Light" w:hAnsi="等线 Light" w:eastAsia="等线" w:cs="等线 Light"/>
        <w:b/>
        <w:bCs/>
        <w:i/>
        <w:iCs/>
        <w:color w:val="004B65"/>
        <w:sz w:val="15"/>
        <w:szCs w:val="15"/>
      </w:rPr>
      <w:fldChar w:fldCharType="end"/>
    </w:r>
  </w:p>
  <w:p w14:paraId="79208FAD">
    <w:pPr>
      <w:pStyle w:val="13"/>
      <w:pBdr>
        <w:bottom w:val="none" w:color="auto" w:sz="0" w:space="0"/>
      </w:pBdr>
      <w:jc w:val="right"/>
      <w:rPr>
        <w:rFonts w:ascii="等线" w:hAnsi="等线" w:eastAsia="等线" w:cs="黑体"/>
        <w:sz w:val="13"/>
        <w:szCs w:val="13"/>
      </w:rPr>
    </w:pPr>
    <w:r>
      <w:rPr>
        <w:rFonts w:hint="eastAsia" w:ascii="等线" w:hAnsi="等线" w:eastAsia="等线" w:cs="黑体"/>
        <w:b/>
        <w:bCs/>
        <w:sz w:val="15"/>
        <w:szCs w:val="15"/>
      </w:rPr>
      <w:t xml:space="preserve">                           </w:t>
    </w:r>
  </w:p>
  <w:p w14:paraId="059DD5D8">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881A">
    <w:pPr>
      <w:pStyle w:val="13"/>
      <w:pBdr>
        <w:bottom w:val="none" w:color="auto" w:sz="0" w:space="0"/>
      </w:pBdr>
      <w:jc w:val="right"/>
      <w:rPr>
        <w:rFonts w:ascii="等线" w:hAnsi="等线" w:eastAsia="等线" w:cs="黑体"/>
        <w:sz w:val="13"/>
        <w:szCs w:val="13"/>
      </w:rPr>
    </w:pPr>
    <w:r>
      <w:rPr>
        <w:rFonts w:hint="eastAsia" w:ascii="等线" w:hAnsi="等线" w:eastAsia="等线" w:cs="黑体"/>
        <w:b/>
        <w:bCs/>
        <w:sz w:val="15"/>
        <w:szCs w:val="15"/>
      </w:rPr>
      <w:t xml:space="preserve">                        </w:t>
    </w:r>
  </w:p>
  <w:p w14:paraId="55207E42">
    <w:pPr>
      <w:pStyle w:val="13"/>
      <w:pBdr>
        <w:bottom w:val="single" w:color="auto" w:sz="4" w:space="1"/>
      </w:pBdr>
      <w:jc w:val="righ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1EB44"/>
    <w:multiLevelType w:val="singleLevel"/>
    <w:tmpl w:val="FCB1EB44"/>
    <w:lvl w:ilvl="0" w:tentative="0">
      <w:start w:val="3"/>
      <w:numFmt w:val="decimal"/>
      <w:suff w:val="nothing"/>
      <w:lvlText w:val="（%1）"/>
      <w:lvlJc w:val="left"/>
      <w:pPr>
        <w:ind w:left="6"/>
      </w:pPr>
    </w:lvl>
  </w:abstractNum>
  <w:abstractNum w:abstractNumId="1">
    <w:nsid w:val="39EB1E21"/>
    <w:multiLevelType w:val="multilevel"/>
    <w:tmpl w:val="39EB1E21"/>
    <w:lvl w:ilvl="0" w:tentative="0">
      <w:start w:val="1"/>
      <w:numFmt w:val="decimal"/>
      <w:lvlText w:val="%1."/>
      <w:lvlJc w:val="left"/>
      <w:pPr>
        <w:ind w:left="972" w:hanging="360"/>
      </w:pPr>
      <w:rPr>
        <w:rFonts w:hint="default"/>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2">
    <w:nsid w:val="3D765ACE"/>
    <w:multiLevelType w:val="singleLevel"/>
    <w:tmpl w:val="3D765ACE"/>
    <w:lvl w:ilvl="0" w:tentative="0">
      <w:start w:val="4"/>
      <w:numFmt w:val="decimal"/>
      <w:suff w:val="nothing"/>
      <w:lvlText w:val="%1、"/>
      <w:lvlJc w:val="left"/>
    </w:lvl>
  </w:abstractNum>
  <w:abstractNum w:abstractNumId="3">
    <w:nsid w:val="4D366289"/>
    <w:multiLevelType w:val="multilevel"/>
    <w:tmpl w:val="4D366289"/>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1C4F6F5"/>
    <w:multiLevelType w:val="singleLevel"/>
    <w:tmpl w:val="51C4F6F5"/>
    <w:lvl w:ilvl="0" w:tentative="0">
      <w:start w:val="3"/>
      <w:numFmt w:val="decimal"/>
      <w:suff w:val="nothing"/>
      <w:lvlText w:val="（%1）"/>
      <w:lvlJc w:val="left"/>
    </w:lvl>
  </w:abstractNum>
  <w:abstractNum w:abstractNumId="5">
    <w:nsid w:val="6583AAB0"/>
    <w:multiLevelType w:val="singleLevel"/>
    <w:tmpl w:val="6583AAB0"/>
    <w:lvl w:ilvl="0" w:tentative="0">
      <w:start w:val="2"/>
      <w:numFmt w:val="chineseCounting"/>
      <w:suff w:val="nothing"/>
      <w:lvlText w:val="（%1）"/>
      <w:lvlJc w:val="left"/>
    </w:lvl>
  </w:abstractNum>
  <w:abstractNum w:abstractNumId="6">
    <w:nsid w:val="69421A95"/>
    <w:multiLevelType w:val="singleLevel"/>
    <w:tmpl w:val="69421A95"/>
    <w:lvl w:ilvl="0" w:tentative="0">
      <w:start w:val="4"/>
      <w:numFmt w:val="decimal"/>
      <w:suff w:val="nothing"/>
      <w:lvlText w:val="（%1）"/>
      <w:lvlJc w:val="left"/>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trackRevisions w:val="1"/>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8D"/>
    <w:rsid w:val="00001E42"/>
    <w:rsid w:val="000027B8"/>
    <w:rsid w:val="00002F0B"/>
    <w:rsid w:val="000032EE"/>
    <w:rsid w:val="00003457"/>
    <w:rsid w:val="00005269"/>
    <w:rsid w:val="000053D4"/>
    <w:rsid w:val="0000541A"/>
    <w:rsid w:val="00005612"/>
    <w:rsid w:val="00005F1F"/>
    <w:rsid w:val="000061F3"/>
    <w:rsid w:val="000079FB"/>
    <w:rsid w:val="000109E6"/>
    <w:rsid w:val="00011162"/>
    <w:rsid w:val="00012FD6"/>
    <w:rsid w:val="00012FE6"/>
    <w:rsid w:val="00013835"/>
    <w:rsid w:val="00013B21"/>
    <w:rsid w:val="000163D2"/>
    <w:rsid w:val="00021B6D"/>
    <w:rsid w:val="000221CA"/>
    <w:rsid w:val="00022371"/>
    <w:rsid w:val="00022B2B"/>
    <w:rsid w:val="00022FFA"/>
    <w:rsid w:val="00023FF0"/>
    <w:rsid w:val="000302F4"/>
    <w:rsid w:val="00031E88"/>
    <w:rsid w:val="00032A27"/>
    <w:rsid w:val="00032A3F"/>
    <w:rsid w:val="000333B0"/>
    <w:rsid w:val="00034210"/>
    <w:rsid w:val="000352D9"/>
    <w:rsid w:val="0003594B"/>
    <w:rsid w:val="000377E6"/>
    <w:rsid w:val="00040985"/>
    <w:rsid w:val="00042B1B"/>
    <w:rsid w:val="00044EEC"/>
    <w:rsid w:val="00044EFF"/>
    <w:rsid w:val="00045931"/>
    <w:rsid w:val="00046291"/>
    <w:rsid w:val="00046463"/>
    <w:rsid w:val="00047BDF"/>
    <w:rsid w:val="00050813"/>
    <w:rsid w:val="00051B77"/>
    <w:rsid w:val="0005214A"/>
    <w:rsid w:val="00052BF6"/>
    <w:rsid w:val="00053024"/>
    <w:rsid w:val="0005327F"/>
    <w:rsid w:val="00053457"/>
    <w:rsid w:val="0005644F"/>
    <w:rsid w:val="000565E6"/>
    <w:rsid w:val="00057354"/>
    <w:rsid w:val="00057AB2"/>
    <w:rsid w:val="00057E6F"/>
    <w:rsid w:val="0006106E"/>
    <w:rsid w:val="000614D5"/>
    <w:rsid w:val="00062C5A"/>
    <w:rsid w:val="00064652"/>
    <w:rsid w:val="00066FEA"/>
    <w:rsid w:val="00071FB9"/>
    <w:rsid w:val="000726F3"/>
    <w:rsid w:val="00072A8D"/>
    <w:rsid w:val="00072CEC"/>
    <w:rsid w:val="00072DE3"/>
    <w:rsid w:val="000731C8"/>
    <w:rsid w:val="000737BA"/>
    <w:rsid w:val="00073C73"/>
    <w:rsid w:val="00075F9B"/>
    <w:rsid w:val="000761D2"/>
    <w:rsid w:val="00076B13"/>
    <w:rsid w:val="00077511"/>
    <w:rsid w:val="00077515"/>
    <w:rsid w:val="00077684"/>
    <w:rsid w:val="0008001E"/>
    <w:rsid w:val="0008006D"/>
    <w:rsid w:val="00080072"/>
    <w:rsid w:val="0008270C"/>
    <w:rsid w:val="00082777"/>
    <w:rsid w:val="00082DC6"/>
    <w:rsid w:val="00084022"/>
    <w:rsid w:val="000848EC"/>
    <w:rsid w:val="00085697"/>
    <w:rsid w:val="00085F32"/>
    <w:rsid w:val="0008688C"/>
    <w:rsid w:val="00086A62"/>
    <w:rsid w:val="000910C9"/>
    <w:rsid w:val="0009229C"/>
    <w:rsid w:val="000926D7"/>
    <w:rsid w:val="000929CD"/>
    <w:rsid w:val="00093656"/>
    <w:rsid w:val="0009376E"/>
    <w:rsid w:val="00093BD7"/>
    <w:rsid w:val="00094628"/>
    <w:rsid w:val="0009497D"/>
    <w:rsid w:val="0009510D"/>
    <w:rsid w:val="00095539"/>
    <w:rsid w:val="0009571D"/>
    <w:rsid w:val="00096C2D"/>
    <w:rsid w:val="00097033"/>
    <w:rsid w:val="000A0E47"/>
    <w:rsid w:val="000A0F6A"/>
    <w:rsid w:val="000A1F97"/>
    <w:rsid w:val="000A2945"/>
    <w:rsid w:val="000A3182"/>
    <w:rsid w:val="000A3ED9"/>
    <w:rsid w:val="000A4562"/>
    <w:rsid w:val="000A4B78"/>
    <w:rsid w:val="000A4D4E"/>
    <w:rsid w:val="000A60AC"/>
    <w:rsid w:val="000A6407"/>
    <w:rsid w:val="000A69CD"/>
    <w:rsid w:val="000B18D8"/>
    <w:rsid w:val="000B3526"/>
    <w:rsid w:val="000B45A8"/>
    <w:rsid w:val="000B4DCE"/>
    <w:rsid w:val="000B54C2"/>
    <w:rsid w:val="000B577B"/>
    <w:rsid w:val="000B6BB5"/>
    <w:rsid w:val="000B7FBF"/>
    <w:rsid w:val="000C04DE"/>
    <w:rsid w:val="000C0984"/>
    <w:rsid w:val="000C1646"/>
    <w:rsid w:val="000C1832"/>
    <w:rsid w:val="000C1909"/>
    <w:rsid w:val="000C1973"/>
    <w:rsid w:val="000C25D3"/>
    <w:rsid w:val="000C2861"/>
    <w:rsid w:val="000C3CE0"/>
    <w:rsid w:val="000C4C79"/>
    <w:rsid w:val="000C6072"/>
    <w:rsid w:val="000C7789"/>
    <w:rsid w:val="000C77BF"/>
    <w:rsid w:val="000C7A97"/>
    <w:rsid w:val="000D071E"/>
    <w:rsid w:val="000D1FBB"/>
    <w:rsid w:val="000D61CE"/>
    <w:rsid w:val="000D6B9B"/>
    <w:rsid w:val="000D6F0C"/>
    <w:rsid w:val="000D71DD"/>
    <w:rsid w:val="000E04E3"/>
    <w:rsid w:val="000E0C09"/>
    <w:rsid w:val="000E1691"/>
    <w:rsid w:val="000E21D8"/>
    <w:rsid w:val="000E31B7"/>
    <w:rsid w:val="000E3EF2"/>
    <w:rsid w:val="000E5DFF"/>
    <w:rsid w:val="000E702E"/>
    <w:rsid w:val="000F3E60"/>
    <w:rsid w:val="000F3EBB"/>
    <w:rsid w:val="000F4570"/>
    <w:rsid w:val="000F6595"/>
    <w:rsid w:val="000F6D94"/>
    <w:rsid w:val="001005CB"/>
    <w:rsid w:val="0010134E"/>
    <w:rsid w:val="0010278B"/>
    <w:rsid w:val="00102884"/>
    <w:rsid w:val="001028D7"/>
    <w:rsid w:val="00104EDC"/>
    <w:rsid w:val="00106279"/>
    <w:rsid w:val="001062CB"/>
    <w:rsid w:val="00106A8B"/>
    <w:rsid w:val="00106FBD"/>
    <w:rsid w:val="001075E2"/>
    <w:rsid w:val="00110119"/>
    <w:rsid w:val="001107F6"/>
    <w:rsid w:val="00110F10"/>
    <w:rsid w:val="00111234"/>
    <w:rsid w:val="001140C2"/>
    <w:rsid w:val="0011424C"/>
    <w:rsid w:val="00114580"/>
    <w:rsid w:val="00114B67"/>
    <w:rsid w:val="00116139"/>
    <w:rsid w:val="00116445"/>
    <w:rsid w:val="00117C31"/>
    <w:rsid w:val="00122361"/>
    <w:rsid w:val="001234F1"/>
    <w:rsid w:val="00124FFE"/>
    <w:rsid w:val="001254E8"/>
    <w:rsid w:val="00125D9C"/>
    <w:rsid w:val="00126C74"/>
    <w:rsid w:val="0012764C"/>
    <w:rsid w:val="001308E4"/>
    <w:rsid w:val="00133BDC"/>
    <w:rsid w:val="00135009"/>
    <w:rsid w:val="00136949"/>
    <w:rsid w:val="00137CA9"/>
    <w:rsid w:val="00137EA3"/>
    <w:rsid w:val="00143359"/>
    <w:rsid w:val="00143563"/>
    <w:rsid w:val="0014378E"/>
    <w:rsid w:val="001439E1"/>
    <w:rsid w:val="0014485A"/>
    <w:rsid w:val="00144939"/>
    <w:rsid w:val="00144A2C"/>
    <w:rsid w:val="00147856"/>
    <w:rsid w:val="00147F84"/>
    <w:rsid w:val="00150676"/>
    <w:rsid w:val="0015079A"/>
    <w:rsid w:val="00150F3E"/>
    <w:rsid w:val="001513E5"/>
    <w:rsid w:val="001523A5"/>
    <w:rsid w:val="00152B2B"/>
    <w:rsid w:val="001537D8"/>
    <w:rsid w:val="00153BC6"/>
    <w:rsid w:val="00156F74"/>
    <w:rsid w:val="00156F91"/>
    <w:rsid w:val="0016036C"/>
    <w:rsid w:val="00161317"/>
    <w:rsid w:val="00161605"/>
    <w:rsid w:val="00161DC3"/>
    <w:rsid w:val="0016290B"/>
    <w:rsid w:val="0016384F"/>
    <w:rsid w:val="00165E43"/>
    <w:rsid w:val="00167243"/>
    <w:rsid w:val="001675E7"/>
    <w:rsid w:val="001722F7"/>
    <w:rsid w:val="001735D6"/>
    <w:rsid w:val="00174235"/>
    <w:rsid w:val="0017453B"/>
    <w:rsid w:val="0017515E"/>
    <w:rsid w:val="001756CC"/>
    <w:rsid w:val="00175976"/>
    <w:rsid w:val="00176AE7"/>
    <w:rsid w:val="00177445"/>
    <w:rsid w:val="00180E68"/>
    <w:rsid w:val="00182303"/>
    <w:rsid w:val="00182613"/>
    <w:rsid w:val="00182C96"/>
    <w:rsid w:val="001836BB"/>
    <w:rsid w:val="00183D89"/>
    <w:rsid w:val="001844AE"/>
    <w:rsid w:val="001846CE"/>
    <w:rsid w:val="00185F8D"/>
    <w:rsid w:val="001862BA"/>
    <w:rsid w:val="0018683E"/>
    <w:rsid w:val="00186B58"/>
    <w:rsid w:val="001874A4"/>
    <w:rsid w:val="001905A5"/>
    <w:rsid w:val="00190961"/>
    <w:rsid w:val="001925C9"/>
    <w:rsid w:val="00193665"/>
    <w:rsid w:val="001942DF"/>
    <w:rsid w:val="00194653"/>
    <w:rsid w:val="00196581"/>
    <w:rsid w:val="0019737A"/>
    <w:rsid w:val="001A01E4"/>
    <w:rsid w:val="001A2410"/>
    <w:rsid w:val="001A2656"/>
    <w:rsid w:val="001A2D6F"/>
    <w:rsid w:val="001A4150"/>
    <w:rsid w:val="001A4B57"/>
    <w:rsid w:val="001A5378"/>
    <w:rsid w:val="001A644B"/>
    <w:rsid w:val="001A69FE"/>
    <w:rsid w:val="001A6EEB"/>
    <w:rsid w:val="001A77EE"/>
    <w:rsid w:val="001A7B0F"/>
    <w:rsid w:val="001B1A67"/>
    <w:rsid w:val="001B338F"/>
    <w:rsid w:val="001B3F40"/>
    <w:rsid w:val="001B4784"/>
    <w:rsid w:val="001B485E"/>
    <w:rsid w:val="001C2398"/>
    <w:rsid w:val="001C2D6D"/>
    <w:rsid w:val="001C44C3"/>
    <w:rsid w:val="001C5D76"/>
    <w:rsid w:val="001C649A"/>
    <w:rsid w:val="001D1888"/>
    <w:rsid w:val="001D1B0B"/>
    <w:rsid w:val="001D28EF"/>
    <w:rsid w:val="001D4E03"/>
    <w:rsid w:val="001D588C"/>
    <w:rsid w:val="001D58D7"/>
    <w:rsid w:val="001D5FBA"/>
    <w:rsid w:val="001D7010"/>
    <w:rsid w:val="001E07CC"/>
    <w:rsid w:val="001E085F"/>
    <w:rsid w:val="001E091F"/>
    <w:rsid w:val="001E1C7F"/>
    <w:rsid w:val="001E1FC4"/>
    <w:rsid w:val="001E410D"/>
    <w:rsid w:val="001E53F4"/>
    <w:rsid w:val="001E6E29"/>
    <w:rsid w:val="001E713D"/>
    <w:rsid w:val="001E74DD"/>
    <w:rsid w:val="001F02C9"/>
    <w:rsid w:val="001F039B"/>
    <w:rsid w:val="001F1267"/>
    <w:rsid w:val="001F1285"/>
    <w:rsid w:val="001F1844"/>
    <w:rsid w:val="001F264E"/>
    <w:rsid w:val="001F26A7"/>
    <w:rsid w:val="001F3BD6"/>
    <w:rsid w:val="001F3D69"/>
    <w:rsid w:val="001F46E7"/>
    <w:rsid w:val="001F566D"/>
    <w:rsid w:val="001F59A3"/>
    <w:rsid w:val="001F5F2E"/>
    <w:rsid w:val="001F68BC"/>
    <w:rsid w:val="00200263"/>
    <w:rsid w:val="00200E37"/>
    <w:rsid w:val="0020171F"/>
    <w:rsid w:val="00201989"/>
    <w:rsid w:val="00201C2D"/>
    <w:rsid w:val="00201EF3"/>
    <w:rsid w:val="002039F0"/>
    <w:rsid w:val="0020414B"/>
    <w:rsid w:val="00205765"/>
    <w:rsid w:val="00205DF7"/>
    <w:rsid w:val="002076CB"/>
    <w:rsid w:val="00210C02"/>
    <w:rsid w:val="00212FA7"/>
    <w:rsid w:val="002131B9"/>
    <w:rsid w:val="002162BD"/>
    <w:rsid w:val="00216901"/>
    <w:rsid w:val="00217869"/>
    <w:rsid w:val="0021797F"/>
    <w:rsid w:val="00217AA8"/>
    <w:rsid w:val="00220068"/>
    <w:rsid w:val="00220AD6"/>
    <w:rsid w:val="00221280"/>
    <w:rsid w:val="00222652"/>
    <w:rsid w:val="002229E2"/>
    <w:rsid w:val="0022365E"/>
    <w:rsid w:val="00224780"/>
    <w:rsid w:val="00225F68"/>
    <w:rsid w:val="002260C9"/>
    <w:rsid w:val="00226E95"/>
    <w:rsid w:val="002274FB"/>
    <w:rsid w:val="00227EAF"/>
    <w:rsid w:val="00230719"/>
    <w:rsid w:val="00230C67"/>
    <w:rsid w:val="00234AFB"/>
    <w:rsid w:val="00235C5D"/>
    <w:rsid w:val="00235D66"/>
    <w:rsid w:val="00237192"/>
    <w:rsid w:val="00240B85"/>
    <w:rsid w:val="002422DC"/>
    <w:rsid w:val="0024279E"/>
    <w:rsid w:val="00242C8A"/>
    <w:rsid w:val="0024302C"/>
    <w:rsid w:val="002430D5"/>
    <w:rsid w:val="00246276"/>
    <w:rsid w:val="0024742B"/>
    <w:rsid w:val="0024764F"/>
    <w:rsid w:val="00250B79"/>
    <w:rsid w:val="00251346"/>
    <w:rsid w:val="002532A4"/>
    <w:rsid w:val="00254804"/>
    <w:rsid w:val="00254B91"/>
    <w:rsid w:val="002554E5"/>
    <w:rsid w:val="0025669F"/>
    <w:rsid w:val="002567D8"/>
    <w:rsid w:val="002567E0"/>
    <w:rsid w:val="00256D4E"/>
    <w:rsid w:val="002606F4"/>
    <w:rsid w:val="00261621"/>
    <w:rsid w:val="00261B36"/>
    <w:rsid w:val="002620E4"/>
    <w:rsid w:val="002625DF"/>
    <w:rsid w:val="00266468"/>
    <w:rsid w:val="00270FAC"/>
    <w:rsid w:val="00274648"/>
    <w:rsid w:val="002758C7"/>
    <w:rsid w:val="00277ACC"/>
    <w:rsid w:val="00277FCA"/>
    <w:rsid w:val="00280FFD"/>
    <w:rsid w:val="0028281F"/>
    <w:rsid w:val="00282CC8"/>
    <w:rsid w:val="00283F38"/>
    <w:rsid w:val="00285265"/>
    <w:rsid w:val="002862D6"/>
    <w:rsid w:val="002866C2"/>
    <w:rsid w:val="00286C80"/>
    <w:rsid w:val="00287A4C"/>
    <w:rsid w:val="00290595"/>
    <w:rsid w:val="002934AD"/>
    <w:rsid w:val="0029356B"/>
    <w:rsid w:val="00294FDE"/>
    <w:rsid w:val="00295FDB"/>
    <w:rsid w:val="002A0059"/>
    <w:rsid w:val="002A0197"/>
    <w:rsid w:val="002A020A"/>
    <w:rsid w:val="002A06D4"/>
    <w:rsid w:val="002A1DF7"/>
    <w:rsid w:val="002A2389"/>
    <w:rsid w:val="002A2654"/>
    <w:rsid w:val="002A3BDB"/>
    <w:rsid w:val="002A5AD2"/>
    <w:rsid w:val="002A5C67"/>
    <w:rsid w:val="002A6C0A"/>
    <w:rsid w:val="002A6EAA"/>
    <w:rsid w:val="002B2BFC"/>
    <w:rsid w:val="002B3F00"/>
    <w:rsid w:val="002B40EA"/>
    <w:rsid w:val="002B5300"/>
    <w:rsid w:val="002B6F01"/>
    <w:rsid w:val="002B7A27"/>
    <w:rsid w:val="002B7B5E"/>
    <w:rsid w:val="002C2CAE"/>
    <w:rsid w:val="002C46F4"/>
    <w:rsid w:val="002C50DD"/>
    <w:rsid w:val="002C555C"/>
    <w:rsid w:val="002C6AE3"/>
    <w:rsid w:val="002C6F22"/>
    <w:rsid w:val="002D1A05"/>
    <w:rsid w:val="002D1D67"/>
    <w:rsid w:val="002D2317"/>
    <w:rsid w:val="002D3A7A"/>
    <w:rsid w:val="002D498A"/>
    <w:rsid w:val="002D4E21"/>
    <w:rsid w:val="002D55A2"/>
    <w:rsid w:val="002D5D1E"/>
    <w:rsid w:val="002D73C2"/>
    <w:rsid w:val="002E06C9"/>
    <w:rsid w:val="002E0F87"/>
    <w:rsid w:val="002E1041"/>
    <w:rsid w:val="002E20E8"/>
    <w:rsid w:val="002E280F"/>
    <w:rsid w:val="002E44E2"/>
    <w:rsid w:val="002E4F0D"/>
    <w:rsid w:val="002E5A37"/>
    <w:rsid w:val="002E6F0D"/>
    <w:rsid w:val="002E6FAE"/>
    <w:rsid w:val="002F05E7"/>
    <w:rsid w:val="002F0B5C"/>
    <w:rsid w:val="002F0E14"/>
    <w:rsid w:val="002F2027"/>
    <w:rsid w:val="002F3A58"/>
    <w:rsid w:val="002F4221"/>
    <w:rsid w:val="002F516E"/>
    <w:rsid w:val="002F571B"/>
    <w:rsid w:val="002F59F0"/>
    <w:rsid w:val="002F5F78"/>
    <w:rsid w:val="002F7BE7"/>
    <w:rsid w:val="0030030F"/>
    <w:rsid w:val="003006BD"/>
    <w:rsid w:val="003020B9"/>
    <w:rsid w:val="003057F0"/>
    <w:rsid w:val="00307209"/>
    <w:rsid w:val="00307963"/>
    <w:rsid w:val="00307A5C"/>
    <w:rsid w:val="00307B63"/>
    <w:rsid w:val="00307D79"/>
    <w:rsid w:val="0031132F"/>
    <w:rsid w:val="003116BB"/>
    <w:rsid w:val="003124B3"/>
    <w:rsid w:val="003133EF"/>
    <w:rsid w:val="00313C52"/>
    <w:rsid w:val="0031406D"/>
    <w:rsid w:val="00314557"/>
    <w:rsid w:val="00314A18"/>
    <w:rsid w:val="00314AF8"/>
    <w:rsid w:val="003219A7"/>
    <w:rsid w:val="00321A43"/>
    <w:rsid w:val="003226AA"/>
    <w:rsid w:val="003241BB"/>
    <w:rsid w:val="003242F3"/>
    <w:rsid w:val="003270CD"/>
    <w:rsid w:val="00327DCF"/>
    <w:rsid w:val="003305B8"/>
    <w:rsid w:val="0033130B"/>
    <w:rsid w:val="00333FE4"/>
    <w:rsid w:val="00334636"/>
    <w:rsid w:val="0033489A"/>
    <w:rsid w:val="0033762E"/>
    <w:rsid w:val="0034011D"/>
    <w:rsid w:val="0034081C"/>
    <w:rsid w:val="0034153B"/>
    <w:rsid w:val="003427BE"/>
    <w:rsid w:val="0034304B"/>
    <w:rsid w:val="0034415B"/>
    <w:rsid w:val="003446BE"/>
    <w:rsid w:val="00345149"/>
    <w:rsid w:val="00345478"/>
    <w:rsid w:val="00345E5B"/>
    <w:rsid w:val="00347579"/>
    <w:rsid w:val="00347950"/>
    <w:rsid w:val="00347C48"/>
    <w:rsid w:val="00347CEB"/>
    <w:rsid w:val="00350301"/>
    <w:rsid w:val="00351D75"/>
    <w:rsid w:val="00353796"/>
    <w:rsid w:val="00355733"/>
    <w:rsid w:val="00356D1E"/>
    <w:rsid w:val="00357576"/>
    <w:rsid w:val="003579A4"/>
    <w:rsid w:val="00357E6E"/>
    <w:rsid w:val="00361B06"/>
    <w:rsid w:val="00362CCC"/>
    <w:rsid w:val="003647C0"/>
    <w:rsid w:val="00364941"/>
    <w:rsid w:val="0036565B"/>
    <w:rsid w:val="00365AA5"/>
    <w:rsid w:val="00365B28"/>
    <w:rsid w:val="00367117"/>
    <w:rsid w:val="00370B41"/>
    <w:rsid w:val="00371A8F"/>
    <w:rsid w:val="00371BB6"/>
    <w:rsid w:val="00371CAA"/>
    <w:rsid w:val="00371D2B"/>
    <w:rsid w:val="00373EC0"/>
    <w:rsid w:val="0037449E"/>
    <w:rsid w:val="00375A44"/>
    <w:rsid w:val="00375AF4"/>
    <w:rsid w:val="003761AE"/>
    <w:rsid w:val="00376534"/>
    <w:rsid w:val="00376A60"/>
    <w:rsid w:val="00380118"/>
    <w:rsid w:val="003807BD"/>
    <w:rsid w:val="00381F0D"/>
    <w:rsid w:val="00382931"/>
    <w:rsid w:val="0038325E"/>
    <w:rsid w:val="0038336A"/>
    <w:rsid w:val="00383899"/>
    <w:rsid w:val="00383FAD"/>
    <w:rsid w:val="00384495"/>
    <w:rsid w:val="00384980"/>
    <w:rsid w:val="00385C35"/>
    <w:rsid w:val="003864AB"/>
    <w:rsid w:val="00387976"/>
    <w:rsid w:val="00390C5A"/>
    <w:rsid w:val="00392745"/>
    <w:rsid w:val="00392B65"/>
    <w:rsid w:val="0039305B"/>
    <w:rsid w:val="00393295"/>
    <w:rsid w:val="00393456"/>
    <w:rsid w:val="00393862"/>
    <w:rsid w:val="00397F49"/>
    <w:rsid w:val="003A1010"/>
    <w:rsid w:val="003A2287"/>
    <w:rsid w:val="003A243A"/>
    <w:rsid w:val="003A26F2"/>
    <w:rsid w:val="003A3987"/>
    <w:rsid w:val="003A43BD"/>
    <w:rsid w:val="003A561E"/>
    <w:rsid w:val="003A5711"/>
    <w:rsid w:val="003A6AB4"/>
    <w:rsid w:val="003A6B05"/>
    <w:rsid w:val="003A6BDB"/>
    <w:rsid w:val="003B2603"/>
    <w:rsid w:val="003B3B16"/>
    <w:rsid w:val="003B4212"/>
    <w:rsid w:val="003B50A6"/>
    <w:rsid w:val="003B5E81"/>
    <w:rsid w:val="003B5FE1"/>
    <w:rsid w:val="003B6544"/>
    <w:rsid w:val="003B6E6E"/>
    <w:rsid w:val="003B74B5"/>
    <w:rsid w:val="003C06AD"/>
    <w:rsid w:val="003C1B1C"/>
    <w:rsid w:val="003C2D15"/>
    <w:rsid w:val="003C3146"/>
    <w:rsid w:val="003C4390"/>
    <w:rsid w:val="003C4985"/>
    <w:rsid w:val="003C4B64"/>
    <w:rsid w:val="003C6827"/>
    <w:rsid w:val="003C703D"/>
    <w:rsid w:val="003D1053"/>
    <w:rsid w:val="003D112A"/>
    <w:rsid w:val="003D12B5"/>
    <w:rsid w:val="003D1944"/>
    <w:rsid w:val="003D2104"/>
    <w:rsid w:val="003D2F2D"/>
    <w:rsid w:val="003D2FF0"/>
    <w:rsid w:val="003D34DA"/>
    <w:rsid w:val="003D35C0"/>
    <w:rsid w:val="003D4A5B"/>
    <w:rsid w:val="003D5145"/>
    <w:rsid w:val="003D5A12"/>
    <w:rsid w:val="003D6830"/>
    <w:rsid w:val="003E0BF9"/>
    <w:rsid w:val="003E0E49"/>
    <w:rsid w:val="003E1627"/>
    <w:rsid w:val="003E28AB"/>
    <w:rsid w:val="003E3D0B"/>
    <w:rsid w:val="003E559F"/>
    <w:rsid w:val="003E5D2F"/>
    <w:rsid w:val="003E6416"/>
    <w:rsid w:val="003E66AA"/>
    <w:rsid w:val="003E6E10"/>
    <w:rsid w:val="003E6F5A"/>
    <w:rsid w:val="003E7848"/>
    <w:rsid w:val="003F0777"/>
    <w:rsid w:val="003F10F1"/>
    <w:rsid w:val="003F1515"/>
    <w:rsid w:val="003F16E7"/>
    <w:rsid w:val="003F3902"/>
    <w:rsid w:val="003F3B25"/>
    <w:rsid w:val="003F3E12"/>
    <w:rsid w:val="003F402E"/>
    <w:rsid w:val="003F54F5"/>
    <w:rsid w:val="003F6354"/>
    <w:rsid w:val="003F6CC1"/>
    <w:rsid w:val="00400CBC"/>
    <w:rsid w:val="00400D06"/>
    <w:rsid w:val="00401C88"/>
    <w:rsid w:val="0040239B"/>
    <w:rsid w:val="00402FE1"/>
    <w:rsid w:val="004041A6"/>
    <w:rsid w:val="00405226"/>
    <w:rsid w:val="00405496"/>
    <w:rsid w:val="00405C75"/>
    <w:rsid w:val="00406CB9"/>
    <w:rsid w:val="00406D6A"/>
    <w:rsid w:val="00406DEF"/>
    <w:rsid w:val="00411585"/>
    <w:rsid w:val="00413311"/>
    <w:rsid w:val="0041352A"/>
    <w:rsid w:val="00413CED"/>
    <w:rsid w:val="00414379"/>
    <w:rsid w:val="00416222"/>
    <w:rsid w:val="00416BFD"/>
    <w:rsid w:val="0042007D"/>
    <w:rsid w:val="00420BEC"/>
    <w:rsid w:val="004216D6"/>
    <w:rsid w:val="004221FE"/>
    <w:rsid w:val="0042251D"/>
    <w:rsid w:val="00426FE5"/>
    <w:rsid w:val="004272A6"/>
    <w:rsid w:val="00427F98"/>
    <w:rsid w:val="0043119F"/>
    <w:rsid w:val="00431AE7"/>
    <w:rsid w:val="004326BB"/>
    <w:rsid w:val="00432D33"/>
    <w:rsid w:val="00432EC4"/>
    <w:rsid w:val="004330E4"/>
    <w:rsid w:val="00433CAA"/>
    <w:rsid w:val="00435047"/>
    <w:rsid w:val="00435F44"/>
    <w:rsid w:val="00437980"/>
    <w:rsid w:val="00437CF7"/>
    <w:rsid w:val="004401ED"/>
    <w:rsid w:val="00440843"/>
    <w:rsid w:val="004410A4"/>
    <w:rsid w:val="0044349C"/>
    <w:rsid w:val="00443FFD"/>
    <w:rsid w:val="00444B09"/>
    <w:rsid w:val="00445BB4"/>
    <w:rsid w:val="004513A5"/>
    <w:rsid w:val="00451EE6"/>
    <w:rsid w:val="00451F9E"/>
    <w:rsid w:val="00452585"/>
    <w:rsid w:val="00452895"/>
    <w:rsid w:val="00453319"/>
    <w:rsid w:val="004542C8"/>
    <w:rsid w:val="004549D1"/>
    <w:rsid w:val="00455F06"/>
    <w:rsid w:val="004563C7"/>
    <w:rsid w:val="00457099"/>
    <w:rsid w:val="0046070E"/>
    <w:rsid w:val="00460B90"/>
    <w:rsid w:val="00460E4C"/>
    <w:rsid w:val="00462343"/>
    <w:rsid w:val="00463FC3"/>
    <w:rsid w:val="00464A91"/>
    <w:rsid w:val="00465037"/>
    <w:rsid w:val="00465B8C"/>
    <w:rsid w:val="004671F2"/>
    <w:rsid w:val="00467F0A"/>
    <w:rsid w:val="00470AA2"/>
    <w:rsid w:val="00470BEE"/>
    <w:rsid w:val="00472258"/>
    <w:rsid w:val="0047352C"/>
    <w:rsid w:val="004735EB"/>
    <w:rsid w:val="00474787"/>
    <w:rsid w:val="0047544B"/>
    <w:rsid w:val="004766AE"/>
    <w:rsid w:val="0048081D"/>
    <w:rsid w:val="004811D4"/>
    <w:rsid w:val="004816BE"/>
    <w:rsid w:val="0048198D"/>
    <w:rsid w:val="00481C10"/>
    <w:rsid w:val="00481EDD"/>
    <w:rsid w:val="00482129"/>
    <w:rsid w:val="00482BF5"/>
    <w:rsid w:val="004830A8"/>
    <w:rsid w:val="004839EA"/>
    <w:rsid w:val="00483BA5"/>
    <w:rsid w:val="00484612"/>
    <w:rsid w:val="00485D8E"/>
    <w:rsid w:val="004860CD"/>
    <w:rsid w:val="0048614F"/>
    <w:rsid w:val="0048637D"/>
    <w:rsid w:val="00486CF6"/>
    <w:rsid w:val="00490530"/>
    <w:rsid w:val="00490A77"/>
    <w:rsid w:val="00491824"/>
    <w:rsid w:val="00491F19"/>
    <w:rsid w:val="004949AC"/>
    <w:rsid w:val="004949F6"/>
    <w:rsid w:val="00494A9B"/>
    <w:rsid w:val="004A0A75"/>
    <w:rsid w:val="004A3612"/>
    <w:rsid w:val="004A3D8A"/>
    <w:rsid w:val="004A3DDB"/>
    <w:rsid w:val="004A4700"/>
    <w:rsid w:val="004A4B25"/>
    <w:rsid w:val="004A4CEC"/>
    <w:rsid w:val="004A5DF6"/>
    <w:rsid w:val="004A618B"/>
    <w:rsid w:val="004A6FD0"/>
    <w:rsid w:val="004A711A"/>
    <w:rsid w:val="004A744C"/>
    <w:rsid w:val="004A7B19"/>
    <w:rsid w:val="004B2569"/>
    <w:rsid w:val="004B34FB"/>
    <w:rsid w:val="004B3CC4"/>
    <w:rsid w:val="004B448D"/>
    <w:rsid w:val="004B5339"/>
    <w:rsid w:val="004B6C19"/>
    <w:rsid w:val="004C3AAF"/>
    <w:rsid w:val="004C4FF1"/>
    <w:rsid w:val="004C51F5"/>
    <w:rsid w:val="004C5D7B"/>
    <w:rsid w:val="004C5E22"/>
    <w:rsid w:val="004C6BF0"/>
    <w:rsid w:val="004D0338"/>
    <w:rsid w:val="004D1C23"/>
    <w:rsid w:val="004D2649"/>
    <w:rsid w:val="004D31B0"/>
    <w:rsid w:val="004D34AD"/>
    <w:rsid w:val="004D38B9"/>
    <w:rsid w:val="004D38BB"/>
    <w:rsid w:val="004D4189"/>
    <w:rsid w:val="004D48CD"/>
    <w:rsid w:val="004D663A"/>
    <w:rsid w:val="004D678B"/>
    <w:rsid w:val="004D7A7E"/>
    <w:rsid w:val="004E013B"/>
    <w:rsid w:val="004E0906"/>
    <w:rsid w:val="004E11D0"/>
    <w:rsid w:val="004E1F3D"/>
    <w:rsid w:val="004E3362"/>
    <w:rsid w:val="004E36B0"/>
    <w:rsid w:val="004E3F39"/>
    <w:rsid w:val="004E536F"/>
    <w:rsid w:val="004E57D9"/>
    <w:rsid w:val="004E5E85"/>
    <w:rsid w:val="004E6B85"/>
    <w:rsid w:val="004E6E48"/>
    <w:rsid w:val="004F0288"/>
    <w:rsid w:val="004F0B47"/>
    <w:rsid w:val="004F2DE8"/>
    <w:rsid w:val="004F400E"/>
    <w:rsid w:val="004F4191"/>
    <w:rsid w:val="004F43AA"/>
    <w:rsid w:val="004F4657"/>
    <w:rsid w:val="004F6A18"/>
    <w:rsid w:val="004F71D6"/>
    <w:rsid w:val="004F764F"/>
    <w:rsid w:val="004F7E59"/>
    <w:rsid w:val="0050185C"/>
    <w:rsid w:val="005020E2"/>
    <w:rsid w:val="005060C3"/>
    <w:rsid w:val="005102A2"/>
    <w:rsid w:val="00510BAB"/>
    <w:rsid w:val="005128C5"/>
    <w:rsid w:val="005128F3"/>
    <w:rsid w:val="00514671"/>
    <w:rsid w:val="00514C29"/>
    <w:rsid w:val="0051607A"/>
    <w:rsid w:val="0051643E"/>
    <w:rsid w:val="0051652E"/>
    <w:rsid w:val="00517420"/>
    <w:rsid w:val="00517BBF"/>
    <w:rsid w:val="00520FFA"/>
    <w:rsid w:val="005212B1"/>
    <w:rsid w:val="0052179A"/>
    <w:rsid w:val="00521EBA"/>
    <w:rsid w:val="00522C77"/>
    <w:rsid w:val="00523D7C"/>
    <w:rsid w:val="0052439E"/>
    <w:rsid w:val="00526431"/>
    <w:rsid w:val="00526748"/>
    <w:rsid w:val="00526CD7"/>
    <w:rsid w:val="005302DA"/>
    <w:rsid w:val="005305DF"/>
    <w:rsid w:val="00532108"/>
    <w:rsid w:val="005335E4"/>
    <w:rsid w:val="005369B8"/>
    <w:rsid w:val="00536F5B"/>
    <w:rsid w:val="00537CE5"/>
    <w:rsid w:val="00537E77"/>
    <w:rsid w:val="00537F54"/>
    <w:rsid w:val="00540F1C"/>
    <w:rsid w:val="00542670"/>
    <w:rsid w:val="005429B9"/>
    <w:rsid w:val="00545908"/>
    <w:rsid w:val="00546A10"/>
    <w:rsid w:val="00550736"/>
    <w:rsid w:val="00550937"/>
    <w:rsid w:val="00551E41"/>
    <w:rsid w:val="00554DBD"/>
    <w:rsid w:val="00554F02"/>
    <w:rsid w:val="00560677"/>
    <w:rsid w:val="00561513"/>
    <w:rsid w:val="00561795"/>
    <w:rsid w:val="00562BA8"/>
    <w:rsid w:val="0056376A"/>
    <w:rsid w:val="00564552"/>
    <w:rsid w:val="00564F4A"/>
    <w:rsid w:val="00565E48"/>
    <w:rsid w:val="00566921"/>
    <w:rsid w:val="00566D9F"/>
    <w:rsid w:val="005671F0"/>
    <w:rsid w:val="0057050B"/>
    <w:rsid w:val="00570BA3"/>
    <w:rsid w:val="0057129A"/>
    <w:rsid w:val="005723B5"/>
    <w:rsid w:val="005750C4"/>
    <w:rsid w:val="005753DF"/>
    <w:rsid w:val="00575A6A"/>
    <w:rsid w:val="00576CB6"/>
    <w:rsid w:val="00577FAD"/>
    <w:rsid w:val="005812CA"/>
    <w:rsid w:val="00582010"/>
    <w:rsid w:val="0058219A"/>
    <w:rsid w:val="00585784"/>
    <w:rsid w:val="005868E5"/>
    <w:rsid w:val="00587462"/>
    <w:rsid w:val="005879CA"/>
    <w:rsid w:val="00587C8D"/>
    <w:rsid w:val="0059021A"/>
    <w:rsid w:val="00591EF2"/>
    <w:rsid w:val="00591F6F"/>
    <w:rsid w:val="00592198"/>
    <w:rsid w:val="00592ED5"/>
    <w:rsid w:val="0059320E"/>
    <w:rsid w:val="005941AB"/>
    <w:rsid w:val="00596270"/>
    <w:rsid w:val="0059657A"/>
    <w:rsid w:val="00597A69"/>
    <w:rsid w:val="005A0E1E"/>
    <w:rsid w:val="005A158B"/>
    <w:rsid w:val="005A2E6F"/>
    <w:rsid w:val="005A3510"/>
    <w:rsid w:val="005A3998"/>
    <w:rsid w:val="005A4381"/>
    <w:rsid w:val="005A50E5"/>
    <w:rsid w:val="005A57C2"/>
    <w:rsid w:val="005B0482"/>
    <w:rsid w:val="005B0F43"/>
    <w:rsid w:val="005B18B5"/>
    <w:rsid w:val="005B49E1"/>
    <w:rsid w:val="005B5643"/>
    <w:rsid w:val="005B6066"/>
    <w:rsid w:val="005B6D5F"/>
    <w:rsid w:val="005B6D83"/>
    <w:rsid w:val="005B70F0"/>
    <w:rsid w:val="005B72FA"/>
    <w:rsid w:val="005B7C20"/>
    <w:rsid w:val="005B7CD7"/>
    <w:rsid w:val="005C40D3"/>
    <w:rsid w:val="005C4545"/>
    <w:rsid w:val="005C4E5C"/>
    <w:rsid w:val="005C52A7"/>
    <w:rsid w:val="005C5913"/>
    <w:rsid w:val="005C7969"/>
    <w:rsid w:val="005C7E49"/>
    <w:rsid w:val="005D00EB"/>
    <w:rsid w:val="005D06E4"/>
    <w:rsid w:val="005D0E12"/>
    <w:rsid w:val="005D17D4"/>
    <w:rsid w:val="005D2983"/>
    <w:rsid w:val="005D2B5C"/>
    <w:rsid w:val="005D447B"/>
    <w:rsid w:val="005D4F41"/>
    <w:rsid w:val="005D590F"/>
    <w:rsid w:val="005D69B1"/>
    <w:rsid w:val="005E0F3C"/>
    <w:rsid w:val="005E37FA"/>
    <w:rsid w:val="005E6172"/>
    <w:rsid w:val="005E79B4"/>
    <w:rsid w:val="005F1102"/>
    <w:rsid w:val="005F187A"/>
    <w:rsid w:val="005F280A"/>
    <w:rsid w:val="005F40CD"/>
    <w:rsid w:val="005F434A"/>
    <w:rsid w:val="005F5EB1"/>
    <w:rsid w:val="005F63FE"/>
    <w:rsid w:val="005F707C"/>
    <w:rsid w:val="005F7734"/>
    <w:rsid w:val="005F7A24"/>
    <w:rsid w:val="00603438"/>
    <w:rsid w:val="00603673"/>
    <w:rsid w:val="00603AEC"/>
    <w:rsid w:val="00603CC2"/>
    <w:rsid w:val="00604743"/>
    <w:rsid w:val="00604E40"/>
    <w:rsid w:val="00606113"/>
    <w:rsid w:val="00606859"/>
    <w:rsid w:val="00610C80"/>
    <w:rsid w:val="00611134"/>
    <w:rsid w:val="00613763"/>
    <w:rsid w:val="00614060"/>
    <w:rsid w:val="00614A17"/>
    <w:rsid w:val="00614D78"/>
    <w:rsid w:val="00615001"/>
    <w:rsid w:val="006152E3"/>
    <w:rsid w:val="006155DB"/>
    <w:rsid w:val="00616BBD"/>
    <w:rsid w:val="00617AA4"/>
    <w:rsid w:val="00617D6E"/>
    <w:rsid w:val="006200A8"/>
    <w:rsid w:val="00620526"/>
    <w:rsid w:val="00621602"/>
    <w:rsid w:val="00621669"/>
    <w:rsid w:val="0062201C"/>
    <w:rsid w:val="006227F6"/>
    <w:rsid w:val="00622964"/>
    <w:rsid w:val="00624F17"/>
    <w:rsid w:val="006251E6"/>
    <w:rsid w:val="00625864"/>
    <w:rsid w:val="0062592E"/>
    <w:rsid w:val="00626CD7"/>
    <w:rsid w:val="006276B7"/>
    <w:rsid w:val="00627AC0"/>
    <w:rsid w:val="00630652"/>
    <w:rsid w:val="00631A30"/>
    <w:rsid w:val="006323C6"/>
    <w:rsid w:val="00634466"/>
    <w:rsid w:val="00635517"/>
    <w:rsid w:val="0063603C"/>
    <w:rsid w:val="00640904"/>
    <w:rsid w:val="00640AAC"/>
    <w:rsid w:val="00640DBE"/>
    <w:rsid w:val="0064117F"/>
    <w:rsid w:val="00641428"/>
    <w:rsid w:val="00641B71"/>
    <w:rsid w:val="00643CC5"/>
    <w:rsid w:val="0064402F"/>
    <w:rsid w:val="00645E03"/>
    <w:rsid w:val="00646AEA"/>
    <w:rsid w:val="00650847"/>
    <w:rsid w:val="00651D8C"/>
    <w:rsid w:val="00652C8C"/>
    <w:rsid w:val="00653AF2"/>
    <w:rsid w:val="0065445B"/>
    <w:rsid w:val="00654781"/>
    <w:rsid w:val="00655674"/>
    <w:rsid w:val="00656020"/>
    <w:rsid w:val="00656A9A"/>
    <w:rsid w:val="00656F7D"/>
    <w:rsid w:val="006571CA"/>
    <w:rsid w:val="00657FEB"/>
    <w:rsid w:val="006600AE"/>
    <w:rsid w:val="006613C2"/>
    <w:rsid w:val="006617F2"/>
    <w:rsid w:val="006633E2"/>
    <w:rsid w:val="00663464"/>
    <w:rsid w:val="00663BBB"/>
    <w:rsid w:val="0066407C"/>
    <w:rsid w:val="0066432A"/>
    <w:rsid w:val="00664545"/>
    <w:rsid w:val="00664A3C"/>
    <w:rsid w:val="0066577C"/>
    <w:rsid w:val="00666226"/>
    <w:rsid w:val="00673BD9"/>
    <w:rsid w:val="006747F7"/>
    <w:rsid w:val="00674B5A"/>
    <w:rsid w:val="00674DB5"/>
    <w:rsid w:val="0067548D"/>
    <w:rsid w:val="00675895"/>
    <w:rsid w:val="0068089A"/>
    <w:rsid w:val="00680A6D"/>
    <w:rsid w:val="006818DA"/>
    <w:rsid w:val="00682BA0"/>
    <w:rsid w:val="00683440"/>
    <w:rsid w:val="0068495B"/>
    <w:rsid w:val="00686138"/>
    <w:rsid w:val="00687D46"/>
    <w:rsid w:val="00690FD3"/>
    <w:rsid w:val="0069302A"/>
    <w:rsid w:val="00693295"/>
    <w:rsid w:val="0069483A"/>
    <w:rsid w:val="00694D3C"/>
    <w:rsid w:val="00694EAF"/>
    <w:rsid w:val="006958C2"/>
    <w:rsid w:val="006960BB"/>
    <w:rsid w:val="0069748C"/>
    <w:rsid w:val="006A28E5"/>
    <w:rsid w:val="006A2942"/>
    <w:rsid w:val="006A2A32"/>
    <w:rsid w:val="006A2D0D"/>
    <w:rsid w:val="006A3962"/>
    <w:rsid w:val="006A3C87"/>
    <w:rsid w:val="006A5995"/>
    <w:rsid w:val="006A5FFB"/>
    <w:rsid w:val="006A6752"/>
    <w:rsid w:val="006B1196"/>
    <w:rsid w:val="006B5BCF"/>
    <w:rsid w:val="006B7C51"/>
    <w:rsid w:val="006C0244"/>
    <w:rsid w:val="006C033A"/>
    <w:rsid w:val="006C0E35"/>
    <w:rsid w:val="006C1B1A"/>
    <w:rsid w:val="006C22FD"/>
    <w:rsid w:val="006C33CB"/>
    <w:rsid w:val="006C4793"/>
    <w:rsid w:val="006C4876"/>
    <w:rsid w:val="006C61CA"/>
    <w:rsid w:val="006C69D7"/>
    <w:rsid w:val="006D0105"/>
    <w:rsid w:val="006D012E"/>
    <w:rsid w:val="006D0AC3"/>
    <w:rsid w:val="006D1347"/>
    <w:rsid w:val="006D198F"/>
    <w:rsid w:val="006D2836"/>
    <w:rsid w:val="006D68A4"/>
    <w:rsid w:val="006D759A"/>
    <w:rsid w:val="006E02CA"/>
    <w:rsid w:val="006E0555"/>
    <w:rsid w:val="006E1C00"/>
    <w:rsid w:val="006E1CDE"/>
    <w:rsid w:val="006E1E94"/>
    <w:rsid w:val="006E302D"/>
    <w:rsid w:val="006E342B"/>
    <w:rsid w:val="006E36CF"/>
    <w:rsid w:val="006E3A23"/>
    <w:rsid w:val="006E4BB4"/>
    <w:rsid w:val="006E4F64"/>
    <w:rsid w:val="006E54D4"/>
    <w:rsid w:val="006E55D1"/>
    <w:rsid w:val="006E606C"/>
    <w:rsid w:val="006E6DDC"/>
    <w:rsid w:val="006E76CA"/>
    <w:rsid w:val="006E77B8"/>
    <w:rsid w:val="006F09DA"/>
    <w:rsid w:val="006F0F7B"/>
    <w:rsid w:val="006F1226"/>
    <w:rsid w:val="006F33FA"/>
    <w:rsid w:val="006F46CE"/>
    <w:rsid w:val="006F6194"/>
    <w:rsid w:val="006F66D7"/>
    <w:rsid w:val="006F6C45"/>
    <w:rsid w:val="006F6F80"/>
    <w:rsid w:val="006F7172"/>
    <w:rsid w:val="006F78C5"/>
    <w:rsid w:val="00700394"/>
    <w:rsid w:val="00700C82"/>
    <w:rsid w:val="00700F27"/>
    <w:rsid w:val="00701599"/>
    <w:rsid w:val="00703419"/>
    <w:rsid w:val="00703A62"/>
    <w:rsid w:val="00703CDD"/>
    <w:rsid w:val="00703E15"/>
    <w:rsid w:val="00703FD5"/>
    <w:rsid w:val="00704906"/>
    <w:rsid w:val="00704B20"/>
    <w:rsid w:val="0070532D"/>
    <w:rsid w:val="00705964"/>
    <w:rsid w:val="00706028"/>
    <w:rsid w:val="007061AB"/>
    <w:rsid w:val="00706BD3"/>
    <w:rsid w:val="00706C0E"/>
    <w:rsid w:val="00707272"/>
    <w:rsid w:val="00707D42"/>
    <w:rsid w:val="00707EF8"/>
    <w:rsid w:val="00710E23"/>
    <w:rsid w:val="00711BD6"/>
    <w:rsid w:val="0071248F"/>
    <w:rsid w:val="00712568"/>
    <w:rsid w:val="00714765"/>
    <w:rsid w:val="007159B6"/>
    <w:rsid w:val="007174C1"/>
    <w:rsid w:val="00720FB9"/>
    <w:rsid w:val="00722A24"/>
    <w:rsid w:val="00723885"/>
    <w:rsid w:val="00723BA5"/>
    <w:rsid w:val="00723E2A"/>
    <w:rsid w:val="00726320"/>
    <w:rsid w:val="0072647A"/>
    <w:rsid w:val="007271E2"/>
    <w:rsid w:val="007301B8"/>
    <w:rsid w:val="00730753"/>
    <w:rsid w:val="00730A32"/>
    <w:rsid w:val="00731470"/>
    <w:rsid w:val="007319A2"/>
    <w:rsid w:val="00731A17"/>
    <w:rsid w:val="00731C5F"/>
    <w:rsid w:val="00731F2F"/>
    <w:rsid w:val="00733D12"/>
    <w:rsid w:val="00733E02"/>
    <w:rsid w:val="0073677A"/>
    <w:rsid w:val="007418DD"/>
    <w:rsid w:val="00741E28"/>
    <w:rsid w:val="00742520"/>
    <w:rsid w:val="007431B7"/>
    <w:rsid w:val="007446DA"/>
    <w:rsid w:val="00744D3A"/>
    <w:rsid w:val="00746C6D"/>
    <w:rsid w:val="0075085D"/>
    <w:rsid w:val="00751985"/>
    <w:rsid w:val="0075260E"/>
    <w:rsid w:val="007526FB"/>
    <w:rsid w:val="00753514"/>
    <w:rsid w:val="00753CC5"/>
    <w:rsid w:val="007541CB"/>
    <w:rsid w:val="00754346"/>
    <w:rsid w:val="00754B81"/>
    <w:rsid w:val="00755156"/>
    <w:rsid w:val="007565FC"/>
    <w:rsid w:val="007573D2"/>
    <w:rsid w:val="00760A26"/>
    <w:rsid w:val="007637C3"/>
    <w:rsid w:val="00763D8D"/>
    <w:rsid w:val="00763F0B"/>
    <w:rsid w:val="007645A1"/>
    <w:rsid w:val="00764F32"/>
    <w:rsid w:val="00765743"/>
    <w:rsid w:val="00771BBE"/>
    <w:rsid w:val="00771DBA"/>
    <w:rsid w:val="007721D5"/>
    <w:rsid w:val="00772A8F"/>
    <w:rsid w:val="00773A18"/>
    <w:rsid w:val="00774689"/>
    <w:rsid w:val="00777EF3"/>
    <w:rsid w:val="00780354"/>
    <w:rsid w:val="00780EAF"/>
    <w:rsid w:val="00780F68"/>
    <w:rsid w:val="007822D6"/>
    <w:rsid w:val="00782844"/>
    <w:rsid w:val="00783983"/>
    <w:rsid w:val="00784B3C"/>
    <w:rsid w:val="007854FB"/>
    <w:rsid w:val="00785671"/>
    <w:rsid w:val="00786B54"/>
    <w:rsid w:val="0079024C"/>
    <w:rsid w:val="00790E7D"/>
    <w:rsid w:val="00791030"/>
    <w:rsid w:val="007911AF"/>
    <w:rsid w:val="00791C0A"/>
    <w:rsid w:val="007927E5"/>
    <w:rsid w:val="00795893"/>
    <w:rsid w:val="00796264"/>
    <w:rsid w:val="00796558"/>
    <w:rsid w:val="007A0D31"/>
    <w:rsid w:val="007A1594"/>
    <w:rsid w:val="007A1C7C"/>
    <w:rsid w:val="007A2475"/>
    <w:rsid w:val="007A2BCD"/>
    <w:rsid w:val="007A38B7"/>
    <w:rsid w:val="007A3D48"/>
    <w:rsid w:val="007A4862"/>
    <w:rsid w:val="007A58C0"/>
    <w:rsid w:val="007A5BA5"/>
    <w:rsid w:val="007A6474"/>
    <w:rsid w:val="007A703D"/>
    <w:rsid w:val="007A7277"/>
    <w:rsid w:val="007B059E"/>
    <w:rsid w:val="007B064B"/>
    <w:rsid w:val="007B143A"/>
    <w:rsid w:val="007B2138"/>
    <w:rsid w:val="007B2B46"/>
    <w:rsid w:val="007B2D33"/>
    <w:rsid w:val="007B2D40"/>
    <w:rsid w:val="007B5289"/>
    <w:rsid w:val="007B5C5A"/>
    <w:rsid w:val="007B64E0"/>
    <w:rsid w:val="007B72C4"/>
    <w:rsid w:val="007C0131"/>
    <w:rsid w:val="007C092B"/>
    <w:rsid w:val="007C1BF6"/>
    <w:rsid w:val="007C2580"/>
    <w:rsid w:val="007C2CA2"/>
    <w:rsid w:val="007C38FA"/>
    <w:rsid w:val="007C3BD4"/>
    <w:rsid w:val="007C3CB2"/>
    <w:rsid w:val="007C4DBF"/>
    <w:rsid w:val="007C6D82"/>
    <w:rsid w:val="007C7A81"/>
    <w:rsid w:val="007C7E73"/>
    <w:rsid w:val="007D027A"/>
    <w:rsid w:val="007D051F"/>
    <w:rsid w:val="007D0BBA"/>
    <w:rsid w:val="007D1727"/>
    <w:rsid w:val="007D23D9"/>
    <w:rsid w:val="007D3332"/>
    <w:rsid w:val="007D333C"/>
    <w:rsid w:val="007D3F72"/>
    <w:rsid w:val="007D588D"/>
    <w:rsid w:val="007D5CE4"/>
    <w:rsid w:val="007D5F21"/>
    <w:rsid w:val="007D5F83"/>
    <w:rsid w:val="007D6583"/>
    <w:rsid w:val="007D7213"/>
    <w:rsid w:val="007D778F"/>
    <w:rsid w:val="007E0AAC"/>
    <w:rsid w:val="007E18FC"/>
    <w:rsid w:val="007E281D"/>
    <w:rsid w:val="007E290D"/>
    <w:rsid w:val="007E4724"/>
    <w:rsid w:val="007E56CC"/>
    <w:rsid w:val="007E5C52"/>
    <w:rsid w:val="007E68BF"/>
    <w:rsid w:val="007E70C4"/>
    <w:rsid w:val="007E726E"/>
    <w:rsid w:val="007F0634"/>
    <w:rsid w:val="007F0B94"/>
    <w:rsid w:val="007F10A1"/>
    <w:rsid w:val="007F1C66"/>
    <w:rsid w:val="007F26DD"/>
    <w:rsid w:val="007F2884"/>
    <w:rsid w:val="007F3515"/>
    <w:rsid w:val="007F4419"/>
    <w:rsid w:val="00801696"/>
    <w:rsid w:val="00803FFB"/>
    <w:rsid w:val="0080512A"/>
    <w:rsid w:val="008056A0"/>
    <w:rsid w:val="008058A0"/>
    <w:rsid w:val="008067F9"/>
    <w:rsid w:val="00807246"/>
    <w:rsid w:val="008116C9"/>
    <w:rsid w:val="00812AFF"/>
    <w:rsid w:val="00812BB6"/>
    <w:rsid w:val="00813F50"/>
    <w:rsid w:val="00814803"/>
    <w:rsid w:val="00816B49"/>
    <w:rsid w:val="00822129"/>
    <w:rsid w:val="00825EBD"/>
    <w:rsid w:val="00826FDA"/>
    <w:rsid w:val="00827322"/>
    <w:rsid w:val="00827E7F"/>
    <w:rsid w:val="00830F98"/>
    <w:rsid w:val="00832C5F"/>
    <w:rsid w:val="00833991"/>
    <w:rsid w:val="00834B6A"/>
    <w:rsid w:val="0083582E"/>
    <w:rsid w:val="00835C1C"/>
    <w:rsid w:val="008362ED"/>
    <w:rsid w:val="0083681E"/>
    <w:rsid w:val="008369B8"/>
    <w:rsid w:val="00837E6A"/>
    <w:rsid w:val="008429AF"/>
    <w:rsid w:val="008443E4"/>
    <w:rsid w:val="00844DAD"/>
    <w:rsid w:val="00844E5C"/>
    <w:rsid w:val="00846B79"/>
    <w:rsid w:val="0084721E"/>
    <w:rsid w:val="0085048D"/>
    <w:rsid w:val="00851B24"/>
    <w:rsid w:val="00851CB8"/>
    <w:rsid w:val="00851F54"/>
    <w:rsid w:val="00853FE2"/>
    <w:rsid w:val="00855FF4"/>
    <w:rsid w:val="00861906"/>
    <w:rsid w:val="00861BFE"/>
    <w:rsid w:val="008639D7"/>
    <w:rsid w:val="00863F2E"/>
    <w:rsid w:val="008652CA"/>
    <w:rsid w:val="00866544"/>
    <w:rsid w:val="0087193F"/>
    <w:rsid w:val="008735D5"/>
    <w:rsid w:val="008736BC"/>
    <w:rsid w:val="0087382A"/>
    <w:rsid w:val="00873D83"/>
    <w:rsid w:val="0087466F"/>
    <w:rsid w:val="00874B4B"/>
    <w:rsid w:val="0087555F"/>
    <w:rsid w:val="008765B2"/>
    <w:rsid w:val="00876F0F"/>
    <w:rsid w:val="00877854"/>
    <w:rsid w:val="008814E6"/>
    <w:rsid w:val="00882E11"/>
    <w:rsid w:val="0088340E"/>
    <w:rsid w:val="0088438B"/>
    <w:rsid w:val="00884635"/>
    <w:rsid w:val="00885598"/>
    <w:rsid w:val="00885EF1"/>
    <w:rsid w:val="0088652D"/>
    <w:rsid w:val="008876F7"/>
    <w:rsid w:val="00890F31"/>
    <w:rsid w:val="00892DD2"/>
    <w:rsid w:val="0089323F"/>
    <w:rsid w:val="00894AEB"/>
    <w:rsid w:val="00896267"/>
    <w:rsid w:val="00896F65"/>
    <w:rsid w:val="00897172"/>
    <w:rsid w:val="008A057B"/>
    <w:rsid w:val="008A096F"/>
    <w:rsid w:val="008A0A94"/>
    <w:rsid w:val="008A3471"/>
    <w:rsid w:val="008A37DE"/>
    <w:rsid w:val="008A4437"/>
    <w:rsid w:val="008A4E24"/>
    <w:rsid w:val="008A52AE"/>
    <w:rsid w:val="008A589C"/>
    <w:rsid w:val="008A5EF0"/>
    <w:rsid w:val="008A60E2"/>
    <w:rsid w:val="008A63FB"/>
    <w:rsid w:val="008A703B"/>
    <w:rsid w:val="008A7B0A"/>
    <w:rsid w:val="008B035B"/>
    <w:rsid w:val="008B3369"/>
    <w:rsid w:val="008B3483"/>
    <w:rsid w:val="008B37D7"/>
    <w:rsid w:val="008B4790"/>
    <w:rsid w:val="008B5CB6"/>
    <w:rsid w:val="008B5FDF"/>
    <w:rsid w:val="008B6DB1"/>
    <w:rsid w:val="008C134F"/>
    <w:rsid w:val="008C1413"/>
    <w:rsid w:val="008C32F7"/>
    <w:rsid w:val="008C3699"/>
    <w:rsid w:val="008C386B"/>
    <w:rsid w:val="008C5D1B"/>
    <w:rsid w:val="008C5DDD"/>
    <w:rsid w:val="008C60D4"/>
    <w:rsid w:val="008D007F"/>
    <w:rsid w:val="008D1196"/>
    <w:rsid w:val="008D1B98"/>
    <w:rsid w:val="008D2A15"/>
    <w:rsid w:val="008D591C"/>
    <w:rsid w:val="008D5ECA"/>
    <w:rsid w:val="008D6A78"/>
    <w:rsid w:val="008D6C00"/>
    <w:rsid w:val="008D7D2E"/>
    <w:rsid w:val="008E021D"/>
    <w:rsid w:val="008E077D"/>
    <w:rsid w:val="008E0BB9"/>
    <w:rsid w:val="008E0C7B"/>
    <w:rsid w:val="008E0FBB"/>
    <w:rsid w:val="008E2B4C"/>
    <w:rsid w:val="008E2BB1"/>
    <w:rsid w:val="008E3595"/>
    <w:rsid w:val="008E3EA9"/>
    <w:rsid w:val="008E5628"/>
    <w:rsid w:val="008E5FD6"/>
    <w:rsid w:val="008E70EF"/>
    <w:rsid w:val="008E7777"/>
    <w:rsid w:val="008F0F5E"/>
    <w:rsid w:val="008F169E"/>
    <w:rsid w:val="008F1F58"/>
    <w:rsid w:val="008F2F92"/>
    <w:rsid w:val="008F35A5"/>
    <w:rsid w:val="008F3B4C"/>
    <w:rsid w:val="008F3E7D"/>
    <w:rsid w:val="008F4983"/>
    <w:rsid w:val="008F57B0"/>
    <w:rsid w:val="008F6079"/>
    <w:rsid w:val="008F60A2"/>
    <w:rsid w:val="008F6EB3"/>
    <w:rsid w:val="008F7698"/>
    <w:rsid w:val="008F7EDF"/>
    <w:rsid w:val="00900057"/>
    <w:rsid w:val="00901077"/>
    <w:rsid w:val="00901D0E"/>
    <w:rsid w:val="009024C9"/>
    <w:rsid w:val="00902627"/>
    <w:rsid w:val="009034E6"/>
    <w:rsid w:val="00903B27"/>
    <w:rsid w:val="00903C2E"/>
    <w:rsid w:val="00905C8E"/>
    <w:rsid w:val="00906630"/>
    <w:rsid w:val="0090678C"/>
    <w:rsid w:val="009071D5"/>
    <w:rsid w:val="00907D5F"/>
    <w:rsid w:val="0091204F"/>
    <w:rsid w:val="00912CC4"/>
    <w:rsid w:val="0091351A"/>
    <w:rsid w:val="0091369F"/>
    <w:rsid w:val="00913E66"/>
    <w:rsid w:val="00914C1E"/>
    <w:rsid w:val="00915956"/>
    <w:rsid w:val="00920E07"/>
    <w:rsid w:val="0092106C"/>
    <w:rsid w:val="009215ED"/>
    <w:rsid w:val="0092364E"/>
    <w:rsid w:val="0092374D"/>
    <w:rsid w:val="00923A00"/>
    <w:rsid w:val="00923BAA"/>
    <w:rsid w:val="00924970"/>
    <w:rsid w:val="00927173"/>
    <w:rsid w:val="00930FA3"/>
    <w:rsid w:val="00931171"/>
    <w:rsid w:val="009317C0"/>
    <w:rsid w:val="00931B5C"/>
    <w:rsid w:val="009326BF"/>
    <w:rsid w:val="0093787B"/>
    <w:rsid w:val="009415F0"/>
    <w:rsid w:val="00942659"/>
    <w:rsid w:val="00942AFA"/>
    <w:rsid w:val="00942C8E"/>
    <w:rsid w:val="00943ABC"/>
    <w:rsid w:val="00945962"/>
    <w:rsid w:val="00946116"/>
    <w:rsid w:val="00947396"/>
    <w:rsid w:val="0095111A"/>
    <w:rsid w:val="009529F5"/>
    <w:rsid w:val="00952B4F"/>
    <w:rsid w:val="00953F74"/>
    <w:rsid w:val="009578F0"/>
    <w:rsid w:val="009607A3"/>
    <w:rsid w:val="009607C1"/>
    <w:rsid w:val="00961330"/>
    <w:rsid w:val="00961BEE"/>
    <w:rsid w:val="00962193"/>
    <w:rsid w:val="00962B5A"/>
    <w:rsid w:val="00963095"/>
    <w:rsid w:val="00964F1C"/>
    <w:rsid w:val="00965869"/>
    <w:rsid w:val="009672A4"/>
    <w:rsid w:val="00967889"/>
    <w:rsid w:val="00967E9B"/>
    <w:rsid w:val="00971093"/>
    <w:rsid w:val="00973859"/>
    <w:rsid w:val="00974627"/>
    <w:rsid w:val="00974A70"/>
    <w:rsid w:val="00975CE2"/>
    <w:rsid w:val="009766E0"/>
    <w:rsid w:val="00977673"/>
    <w:rsid w:val="00980A5A"/>
    <w:rsid w:val="00982E9E"/>
    <w:rsid w:val="00983C33"/>
    <w:rsid w:val="00983E74"/>
    <w:rsid w:val="00983EB5"/>
    <w:rsid w:val="0098451B"/>
    <w:rsid w:val="00985C30"/>
    <w:rsid w:val="00985DFF"/>
    <w:rsid w:val="009900E6"/>
    <w:rsid w:val="009912B5"/>
    <w:rsid w:val="009914DC"/>
    <w:rsid w:val="009917C6"/>
    <w:rsid w:val="00992096"/>
    <w:rsid w:val="00993E30"/>
    <w:rsid w:val="009969D9"/>
    <w:rsid w:val="00997BBB"/>
    <w:rsid w:val="009A1863"/>
    <w:rsid w:val="009A3DA3"/>
    <w:rsid w:val="009A3DE0"/>
    <w:rsid w:val="009A4FBD"/>
    <w:rsid w:val="009B0E9E"/>
    <w:rsid w:val="009B1109"/>
    <w:rsid w:val="009B1D6E"/>
    <w:rsid w:val="009B2564"/>
    <w:rsid w:val="009B4A54"/>
    <w:rsid w:val="009B4C1C"/>
    <w:rsid w:val="009B7499"/>
    <w:rsid w:val="009B7AB6"/>
    <w:rsid w:val="009B7C10"/>
    <w:rsid w:val="009C009C"/>
    <w:rsid w:val="009C029E"/>
    <w:rsid w:val="009C0656"/>
    <w:rsid w:val="009C07AA"/>
    <w:rsid w:val="009C2DC5"/>
    <w:rsid w:val="009C395E"/>
    <w:rsid w:val="009C3ECB"/>
    <w:rsid w:val="009C55A3"/>
    <w:rsid w:val="009C5FAB"/>
    <w:rsid w:val="009C6BDC"/>
    <w:rsid w:val="009C6D8D"/>
    <w:rsid w:val="009D207C"/>
    <w:rsid w:val="009D25F6"/>
    <w:rsid w:val="009D2740"/>
    <w:rsid w:val="009D2F80"/>
    <w:rsid w:val="009D3119"/>
    <w:rsid w:val="009D3B4B"/>
    <w:rsid w:val="009D423F"/>
    <w:rsid w:val="009D4D5E"/>
    <w:rsid w:val="009D5331"/>
    <w:rsid w:val="009D7F8A"/>
    <w:rsid w:val="009E115F"/>
    <w:rsid w:val="009E16C7"/>
    <w:rsid w:val="009E3151"/>
    <w:rsid w:val="009E31C7"/>
    <w:rsid w:val="009E4779"/>
    <w:rsid w:val="009E5140"/>
    <w:rsid w:val="009E662A"/>
    <w:rsid w:val="009E66F6"/>
    <w:rsid w:val="009E7780"/>
    <w:rsid w:val="009E7A09"/>
    <w:rsid w:val="009F0463"/>
    <w:rsid w:val="009F0623"/>
    <w:rsid w:val="009F0910"/>
    <w:rsid w:val="009F1029"/>
    <w:rsid w:val="009F17BE"/>
    <w:rsid w:val="009F2679"/>
    <w:rsid w:val="009F404C"/>
    <w:rsid w:val="009F41F3"/>
    <w:rsid w:val="009F584F"/>
    <w:rsid w:val="009F70AD"/>
    <w:rsid w:val="009F7F02"/>
    <w:rsid w:val="00A000D9"/>
    <w:rsid w:val="00A00612"/>
    <w:rsid w:val="00A00AE2"/>
    <w:rsid w:val="00A00D32"/>
    <w:rsid w:val="00A01111"/>
    <w:rsid w:val="00A02D03"/>
    <w:rsid w:val="00A02E94"/>
    <w:rsid w:val="00A039A3"/>
    <w:rsid w:val="00A046A5"/>
    <w:rsid w:val="00A04E95"/>
    <w:rsid w:val="00A05675"/>
    <w:rsid w:val="00A057DC"/>
    <w:rsid w:val="00A0684F"/>
    <w:rsid w:val="00A0725B"/>
    <w:rsid w:val="00A07E73"/>
    <w:rsid w:val="00A10153"/>
    <w:rsid w:val="00A11EC9"/>
    <w:rsid w:val="00A120CC"/>
    <w:rsid w:val="00A121FB"/>
    <w:rsid w:val="00A12F69"/>
    <w:rsid w:val="00A13D87"/>
    <w:rsid w:val="00A15B55"/>
    <w:rsid w:val="00A1757C"/>
    <w:rsid w:val="00A17A74"/>
    <w:rsid w:val="00A21092"/>
    <w:rsid w:val="00A21597"/>
    <w:rsid w:val="00A22A04"/>
    <w:rsid w:val="00A23CC3"/>
    <w:rsid w:val="00A23FCD"/>
    <w:rsid w:val="00A24E49"/>
    <w:rsid w:val="00A25264"/>
    <w:rsid w:val="00A25F38"/>
    <w:rsid w:val="00A27303"/>
    <w:rsid w:val="00A27411"/>
    <w:rsid w:val="00A27C51"/>
    <w:rsid w:val="00A31322"/>
    <w:rsid w:val="00A33005"/>
    <w:rsid w:val="00A34C99"/>
    <w:rsid w:val="00A353F8"/>
    <w:rsid w:val="00A36910"/>
    <w:rsid w:val="00A370A6"/>
    <w:rsid w:val="00A375F1"/>
    <w:rsid w:val="00A4120A"/>
    <w:rsid w:val="00A41822"/>
    <w:rsid w:val="00A41AE2"/>
    <w:rsid w:val="00A41B24"/>
    <w:rsid w:val="00A41C20"/>
    <w:rsid w:val="00A42F50"/>
    <w:rsid w:val="00A43390"/>
    <w:rsid w:val="00A43696"/>
    <w:rsid w:val="00A43DC7"/>
    <w:rsid w:val="00A447D2"/>
    <w:rsid w:val="00A44D72"/>
    <w:rsid w:val="00A46066"/>
    <w:rsid w:val="00A46F24"/>
    <w:rsid w:val="00A50F84"/>
    <w:rsid w:val="00A5151C"/>
    <w:rsid w:val="00A523AA"/>
    <w:rsid w:val="00A53093"/>
    <w:rsid w:val="00A55137"/>
    <w:rsid w:val="00A554BE"/>
    <w:rsid w:val="00A559BD"/>
    <w:rsid w:val="00A55B54"/>
    <w:rsid w:val="00A55B7A"/>
    <w:rsid w:val="00A56D54"/>
    <w:rsid w:val="00A57436"/>
    <w:rsid w:val="00A60237"/>
    <w:rsid w:val="00A60411"/>
    <w:rsid w:val="00A605F9"/>
    <w:rsid w:val="00A60E45"/>
    <w:rsid w:val="00A61E23"/>
    <w:rsid w:val="00A638A6"/>
    <w:rsid w:val="00A63BA5"/>
    <w:rsid w:val="00A64EED"/>
    <w:rsid w:val="00A64FA2"/>
    <w:rsid w:val="00A66C29"/>
    <w:rsid w:val="00A6714F"/>
    <w:rsid w:val="00A67C5B"/>
    <w:rsid w:val="00A7047C"/>
    <w:rsid w:val="00A70770"/>
    <w:rsid w:val="00A70ABC"/>
    <w:rsid w:val="00A71567"/>
    <w:rsid w:val="00A7287F"/>
    <w:rsid w:val="00A72CCE"/>
    <w:rsid w:val="00A73767"/>
    <w:rsid w:val="00A73844"/>
    <w:rsid w:val="00A74712"/>
    <w:rsid w:val="00A74717"/>
    <w:rsid w:val="00A804D1"/>
    <w:rsid w:val="00A80D20"/>
    <w:rsid w:val="00A80DAD"/>
    <w:rsid w:val="00A81E87"/>
    <w:rsid w:val="00A83104"/>
    <w:rsid w:val="00A83F2E"/>
    <w:rsid w:val="00A8504E"/>
    <w:rsid w:val="00A86EA4"/>
    <w:rsid w:val="00A90F08"/>
    <w:rsid w:val="00A91968"/>
    <w:rsid w:val="00A92139"/>
    <w:rsid w:val="00A92941"/>
    <w:rsid w:val="00A939F6"/>
    <w:rsid w:val="00A93C83"/>
    <w:rsid w:val="00A9535F"/>
    <w:rsid w:val="00A958B8"/>
    <w:rsid w:val="00A95E98"/>
    <w:rsid w:val="00A9689A"/>
    <w:rsid w:val="00A96D78"/>
    <w:rsid w:val="00A97110"/>
    <w:rsid w:val="00A97EF6"/>
    <w:rsid w:val="00AA0389"/>
    <w:rsid w:val="00AA05DC"/>
    <w:rsid w:val="00AA2D96"/>
    <w:rsid w:val="00AA580E"/>
    <w:rsid w:val="00AA5A78"/>
    <w:rsid w:val="00AA7142"/>
    <w:rsid w:val="00AA7FDA"/>
    <w:rsid w:val="00AB0097"/>
    <w:rsid w:val="00AB0B37"/>
    <w:rsid w:val="00AB0EC4"/>
    <w:rsid w:val="00AB0EEC"/>
    <w:rsid w:val="00AB1A79"/>
    <w:rsid w:val="00AB1C09"/>
    <w:rsid w:val="00AB312A"/>
    <w:rsid w:val="00AB3A73"/>
    <w:rsid w:val="00AB3D2F"/>
    <w:rsid w:val="00AB46F7"/>
    <w:rsid w:val="00AB5265"/>
    <w:rsid w:val="00AB5B2F"/>
    <w:rsid w:val="00AB611E"/>
    <w:rsid w:val="00AB6649"/>
    <w:rsid w:val="00AB69E3"/>
    <w:rsid w:val="00AB6C0C"/>
    <w:rsid w:val="00AB738C"/>
    <w:rsid w:val="00AC0440"/>
    <w:rsid w:val="00AC0A6D"/>
    <w:rsid w:val="00AC318C"/>
    <w:rsid w:val="00AC35DB"/>
    <w:rsid w:val="00AC3F10"/>
    <w:rsid w:val="00AC5633"/>
    <w:rsid w:val="00AC5A44"/>
    <w:rsid w:val="00AC5D5D"/>
    <w:rsid w:val="00AC66C5"/>
    <w:rsid w:val="00AC674B"/>
    <w:rsid w:val="00AC7752"/>
    <w:rsid w:val="00AD0E64"/>
    <w:rsid w:val="00AD11D7"/>
    <w:rsid w:val="00AD2308"/>
    <w:rsid w:val="00AD2F91"/>
    <w:rsid w:val="00AD3221"/>
    <w:rsid w:val="00AD3B4A"/>
    <w:rsid w:val="00AD40B3"/>
    <w:rsid w:val="00AD456C"/>
    <w:rsid w:val="00AD4854"/>
    <w:rsid w:val="00AD619D"/>
    <w:rsid w:val="00AD62B9"/>
    <w:rsid w:val="00AD660F"/>
    <w:rsid w:val="00AD6A9E"/>
    <w:rsid w:val="00AD6AB3"/>
    <w:rsid w:val="00AD6DA0"/>
    <w:rsid w:val="00AD712B"/>
    <w:rsid w:val="00AD7FB8"/>
    <w:rsid w:val="00AE0A63"/>
    <w:rsid w:val="00AE1D02"/>
    <w:rsid w:val="00AE2B1F"/>
    <w:rsid w:val="00AE37E3"/>
    <w:rsid w:val="00AE4EBF"/>
    <w:rsid w:val="00AE6CBF"/>
    <w:rsid w:val="00AF0B62"/>
    <w:rsid w:val="00AF1B89"/>
    <w:rsid w:val="00AF4B32"/>
    <w:rsid w:val="00AF4FF8"/>
    <w:rsid w:val="00AF6ED3"/>
    <w:rsid w:val="00B0032D"/>
    <w:rsid w:val="00B01826"/>
    <w:rsid w:val="00B020FB"/>
    <w:rsid w:val="00B021D6"/>
    <w:rsid w:val="00B02A20"/>
    <w:rsid w:val="00B0556F"/>
    <w:rsid w:val="00B05600"/>
    <w:rsid w:val="00B05E3A"/>
    <w:rsid w:val="00B063AB"/>
    <w:rsid w:val="00B06A9C"/>
    <w:rsid w:val="00B06B5A"/>
    <w:rsid w:val="00B0708E"/>
    <w:rsid w:val="00B07143"/>
    <w:rsid w:val="00B07B88"/>
    <w:rsid w:val="00B10C1D"/>
    <w:rsid w:val="00B11475"/>
    <w:rsid w:val="00B11A61"/>
    <w:rsid w:val="00B11B07"/>
    <w:rsid w:val="00B13ED2"/>
    <w:rsid w:val="00B14018"/>
    <w:rsid w:val="00B173BF"/>
    <w:rsid w:val="00B1775A"/>
    <w:rsid w:val="00B20005"/>
    <w:rsid w:val="00B23D23"/>
    <w:rsid w:val="00B2516C"/>
    <w:rsid w:val="00B26323"/>
    <w:rsid w:val="00B27384"/>
    <w:rsid w:val="00B300AD"/>
    <w:rsid w:val="00B301BB"/>
    <w:rsid w:val="00B304B3"/>
    <w:rsid w:val="00B30FF9"/>
    <w:rsid w:val="00B31DCA"/>
    <w:rsid w:val="00B327D2"/>
    <w:rsid w:val="00B345A8"/>
    <w:rsid w:val="00B34C0E"/>
    <w:rsid w:val="00B35B22"/>
    <w:rsid w:val="00B361F5"/>
    <w:rsid w:val="00B36265"/>
    <w:rsid w:val="00B41817"/>
    <w:rsid w:val="00B42E18"/>
    <w:rsid w:val="00B4358A"/>
    <w:rsid w:val="00B43C9B"/>
    <w:rsid w:val="00B442B1"/>
    <w:rsid w:val="00B4436C"/>
    <w:rsid w:val="00B446E4"/>
    <w:rsid w:val="00B44BDF"/>
    <w:rsid w:val="00B45B74"/>
    <w:rsid w:val="00B4673C"/>
    <w:rsid w:val="00B47C61"/>
    <w:rsid w:val="00B506A4"/>
    <w:rsid w:val="00B50EBB"/>
    <w:rsid w:val="00B513AB"/>
    <w:rsid w:val="00B52CCD"/>
    <w:rsid w:val="00B52D83"/>
    <w:rsid w:val="00B5337A"/>
    <w:rsid w:val="00B53412"/>
    <w:rsid w:val="00B5367D"/>
    <w:rsid w:val="00B54441"/>
    <w:rsid w:val="00B54DC6"/>
    <w:rsid w:val="00B554A6"/>
    <w:rsid w:val="00B55B49"/>
    <w:rsid w:val="00B55B57"/>
    <w:rsid w:val="00B56C18"/>
    <w:rsid w:val="00B57693"/>
    <w:rsid w:val="00B609A6"/>
    <w:rsid w:val="00B61B4E"/>
    <w:rsid w:val="00B625B1"/>
    <w:rsid w:val="00B639C9"/>
    <w:rsid w:val="00B651E6"/>
    <w:rsid w:val="00B65205"/>
    <w:rsid w:val="00B65D03"/>
    <w:rsid w:val="00B66A71"/>
    <w:rsid w:val="00B70DE9"/>
    <w:rsid w:val="00B7197B"/>
    <w:rsid w:val="00B7255B"/>
    <w:rsid w:val="00B72828"/>
    <w:rsid w:val="00B72FA1"/>
    <w:rsid w:val="00B73940"/>
    <w:rsid w:val="00B75505"/>
    <w:rsid w:val="00B755D6"/>
    <w:rsid w:val="00B778A8"/>
    <w:rsid w:val="00B80467"/>
    <w:rsid w:val="00B80AD5"/>
    <w:rsid w:val="00B81625"/>
    <w:rsid w:val="00B858B0"/>
    <w:rsid w:val="00B85958"/>
    <w:rsid w:val="00B86949"/>
    <w:rsid w:val="00B873B5"/>
    <w:rsid w:val="00B92768"/>
    <w:rsid w:val="00B93260"/>
    <w:rsid w:val="00B93CB7"/>
    <w:rsid w:val="00B95D01"/>
    <w:rsid w:val="00B95D12"/>
    <w:rsid w:val="00B972CB"/>
    <w:rsid w:val="00B977F8"/>
    <w:rsid w:val="00B97D84"/>
    <w:rsid w:val="00BA1D12"/>
    <w:rsid w:val="00BA3002"/>
    <w:rsid w:val="00BA40D9"/>
    <w:rsid w:val="00BA4BB6"/>
    <w:rsid w:val="00BA5A05"/>
    <w:rsid w:val="00BA64D8"/>
    <w:rsid w:val="00BA665F"/>
    <w:rsid w:val="00BA684A"/>
    <w:rsid w:val="00BB0BA8"/>
    <w:rsid w:val="00BB1B0B"/>
    <w:rsid w:val="00BB2925"/>
    <w:rsid w:val="00BB2FC7"/>
    <w:rsid w:val="00BB3DE3"/>
    <w:rsid w:val="00BB4368"/>
    <w:rsid w:val="00BB467B"/>
    <w:rsid w:val="00BB5F0A"/>
    <w:rsid w:val="00BB6206"/>
    <w:rsid w:val="00BB6808"/>
    <w:rsid w:val="00BB6DCA"/>
    <w:rsid w:val="00BC2A4F"/>
    <w:rsid w:val="00BC33EC"/>
    <w:rsid w:val="00BC3449"/>
    <w:rsid w:val="00BC4EAA"/>
    <w:rsid w:val="00BC5152"/>
    <w:rsid w:val="00BC66F9"/>
    <w:rsid w:val="00BC6725"/>
    <w:rsid w:val="00BC6820"/>
    <w:rsid w:val="00BC6C03"/>
    <w:rsid w:val="00BC6F02"/>
    <w:rsid w:val="00BC6F77"/>
    <w:rsid w:val="00BD03A5"/>
    <w:rsid w:val="00BD2B9A"/>
    <w:rsid w:val="00BD3D65"/>
    <w:rsid w:val="00BD4BC8"/>
    <w:rsid w:val="00BD6218"/>
    <w:rsid w:val="00BE1B34"/>
    <w:rsid w:val="00BE2CD8"/>
    <w:rsid w:val="00BE2E79"/>
    <w:rsid w:val="00BE36D4"/>
    <w:rsid w:val="00BE4057"/>
    <w:rsid w:val="00BF2641"/>
    <w:rsid w:val="00BF3E95"/>
    <w:rsid w:val="00BF43FA"/>
    <w:rsid w:val="00BF6465"/>
    <w:rsid w:val="00BF652B"/>
    <w:rsid w:val="00BF7284"/>
    <w:rsid w:val="00C00A83"/>
    <w:rsid w:val="00C045BB"/>
    <w:rsid w:val="00C06A3D"/>
    <w:rsid w:val="00C06CB9"/>
    <w:rsid w:val="00C10334"/>
    <w:rsid w:val="00C1193C"/>
    <w:rsid w:val="00C11A3F"/>
    <w:rsid w:val="00C12472"/>
    <w:rsid w:val="00C127E3"/>
    <w:rsid w:val="00C12993"/>
    <w:rsid w:val="00C14194"/>
    <w:rsid w:val="00C15286"/>
    <w:rsid w:val="00C1559D"/>
    <w:rsid w:val="00C1562E"/>
    <w:rsid w:val="00C15C09"/>
    <w:rsid w:val="00C15C47"/>
    <w:rsid w:val="00C164F1"/>
    <w:rsid w:val="00C16790"/>
    <w:rsid w:val="00C16D4E"/>
    <w:rsid w:val="00C1745D"/>
    <w:rsid w:val="00C17CE4"/>
    <w:rsid w:val="00C20CB4"/>
    <w:rsid w:val="00C20FD7"/>
    <w:rsid w:val="00C21C6A"/>
    <w:rsid w:val="00C226BA"/>
    <w:rsid w:val="00C23F6A"/>
    <w:rsid w:val="00C241CF"/>
    <w:rsid w:val="00C25D38"/>
    <w:rsid w:val="00C25D65"/>
    <w:rsid w:val="00C26DED"/>
    <w:rsid w:val="00C27A4F"/>
    <w:rsid w:val="00C3196D"/>
    <w:rsid w:val="00C31E63"/>
    <w:rsid w:val="00C3203F"/>
    <w:rsid w:val="00C322A8"/>
    <w:rsid w:val="00C338B8"/>
    <w:rsid w:val="00C33EBC"/>
    <w:rsid w:val="00C342E1"/>
    <w:rsid w:val="00C35BF3"/>
    <w:rsid w:val="00C40B0E"/>
    <w:rsid w:val="00C40CCE"/>
    <w:rsid w:val="00C41346"/>
    <w:rsid w:val="00C4210A"/>
    <w:rsid w:val="00C422C0"/>
    <w:rsid w:val="00C42A42"/>
    <w:rsid w:val="00C42DE1"/>
    <w:rsid w:val="00C4375A"/>
    <w:rsid w:val="00C43BD6"/>
    <w:rsid w:val="00C43DD0"/>
    <w:rsid w:val="00C45B16"/>
    <w:rsid w:val="00C45EBD"/>
    <w:rsid w:val="00C466DC"/>
    <w:rsid w:val="00C468DC"/>
    <w:rsid w:val="00C47B12"/>
    <w:rsid w:val="00C47C62"/>
    <w:rsid w:val="00C52349"/>
    <w:rsid w:val="00C52AB1"/>
    <w:rsid w:val="00C534CE"/>
    <w:rsid w:val="00C5415C"/>
    <w:rsid w:val="00C541D9"/>
    <w:rsid w:val="00C55076"/>
    <w:rsid w:val="00C550A6"/>
    <w:rsid w:val="00C551EB"/>
    <w:rsid w:val="00C55225"/>
    <w:rsid w:val="00C5522B"/>
    <w:rsid w:val="00C555AF"/>
    <w:rsid w:val="00C55FA0"/>
    <w:rsid w:val="00C56AB4"/>
    <w:rsid w:val="00C57A45"/>
    <w:rsid w:val="00C57D23"/>
    <w:rsid w:val="00C60050"/>
    <w:rsid w:val="00C60E5D"/>
    <w:rsid w:val="00C61757"/>
    <w:rsid w:val="00C61C93"/>
    <w:rsid w:val="00C62615"/>
    <w:rsid w:val="00C633A8"/>
    <w:rsid w:val="00C6370E"/>
    <w:rsid w:val="00C63735"/>
    <w:rsid w:val="00C638A3"/>
    <w:rsid w:val="00C63F3D"/>
    <w:rsid w:val="00C64168"/>
    <w:rsid w:val="00C645D0"/>
    <w:rsid w:val="00C64ED8"/>
    <w:rsid w:val="00C65119"/>
    <w:rsid w:val="00C66ED6"/>
    <w:rsid w:val="00C67DFA"/>
    <w:rsid w:val="00C7013A"/>
    <w:rsid w:val="00C71AC0"/>
    <w:rsid w:val="00C72787"/>
    <w:rsid w:val="00C7424C"/>
    <w:rsid w:val="00C74334"/>
    <w:rsid w:val="00C776B4"/>
    <w:rsid w:val="00C80468"/>
    <w:rsid w:val="00C81360"/>
    <w:rsid w:val="00C81645"/>
    <w:rsid w:val="00C82505"/>
    <w:rsid w:val="00C83288"/>
    <w:rsid w:val="00C83A49"/>
    <w:rsid w:val="00C8436C"/>
    <w:rsid w:val="00C846E1"/>
    <w:rsid w:val="00C84C32"/>
    <w:rsid w:val="00C863D7"/>
    <w:rsid w:val="00C90211"/>
    <w:rsid w:val="00C90783"/>
    <w:rsid w:val="00C907CE"/>
    <w:rsid w:val="00C92B67"/>
    <w:rsid w:val="00C937C2"/>
    <w:rsid w:val="00C93ABD"/>
    <w:rsid w:val="00C93AF5"/>
    <w:rsid w:val="00C93EE9"/>
    <w:rsid w:val="00C940D0"/>
    <w:rsid w:val="00C95464"/>
    <w:rsid w:val="00C96B35"/>
    <w:rsid w:val="00C96BCE"/>
    <w:rsid w:val="00C96EA8"/>
    <w:rsid w:val="00C97B37"/>
    <w:rsid w:val="00CA0E05"/>
    <w:rsid w:val="00CA1A11"/>
    <w:rsid w:val="00CA1F8D"/>
    <w:rsid w:val="00CA238B"/>
    <w:rsid w:val="00CA4623"/>
    <w:rsid w:val="00CA59B1"/>
    <w:rsid w:val="00CA5F83"/>
    <w:rsid w:val="00CA7A9C"/>
    <w:rsid w:val="00CB007D"/>
    <w:rsid w:val="00CB0544"/>
    <w:rsid w:val="00CB140F"/>
    <w:rsid w:val="00CB2443"/>
    <w:rsid w:val="00CB24F3"/>
    <w:rsid w:val="00CB2DF0"/>
    <w:rsid w:val="00CB420B"/>
    <w:rsid w:val="00CB4A9C"/>
    <w:rsid w:val="00CB5E75"/>
    <w:rsid w:val="00CB6399"/>
    <w:rsid w:val="00CB63E7"/>
    <w:rsid w:val="00CB6B8A"/>
    <w:rsid w:val="00CB712D"/>
    <w:rsid w:val="00CB7AED"/>
    <w:rsid w:val="00CC1977"/>
    <w:rsid w:val="00CC2185"/>
    <w:rsid w:val="00CC28DD"/>
    <w:rsid w:val="00CC2B23"/>
    <w:rsid w:val="00CC33EC"/>
    <w:rsid w:val="00CC7EBC"/>
    <w:rsid w:val="00CD2162"/>
    <w:rsid w:val="00CD271F"/>
    <w:rsid w:val="00CD2E86"/>
    <w:rsid w:val="00CD356E"/>
    <w:rsid w:val="00CD5E79"/>
    <w:rsid w:val="00CE0348"/>
    <w:rsid w:val="00CE0918"/>
    <w:rsid w:val="00CE1B79"/>
    <w:rsid w:val="00CE1FA4"/>
    <w:rsid w:val="00CE2C3A"/>
    <w:rsid w:val="00CE423E"/>
    <w:rsid w:val="00CE4E1E"/>
    <w:rsid w:val="00CE632D"/>
    <w:rsid w:val="00CE67AF"/>
    <w:rsid w:val="00CE725E"/>
    <w:rsid w:val="00CF0B0B"/>
    <w:rsid w:val="00CF216A"/>
    <w:rsid w:val="00CF5051"/>
    <w:rsid w:val="00CF61AC"/>
    <w:rsid w:val="00CF630B"/>
    <w:rsid w:val="00D009F5"/>
    <w:rsid w:val="00D02747"/>
    <w:rsid w:val="00D029A4"/>
    <w:rsid w:val="00D03FFF"/>
    <w:rsid w:val="00D0437B"/>
    <w:rsid w:val="00D048A9"/>
    <w:rsid w:val="00D10793"/>
    <w:rsid w:val="00D107B7"/>
    <w:rsid w:val="00D10F86"/>
    <w:rsid w:val="00D11093"/>
    <w:rsid w:val="00D1120B"/>
    <w:rsid w:val="00D11B8A"/>
    <w:rsid w:val="00D124D7"/>
    <w:rsid w:val="00D1615B"/>
    <w:rsid w:val="00D16EBE"/>
    <w:rsid w:val="00D175D4"/>
    <w:rsid w:val="00D17DC4"/>
    <w:rsid w:val="00D2147F"/>
    <w:rsid w:val="00D22695"/>
    <w:rsid w:val="00D2286A"/>
    <w:rsid w:val="00D23858"/>
    <w:rsid w:val="00D244AF"/>
    <w:rsid w:val="00D25926"/>
    <w:rsid w:val="00D266A0"/>
    <w:rsid w:val="00D26F5A"/>
    <w:rsid w:val="00D27175"/>
    <w:rsid w:val="00D27587"/>
    <w:rsid w:val="00D27D04"/>
    <w:rsid w:val="00D304CE"/>
    <w:rsid w:val="00D32626"/>
    <w:rsid w:val="00D33D96"/>
    <w:rsid w:val="00D34520"/>
    <w:rsid w:val="00D35671"/>
    <w:rsid w:val="00D36129"/>
    <w:rsid w:val="00D364E5"/>
    <w:rsid w:val="00D36A75"/>
    <w:rsid w:val="00D36B22"/>
    <w:rsid w:val="00D37658"/>
    <w:rsid w:val="00D41A1F"/>
    <w:rsid w:val="00D42666"/>
    <w:rsid w:val="00D42866"/>
    <w:rsid w:val="00D428E9"/>
    <w:rsid w:val="00D432F6"/>
    <w:rsid w:val="00D434B3"/>
    <w:rsid w:val="00D4598F"/>
    <w:rsid w:val="00D479CC"/>
    <w:rsid w:val="00D47CF4"/>
    <w:rsid w:val="00D51909"/>
    <w:rsid w:val="00D5212F"/>
    <w:rsid w:val="00D52D57"/>
    <w:rsid w:val="00D52EB8"/>
    <w:rsid w:val="00D53012"/>
    <w:rsid w:val="00D53DC8"/>
    <w:rsid w:val="00D543E3"/>
    <w:rsid w:val="00D557FA"/>
    <w:rsid w:val="00D5658B"/>
    <w:rsid w:val="00D56D8A"/>
    <w:rsid w:val="00D607CE"/>
    <w:rsid w:val="00D61785"/>
    <w:rsid w:val="00D6208B"/>
    <w:rsid w:val="00D6323D"/>
    <w:rsid w:val="00D65736"/>
    <w:rsid w:val="00D66D86"/>
    <w:rsid w:val="00D67916"/>
    <w:rsid w:val="00D70277"/>
    <w:rsid w:val="00D7082A"/>
    <w:rsid w:val="00D71142"/>
    <w:rsid w:val="00D72530"/>
    <w:rsid w:val="00D72A7A"/>
    <w:rsid w:val="00D72E0C"/>
    <w:rsid w:val="00D72FD0"/>
    <w:rsid w:val="00D74CBA"/>
    <w:rsid w:val="00D75E56"/>
    <w:rsid w:val="00D76498"/>
    <w:rsid w:val="00D76CC1"/>
    <w:rsid w:val="00D7737D"/>
    <w:rsid w:val="00D77C56"/>
    <w:rsid w:val="00D80FA8"/>
    <w:rsid w:val="00D83AFC"/>
    <w:rsid w:val="00D84603"/>
    <w:rsid w:val="00D86780"/>
    <w:rsid w:val="00D86E4E"/>
    <w:rsid w:val="00D878B0"/>
    <w:rsid w:val="00D87FF0"/>
    <w:rsid w:val="00D91165"/>
    <w:rsid w:val="00D93E80"/>
    <w:rsid w:val="00D94191"/>
    <w:rsid w:val="00D94439"/>
    <w:rsid w:val="00D96852"/>
    <w:rsid w:val="00DA1161"/>
    <w:rsid w:val="00DA15E3"/>
    <w:rsid w:val="00DA5977"/>
    <w:rsid w:val="00DA7AE9"/>
    <w:rsid w:val="00DB0EBE"/>
    <w:rsid w:val="00DB46AA"/>
    <w:rsid w:val="00DB4813"/>
    <w:rsid w:val="00DB55EE"/>
    <w:rsid w:val="00DB6228"/>
    <w:rsid w:val="00DB6801"/>
    <w:rsid w:val="00DB7484"/>
    <w:rsid w:val="00DC0034"/>
    <w:rsid w:val="00DC03A2"/>
    <w:rsid w:val="00DC2021"/>
    <w:rsid w:val="00DC22FE"/>
    <w:rsid w:val="00DC2354"/>
    <w:rsid w:val="00DC29AB"/>
    <w:rsid w:val="00DC4520"/>
    <w:rsid w:val="00DC4683"/>
    <w:rsid w:val="00DC49BB"/>
    <w:rsid w:val="00DC5F49"/>
    <w:rsid w:val="00DC77D8"/>
    <w:rsid w:val="00DC7BEC"/>
    <w:rsid w:val="00DD179C"/>
    <w:rsid w:val="00DD2119"/>
    <w:rsid w:val="00DD3554"/>
    <w:rsid w:val="00DD43BB"/>
    <w:rsid w:val="00DD6AAB"/>
    <w:rsid w:val="00DE01A3"/>
    <w:rsid w:val="00DE073C"/>
    <w:rsid w:val="00DE087E"/>
    <w:rsid w:val="00DE2844"/>
    <w:rsid w:val="00DE3AE3"/>
    <w:rsid w:val="00DE4365"/>
    <w:rsid w:val="00DE478B"/>
    <w:rsid w:val="00DE7081"/>
    <w:rsid w:val="00DE79D0"/>
    <w:rsid w:val="00DF2D73"/>
    <w:rsid w:val="00DF3BD8"/>
    <w:rsid w:val="00DF78E9"/>
    <w:rsid w:val="00E00ED7"/>
    <w:rsid w:val="00E01B46"/>
    <w:rsid w:val="00E02BD8"/>
    <w:rsid w:val="00E037A1"/>
    <w:rsid w:val="00E042A2"/>
    <w:rsid w:val="00E04456"/>
    <w:rsid w:val="00E044DD"/>
    <w:rsid w:val="00E04B58"/>
    <w:rsid w:val="00E05F95"/>
    <w:rsid w:val="00E06324"/>
    <w:rsid w:val="00E07455"/>
    <w:rsid w:val="00E0798F"/>
    <w:rsid w:val="00E1027C"/>
    <w:rsid w:val="00E103E8"/>
    <w:rsid w:val="00E109B2"/>
    <w:rsid w:val="00E1144E"/>
    <w:rsid w:val="00E11C47"/>
    <w:rsid w:val="00E129F8"/>
    <w:rsid w:val="00E12F0B"/>
    <w:rsid w:val="00E13742"/>
    <w:rsid w:val="00E13C07"/>
    <w:rsid w:val="00E1400B"/>
    <w:rsid w:val="00E170F7"/>
    <w:rsid w:val="00E17390"/>
    <w:rsid w:val="00E17B51"/>
    <w:rsid w:val="00E21228"/>
    <w:rsid w:val="00E21DC7"/>
    <w:rsid w:val="00E2249A"/>
    <w:rsid w:val="00E22B52"/>
    <w:rsid w:val="00E22B7C"/>
    <w:rsid w:val="00E2474A"/>
    <w:rsid w:val="00E271BE"/>
    <w:rsid w:val="00E27DF2"/>
    <w:rsid w:val="00E30858"/>
    <w:rsid w:val="00E30C0C"/>
    <w:rsid w:val="00E30C20"/>
    <w:rsid w:val="00E30E91"/>
    <w:rsid w:val="00E30EBB"/>
    <w:rsid w:val="00E31608"/>
    <w:rsid w:val="00E32663"/>
    <w:rsid w:val="00E33420"/>
    <w:rsid w:val="00E33D2F"/>
    <w:rsid w:val="00E348D7"/>
    <w:rsid w:val="00E34B2E"/>
    <w:rsid w:val="00E35E09"/>
    <w:rsid w:val="00E3625F"/>
    <w:rsid w:val="00E363D3"/>
    <w:rsid w:val="00E365AB"/>
    <w:rsid w:val="00E36BB0"/>
    <w:rsid w:val="00E41E7A"/>
    <w:rsid w:val="00E42FD5"/>
    <w:rsid w:val="00E43E6A"/>
    <w:rsid w:val="00E44CFA"/>
    <w:rsid w:val="00E454BB"/>
    <w:rsid w:val="00E467F0"/>
    <w:rsid w:val="00E503CA"/>
    <w:rsid w:val="00E50C81"/>
    <w:rsid w:val="00E55F10"/>
    <w:rsid w:val="00E57717"/>
    <w:rsid w:val="00E610C7"/>
    <w:rsid w:val="00E62663"/>
    <w:rsid w:val="00E63462"/>
    <w:rsid w:val="00E64456"/>
    <w:rsid w:val="00E66C39"/>
    <w:rsid w:val="00E67AC7"/>
    <w:rsid w:val="00E70CC7"/>
    <w:rsid w:val="00E71711"/>
    <w:rsid w:val="00E7212B"/>
    <w:rsid w:val="00E72260"/>
    <w:rsid w:val="00E727B4"/>
    <w:rsid w:val="00E76194"/>
    <w:rsid w:val="00E767B6"/>
    <w:rsid w:val="00E773A0"/>
    <w:rsid w:val="00E77F0E"/>
    <w:rsid w:val="00E80325"/>
    <w:rsid w:val="00E81CA6"/>
    <w:rsid w:val="00E82634"/>
    <w:rsid w:val="00E8449A"/>
    <w:rsid w:val="00E84775"/>
    <w:rsid w:val="00E84EC5"/>
    <w:rsid w:val="00E85235"/>
    <w:rsid w:val="00E8544D"/>
    <w:rsid w:val="00E8559C"/>
    <w:rsid w:val="00E85B28"/>
    <w:rsid w:val="00E87746"/>
    <w:rsid w:val="00E90D2D"/>
    <w:rsid w:val="00E90FC0"/>
    <w:rsid w:val="00E9493D"/>
    <w:rsid w:val="00E950EE"/>
    <w:rsid w:val="00E962BA"/>
    <w:rsid w:val="00EA2B09"/>
    <w:rsid w:val="00EA48FC"/>
    <w:rsid w:val="00EA545D"/>
    <w:rsid w:val="00EA5985"/>
    <w:rsid w:val="00EA6695"/>
    <w:rsid w:val="00EA69C3"/>
    <w:rsid w:val="00EA78BB"/>
    <w:rsid w:val="00EB0A77"/>
    <w:rsid w:val="00EB0D59"/>
    <w:rsid w:val="00EB2203"/>
    <w:rsid w:val="00EB283E"/>
    <w:rsid w:val="00EB3CEA"/>
    <w:rsid w:val="00EB3FD4"/>
    <w:rsid w:val="00EB42F8"/>
    <w:rsid w:val="00EB5501"/>
    <w:rsid w:val="00EB75FE"/>
    <w:rsid w:val="00EC031D"/>
    <w:rsid w:val="00EC0432"/>
    <w:rsid w:val="00EC0B18"/>
    <w:rsid w:val="00EC1D98"/>
    <w:rsid w:val="00EC1DA0"/>
    <w:rsid w:val="00EC2985"/>
    <w:rsid w:val="00EC366B"/>
    <w:rsid w:val="00EC3FF5"/>
    <w:rsid w:val="00EC537A"/>
    <w:rsid w:val="00EC5738"/>
    <w:rsid w:val="00EC5BA4"/>
    <w:rsid w:val="00EC5E31"/>
    <w:rsid w:val="00EC5FE3"/>
    <w:rsid w:val="00EC6007"/>
    <w:rsid w:val="00EC6398"/>
    <w:rsid w:val="00EC78EE"/>
    <w:rsid w:val="00ED0557"/>
    <w:rsid w:val="00ED063F"/>
    <w:rsid w:val="00ED39C3"/>
    <w:rsid w:val="00ED7CDD"/>
    <w:rsid w:val="00ED7FF2"/>
    <w:rsid w:val="00EE146F"/>
    <w:rsid w:val="00EE23D8"/>
    <w:rsid w:val="00EE5856"/>
    <w:rsid w:val="00EE73E4"/>
    <w:rsid w:val="00EE7A3C"/>
    <w:rsid w:val="00EE7F07"/>
    <w:rsid w:val="00EF0BEB"/>
    <w:rsid w:val="00EF18F6"/>
    <w:rsid w:val="00EF274A"/>
    <w:rsid w:val="00EF50EF"/>
    <w:rsid w:val="00EF522C"/>
    <w:rsid w:val="00EF684E"/>
    <w:rsid w:val="00EF6E58"/>
    <w:rsid w:val="00F00DC9"/>
    <w:rsid w:val="00F0160A"/>
    <w:rsid w:val="00F0184F"/>
    <w:rsid w:val="00F036EA"/>
    <w:rsid w:val="00F03A6F"/>
    <w:rsid w:val="00F03C84"/>
    <w:rsid w:val="00F040C4"/>
    <w:rsid w:val="00F05194"/>
    <w:rsid w:val="00F05987"/>
    <w:rsid w:val="00F06466"/>
    <w:rsid w:val="00F070C8"/>
    <w:rsid w:val="00F078B5"/>
    <w:rsid w:val="00F10B76"/>
    <w:rsid w:val="00F10D9B"/>
    <w:rsid w:val="00F112AE"/>
    <w:rsid w:val="00F11FEF"/>
    <w:rsid w:val="00F1214C"/>
    <w:rsid w:val="00F12E05"/>
    <w:rsid w:val="00F138A6"/>
    <w:rsid w:val="00F15CC9"/>
    <w:rsid w:val="00F15CE1"/>
    <w:rsid w:val="00F15F42"/>
    <w:rsid w:val="00F1642E"/>
    <w:rsid w:val="00F1677C"/>
    <w:rsid w:val="00F16B7D"/>
    <w:rsid w:val="00F17B52"/>
    <w:rsid w:val="00F218CC"/>
    <w:rsid w:val="00F22DE6"/>
    <w:rsid w:val="00F22E84"/>
    <w:rsid w:val="00F23955"/>
    <w:rsid w:val="00F23BFA"/>
    <w:rsid w:val="00F24F9C"/>
    <w:rsid w:val="00F27B64"/>
    <w:rsid w:val="00F30463"/>
    <w:rsid w:val="00F3271F"/>
    <w:rsid w:val="00F3397C"/>
    <w:rsid w:val="00F3432A"/>
    <w:rsid w:val="00F35063"/>
    <w:rsid w:val="00F35FE3"/>
    <w:rsid w:val="00F361CB"/>
    <w:rsid w:val="00F3751F"/>
    <w:rsid w:val="00F40744"/>
    <w:rsid w:val="00F407C7"/>
    <w:rsid w:val="00F42351"/>
    <w:rsid w:val="00F42744"/>
    <w:rsid w:val="00F43F4C"/>
    <w:rsid w:val="00F44BB8"/>
    <w:rsid w:val="00F45091"/>
    <w:rsid w:val="00F45D9E"/>
    <w:rsid w:val="00F50FEA"/>
    <w:rsid w:val="00F5128B"/>
    <w:rsid w:val="00F51A33"/>
    <w:rsid w:val="00F51BB3"/>
    <w:rsid w:val="00F5245B"/>
    <w:rsid w:val="00F52543"/>
    <w:rsid w:val="00F52C04"/>
    <w:rsid w:val="00F52FD4"/>
    <w:rsid w:val="00F53256"/>
    <w:rsid w:val="00F53823"/>
    <w:rsid w:val="00F53F06"/>
    <w:rsid w:val="00F5645E"/>
    <w:rsid w:val="00F56594"/>
    <w:rsid w:val="00F56C74"/>
    <w:rsid w:val="00F57048"/>
    <w:rsid w:val="00F57207"/>
    <w:rsid w:val="00F5747F"/>
    <w:rsid w:val="00F57FC7"/>
    <w:rsid w:val="00F603C9"/>
    <w:rsid w:val="00F606DB"/>
    <w:rsid w:val="00F609CA"/>
    <w:rsid w:val="00F612E0"/>
    <w:rsid w:val="00F61564"/>
    <w:rsid w:val="00F61B20"/>
    <w:rsid w:val="00F624B7"/>
    <w:rsid w:val="00F63A66"/>
    <w:rsid w:val="00F641A0"/>
    <w:rsid w:val="00F644D9"/>
    <w:rsid w:val="00F656A9"/>
    <w:rsid w:val="00F664D6"/>
    <w:rsid w:val="00F66DF8"/>
    <w:rsid w:val="00F66F84"/>
    <w:rsid w:val="00F6710A"/>
    <w:rsid w:val="00F67937"/>
    <w:rsid w:val="00F67ECF"/>
    <w:rsid w:val="00F67F02"/>
    <w:rsid w:val="00F70120"/>
    <w:rsid w:val="00F70ED8"/>
    <w:rsid w:val="00F711A5"/>
    <w:rsid w:val="00F7144D"/>
    <w:rsid w:val="00F71544"/>
    <w:rsid w:val="00F71A27"/>
    <w:rsid w:val="00F71B0F"/>
    <w:rsid w:val="00F72138"/>
    <w:rsid w:val="00F72439"/>
    <w:rsid w:val="00F729FD"/>
    <w:rsid w:val="00F72B36"/>
    <w:rsid w:val="00F731C3"/>
    <w:rsid w:val="00F737BC"/>
    <w:rsid w:val="00F73E58"/>
    <w:rsid w:val="00F74539"/>
    <w:rsid w:val="00F748F5"/>
    <w:rsid w:val="00F7519B"/>
    <w:rsid w:val="00F7577D"/>
    <w:rsid w:val="00F82853"/>
    <w:rsid w:val="00F82A43"/>
    <w:rsid w:val="00F82D19"/>
    <w:rsid w:val="00F837BF"/>
    <w:rsid w:val="00F842CC"/>
    <w:rsid w:val="00F869E7"/>
    <w:rsid w:val="00F86C2F"/>
    <w:rsid w:val="00F87E97"/>
    <w:rsid w:val="00F90444"/>
    <w:rsid w:val="00F908C4"/>
    <w:rsid w:val="00F91DCC"/>
    <w:rsid w:val="00F92A90"/>
    <w:rsid w:val="00F92F2E"/>
    <w:rsid w:val="00F94553"/>
    <w:rsid w:val="00F9496E"/>
    <w:rsid w:val="00F96741"/>
    <w:rsid w:val="00FA128B"/>
    <w:rsid w:val="00FA211A"/>
    <w:rsid w:val="00FA215F"/>
    <w:rsid w:val="00FA3CED"/>
    <w:rsid w:val="00FA5D32"/>
    <w:rsid w:val="00FA68EA"/>
    <w:rsid w:val="00FB2C3F"/>
    <w:rsid w:val="00FB4A99"/>
    <w:rsid w:val="00FB5172"/>
    <w:rsid w:val="00FB698D"/>
    <w:rsid w:val="00FB7510"/>
    <w:rsid w:val="00FC076E"/>
    <w:rsid w:val="00FC07AD"/>
    <w:rsid w:val="00FC09EA"/>
    <w:rsid w:val="00FC0A9A"/>
    <w:rsid w:val="00FC0C14"/>
    <w:rsid w:val="00FC0FA2"/>
    <w:rsid w:val="00FC11EF"/>
    <w:rsid w:val="00FC2168"/>
    <w:rsid w:val="00FC22C2"/>
    <w:rsid w:val="00FC24B4"/>
    <w:rsid w:val="00FC2B68"/>
    <w:rsid w:val="00FC30A6"/>
    <w:rsid w:val="00FC33E4"/>
    <w:rsid w:val="00FC3536"/>
    <w:rsid w:val="00FC49E1"/>
    <w:rsid w:val="00FC512A"/>
    <w:rsid w:val="00FD1537"/>
    <w:rsid w:val="00FD1C91"/>
    <w:rsid w:val="00FD23FB"/>
    <w:rsid w:val="00FD25CD"/>
    <w:rsid w:val="00FD2CF9"/>
    <w:rsid w:val="00FD348A"/>
    <w:rsid w:val="00FD4DFF"/>
    <w:rsid w:val="00FD5FD9"/>
    <w:rsid w:val="00FD7AFE"/>
    <w:rsid w:val="00FE0ABD"/>
    <w:rsid w:val="00FE12EB"/>
    <w:rsid w:val="00FE16FD"/>
    <w:rsid w:val="00FE1A58"/>
    <w:rsid w:val="00FE1A98"/>
    <w:rsid w:val="00FE3AFA"/>
    <w:rsid w:val="00FE4016"/>
    <w:rsid w:val="00FE6D8D"/>
    <w:rsid w:val="00FE79A3"/>
    <w:rsid w:val="00FF2983"/>
    <w:rsid w:val="00FF362B"/>
    <w:rsid w:val="00FF4340"/>
    <w:rsid w:val="00FF4658"/>
    <w:rsid w:val="00FF51DF"/>
    <w:rsid w:val="00FF604A"/>
    <w:rsid w:val="00FF783E"/>
    <w:rsid w:val="01F71600"/>
    <w:rsid w:val="027F2F56"/>
    <w:rsid w:val="02E8665B"/>
    <w:rsid w:val="03882505"/>
    <w:rsid w:val="052E7937"/>
    <w:rsid w:val="07650E18"/>
    <w:rsid w:val="079F43C3"/>
    <w:rsid w:val="07D82798"/>
    <w:rsid w:val="08514B48"/>
    <w:rsid w:val="08AA78D8"/>
    <w:rsid w:val="0A5B12C7"/>
    <w:rsid w:val="0CA90DCF"/>
    <w:rsid w:val="0D562B05"/>
    <w:rsid w:val="0FAD0755"/>
    <w:rsid w:val="10134CDE"/>
    <w:rsid w:val="11825CB2"/>
    <w:rsid w:val="12F65690"/>
    <w:rsid w:val="134609A8"/>
    <w:rsid w:val="1531270B"/>
    <w:rsid w:val="17797B1C"/>
    <w:rsid w:val="188B3FAB"/>
    <w:rsid w:val="18934C0E"/>
    <w:rsid w:val="194432C1"/>
    <w:rsid w:val="198C1D89"/>
    <w:rsid w:val="19FE57DA"/>
    <w:rsid w:val="1A500DAA"/>
    <w:rsid w:val="1A506FA7"/>
    <w:rsid w:val="1CAF24B7"/>
    <w:rsid w:val="1ED659D9"/>
    <w:rsid w:val="216E7247"/>
    <w:rsid w:val="22C541B2"/>
    <w:rsid w:val="2308694E"/>
    <w:rsid w:val="235C28BC"/>
    <w:rsid w:val="2488574D"/>
    <w:rsid w:val="25AF1B51"/>
    <w:rsid w:val="25EC20DF"/>
    <w:rsid w:val="276063AA"/>
    <w:rsid w:val="27DC1CA3"/>
    <w:rsid w:val="2B1028CA"/>
    <w:rsid w:val="2FA32B67"/>
    <w:rsid w:val="320108EF"/>
    <w:rsid w:val="32D83E39"/>
    <w:rsid w:val="3378748A"/>
    <w:rsid w:val="340A1DD0"/>
    <w:rsid w:val="34A65D47"/>
    <w:rsid w:val="353E659F"/>
    <w:rsid w:val="35730A5C"/>
    <w:rsid w:val="35A65645"/>
    <w:rsid w:val="367D56FA"/>
    <w:rsid w:val="37023232"/>
    <w:rsid w:val="37E62B54"/>
    <w:rsid w:val="392712DD"/>
    <w:rsid w:val="39784967"/>
    <w:rsid w:val="3DAF1313"/>
    <w:rsid w:val="3DDB658B"/>
    <w:rsid w:val="3E2F7BFE"/>
    <w:rsid w:val="3E412F30"/>
    <w:rsid w:val="3EA239D0"/>
    <w:rsid w:val="3EF20030"/>
    <w:rsid w:val="414A543A"/>
    <w:rsid w:val="41B65345"/>
    <w:rsid w:val="43301EC1"/>
    <w:rsid w:val="438751F9"/>
    <w:rsid w:val="446B68BB"/>
    <w:rsid w:val="44833882"/>
    <w:rsid w:val="46DF097C"/>
    <w:rsid w:val="4725471C"/>
    <w:rsid w:val="475C4205"/>
    <w:rsid w:val="482E6451"/>
    <w:rsid w:val="498126DD"/>
    <w:rsid w:val="4CCF0A13"/>
    <w:rsid w:val="4DF9549F"/>
    <w:rsid w:val="4E227644"/>
    <w:rsid w:val="4E3F657E"/>
    <w:rsid w:val="50964CC0"/>
    <w:rsid w:val="509F4FD4"/>
    <w:rsid w:val="50AA1041"/>
    <w:rsid w:val="515A1064"/>
    <w:rsid w:val="51B4295A"/>
    <w:rsid w:val="51B77092"/>
    <w:rsid w:val="524D6882"/>
    <w:rsid w:val="52AF7250"/>
    <w:rsid w:val="53A82807"/>
    <w:rsid w:val="553C4C77"/>
    <w:rsid w:val="55C64D29"/>
    <w:rsid w:val="56ED714A"/>
    <w:rsid w:val="573E2DD8"/>
    <w:rsid w:val="57FD2D5B"/>
    <w:rsid w:val="5AB17058"/>
    <w:rsid w:val="5BF4040A"/>
    <w:rsid w:val="5CE40B61"/>
    <w:rsid w:val="5D15218C"/>
    <w:rsid w:val="5F083341"/>
    <w:rsid w:val="5F161CC0"/>
    <w:rsid w:val="603D0818"/>
    <w:rsid w:val="615A7ACF"/>
    <w:rsid w:val="619A0C18"/>
    <w:rsid w:val="620B146A"/>
    <w:rsid w:val="62B2411C"/>
    <w:rsid w:val="63302B4B"/>
    <w:rsid w:val="64CD45D0"/>
    <w:rsid w:val="65B70048"/>
    <w:rsid w:val="68B7181F"/>
    <w:rsid w:val="6AC77D07"/>
    <w:rsid w:val="6ADA504D"/>
    <w:rsid w:val="6B7678FF"/>
    <w:rsid w:val="6B976BD8"/>
    <w:rsid w:val="6BA86F78"/>
    <w:rsid w:val="6C481D20"/>
    <w:rsid w:val="6C9325BF"/>
    <w:rsid w:val="6CC97D49"/>
    <w:rsid w:val="6D2862E5"/>
    <w:rsid w:val="6DAB375F"/>
    <w:rsid w:val="704362EC"/>
    <w:rsid w:val="70751FB0"/>
    <w:rsid w:val="71C87406"/>
    <w:rsid w:val="71D12984"/>
    <w:rsid w:val="71E371E1"/>
    <w:rsid w:val="74F85758"/>
    <w:rsid w:val="75885B33"/>
    <w:rsid w:val="77A31565"/>
    <w:rsid w:val="784A2D52"/>
    <w:rsid w:val="78E37F63"/>
    <w:rsid w:val="78F35BE9"/>
    <w:rsid w:val="7A5B2A52"/>
    <w:rsid w:val="7A665A45"/>
    <w:rsid w:val="7B5F70CF"/>
    <w:rsid w:val="7D724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26"/>
    <w:qFormat/>
    <w:uiPriority w:val="99"/>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cs="宋体"/>
    </w:rPr>
  </w:style>
  <w:style w:type="paragraph" w:styleId="3">
    <w:name w:val="Body Text Indent"/>
    <w:basedOn w:val="1"/>
    <w:unhideWhenUsed/>
    <w:qFormat/>
    <w:uiPriority w:val="99"/>
    <w:pPr>
      <w:spacing w:after="120"/>
      <w:ind w:left="420" w:leftChars="200"/>
    </w:pPr>
  </w:style>
  <w:style w:type="paragraph" w:styleId="7">
    <w:name w:val="Document Map"/>
    <w:basedOn w:val="1"/>
    <w:link w:val="30"/>
    <w:unhideWhenUsed/>
    <w:qFormat/>
    <w:uiPriority w:val="99"/>
    <w:rPr>
      <w:rFonts w:ascii="宋体"/>
      <w:sz w:val="18"/>
      <w:szCs w:val="18"/>
    </w:rPr>
  </w:style>
  <w:style w:type="paragraph" w:styleId="8">
    <w:name w:val="annotation text"/>
    <w:basedOn w:val="1"/>
    <w:link w:val="28"/>
    <w:unhideWhenUsed/>
    <w:qFormat/>
    <w:uiPriority w:val="99"/>
    <w:pPr>
      <w:jc w:val="left"/>
    </w:pPr>
  </w:style>
  <w:style w:type="paragraph" w:styleId="9">
    <w:name w:val="Body Text"/>
    <w:basedOn w:val="1"/>
    <w:link w:val="36"/>
    <w:qFormat/>
    <w:uiPriority w:val="1"/>
    <w:pPr>
      <w:ind w:left="119"/>
      <w:jc w:val="left"/>
    </w:pPr>
    <w:rPr>
      <w:rFonts w:ascii="仿宋_GB2312" w:hAnsi="仿宋_GB2312" w:eastAsia="仿宋_GB2312" w:cstheme="minorBidi"/>
      <w:kern w:val="0"/>
      <w:szCs w:val="30"/>
      <w:lang w:eastAsia="en-US"/>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27"/>
    <w:unhideWhenUsed/>
    <w:qFormat/>
    <w:uiPriority w:val="99"/>
    <w:rPr>
      <w:sz w:val="18"/>
      <w:szCs w:val="18"/>
    </w:rPr>
  </w:style>
  <w:style w:type="paragraph" w:styleId="12">
    <w:name w:val="footer"/>
    <w:basedOn w:val="1"/>
    <w:link w:val="2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annotation subject"/>
    <w:basedOn w:val="8"/>
    <w:next w:val="8"/>
    <w:link w:val="29"/>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page number"/>
    <w:basedOn w:val="19"/>
    <w:qFormat/>
    <w:uiPriority w:val="0"/>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页眉 字符"/>
    <w:basedOn w:val="19"/>
    <w:link w:val="13"/>
    <w:qFormat/>
    <w:uiPriority w:val="99"/>
    <w:rPr>
      <w:sz w:val="18"/>
      <w:szCs w:val="18"/>
    </w:rPr>
  </w:style>
  <w:style w:type="character" w:customStyle="1" w:styleId="24">
    <w:name w:val="页脚 字符"/>
    <w:basedOn w:val="19"/>
    <w:link w:val="12"/>
    <w:qFormat/>
    <w:uiPriority w:val="0"/>
    <w:rPr>
      <w:sz w:val="18"/>
      <w:szCs w:val="18"/>
    </w:rPr>
  </w:style>
  <w:style w:type="character" w:customStyle="1" w:styleId="25">
    <w:name w:val="标题 2 字符"/>
    <w:basedOn w:val="19"/>
    <w:link w:val="5"/>
    <w:qFormat/>
    <w:uiPriority w:val="99"/>
    <w:rPr>
      <w:rFonts w:ascii="Cambria" w:hAnsi="Cambria" w:eastAsia="宋体" w:cs="Times New Roman"/>
      <w:b/>
      <w:bCs/>
      <w:kern w:val="0"/>
      <w:sz w:val="32"/>
      <w:szCs w:val="32"/>
    </w:rPr>
  </w:style>
  <w:style w:type="character" w:customStyle="1" w:styleId="26">
    <w:name w:val="标题 3 字符"/>
    <w:basedOn w:val="19"/>
    <w:link w:val="6"/>
    <w:qFormat/>
    <w:uiPriority w:val="99"/>
    <w:rPr>
      <w:rFonts w:ascii="Times New Roman" w:hAnsi="Times New Roman" w:eastAsia="宋体" w:cs="Times New Roman"/>
      <w:b/>
      <w:bCs/>
      <w:kern w:val="0"/>
      <w:sz w:val="32"/>
      <w:szCs w:val="32"/>
    </w:rPr>
  </w:style>
  <w:style w:type="character" w:customStyle="1" w:styleId="27">
    <w:name w:val="批注框文本 字符"/>
    <w:basedOn w:val="19"/>
    <w:link w:val="11"/>
    <w:semiHidden/>
    <w:qFormat/>
    <w:uiPriority w:val="99"/>
    <w:rPr>
      <w:rFonts w:ascii="Times New Roman" w:hAnsi="Times New Roman" w:eastAsia="宋体" w:cs="Times New Roman"/>
      <w:sz w:val="18"/>
      <w:szCs w:val="18"/>
    </w:rPr>
  </w:style>
  <w:style w:type="character" w:customStyle="1" w:styleId="28">
    <w:name w:val="批注文字 字符"/>
    <w:basedOn w:val="19"/>
    <w:link w:val="8"/>
    <w:qFormat/>
    <w:uiPriority w:val="99"/>
    <w:rPr>
      <w:rFonts w:ascii="Times New Roman" w:hAnsi="Times New Roman" w:eastAsia="宋体" w:cs="Times New Roman"/>
      <w:szCs w:val="21"/>
    </w:rPr>
  </w:style>
  <w:style w:type="character" w:customStyle="1" w:styleId="29">
    <w:name w:val="批注主题 字符"/>
    <w:basedOn w:val="28"/>
    <w:link w:val="16"/>
    <w:semiHidden/>
    <w:qFormat/>
    <w:uiPriority w:val="99"/>
    <w:rPr>
      <w:rFonts w:ascii="Times New Roman" w:hAnsi="Times New Roman" w:eastAsia="宋体" w:cs="Times New Roman"/>
      <w:b/>
      <w:bCs/>
      <w:szCs w:val="21"/>
    </w:rPr>
  </w:style>
  <w:style w:type="character" w:customStyle="1" w:styleId="30">
    <w:name w:val="文档结构图 字符"/>
    <w:basedOn w:val="19"/>
    <w:link w:val="7"/>
    <w:semiHidden/>
    <w:qFormat/>
    <w:uiPriority w:val="99"/>
    <w:rPr>
      <w:rFonts w:ascii="宋体" w:hAnsi="Times New Roman" w:eastAsia="宋体" w:cs="Times New Roman"/>
      <w:sz w:val="18"/>
      <w:szCs w:val="18"/>
    </w:rPr>
  </w:style>
  <w:style w:type="character" w:customStyle="1" w:styleId="31">
    <w:name w:val="标题 1 字符"/>
    <w:basedOn w:val="19"/>
    <w:link w:val="4"/>
    <w:qFormat/>
    <w:uiPriority w:val="9"/>
    <w:rPr>
      <w:rFonts w:ascii="Times New Roman" w:hAnsi="Times New Roman" w:eastAsia="宋体" w:cs="Times New Roman"/>
      <w:b/>
      <w:bCs/>
      <w:kern w:val="44"/>
      <w:sz w:val="44"/>
      <w:szCs w:val="44"/>
    </w:rPr>
  </w:style>
  <w:style w:type="paragraph" w:customStyle="1" w:styleId="3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4">
    <w:name w:val="页码 New New"/>
    <w:basedOn w:val="19"/>
    <w:qFormat/>
    <w:uiPriority w:val="0"/>
  </w:style>
  <w:style w:type="paragraph" w:customStyle="1" w:styleId="35">
    <w:name w:val="列表段落1"/>
    <w:basedOn w:val="1"/>
    <w:qFormat/>
    <w:uiPriority w:val="34"/>
    <w:pPr>
      <w:ind w:firstLine="420" w:firstLineChars="200"/>
    </w:pPr>
  </w:style>
  <w:style w:type="character" w:customStyle="1" w:styleId="36">
    <w:name w:val="正文文本 字符"/>
    <w:basedOn w:val="19"/>
    <w:link w:val="9"/>
    <w:qFormat/>
    <w:uiPriority w:val="1"/>
    <w:rPr>
      <w:rFonts w:ascii="仿宋_GB2312" w:hAnsi="仿宋_GB2312" w:eastAsia="仿宋_GB2312"/>
      <w:kern w:val="0"/>
      <w:sz w:val="30"/>
      <w:szCs w:val="30"/>
      <w:lang w:eastAsia="en-US"/>
    </w:rPr>
  </w:style>
  <w:style w:type="character" w:customStyle="1" w:styleId="37">
    <w:name w:val="未处理的提及1"/>
    <w:basedOn w:val="19"/>
    <w:unhideWhenUsed/>
    <w:qFormat/>
    <w:uiPriority w:val="99"/>
    <w:rPr>
      <w:color w:val="605E5C"/>
      <w:shd w:val="clear" w:color="auto" w:fill="E1DFDD"/>
    </w:rPr>
  </w:style>
  <w:style w:type="paragraph" w:customStyle="1" w:styleId="38">
    <w:name w:val="修订2"/>
    <w:hidden/>
    <w:semiHidden/>
    <w:qFormat/>
    <w:uiPriority w:val="99"/>
    <w:rPr>
      <w:rFonts w:ascii="仿宋" w:hAnsi="Times New Roman" w:eastAsia="仿宋" w:cs="Times New Roman"/>
      <w:kern w:val="30"/>
      <w:sz w:val="3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ed26bfa8-2239-4ab5-bcb6-2ce516daf791</errorID>
      <errorWord>，</errorWord>
      <group>L1_Word</group>
      <groupName>字词问题</groupName>
      <ability>L2_Typo</ability>
      <abilityName>字词错误</abilityName>
      <candidateList>
        <item>，该</item>
      </candidateList>
      <explain/>
      <paraID>12DC94DB</paraID>
      <start>103</start>
      <end>104</end>
      <status>unmodified</status>
      <modifiedWord/>
      <trackRevisions>false</trackRevisions>
    </reviewItem>
    <reviewItem>
      <errorID>f756aab0-b4a3-4c5a-b8f3-69c5123bd241</errorID>
      <errorWord>昭通市</errorWord>
      <group>L1_AI</group>
      <groupName>深度校对</groupName>
      <ability>L2_AI_Punc</ability>
      <abilityName>标点纠错</abilityName>
      <candidateList>
        <item>，昭通市</item>
      </candidateList>
      <explain/>
      <paraID>12DC94DB</paraID>
      <start>210</start>
      <end>213</end>
      <status>unmodified</status>
      <modifiedWord/>
      <trackRevisions>false</trackRevisions>
    </reviewItem>
    <reviewItem>
      <errorID>2240bf72-8b03-460e-92cc-4f06824a120d</errorID>
      <errorWord>就关于</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12DC94DB</paraID>
      <start>221</start>
      <end>224</end>
      <status>unmodified</status>
      <modifiedWord/>
      <trackRevisions>false</trackRevisions>
    </reviewItem>
    <reviewItem>
      <errorID>4d60135f-cf6c-414e-bad7-2fa3017dd403</errorID>
      <errorWord>开展对</errorWord>
      <group>L1_AI</group>
      <groupName>深度校对</groupName>
      <ability>L2_AI_Grammar</ability>
      <abilityName>语法纠错</abilityName>
      <candidateList>
        <item>开展</item>
      </candidateList>
      <explain>〈动〉展览会开始展出：一年一度的春节花展明天～。</explain>
      <paraID>12DC94DB</paraID>
      <start>277</start>
      <end>280</end>
      <status>unmodified</status>
      <modifiedWord/>
      <trackRevisions>false</trackRevisions>
    </reviewItem>
    <reviewItem>
      <errorID>ca4292db-3304-4e4f-9211-c0d5e715dc85</errorID>
      <errorWord>-</errorWord>
      <group>L1_Format</group>
      <groupName>格式问题</groupName>
      <ability>L2_HalfPunc</ability>
      <abilityName>全半角检查</abilityName>
      <candidateList>
        <item>－</item>
      </candidateList>
      <explain>文本全半角错误。</explain>
      <paraID>12DC94DB</paraID>
      <start>302</start>
      <end>303</end>
      <status>unmodified</status>
      <modifiedWord/>
      <trackRevisions>false</trackRevisions>
    </reviewItem>
    <reviewItem>
      <errorID>3de9cf98-4c22-45dc-9b0f-c47bb08bcdf6</errorID>
      <errorWord>水土防治</errorWord>
      <group>L1_Word</group>
      <groupName>字词问题</groupName>
      <ability>L2_Typo</ability>
      <abilityName>字词错误</abilityName>
      <candidateList>
        <item>水土流失防治</item>
      </candidateList>
      <explain/>
      <paraID>12DC94DB</paraID>
      <start>321</start>
      <end>325</end>
      <status>unmodified</status>
      <modifiedWord/>
      <trackRevisions>false</trackRevisions>
    </reviewItem>
    <reviewItem>
      <errorID>0545b517-e641-405c-8c98-86fb2d8dc7fa</errorID>
      <errorWord>生态的</errorWord>
      <group>L1_Word</group>
      <groupName>字词问题</groupName>
      <ability>L2_Typo</ability>
      <abilityName>字词错误</abilityName>
      <candidateList>
        <item>生态</item>
      </candidateList>
      <explain/>
      <paraID>12DC94DB</paraID>
      <start>328</start>
      <end>331</end>
      <status>unmodified</status>
      <modifiedWord/>
      <trackRevisions>false</trackRevisions>
    </reviewItem>
    <reviewItem>
      <errorID>09826392-f6f1-48af-9359-f29e3dfc9465</errorID>
      <errorWord>集镇区及沿河村庄污水管网及污水处理设施建设、集镇区及沿河村庄垃圾收运系统完善、农业面源污染防治、河道内源治理等工程内容的实施</errorWord>
      <group>L1_AI</group>
      <groupName>深度校对</groupName>
      <ability>L2_AI_Grammar</ability>
      <abilityName>语法纠错</abilityName>
      <candidateList>
        <item>实施集镇区及沿河村庄污水管网及污水处理设施建设、集镇区及沿河村庄垃圾收运系统完善、农业面源污染防治、河道内源治理等工程内容</item>
      </candidateList>
      <explain/>
      <paraID>43002B4F</paraID>
      <start>68</start>
      <end>130</end>
      <status>unmodified</status>
      <modifiedWord/>
      <trackRevisions>false</trackRevisions>
    </reviewItem>
    <reviewItem>
      <errorID>c4483a83-771f-42b2-a177-c1b41e336133</errorID>
      <errorWord>污染</errorWord>
      <group>L1_AI</group>
      <groupName>深度校对</groupName>
      <ability>L2_AI_Grammar</ability>
      <abilityName>语法纠错</abilityName>
      <candidateList>
        <item>的污染</item>
      </candidateList>
      <explain/>
      <paraID>43002B4F</paraID>
      <start>146</start>
      <end>148</end>
      <status>unmodified</status>
      <modifiedWord/>
      <trackRevisions>false</trackRevisions>
    </reviewItem>
    <reviewItem>
      <errorID>a9c29471-ab98-430e-ab1b-0315866a7cf3</errorID>
      <errorWord>保证</errorWord>
      <group>L1_AI</group>
      <groupName>深度校对</groupName>
      <ability>L2_AI_Word</ability>
      <abilityName>字词纠错</abilityName>
      <candidateList>
        <item>确保</item>
      </candidateList>
      <explain>〈动〉确实地保持或保证：～交通畅通｜加强田间管理，～粮食丰收。</explain>
      <paraID>43002B4F</paraID>
      <start>151</start>
      <end>153</end>
      <status>unmodified</status>
      <modifiedWord/>
      <trackRevisions>false</trackRevisions>
    </reviewItem>
    <reviewItem>
      <errorID>6b515a58-3d71-4a3d-9f77-c9106a347e39</errorID>
      <errorWord>，项目</errorWord>
      <group>L1_AI</group>
      <groupName>深度校对</groupName>
      <ability>L2_AI_Grammar</ability>
      <abilityName>语法纠错</abilityName>
      <candidateList>
        <item>。</item>
      </candidateList>
      <explain/>
      <paraID>43002B4F</paraID>
      <start>164</start>
      <end>167</end>
      <status>unmodified</status>
      <modifiedWord/>
      <trackRevisions>false</trackRevisions>
    </reviewItem>
    <reviewItem>
      <errorID>3f4dd19d-de5e-492f-b33b-2a553eec49cd</errorID>
      <errorWord>：</errorWord>
      <group>L1_AI</group>
      <groupName>深度校对</groupName>
      <ability>L2_AI_Grammar</ability>
      <abilityName>语法纠错</abilityName>
      <candidateList>
        <item>，分别为</item>
      </candidateList>
      <explain/>
      <paraID>43002B4F</paraID>
      <start>186</start>
      <end>187</end>
      <status>unmodified</status>
      <modifiedWord/>
      <trackRevisions>false</trackRevisions>
    </reviewItem>
    <reviewItem>
      <errorID>e1f8dc8e-ad03-45fc-8898-46479eefc944</errorID>
      <errorWord>。</errorWord>
      <group>L1_AI</group>
      <groupName>深度校对</groupName>
      <ability>L2_AI_Punc</ability>
      <abilityName>标点纠错</abilityName>
      <candidateList>
        <item>；</item>
      </candidateList>
      <explain/>
      <paraID>43002B4F</paraID>
      <start>353</start>
      <end>354</end>
      <status>unmodified</status>
      <modifiedWord/>
      <trackRevisions>false</trackRevisions>
    </reviewItem>
    <reviewItem>
      <errorID>836b08a0-bd91-49a9-b713-d7d418d1bfe3</errorID>
      <errorWord>,</errorWord>
      <group>L1_Format</group>
      <groupName>格式问题</groupName>
      <ability>L2_HalfPunc</ability>
      <abilityName>全半角检查</abilityName>
      <candidateList>
        <item>，</item>
      </candidateList>
      <explain>文本全半角错误。</explain>
      <paraID>4A9A4900</paraID>
      <start>31</start>
      <end>32</end>
      <status>unmodified</status>
      <modifiedWord/>
      <trackRevisions>false</trackRevisions>
    </reviewItem>
    <reviewItem>
      <errorID>b7e63e8c-602e-4576-879e-55e4af356c85</errorID>
      <errorWord>：</errorWord>
      <group>L1_AI</group>
      <groupName>深度校对</groupName>
      <ability>L2_AI_Punc</ability>
      <abilityName>标点纠错</abilityName>
      <candidateList>
        <item>，</item>
      </candidateList>
      <explain/>
      <paraID>4A9A4900</paraID>
      <start>34</start>
      <end>35</end>
      <status>unmodified</status>
      <modifiedWord/>
      <trackRevisions>false</trackRevisions>
    </reviewItem>
    <reviewItem>
      <errorID>c1f92f42-961f-451f-bf3b-95770df1cbd8</errorID>
      <errorWord>债劵</errorWord>
      <group>L1_AI</group>
      <groupName>深度校对</groupName>
      <ability>L2_AI_Word</ability>
      <abilityName>字词纠错</abilityName>
      <candidateList>
        <item>债券</item>
      </candidateList>
      <explain>〈名〉❶公债券。❷企业、银行或股份公司发行的债权人领取本息的凭证。</explain>
      <paraID>4A9A4900</paraID>
      <start>54</start>
      <end>56</end>
      <status>unmodified</status>
      <modifiedWord/>
      <trackRevisions>false</trackRevisions>
    </reviewItem>
    <reviewItem>
      <errorID>3b88126d-0b25-49d5-b0e5-50e452609f67</errorID>
      <errorWord>100</errorWord>
      <group>L1_AI</group>
      <groupName>深度校对</groupName>
      <ability>L2_AI_Grammar</ability>
      <abilityName>语法纠错</abilityName>
      <candidateList>
        <item>为100</item>
      </candidateList>
      <explain/>
      <paraID>4A9A4900</paraID>
      <start>108</start>
      <end>111</end>
      <status>unmodified</status>
      <modifiedWord/>
      <trackRevisions>false</trackRevisions>
    </reviewItem>
    <reviewItem>
      <errorID>c758349c-f441-4330-b271-d354b4dfc3cd</errorID>
      <errorWord>《</errorWord>
      <group>L1_AI</group>
      <groupName>深度校对</groupName>
      <ability>L2_AI_Grammar</ability>
      <abilityName>语法纠错</abilityName>
      <candidateList>
        <item>根据《</item>
      </candidateList>
      <explain/>
      <paraID> 2624FAF</paraID>
      <start>0</start>
      <end>1</end>
      <status>unmodified</status>
      <modifiedWord/>
      <trackRevisions>false</trackRevisions>
    </reviewItem>
    <reviewItem>
      <errorID>80587d33-0831-46c8-ab0e-0c9e60af0317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2624FAF</paraID>
      <start>23</start>
      <end>26</end>
      <status>unmodified</status>
      <modifiedWord/>
      <trackRevisions>false</trackRevisions>
    </reviewItem>
    <reviewItem>
      <errorID>fda73a30-1e4b-4ba6-9df9-6b8b2c680fc6</errorID>
      <errorWord>,</errorWord>
      <group>L1_Format</group>
      <groupName>格式问题</groupName>
      <ability>L2_HalfPunc</ability>
      <abilityName>全半角检查</abilityName>
      <candidateList>
        <item>，</item>
      </candidateList>
      <explain>文本全半角错误。</explain>
      <paraID> 2624FAF</paraID>
      <start>56</start>
      <end>57</end>
      <status>unmodified</status>
      <modifiedWord/>
      <trackRevisions>false</trackRevisions>
    </reviewItem>
    <reviewItem>
      <errorID>9606cf86-4deb-4615-b921-85992df84757</errorID>
      <errorWord>,根据</errorWord>
      <group>L1_AI</group>
      <groupName>深度校对</groupName>
      <ability>L2_AI_Word</ability>
      <abilityName>字词纠错</abilityName>
      <candidateList>
        <item>。依据</item>
      </candidateList>
      <explain/>
      <paraID> 2624FAF</paraID>
      <start>82</start>
      <end>85</end>
      <status>unmodified</status>
      <modifiedWord/>
      <trackRevisions>false</trackRevisions>
    </reviewItem>
    <reviewItem>
      <errorID>5f77c8d0-c017-4501-8564-b3bdbb400714</errorID>
      <errorWord>,</errorWord>
      <group>L1_Format</group>
      <groupName>格式问题</groupName>
      <ability>L2_HalfPunc</ability>
      <abilityName>全半角检查</abilityName>
      <candidateList>
        <item>，</item>
      </candidateList>
      <explain>文本全半角错误。</explain>
      <paraID> 2624FAF</paraID>
      <start>110</start>
      <end>111</end>
      <status>unmodified</status>
      <modifiedWord/>
      <trackRevisions>false</trackRevisions>
    </reviewItem>
    <reviewItem>
      <errorID>c2c1f2f3-e672-4c64-8230-fb60a36e2cc5</errorID>
      <errorWord>根据</errorWord>
      <group>L1_AI</group>
      <groupName>深度校对</groupName>
      <ability>L2_AI_Grammar</ability>
      <abilityName>语法纠错</abilityName>
      <candidateList>
        <item>并按照</item>
      </candidateList>
      <explain/>
      <paraID> 2624FAF</paraID>
      <start>124</start>
      <end>126</end>
      <status>unmodified</status>
      <modifiedWord/>
      <trackRevisions>false</trackRevisions>
    </reviewItem>
    <reviewItem>
      <errorID>dd9f8631-65c9-445a-83d3-7e0049ede584</errorID>
      <errorWord>、</errorWord>
      <group>L1_AI</group>
      <groupName>深度校对</groupName>
      <ability>L2_AI_Grammar</ability>
      <abilityName>语法纠错</abilityName>
      <candidateList>
        <item>项目</item>
      </candidateList>
      <explain>〈名〉事物分成的门类：服务～｜体育～｜建设～。</explain>
      <paraID> 2624FAF</paraID>
      <start>145</start>
      <end>146</end>
      <status>unmodified</status>
      <modifiedWord/>
      <trackRevisions>false</trackRevisions>
    </reviewItem>
    <reviewItem>
      <errorID>21c13190-9264-41a7-8fda-925a22252f71</errorID>
      <errorWord>项目</errorWord>
      <group>L1_AI</group>
      <groupName>深度校对</groupName>
      <ability>L2_AI_Word</ability>
      <abilityName>字词纠错</abilityName>
      <candidateList>
        <item>工作</item>
      </candidateList>
      <explain>❶〈动〉从事体力或脑力劳动，也泛指机器、工具受人操纵而发挥生产作用：积极～｜开始～｜铲土机正在～。❷〈名〉职业：找～｜～没有贵贱之分。❸〈名〉业务；任务：～量｜宣传～｜工会～｜科学研究～。</explain>
      <paraID> 2624FAF</paraID>
      <start>148</start>
      <end>150</end>
      <status>unmodified</status>
      <modifiedWord/>
      <trackRevisions>false</trackRevisions>
    </reviewItem>
    <reviewItem>
      <errorID>fe1544a9-6518-4aae-90a8-72908d0a2f7b</errorID>
      <errorWord>专债</errorWord>
      <group>L1_AI</group>
      <groupName>深度校对</groupName>
      <ability>L2_AI_Grammar</ability>
      <abilityName>语法纠错</abilityName>
      <candidateList>
        <item>专项债券</item>
      </candidateList>
      <explain/>
      <paraID>39171F06</paraID>
      <start>16</start>
      <end>18</end>
      <status>unmodified</status>
      <modifiedWord/>
      <trackRevisions>false</trackRevisions>
    </reviewItem>
    <reviewItem>
      <errorID>d2eca135-ddaa-468c-9e7f-7b1f7928b2ce</errorID>
      <errorWord>看</errorWord>
      <group>L1_AI</group>
      <groupName>深度校对</groupName>
      <ability>L2_AI_Grammar</ability>
      <abilityName>语法纠错</abilityName>
      <candidateList>
        <item>来看</item>
      </candidateList>
      <explain/>
      <paraID>39171F06</paraID>
      <start>32</start>
      <end>33</end>
      <status>unmodified</status>
      <modifiedWord/>
      <trackRevisions>false</trackRevisions>
    </reviewItem>
    <reviewItem>
      <errorID>bb9b9906-e281-4804-9e4f-c9245b008533</errorID>
      <errorWord>总体已于2020年8月31日</errorWord>
      <group>L1_AI</group>
      <groupName>深度校对</groupName>
      <ability>L2_AI_Word</ability>
      <abilityName>字词纠错</abilityName>
      <candidateList>
        <item>已于2020年8月31日整体</item>
      </candidateList>
      <explain/>
      <paraID>39171F06</paraID>
      <start>36</start>
      <end>50</end>
      <status>unmodified</status>
      <modifiedWord/>
      <trackRevisions>false</trackRevisions>
    </reviewItem>
    <reviewItem>
      <errorID>cf3c3cce-c76d-48ce-9766-217ab1d7c31f</errorID>
      <errorWord>，</errorWord>
      <group>L1_AI</group>
      <groupName>深度校对</groupName>
      <ability>L2_AI_Punc</ability>
      <abilityName>标点纠错</abilityName>
      <candidateList>
        <item/>
      </candidateList>
      <explain/>
      <paraID>39171F06</paraID>
      <start>88</start>
      <end>89</end>
      <status>unmodified</status>
      <modifiedWord/>
      <trackRevisions>false</trackRevisions>
    </reviewItem>
    <reviewItem>
      <errorID>ea495808-ba49-4260-bafe-10c9bbe47c95</errorID>
      <errorWord>学校</errorWord>
      <group>L1_AI</group>
      <groupName>深度校对</groupName>
      <ability>L2_AI_Punc</ability>
      <abilityName>标点纠错</abilityName>
      <candidateList>
        <item>，学校</item>
      </candidateList>
      <explain/>
      <paraID>6099FBC6</paraID>
      <start>9</start>
      <end>11</end>
      <status>unmodified</status>
      <modifiedWord/>
      <trackRevisions>false</trackRevisions>
    </reviewItem>
    <reviewItem>
      <errorID>6b3d8d0b-6e37-4359-8aaf-2f110b727848</errorID>
      <errorWord>有：</errorWord>
      <group>L1_AI</group>
      <groupName>深度校对</groupName>
      <ability>L2_AI_Grammar</ability>
      <abilityName>语法纠错</abilityName>
      <candidateList>
        <item>了</item>
      </candidateList>
      <explain>（瞭）liǎo明白；懂得：～然｜～解｜明～｜～如指掌。</explain>
      <paraID>6099FBC6</paraID>
      <start>48</start>
      <end>50</end>
      <status>unmodified</status>
      <modifiedWord/>
      <trackRevisions>false</trackRevisions>
    </reviewItem>
    <reviewItem>
      <errorID>0a8998f1-976a-423f-b29a-504f2205e79a</errorID>
      <errorWord>，其中</errorWord>
      <group>L1_AI</group>
      <groupName>深度校对</groupName>
      <ability>L2_AI_Grammar</ability>
      <abilityName>语法纠错</abilityName>
      <candidateList>
        <item>。其中，</item>
      </candidateList>
      <explain/>
      <paraID>6099FBC6</paraID>
      <start>87</start>
      <end>90</end>
      <status>unmodified</status>
      <modifiedWord/>
      <trackRevisions>false</trackRevisions>
    </reviewItem>
    <reviewItem>
      <errorID>45b2697c-955c-4138-b136-38965166828e</errorID>
      <errorWord>、优化了</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6099FBC6</paraID>
      <start>173</start>
      <end>177</end>
      <status>unmodified</status>
      <modifiedWord/>
      <trackRevisions>false</trackRevisions>
    </reviewItem>
    <reviewItem>
      <errorID>85b117ba-9c77-4bb0-81b1-0fd4ed6a1cd6</errorID>
      <errorWord>学校的</errorWord>
      <group>L1_AI</group>
      <groupName>深度校对</groupName>
      <ability>L2_AI_Grammar</ability>
      <abilityName>语法纠错</abilityName>
      <candidateList>
        <item>学校</item>
      </candidateList>
      <explain/>
      <paraID>6099FBC6</paraID>
      <start>177</start>
      <end>180</end>
      <status>unmodified</status>
      <modifiedWord/>
      <trackRevisions>false</trackRevisions>
    </reviewItem>
    <reviewItem>
      <errorID>5553f082-1e8e-419d-8f20-aae5b2ba0df7</errorID>
      <errorWord>等</errorWord>
      <group>L1_AI</group>
      <groupName>深度校对</groupName>
      <ability>L2_AI_Grammar</ability>
      <abilityName>语法纠错</abilityName>
      <candidateList>
        <item>优化等</item>
      </candidateList>
      <explain/>
      <paraID>6099FBC6</paraID>
      <start>186</start>
      <end>187</end>
      <status>unmodified</status>
      <modifiedWord/>
      <trackRevisions>false</trackRevisions>
    </reviewItem>
    <reviewItem>
      <errorID>39bbc538-2f45-4085-b5ad-357837e5f903</errorID>
      <errorWord>反映</errorWord>
      <group>L1_AI</group>
      <groupName>深度校对</groupName>
      <ability>L2_AI_Word</ability>
      <abilityName>字词纠错</abilityName>
      <candidateList>
        <item>反馈</item>
      </candidateList>
      <explain/>
      <paraID>6099FBC6</paraID>
      <start>192</start>
      <end>194</end>
      <status>unmodified</status>
      <modifiedWord/>
      <trackRevisions>false</trackRevisions>
    </reviewItem>
    <reviewItem>
      <errorID>b23291fa-e6be-4dc8-afc4-08c31d2c66ff</errorID>
      <errorWord>促进</errorWord>
      <group>L1_AI</group>
      <groupName>深度校对</groupName>
      <ability>L2_AI_Grammar</ability>
      <abilityName>语法纠错</abilityName>
      <candidateList>
        <item>上促进</item>
      </candidateList>
      <explain/>
      <paraID>6099FBC6</paraID>
      <start>213</start>
      <end>215</end>
      <status>unmodified</status>
      <modifiedWord/>
      <trackRevisions>false</trackRevisions>
    </reviewItem>
    <reviewItem>
      <errorID>d8638eda-b25e-46dc-bd8a-64afae828197</errorID>
      <errorWord>、</errorWord>
      <group>L1_AI</group>
      <groupName>深度校对</groupName>
      <ability>L2_AI_Punc</ability>
      <abilityName>标点纠错</abilityName>
      <candidateList>
        <item>，</item>
      </candidateList>
      <explain/>
      <paraID>6099FBC6</paraID>
      <start>267</start>
      <end>268</end>
      <status>unmodified</status>
      <modifiedWord/>
      <trackRevisions>false</trackRevisions>
    </reviewItem>
    <reviewItem>
      <errorID>03610804-fc2b-4bbf-9ed0-e7dfa1451292</errorID>
      <errorWord>及</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6099FBC6</paraID>
      <start>275</start>
      <end>276</end>
      <status>unmodified</status>
      <modifiedWord/>
      <trackRevisions>false</trackRevisions>
    </reviewItem>
    <reviewItem>
      <errorID>f73adc62-8707-4d67-a9c7-83c45f51e8ae</errorID>
      <errorWord>的</errorWord>
      <group>L1_AI</group>
      <groupName>深度校对</groupName>
      <ability>L2_AI_Word</ability>
      <abilityName>字词纠错</abilityName>
      <candidateList>
        <item>等</item>
      </candidateList>
      <explain>〈助〉❶〈书〉用在人称代词或指人的名词后面，表示复数：我～｜彼～。❷表示列举未尽（可以叠用）：北京、天津～地｜纸张文具～～。❸列举后煞尾：长江、黄河、黑龙江、珠江～四大河流。</explain>
      <paraID>6099FBC6</paraID>
      <start>286</start>
      <end>287</end>
      <status>unmodified</status>
      <modifiedWord/>
      <trackRevisions>false</trackRevisions>
    </reviewItem>
    <reviewItem>
      <errorID>36276db1-3654-496d-95d9-695921c6613c</errorID>
      <errorWord>，</errorWord>
      <group>L1_AI</group>
      <groupName>深度校对</groupName>
      <ability>L2_AI_Punc</ability>
      <abilityName>标点纠错</abilityName>
      <candidateList>
        <item>。</item>
      </candidateList>
      <explain/>
      <paraID>1EBF3BC0</paraID>
      <start>11</start>
      <end>12</end>
      <status>unmodified</status>
      <modifiedWord/>
      <trackRevisions>false</trackRevisions>
    </reviewItem>
    <reviewItem>
      <errorID>99c54fe8-b037-49d6-8528-bbb967d1a0b0</errorID>
      <errorWord>组织</errorWord>
      <group>L1_AI</group>
      <groupName>深度校对</groupName>
      <ability>L2_AI_Punc</ability>
      <abilityName>标点纠错</abilityName>
      <candidateList>
        <item>，组织</item>
      </candidateList>
      <explain/>
      <paraID>1EBF3BC0</paraID>
      <start>18</start>
      <end>20</end>
      <status>unmodified</status>
      <modifiedWord/>
      <trackRevisions>false</trackRevisions>
    </reviewItem>
    <reviewItem>
      <errorID>40008af2-e858-418b-be01-5d57ff4782ee</errorID>
      <errorWord>是进行</errorWord>
      <group>L1_Grammar</group>
      <groupName>语法问题</groupName>
      <ability>L2_Order</ability>
      <abilityName>语序不当</abilityName>
      <candidateList>
        <item>是</item>
      </candidateList>
      <explain>句子可能没有遵循时空、逻辑顺序，或者介词、关联词等位置不当。</explain>
      <paraID>1EBF3BC0</paraID>
      <start>27</start>
      <end>30</end>
      <status>unmodified</status>
      <modifiedWord/>
      <trackRevisions>false</trackRevisions>
    </reviewItem>
    <reviewItem>
      <errorID>4ea67412-874c-41fd-9f52-a5b42a7b3696</errorID>
      <errorWord>暂定拟定</errorWord>
      <group>L1_AI</group>
      <groupName>深度校对</groupName>
      <ability>L2_AI_Grammar</ability>
      <abilityName>语法纠错</abilityName>
      <candidateList>
        <item>暂定</item>
      </candidateList>
      <explain/>
      <paraID>1EBF3BC0</paraID>
      <start>35</start>
      <end>39</end>
      <status>unmodified</status>
      <modifiedWord/>
      <trackRevisions>false</trackRevisions>
    </reviewItem>
    <reviewItem>
      <errorID>9b85163f-87ce-4a0e-a297-707d900c1b11</errorID>
      <errorWord>，</errorWord>
      <group>L1_AI</group>
      <groupName>深度校对</groupName>
      <ability>L2_AI_Grammar</ability>
      <abilityName>语法纠错</abilityName>
      <candidateList>
        <item>进行拟定；</item>
      </candidateList>
      <explain/>
      <paraID>1EBF3BC0</paraID>
      <start>50</start>
      <end>51</end>
      <status>unmodified</status>
      <modifiedWord/>
      <trackRevisions>false</trackRevisions>
    </reviewItem>
    <reviewItem>
      <errorID>c6ae2fc4-4603-4533-abd0-f9653cb32d80</errorID>
      <errorWord>进行了</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1EBF3BC0</paraID>
      <start>57</start>
      <end>60</end>
      <status>unmodified</status>
      <modifiedWord/>
      <trackRevisions>false</trackRevisions>
    </reviewItem>
    <reviewItem>
      <errorID>adb840e8-f413-4257-8066-05495ff5dcbe</errorID>
      <errorWord>预期</errorWord>
      <group>L1_AI</group>
      <groupName>深度校对</groupName>
      <ability>L2_AI_Grammar</ability>
      <abilityName>语法纠错</abilityName>
      <candidateList>
        <item>进行了预期</item>
      </candidateList>
      <explain/>
      <paraID>1EBF3BC0</paraID>
      <start>72</start>
      <end>74</end>
      <status>unmodified</status>
      <modifiedWord/>
      <trackRevisions>false</trackRevisions>
    </reviewItem>
    <reviewItem>
      <errorID>fddbc350-0f55-4d1b-905c-21c514ea433e</errorID>
      <errorWord>但就</errorWord>
      <group>L1_AI</group>
      <groupName>深度校对</groupName>
      <ability>L2_AI_Grammar</ability>
      <abilityName>语法纠错</abilityName>
      <candidateList>
        <item>但</item>
      </candidateList>
      <explain>❶〈副〉只；仅仅：～愿如此｜不求有功，～求无过｜辽阔的原野上，～见麦浪随风起伏。❷〈连〉但是：屋子小，～挺干净｜工作虽然忙，～一点也没放松学习。❸（Dàn）〈名〉姓。</explain>
      <paraID>1EBF3BC0</paraID>
      <start>75</start>
      <end>77</end>
      <status>unmodified</status>
      <modifiedWord/>
      <trackRevisions>false</trackRevisions>
    </reviewItem>
    <reviewItem>
      <errorID>458f2d44-e15a-46f9-87dd-c338822afe38</errorID>
      <errorWord>预计经</errorWord>
      <group>L1_AI</group>
      <groupName>深度校对</groupName>
      <ability>L2_AI_Grammar</ability>
      <abilityName>语法纠错</abilityName>
      <candidateList>
        <item>预计</item>
      </candidateList>
      <explain/>
      <paraID>1EBF3BC0</paraID>
      <start>83</start>
      <end>86</end>
      <status>unmodified</status>
      <modifiedWord/>
      <trackRevisions>false</trackRevisions>
    </reviewItem>
    <reviewItem>
      <errorID>d5c8ca67-aee1-4929-a845-74986f7787a5</errorID>
      <errorWord>经济效益</errorWord>
      <group>L1_Word</group>
      <groupName>字词问题</groupName>
      <ability>L2_Typo</ability>
      <abilityName>字词错误</abilityName>
      <candidateList>
        <item>济效益</item>
      </candidateList>
      <explain/>
      <paraID>1EBF3BC0</paraID>
      <start>86</start>
      <end>90</end>
      <status>unmodified</status>
      <modifiedWord/>
      <trackRevisions>false</trackRevisions>
    </reviewItem>
    <reviewItem>
      <errorID>0d1ff9a6-8d03-4dea-bd8c-f10199418e3b</errorID>
      <errorWord>-</errorWord>
      <group>L1_Format</group>
      <groupName>格式问题</groupName>
      <ability>L2_HalfPunc</ability>
      <abilityName>全半角检查</abilityName>
      <candidateList>
        <item>－</item>
      </candidateList>
      <explain>文本全半角错误。</explain>
      <paraID>1EBF3BC0</paraID>
      <start>92</start>
      <end>93</end>
      <status>unmodified</status>
      <modifiedWord/>
      <trackRevisions>false</trackRevisions>
    </reviewItem>
    <reviewItem>
      <errorID>c5dcaba1-b54d-437e-89da-6cb32dca3480</errorID>
      <errorWord>（3.5亿元）项目建成后</errorWord>
      <group>L1_AI</group>
      <groupName>深度校对</groupName>
      <ability>L2_AI_Word</ability>
      <abilityName>字词纠错</abilityName>
      <candidateList>
        <item>项目建成后（3.5亿元）</item>
      </candidateList>
      <explain/>
      <paraID>1EBF3BC0</paraID>
      <start>112</start>
      <end>124</end>
      <status>unmodified</status>
      <modifiedWord/>
      <trackRevisions>false</trackRevisions>
    </reviewItem>
    <reviewItem>
      <errorID>cb1142da-1953-45ad-a545-b7b13cf215b1</errorID>
      <errorWord>截止</errorWord>
      <group>L1_AI</group>
      <groupName>深度校对</groupName>
      <ability>L2_AI_Word</ability>
      <abilityName>字词纠错</abilityName>
      <candidateList>
        <item>截至</item>
      </candidateList>
      <explain>〈动〉截止到（某个时候）：报名日期～本月底。</explain>
      <paraID>1EBF3BC0</paraID>
      <start>125</start>
      <end>127</end>
      <status>unmodified</status>
      <modifiedWord/>
      <trackRevisions>false</trackRevisions>
    </reviewItem>
    <reviewItem>
      <errorID>83bdb0e9-3764-43e1-aaf9-ca4ed07edd10</errorID>
      <errorWord>资金投资、</errorWord>
      <group>L1_AI</group>
      <groupName>深度校对</groupName>
      <ability>L2_AI_Grammar</ability>
      <abilityName>语法纠错</abilityName>
      <candidateList>
        <item>资金</item>
      </candidateList>
      <explain/>
      <paraID>4C54B83D</paraID>
      <start>49</start>
      <end>54</end>
      <status>unmodified</status>
      <modifiedWord/>
      <trackRevisions>false</trackRevisions>
    </reviewItem>
    <reviewItem>
      <errorID>f7f4a000-4a3e-41b4-ab78-7af8a5bf994e</errorID>
      <errorWord>镇</errorWord>
      <group>L1_AI</group>
      <groupName>深度校对</groupName>
      <ability>L2_AI_Punc</ability>
      <abilityName>标点纠错</abilityName>
      <candidateList>
        <item>《镇</item>
      </candidateList>
      <explain/>
      <paraID>71D18059</paraID>
      <start>9</start>
      <end>10</end>
      <status>unmodified</status>
      <modifiedWord/>
      <trackRevisions>false</trackRevisions>
    </reviewItem>
    <reviewItem>
      <errorID>b7c28226-1949-4348-a933-705e590d1492</errorID>
      <errorWord>2015-</errorWord>
      <group>L1_AI</group>
      <groupName>深度校对</groupName>
      <ability>L2_AI_Punc</ability>
      <abilityName>标点纠错</abilityName>
      <candidateList>
        <item>〔2015〕</item>
      </candidateList>
      <explain/>
      <paraID>71D18059</paraID>
      <start>12</start>
      <end>17</end>
      <status>unmodified</status>
      <modifiedWord/>
      <trackRevisions>false</trackRevisions>
    </reviewItem>
    <reviewItem>
      <errorID>f3be86f6-f329-4b06-8825-cfcffc9b677e</errorID>
      <errorWord>镇雄县</errorWord>
      <group>L1_AI</group>
      <groupName>深度校对</groupName>
      <ability>L2_AI_Grammar</ability>
      <abilityName>语法纠错</abilityName>
      <candidateList>
        <item>号镇雄县</item>
      </candidateList>
      <explain/>
      <paraID>71D18059</paraID>
      <start>19</start>
      <end>22</end>
      <status>unmodified</status>
      <modifiedWord/>
      <trackRevisions>false</trackRevisions>
    </reviewItem>
    <reviewItem>
      <errorID>c4baefdf-9dd2-4fa5-b0da-dc86e3c3eeee</errorID>
      <errorWord>《</errorWord>
      <group>L1_AI</group>
      <groupName>深度校对</groupName>
      <ability>L2_AI_Punc</ability>
      <abilityName>标点纠错</abilityName>
      <candidateList>
        <item>〈</item>
      </candidateList>
      <explain/>
      <paraID>71D18059</paraID>
      <start>29</start>
      <end>30</end>
      <status>unmodified</status>
      <modifiedWord/>
      <trackRevisions>false</trackRevisions>
    </reviewItem>
    <reviewItem>
      <errorID>9d347087-ad6f-4437-8967-6e6378b9443a</errorID>
      <errorWord>》《</errorWord>
      <group>L1_AI</group>
      <groupName>深度校对</groupName>
      <ability>L2_AI_Punc</ability>
      <abilityName>标点纠错</abilityName>
      <candidateList>
        <item>〉〈</item>
      </candidateList>
      <explain/>
      <paraID>71D18059</paraID>
      <start>43</start>
      <end>45</end>
      <status>unmodified</status>
      <modifiedWord/>
      <trackRevisions>false</trackRevisions>
    </reviewItem>
    <reviewItem>
      <errorID>ad316d60-57f4-4522-8bd6-328e74e5976b</errorID>
      <errorWord>》</errorWord>
      <group>L1_AI</group>
      <groupName>深度校对</groupName>
      <ability>L2_AI_Grammar</ability>
      <abilityName>语法纠错</abilityName>
      <candidateList>
        <item>〉的通知》</item>
      </candidateList>
      <explain/>
      <paraID>71D18059</paraID>
      <start>65</start>
      <end>66</end>
      <status>unmodified</status>
      <modifiedWord/>
      <trackRevisions>false</trackRevisions>
    </reviewItem>
    <reviewItem>
      <errorID>4600cd9e-58e4-4a78-ab2f-56d3a09f86d8</errorID>
      <errorWord>工程</errorWord>
      <group>L1_AI</group>
      <groupName>深度校对</groupName>
      <ability>L2_AI_Grammar</ability>
      <abilityName>语法纠错</abilityName>
      <candidateList>
        <item>完成工程</item>
      </candidateList>
      <explain/>
      <paraID>24E0C17A</paraID>
      <start>24</start>
      <end>26</end>
      <status>unmodified</status>
      <modifiedWord/>
      <trackRevisions>false</trackRevisions>
    </reviewItem>
    <reviewItem>
      <errorID>888354b4-1812-42bf-bdce-ad31b309d5f0</errorID>
      <errorWord>工程施工</errorWord>
      <group>L1_AI</group>
      <groupName>深度校对</groupName>
      <ability>L2_AI_Grammar</ability>
      <abilityName>语法纠错</abilityName>
      <candidateList>
        <item>完成工程施工</item>
      </candidateList>
      <explain/>
      <paraID>24E0C17A</paraID>
      <start>57</start>
      <end>61</end>
      <status>unmodified</status>
      <modifiedWord/>
      <trackRevisions>false</trackRevisions>
    </reviewItem>
    <reviewItem>
      <errorID>5f060fcd-285a-4cb5-bf32-b0fc01e70f88</errorID>
      <errorWord>竣工</errorWord>
      <group>L1_AI</group>
      <groupName>深度校对</groupName>
      <ability>L2_AI_Grammar</ability>
      <abilityName>语法纠错</abilityName>
      <candidateList>
        <item>完成竣工</item>
      </candidateList>
      <explain/>
      <paraID>24E0C17A</paraID>
      <start>73</start>
      <end>75</end>
      <status>unmodified</status>
      <modifiedWord/>
      <trackRevisions>false</trackRevisions>
    </reviewItem>
    <reviewItem>
      <errorID>74645027-409c-4992-835a-fb76a26b5073</errorID>
      <errorWord>“工作计划进度”</errorWord>
      <group>L1_AI</group>
      <groupName>深度校对</groupName>
      <ability>L2_AI_Punc</ability>
      <abilityName>标点纠错</abilityName>
      <candidateList>
        <item>《工作计划进度》，</item>
      </candidateList>
      <explain/>
      <paraID>24E0C17A</paraID>
      <start>84</start>
      <end>92</end>
      <status>unmodified</status>
      <modifiedWord/>
      <trackRevisions>false</trackRevisions>
    </reviewItem>
    <reviewItem>
      <errorID>beafbdc5-c0da-444c-8449-0ba0dcc48ca1</errorID>
      <errorWord>期</errorWord>
      <group>L1_Word</group>
      <groupName>字词问题</groupName>
      <ability>L2_Typo</ability>
      <abilityName>字词错误</abilityName>
      <candidateList>
        <item>期为</item>
      </candidateList>
      <explain/>
      <paraID>24E0C17A</paraID>
      <start>156</start>
      <end>157</end>
      <status>unmodified</status>
      <modifiedWord/>
      <trackRevisions>false</trackRevisions>
    </reviewItem>
    <reviewItem>
      <errorID>057d7b2b-4b9e-442b-9b57-2aecb6c8644f</errorID>
      <errorWord> </errorWord>
      <group>L1_AI</group>
      <groupName>深度校对</groupName>
      <ability>L2_AI_Punc</ability>
      <abilityName>标点纠错</abilityName>
      <candidateList>
        <item/>
      </candidateList>
      <explain>此处空格冗余，建议删除。</explain>
      <paraID>39981098</paraID>
      <start>28</start>
      <end>29</end>
      <status>unmodified</status>
      <modifiedWord/>
      <trackRevisions>false</trackRevisions>
    </reviewItem>
    <reviewItem>
      <errorID>042f7049-a1da-48f0-91f9-71591f1b1113</errorID>
      <errorWord>5000</errorWord>
      <group>L1_AI</group>
      <groupName>深度校对</groupName>
      <ability>L2_AI_Grammar</ability>
      <abilityName>语法纠错</abilityName>
      <candidateList>
        <item>50000</item>
      </candidateList>
      <explain/>
      <paraID>39981098</paraID>
      <start>117</start>
      <end>121</end>
      <status>unmodified</status>
      <modifiedWord/>
      <trackRevisions>false</trackRevisions>
    </reviewItem>
    <reviewItem>
      <errorID>8dd7fd42-d463-4e31-9e51-a889851d779e</errorID>
      <errorWord>工作</errorWord>
      <group>L1_AI</group>
      <groupName>深度校对</groupName>
      <ability>L2_AI_Grammar</ability>
      <abilityName>语法纠错</abilityName>
      <candidateList>
        <item>和工作</item>
      </candidateList>
      <explain/>
      <paraID>33B90E51</paraID>
      <start>23</start>
      <end>25</end>
      <status>unmodified</status>
      <modifiedWord/>
      <trackRevisions>false</trackRevisions>
    </reviewItem>
    <reviewItem>
      <errorID>0c271815-b964-4029-bdc9-8c55a5dc2e2b</errorID>
      <errorWord>绩效考核</errorWord>
      <group>L1_AI</group>
      <groupName>深度校对</groupName>
      <ability>L2_AI_Grammar</ability>
      <abilityName>语法纠错</abilityName>
      <candidateList>
        <item>的绩效考核</item>
      </candidateList>
      <explain/>
      <paraID>33B90E51</paraID>
      <start>41</start>
      <end>45</end>
      <status>unmodified</status>
      <modifiedWord/>
      <trackRevisions>false</trackRevisions>
    </reviewItem>
    <reviewItem>
      <errorID>a727108e-d6e9-48aa-a59c-8dcc4691abe0</errorID>
      <errorWord>有效使用专项资金</errorWord>
      <group>L1_AI</group>
      <groupName>深度校对</groupName>
      <ability>L2_AI_Grammar</ability>
      <abilityName>语法纠错</abilityName>
      <candidateList>
        <item>专项资金的有效使用</item>
      </candidateList>
      <explain/>
      <paraID>33B90E51</paraID>
      <start>50</start>
      <end>58</end>
      <status>unmodified</status>
      <modifiedWord/>
      <trackRevisions>false</trackRevisions>
    </reviewItem>
    <reviewItem>
      <errorID>2fa0faa3-569c-45c9-bd59-3b8bcd1cdfce</errorID>
      <errorWord>充分考虑</errorWord>
      <group>L1_AI</group>
      <groupName>深度校对</groupName>
      <ability>L2_AI_Grammar</ability>
      <abilityName>语法纠错</abilityName>
      <candidateList>
        <item>应充分考虑</item>
      </candidateList>
      <explain/>
      <paraID>36EB7407</paraID>
      <start>2</start>
      <end>6</end>
      <status>unmodified</status>
      <modifiedWord/>
      <trackRevisions>false</trackRevisions>
    </reviewItem>
    <reviewItem>
      <errorID>26f092db-ebf8-41c6-8986-ad289c85e49a</errorID>
      <errorWord>项目的</errorWord>
      <group>L1_AI</group>
      <groupName>深度校对</groupName>
      <ability>L2_AI_Grammar</ability>
      <abilityName>语法纠错</abilityName>
      <candidateList>
        <item>项目</item>
      </candidateList>
      <explain>〈名〉事物分成的门类：服务～｜体育～｜建设～。</explain>
      <paraID>36EB7407</paraID>
      <start>6</start>
      <end>9</end>
      <status>unmodified</status>
      <modifiedWord/>
      <trackRevisions>false</trackRevisions>
    </reviewItem>
    <reviewItem>
      <errorID>3fdabbd9-f6ce-4c64-ac16-7ace1d65727a</errorID>
      <errorWord>实时</errorWord>
      <group>L1_AI</group>
      <groupName>深度校对</groupName>
      <ability>L2_AI_Word</ability>
      <abilityName>字词纠错</abilityName>
      <candidateList>
        <item>实地</item>
      </candidateList>
      <explain/>
      <paraID>36EB7407</paraID>
      <start>19</start>
      <end>21</end>
      <status>unmodified</status>
      <modifiedWord/>
      <trackRevisions>false</trackRevisions>
    </reviewItem>
    <reviewItem>
      <errorID>c0311bf7-ea27-4e2f-9ae1-138a26cdf6ae</errorID>
      <errorWord>及时、适时</errorWord>
      <group>L1_AI</group>
      <groupName>深度校对</groupName>
      <ability>L2_AI_Grammar</ability>
      <abilityName>语法纠错</abilityName>
      <candidateList>
        <item>及时</item>
      </candidateList>
      <explain>❶〈形〉正赶上时候；适合需要：～雨｜他来得很～。❷〈副〉不拖延；马上；立刻：有问题就～解决。</explain>
      <paraID>36EB7407</paraID>
      <start>43</start>
      <end>48</end>
      <status>unmodified</status>
      <modifiedWord/>
      <trackRevisions>false</trackRevisions>
    </reviewItem>
    <reviewItem>
      <errorID>e9a56b95-71a2-4723-98e1-c2a34eab839b</errorID>
      <errorWord>进展</errorWord>
      <group>L1_AI</group>
      <groupName>深度校对</groupName>
      <ability>L2_AI_Word</ability>
      <abilityName>字词纠错</abilityName>
      <candidateList>
        <item>推进</item>
      </candidateList>
      <explain>〈动〉❶推动工作，使前进：把学科的研究～到一个新阶段。❷（战线或作战的军队）向前进：主力正向前沿阵地～。</explain>
      <paraID>36EB7407</paraID>
      <start>78</start>
      <end>80</end>
      <status>unmodified</status>
      <modifiedWord/>
      <trackRevisions>false</trackRevisions>
    </reviewItem>
    <reviewItem>
      <errorID>9480604f-0642-424d-9178-dc0a2734b7fb</errorID>
      <errorWord>及</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2C94F732</paraID>
      <start>14</start>
      <end>15</end>
      <status>unmodified</status>
      <modifiedWord/>
      <trackRevisions>false</trackRevisions>
    </reviewItem>
    <reviewItem>
      <errorID>e1ec13e2-d40f-4531-a71e-c6c5216737e3</errorID>
      <errorWord>、</errorWord>
      <group>L1_AI</group>
      <groupName>深度校对</groupName>
      <ability>L2_AI_Word</ability>
      <abilityName>字词纠错</abilityName>
      <candidateList>
        <item>和</item>
      </candidateList>
      <explain>〈量〉用于洗东西换水的次数或一剂药煎的次数：衣裳已经洗了三～｜二～药。</explain>
      <paraID>2C94F732</paraID>
      <start>37</start>
      <end>38</end>
      <status>unmodified</status>
      <modifiedWord/>
      <trackRevisions>false</trackRevisions>
    </reviewItem>
    <reviewItem>
      <errorID>e9429737-3825-4a03-9834-3df728401eab</errorID>
      <errorWord>实施各</errorWord>
      <group>L1_AI</group>
      <groupName>深度校对</groupName>
      <ability>L2_AI_Word</ability>
      <abilityName>字词纠错</abilityName>
      <candidateList>
        <item>各实施</item>
      </candidateList>
      <explain/>
      <paraID>406754C8</paraID>
      <start>33</start>
      <end>36</end>
      <status>unmodified</status>
      <modifiedWord/>
      <trackRevisions>false</trackRevisions>
    </reviewItem>
    <reviewItem>
      <errorID>845345e5-51f1-470c-a0e1-1a5c1dbcfcb2</errorID>
      <errorWord>、</errorWord>
      <group>L1_AI</group>
      <groupName>深度校对</groupName>
      <ability>L2_AI_Grammar</ability>
      <abilityName>语法纠错</abilityName>
      <candidateList>
        <item>水平和</item>
      </candidateList>
      <explain/>
      <paraID>406754C8</paraID>
      <start>65</start>
      <end>66</end>
      <status>unmodified</status>
      <modifiedWord/>
      <trackRevisions>false</trackRevisions>
    </reviewItem>
    <reviewItem>
      <errorID>c66f58a8-263d-49e1-806f-d30148741cb4</errorID>
      <errorWord>特色的</errorWord>
      <group>L1_AI</group>
      <groupName>深度校对</groupName>
      <ability>L2_AI_Grammar</ability>
      <abilityName>语法纠错</abilityName>
      <candidateList>
        <item>特色</item>
      </candidateList>
      <explain>〈名〉事物所表现的独特的色彩、风格等：民族～｜艺术～｜他们的表演各有～。</explain>
      <paraID>406754C8</paraID>
      <start>113</start>
      <end>116</end>
      <status>unmodified</status>
      <modifiedWord/>
      <trackRevisions>false</trackRevisions>
    </reviewItem>
    <reviewItem>
      <errorID>44e23405-47fd-4530-b6d2-04c2cc9c980e</errorID>
      <errorWord>综合性的</errorWord>
      <group>L1_AI</group>
      <groupName>深度校对</groupName>
      <ability>L2_AI_Grammar</ability>
      <abilityName>语法纠错</abilityName>
      <candidateList>
        <item>综合性</item>
      </candidateList>
      <explain/>
      <paraID>406754C8</paraID>
      <start>128</start>
      <end>132</end>
      <status>unmodified</status>
      <modifiedWord/>
      <trackRevisions>false</trackRevisions>
    </reviewItem>
    <reviewItem>
      <errorID>aa613a3a-4152-4f1a-8bf7-677cd9db1940</errorID>
      <errorWord>技能型职业技术</errorWord>
      <group>L1_AI</group>
      <groupName>深度校对</groupName>
      <ability>L2_AI_Grammar</ability>
      <abilityName>语法纠错</abilityName>
      <candidateList>
        <item>技能型</item>
      </candidateList>
      <explain/>
      <paraID>406754C8</paraID>
      <start>185</start>
      <end>192</end>
      <status>unmodified</status>
      <modifiedWord/>
      <trackRevisions>false</trackRevisions>
    </reviewItem>
    <reviewItem>
      <errorID>b162879a-86e9-4a22-8883-e0300b5ccfcb</errorID>
      <errorWord>职能水平</errorWord>
      <group>L1_AI</group>
      <groupName>深度校对</groupName>
      <ability>L2_AI_Grammar</ability>
      <abilityName>语法纠错</abilityName>
      <candidateList>
        <item>职能</item>
      </candidateList>
      <explain>〈名〉人、事物、机构应有的作用；功能：货币的～｜政法部门是执行国家专政～的机关。</explain>
      <paraID>406754C8</paraID>
      <start>214</start>
      <end>218</end>
      <status>unmodified</status>
      <modifiedWord/>
      <trackRevisions>false</trackRevisions>
    </reviewItem>
    <reviewItem>
      <errorID>081d1097-7bf9-4825-8e74-5d4259ff7a70</errorID>
      <errorWord>足额、及时</errorWord>
      <group>L1_AI</group>
      <groupName>深度校对</groupName>
      <ability>L2_AI_Word</ability>
      <abilityName>字词纠错</abilityName>
      <candidateList>
        <item>及时、足额</item>
      </candidateList>
      <explain/>
      <paraID>5123EF73</paraID>
      <start>9</start>
      <end>14</end>
      <status>unmodified</status>
      <modifiedWord/>
      <trackRevisions>false</trackRevisions>
    </reviewItem>
    <reviewItem>
      <errorID>3dd7f2b1-3cc7-4d2d-91d0-02230ea12141</errorID>
      <errorWord>&lt;</errorWord>
      <group>L1_Format</group>
      <groupName>格式问题</groupName>
      <ability>L2_HalfPunc</ability>
      <abilityName>全半角检查</abilityName>
      <candidateList>
        <item>〈</item>
      </candidateList>
      <explain>文本全半角错误。</explain>
      <paraID>5C19595B</paraID>
      <start>27</start>
      <end>28</end>
      <status>unmodified</status>
      <modifiedWord/>
      <trackRevisions>false</trackRevisions>
    </reviewItem>
    <reviewItem>
      <errorID>f0895408-ce10-44df-a9ab-2590184daf51</errorID>
      <errorWord>&gt;的通知》</errorWord>
      <group>L1_Punc</group>
      <groupName>标点问题</groupName>
      <ability>L2_Punc</ability>
      <abilityName>标点符号检查</abilityName>
      <candidateList>
        <item>〉的通知》</item>
      </candidateList>
      <explain/>
      <paraID>5C19595B</paraID>
      <start>40</start>
      <end>45</end>
      <status>unmodified</status>
      <modifiedWord/>
      <trackRevisions>false</trackRevisions>
    </reviewItem>
    <reviewItem>
      <errorID>89ad3daa-30e3-4454-80cb-fa6fc01ab102</errorID>
      <errorWord>(</errorWord>
      <group>L1_Format</group>
      <groupName>格式问题</groupName>
      <ability>L2_HalfPunc</ability>
      <abilityName>全半角检查</abilityName>
      <candidateList>
        <item>（</item>
      </candidateList>
      <explain>文本全半角错误。</explain>
      <paraID>5C19595B</paraID>
      <start>45</start>
      <end>46</end>
      <status>unmodified</status>
      <modifiedWord/>
      <trackRevisions>false</trackRevisions>
    </reviewItem>
    <reviewItem>
      <errorID>6b408dcd-af65-4ba3-855e-86a5bdc38e1b</errorID>
      <errorWord>)</errorWord>
      <group>L1_Format</group>
      <groupName>格式问题</groupName>
      <ability>L2_HalfPunc</ability>
      <abilityName>全半角检查</abilityName>
      <candidateList>
        <item>）</item>
      </candidateList>
      <explain>文本全半角错误。</explain>
      <paraID>5C19595B</paraID>
      <start>57</start>
      <end>58</end>
      <status>unmodified</status>
      <modifiedWord/>
      <trackRevisions>false</trackRevisions>
    </reviewItem>
    <reviewItem>
      <errorID>9c55e73f-7233-4f07-aac4-0c482fe0899a</errorID>
      <errorWord>&lt;</errorWord>
      <group>L1_Format</group>
      <groupName>格式问题</groupName>
      <ability>L2_HalfPunc</ability>
      <abilityName>全半角检查</abilityName>
      <candidateList>
        <item>〈</item>
      </candidateList>
      <explain>文本全半角错误。</explain>
      <paraID>5C19595B</paraID>
      <start>115</start>
      <end>116</end>
      <status>unmodified</status>
      <modifiedWord/>
      <trackRevisions>false</trackRevisions>
    </reviewItem>
    <reviewItem>
      <errorID>cda82ce4-a4b0-4ea1-b02c-6235c7adccc3</errorID>
      <errorWord>&gt;的通知》</errorWord>
      <group>L1_Punc</group>
      <groupName>标点问题</groupName>
      <ability>L2_Punc</ability>
      <abilityName>标点符号检查</abilityName>
      <candidateList>
        <item>〉的通知》</item>
      </candidateList>
      <explain/>
      <paraID>5C19595B</paraID>
      <start>131</start>
      <end>136</end>
      <status>unmodified</status>
      <modifiedWord/>
      <trackRevisions>false</trackRevisions>
    </reviewItem>
    <reviewItem>
      <errorID>426e65da-7d47-46ff-9b09-2ec3407fabf4</errorID>
      <errorWord>。</errorWord>
      <group>L1_AI</group>
      <groupName>深度校对</groupName>
      <ability>L2_AI_Punc</ability>
      <abilityName>标点纠错</abilityName>
      <candidateList>
        <item>，</item>
      </candidateList>
      <explain/>
      <paraID>308B8262</paraID>
      <start>56</start>
      <end>57</end>
      <status>unmodified</status>
      <modifiedWord/>
      <trackRevisions>false</trackRevisions>
    </reviewItem>
    <reviewItem>
      <errorID>316d1964-e163-4d17-90d6-4c3967a405df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308B8262</paraID>
      <start>103</start>
      <end>106</end>
      <status>unmodified</status>
      <modifiedWord/>
      <trackRevisions>false</trackRevisions>
    </reviewItem>
    <reviewItem>
      <errorID>669ad748-0316-4a1b-abb6-f9e22630442b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308B8262</paraID>
      <start>128</start>
      <end>131</end>
      <status>unmodified</status>
      <modifiedWord/>
      <trackRevisions>false</trackRevisions>
    </reviewItem>
    <reviewItem>
      <errorID>8d69d69b-daff-4344-bbd2-ee57bfc737b4</errorID>
      <errorWord>,</errorWord>
      <group>L1_Format</group>
      <groupName>格式问题</groupName>
      <ability>L2_HalfPunc</ability>
      <abilityName>全半角检查</abilityName>
      <candidateList>
        <item>，</item>
      </candidateList>
      <explain>文本全半角错误。</explain>
      <paraID>5668981D</paraID>
      <start>31</start>
      <end>32</end>
      <status>unmodified</status>
      <modifiedWord/>
      <trackRevisions>false</trackRevisions>
    </reviewItem>
    <reviewItem>
      <errorID>56162d8e-7da2-47b3-a5ad-f1aa20c31708</errorID>
      <errorWord>债劵</errorWord>
      <group>L1_Word</group>
      <groupName>字词问题</groupName>
      <ability>L2_Typo</ability>
      <abilityName>字词错误</abilityName>
      <candidateList>
        <item>债券</item>
      </candidateList>
      <explain>〈名〉❶公债券。❷企业、银行或股份公司发行的债权人领取本息的凭证。</explain>
      <paraID>5668981D</paraID>
      <start>54</start>
      <end>56</end>
      <status>unmodified</status>
      <modifiedWord/>
      <trackRevisions>false</trackRevisions>
    </reviewItem>
    <reviewItem>
      <errorID>deb2dd73-7b38-4935-a23c-509679ade239</errorID>
      <errorWord>程</errorWord>
      <group>L1_Word</group>
      <groupName>字词问题</groupName>
      <ability>L2_Typo</ability>
      <abilityName>字词错误</abilityName>
      <candidateList>
        <item>程中</item>
      </candidateList>
      <explain/>
      <paraID>4660A2EC</paraID>
      <start>83</start>
      <end>84</end>
      <status>unmodified</status>
      <modifiedWord/>
      <trackRevisions>false</trackRevisions>
    </reviewItem>
    <reviewItem>
      <errorID>cbed8bf6-3235-4ba1-8058-29cc824dd19d</errorID>
      <errorWord>;</errorWord>
      <group>L1_Format</group>
      <groupName>格式问题</groupName>
      <ability>L2_HalfPunc</ability>
      <abilityName>全半角检查</abilityName>
      <candidateList>
        <item>；</item>
      </candidateList>
      <explain>文本全半角错误。</explain>
      <paraID> 8AE94FE</paraID>
      <start>50</start>
      <end>51</end>
      <status>unmodified</status>
      <modifiedWord/>
      <trackRevisions>false</trackRevisions>
    </reviewItem>
    <reviewItem>
      <errorID>86237340-974c-43f2-ae38-19e9380c57fe</errorID>
      <errorWord>昆明市镇雄县</errorWord>
      <group>L1_Knowledge</group>
      <groupName>知识性问题</groupName>
      <ability>L2_Location</ability>
      <abilityName>地名检查</abilityName>
      <candidateList>
        <item>昭通市镇雄县</item>
      </candidateList>
      <explain>地名表述错误。</explain>
      <paraID>7ECBBA98</paraID>
      <start>119</start>
      <end>125</end>
      <status>unmodified</status>
      <modifiedWord/>
      <trackRevisions>false</trackRevisions>
    </reviewItem>
    <reviewItem>
      <errorID>4c9fcada-1a78-4028-8b08-67a58faf6060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12E6B4E2</paraID>
      <start>78</start>
      <end>79</end>
      <status>unmodified</status>
      <modifiedWord/>
      <trackRevisions>false</trackRevisions>
    </reviewItem>
    <reviewItem>
      <errorID>e867d87f-f3e1-4b65-9562-949235f7f0e0</errorID>
      <errorWord>项目项目</errorWord>
      <group>L1_Word</group>
      <groupName>字词问题</groupName>
      <ability>L2_Typo</ability>
      <abilityName>字词错误</abilityName>
      <candidateList>
        <item>项目</item>
      </candidateList>
      <explain>〈名〉事物分成的门类：服务～｜体育～｜建设～。</explain>
      <paraID>2032579C</paraID>
      <start>26</start>
      <end>30</end>
      <status>unmodified</status>
      <modifiedWord/>
      <trackRevisions>false</trackRevisions>
    </reviewItem>
    <reviewItem>
      <errorID>275f3af0-3ed6-417a-b5a2-730dd65c1e11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2032579C</paraID>
      <start>48</start>
      <end>49</end>
      <status>unmodified</status>
      <modifiedWord/>
      <trackRevisions>false</trackRevisions>
    </reviewItem>
    <reviewItem>
      <errorID>7e1c4436-7baa-4560-9379-644ff2a3ad4c</errorID>
      <errorWord>晰</errorWord>
      <group>L1_Word</group>
      <groupName>字词问题</groupName>
      <ability>L2_Typo</ability>
      <abilityName>字词错误</abilityName>
      <candidateList>
        <item>晰地</item>
      </candidateList>
      <explain/>
      <paraID>5571FA98</paraID>
      <start>43</start>
      <end>44</end>
      <status>unmodified</status>
      <modifiedWord/>
      <trackRevisions>false</trackRevisions>
    </reviewItem>
    <reviewItem>
      <errorID>71b693a2-5a16-4f54-8b3d-2de05d185d92</errorID>
      <errorWord>标椎化</errorWord>
      <group>L1_Word</group>
      <groupName>字词问题</groupName>
      <ability>L2_Typo</ability>
      <abilityName>字词错误</abilityName>
      <candidateList>
        <item>标准化</item>
      </candidateList>
      <explain/>
      <paraID>538D7ECC</paraID>
      <start>75</start>
      <end>78</end>
      <status>unmodified</status>
      <modifiedWord/>
      <trackRevisions>false</trackRevisions>
    </reviewItem>
    <reviewItem>
      <errorID>cd1f78bc-9324-4d18-a9a5-5caf9fb334a3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492DB927</paraID>
      <start>93</start>
      <end>94</end>
      <status>unmodified</status>
      <modifiedWord/>
      <trackRevisions>false</trackRevisions>
    </reviewItem>
    <reviewItem>
      <errorID>723c401f-fb78-4e37-a575-37b7926769a9</errorID>
      <errorWord>“</errorWord>
      <group>L1_Punc</group>
      <groupName>标点问题</groupName>
      <ability>L2_Punc</ability>
      <abilityName>标点符号检查</abilityName>
      <candidateList/>
      <explain/>
      <paraID>2B68A004</paraID>
      <start>80</start>
      <end>81</end>
      <status>unmodified</status>
      <modifiedWord/>
      <trackRevisions>false</trackRevisions>
    </reviewItem>
    <reviewItem>
      <errorID>7b6b357c-79aa-4a20-a857-8527e189c175</errorID>
      <errorWord>足够</errorWord>
      <group>L1_Word</group>
      <groupName>字词问题</groupName>
      <ability>L2_Typo</ability>
      <abilityName>字词错误</abilityName>
      <candidateList>
        <item>够</item>
      </candidateList>
      <explain/>
      <paraID>52102E29</paraID>
      <start>46</start>
      <end>48</end>
      <status>unmodified</status>
      <modifiedWord/>
      <trackRevisions>false</trackRevisions>
    </reviewItem>
    <reviewItem>
      <errorID>dee78d5f-92e8-4e0b-8326-321b97d78e18</errorID>
      <errorWord>,</errorWord>
      <group>L1_Format</group>
      <groupName>格式问题</groupName>
      <ability>L2_HalfPunc</ability>
      <abilityName>全半角检查</abilityName>
      <candidateList>
        <item>，</item>
      </candidateList>
      <explain>文本全半角错误。</explain>
      <paraID>52102E29</paraID>
      <start>50</start>
      <end>51</end>
      <status>unmodified</status>
      <modifiedWord/>
      <trackRevisions>false</trackRevisions>
    </reviewItem>
    <reviewItem>
      <errorID>21b5b675-c856-4790-8e11-751090ad1ce2</errorID>
      <errorWord>推动作用推动作用</errorWord>
      <group>L1_Word</group>
      <groupName>字词问题</groupName>
      <ability>L2_Typo</ability>
      <abilityName>字词错误</abilityName>
      <candidateList>
        <item>推动作用</item>
      </candidateList>
      <explain/>
      <paraID>52102E29</paraID>
      <start>68</start>
      <end>76</end>
      <status>unmodified</status>
      <modifiedWord/>
      <trackRevisions>false</trackRevisions>
    </reviewItem>
    <reviewItem>
      <errorID>933c36a6-7334-44bf-b175-e259b3f1171d</errorID>
      <errorWord>,</errorWord>
      <group>L1_Format</group>
      <groupName>格式问题</groupName>
      <ability>L2_HalfPunc</ability>
      <abilityName>全半角检查</abilityName>
      <candidateList>
        <item>，</item>
      </candidateList>
      <explain>文本全半角错误。</explain>
      <paraID>75DDAB2C</paraID>
      <start>66</start>
      <end>67</end>
      <status>unmodified</status>
      <modifiedWord/>
      <trackRevisions>false</trackRevisions>
    </reviewItem>
    <reviewItem>
      <errorID>b0ad2976-38a7-4775-b292-060b889c82c4</errorID>
      <errorWord>;</errorWord>
      <group>L1_Format</group>
      <groupName>格式问题</groupName>
      <ability>L2_HalfPunc</ability>
      <abilityName>全半角检查</abilityName>
      <candidateList>
        <item>；</item>
      </candidateList>
      <explain>文本全半角错误。</explain>
      <paraID>1523AE7F</paraID>
      <start>42</start>
      <end>43</end>
      <status>unmodified</status>
      <modifiedWord/>
      <trackRevisions>false</trackRevisions>
    </reviewItem>
    <reviewItem>
      <errorID>a6c3b060-4e89-4d39-9ce7-6799ff337bfa</errorID>
      <errorWord>项目项目</errorWord>
      <group>L1_Word</group>
      <groupName>字词问题</groupName>
      <ability>L2_Typo</ability>
      <abilityName>字词错误</abilityName>
      <candidateList>
        <item>项目</item>
      </candidateList>
      <explain>〈名〉事物分成的门类：服务～｜体育～｜建设～。</explain>
      <paraID>4650FFD6</paraID>
      <start>6</start>
      <end>10</end>
      <status>unmodified</status>
      <modifiedWord/>
      <trackRevisions>false</trackRevisions>
    </reviewItem>
    <reviewItem>
      <errorID>0a264076-ebc3-45cd-b442-af7e73921c3f</errorID>
      <errorWord>准</errorWord>
      <group>L1_Word</group>
      <groupName>字词问题</groupName>
      <ability>L2_Typo</ability>
      <abilityName>字词错误</abilityName>
      <candidateList>
        <item>准化</item>
      </candidateList>
      <explain/>
      <paraID>51CAB3DC</paraID>
      <start>26</start>
      <end>27</end>
      <status>unmodified</status>
      <modifiedWord/>
      <trackRevisions>false</trackRevisions>
    </reviewItem>
    <reviewItem>
      <errorID>c22051ef-91ba-4cd7-9555-e4c2ac1e9701</errorID>
      <errorWord>可行性研究报批</errorWord>
      <group>L1_Knowledge</group>
      <groupName>知识性问题</groupName>
      <ability>L2_Term</ability>
      <abilityName>专业术语</abilityName>
      <candidateList>
        <item>可行性研究报告</item>
      </candidateList>
      <explain/>
      <paraID>6ECB87EA</paraID>
      <start>30</start>
      <end>37</end>
      <status>unmodified</status>
      <modifiedWord/>
      <trackRevisions>false</trackRevisions>
    </reviewItem>
    <reviewItem>
      <errorID>fa3b3306-f893-469e-b4c9-5890f8d59848</errorID>
      <errorWord>期</errorWord>
      <group>L1_Word</group>
      <groupName>字词问题</groupName>
      <ability>L2_Typo</ability>
      <abilityName>字词错误</abilityName>
      <candidateList>
        <item>期为</item>
      </candidateList>
      <explain/>
      <paraID>4939CEE8</paraID>
      <start>73</start>
      <end>74</end>
      <status>unmodified</status>
      <modifiedWord/>
      <trackRevisions>false</trackRevisions>
    </reviewItem>
    <reviewItem>
      <errorID>e1d04dc1-dc86-4440-ac84-600aeb68b8e0</errorID>
      <errorWord>截止</errorWord>
      <group>L1_Word</group>
      <groupName>字词问题</groupName>
      <ability>L2_Typo</ability>
      <abilityName>字词错误</abilityName>
      <candidateList>
        <item>截至</item>
      </candidateList>
      <explain>存在发音相同字词的误用。</explain>
      <paraID>2F08292A</paraID>
      <start>23</start>
      <end>25</end>
      <status>unmodified</status>
      <modifiedWord/>
      <trackRevisions>false</trackRevisions>
    </reviewItem>
    <reviewItem>
      <errorID>03e16c5e-c513-4e69-ac95-301c760b6a83</errorID>
      <errorWord>截止</errorWord>
      <group>L1_Word</group>
      <groupName>字词问题</groupName>
      <ability>L2_Typo</ability>
      <abilityName>字词错误</abilityName>
      <candidateList>
        <item>截至</item>
      </candidateList>
      <explain>存在发音相同字词的误用。</explain>
      <paraID>1294CA94</paraID>
      <start>24</start>
      <end>26</end>
      <status>unmodified</status>
      <modifiedWord/>
      <trackRevisions>false</trackRevisions>
    </reviewItem>
    <reviewItem>
      <errorID>fdb5779f-fa1c-48ad-b74e-93ed4ac34216</errorID>
      <errorWord>社会化</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629DAF5C</paraID>
      <start>2</start>
      <end>5</end>
      <status>unmodified</status>
      <modifiedWord/>
      <trackRevisions>false</trackRevisions>
    </reviewItem>
    <reviewItem>
      <errorID>103ea229-4c9a-410b-b777-cecf889c54ca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2BEFAF46</paraID>
      <start>9</start>
      <end>12</end>
      <status>unmodified</status>
      <modifiedWord/>
      <trackRevisions>false</trackRevisions>
    </reviewItem>
    <reviewItem>
      <errorID>9a22a559-dd2d-4bf3-a460-af0577400c50</errorID>
      <errorWord>【2016】384号</errorWord>
      <group>L1_Knowledge</group>
      <groupName>知识性问题</groupName>
      <ability>L2_Knowledge</ability>
      <abilityName>其他知识</abilityName>
      <candidateList>
        <item>〔2016〕384号</item>
      </candidateList>
      <explain>发文字号格式错误</explain>
      <paraID>4EF58C99</paraID>
      <start>89</start>
      <end>99</end>
      <status>unmodified</status>
      <modifiedWord/>
      <trackRevisions>false</trackRevisions>
    </reviewItem>
    <reviewItem>
      <errorID>1c901dbc-74c1-4e6a-acc5-7d364f16c0af</errorID>
      <errorWord>2017年年6月30日</errorWord>
      <group>L1_Knowledge</group>
      <groupName>知识性问题</groupName>
      <ability>L2_Time</ability>
      <abilityName>日期时间</abilityName>
      <candidateList/>
      <explain>汉字重复。</explain>
      <paraID>4EF58C99</paraID>
      <start>101</start>
      <end>112</end>
      <status>unmodified</status>
      <modifiedWord/>
      <trackRevisions>false</trackRevisions>
    </reviewItem>
    <reviewItem>
      <errorID>83aa4a98-8680-44c4-abfa-758184f77a67</errorID>
      <errorWord>【2016】384号</errorWord>
      <group>L1_Knowledge</group>
      <groupName>知识性问题</groupName>
      <ability>L2_Knowledge</ability>
      <abilityName>其他知识</abilityName>
      <candidateList>
        <item>〔2016〕384号</item>
      </candidateList>
      <explain>发文字号格式错误</explain>
      <paraID>4EF58C99</paraID>
      <start>200</start>
      <end>210</end>
      <status>unmodified</status>
      <modifiedWord/>
      <trackRevisions>false</trackRevisions>
    </reviewItem>
    <reviewItem>
      <errorID>32a8ac86-1181-4dbf-b339-3c3724ba41c4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77F966A7</paraID>
      <start>0</start>
      <end>2</end>
      <status>unmodified</status>
      <modifiedWord/>
      <trackRevisions>false</trackRevisions>
    </reviewItem>
    <reviewItem>
      <errorID>6980e5d4-212c-46a0-811a-f197a538040b</errorID>
      <errorWord>经济效益</errorWord>
      <group>L1_Word</group>
      <groupName>字词问题</groupName>
      <ability>L2_Typo</ability>
      <abilityName>字词错误</abilityName>
      <candidateList>
        <item>济效益</item>
      </candidateList>
      <explain/>
      <paraID>48259D61</paraID>
      <start>94</start>
      <end>98</end>
      <status>unmodified</status>
      <modifiedWord/>
      <trackRevisions>false</trackRevisions>
    </reviewItem>
    <reviewItem>
      <errorID>7a3b830e-e428-4797-b804-4475cf4ad532</errorID>
      <errorWord>-</errorWord>
      <group>L1_Format</group>
      <groupName>格式问题</groupName>
      <ability>L2_HalfPunc</ability>
      <abilityName>全半角检查</abilityName>
      <candidateList>
        <item>－</item>
      </candidateList>
      <explain>文本全半角错误。</explain>
      <paraID>48259D61</paraID>
      <start>100</start>
      <end>101</end>
      <status>unmodified</status>
      <modifiedWord/>
      <trackRevisions>false</trackRevisions>
    </reviewItem>
    <reviewItem>
      <errorID>a6b21b15-f15e-4f69-bf1f-744bd0f4b221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23EB7460</paraID>
      <start>0</start>
      <end>2</end>
      <status>unmodified</status>
      <modifiedWord/>
      <trackRevisions>false</trackRevisions>
    </reviewItem>
    <reviewItem>
      <errorID>3aa8a428-db2e-458c-ad5e-a9f938d12d6c</errorID>
      <errorWord>截止</errorWord>
      <group>L1_Word</group>
      <groupName>字词问题</groupName>
      <ability>L2_Typo</ability>
      <abilityName>字词错误</abilityName>
      <candidateList>
        <item>截至</item>
      </candidateList>
      <explain>存在发音相同字词的误用。</explain>
      <paraID>3E2AC73C</paraID>
      <start>110</start>
      <end>112</end>
      <status>unmodified</status>
      <modifiedWord/>
      <trackRevisions>false</trackRevisions>
    </reviewItem>
    <reviewItem>
      <errorID>ada1247e-2b47-41c7-a52d-b4f18f02387f</errorID>
      <errorWord>《</errorWord>
      <group>L1_Punc</group>
      <groupName>标点问题</groupName>
      <ability>L2_Punc</ability>
      <abilityName>标点符号检查</abilityName>
      <candidateList/>
      <explain/>
      <paraID>474D0A31</paraID>
      <start>62</start>
      <end>63</end>
      <status>unmodified</status>
      <modifiedWord/>
      <trackRevisions>false</trackRevisions>
    </reviewItem>
    <reviewItem>
      <errorID>7559904d-c6e7-4d7c-a98c-6f71fbe3c903</errorID>
      <errorWord>工作台帐</errorWord>
      <group>L1_Word</group>
      <groupName>字词问题</groupName>
      <ability>L2_Alias</ability>
      <abilityName>也作/曾用词</abilityName>
      <candidateList>
        <item>工作台账</item>
      </candidateList>
      <explain>词汇[工作台帐]为不规范表述或旧称，其规范书面表述为[工作台账]。</explain>
      <paraID> 6862641</paraID>
      <start>37</start>
      <end>41</end>
      <status>unmodified</status>
      <modifiedWord/>
      <trackRevisions>false</trackRevisions>
    </reviewItem>
    <reviewItem>
      <errorID>add1d922-0ee1-465d-b868-a06ef356ea60</errorID>
      <errorWord>,</errorWord>
      <group>L1_Format</group>
      <groupName>格式问题</groupName>
      <ability>L2_HalfPunc</ability>
      <abilityName>全半角检查</abilityName>
      <candidateList>
        <item>，</item>
      </candidateList>
      <explain>文本全半角错误。</explain>
      <paraID>6967A440</paraID>
      <start>27</start>
      <end>28</end>
      <status>unmodified</status>
      <modifiedWord/>
      <trackRevisions>false</trackRevisions>
    </reviewItem>
    <reviewItem>
      <errorID>b705d8d5-4fc0-4a3a-8770-e7ed0121f1f0</errorID>
      <errorWord>资金资金</errorWord>
      <group>L1_Word</group>
      <groupName>字词问题</groupName>
      <ability>L2_Typo</ability>
      <abilityName>字词错误</abilityName>
      <candidateList>
        <item>资金</item>
      </candidateList>
      <explain/>
      <paraID>6967A440</paraID>
      <start>64</start>
      <end>68</end>
      <status>unmodified</status>
      <modifiedWord/>
      <trackRevisions>false</trackRevisions>
    </reviewItem>
    <reviewItem>
      <errorID>3efa5075-6e28-4400-bc79-a205092daf70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6E64D225</paraID>
      <start>28</start>
      <end>29</end>
      <status>unmodified</status>
      <modifiedWord/>
      <trackRevisions>false</trackRevisions>
    </reviewItem>
    <reviewItem>
      <errorID>f164a215-f1f3-45ce-b9fc-b663547a8c06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66E38BE8</paraID>
      <start>0</start>
      <end>2</end>
      <status>unmodified</status>
      <modifiedWord/>
      <trackRevisions>false</trackRevisions>
    </reviewItem>
    <reviewItem>
      <errorID>87301d84-20a4-4ac0-935a-0fa305858e15</errorID>
      <errorWord>;</errorWord>
      <group>L1_Format</group>
      <groupName>格式问题</groupName>
      <ability>L2_HalfPunc</ability>
      <abilityName>全半角检查</abilityName>
      <candidateList>
        <item>；</item>
      </candidateList>
      <explain>文本全半角错误。</explain>
      <paraID>442D8322</paraID>
      <start>48</start>
      <end>49</end>
      <status>unmodified</status>
      <modifiedWord/>
      <trackRevisions>false</trackRevisions>
    </reviewItem>
    <reviewItem>
      <errorID>3907d00f-3d54-456f-b5b2-d2bfea277dca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697179F2</paraID>
      <start>0</start>
      <end>2</end>
      <status>unmodified</status>
      <modifiedWord/>
      <trackRevisions>false</trackRevisions>
    </reviewItem>
    <reviewItem>
      <errorID>bae57ece-40b3-4c1c-950e-065cf6f14e8f</errorID>
      <errorWord>》</errorWord>
      <group>L1_Word</group>
      <groupName>字词问题</groupName>
      <ability>L2_Typo</ability>
      <abilityName>字词错误</abilityName>
      <candidateList>
        <item>》等</item>
      </candidateList>
      <explain/>
      <paraID>43D87AAA</paraID>
      <start>211</start>
      <end>212</end>
      <status>unmodified</status>
      <modifiedWord/>
      <trackRevisions>false</trackRevisions>
    </reviewItem>
    <reviewItem>
      <errorID>2498d54e-a243-4f0f-9171-34be64ddb926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449F4F84</paraID>
      <start>0</start>
      <end>2</end>
      <status>unmodified</status>
      <modifiedWord/>
      <trackRevisions>false</trackRevisions>
    </reviewItem>
    <reviewItem>
      <errorID>3d8b28ad-62ce-40bc-b7ad-4a93d7942baf</errorID>
      <errorWord>期</errorWord>
      <group>L1_Word</group>
      <groupName>字词问题</groupName>
      <ability>L2_Typo</ability>
      <abilityName>字词错误</abilityName>
      <candidateList>
        <item>期为</item>
      </candidateList>
      <explain/>
      <paraID>4394B8B4</paraID>
      <start>136</start>
      <end>137</end>
      <status>unmodified</status>
      <modifiedWord/>
      <trackRevisions>false</trackRevisions>
    </reviewItem>
    <reviewItem>
      <errorID>5a60dbdd-9614-4960-aab6-dd75f9d3a629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765EC369</paraID>
      <start>22</start>
      <end>23</end>
      <status>unmodified</status>
      <modifiedWord/>
      <trackRevisions>false</trackRevisions>
    </reviewItem>
    <reviewItem>
      <errorID>1a3d53fd-d5f4-4b2c-a6e8-bd9b25040c29</errorID>
      <errorWord>截止</errorWord>
      <group>L1_Word</group>
      <groupName>字词问题</groupName>
      <ability>L2_Typo</ability>
      <abilityName>字词错误</abilityName>
      <candidateList>
        <item>截至</item>
      </candidateList>
      <explain>存在发音相同字词的误用。</explain>
      <paraID>7722175E</paraID>
      <start>30</start>
      <end>32</end>
      <status>unmodified</status>
      <modifiedWord/>
      <trackRevisions>false</trackRevisions>
    </reviewItem>
    <reviewItem>
      <errorID>247f31f3-12b9-4483-8c17-279efd13354c</errorID>
      <errorWord>截止</errorWord>
      <group>L1_Word</group>
      <groupName>字词问题</groupName>
      <ability>L2_Typo</ability>
      <abilityName>字词错误</abilityName>
      <candidateList>
        <item>截至</item>
      </candidateList>
      <explain>存在发音相同字词的误用。</explain>
      <paraID>6BC54CA1</paraID>
      <start>39</start>
      <end>41</end>
      <status>unmodified</status>
      <modifiedWord/>
      <trackRevisions>false</trackRevisions>
    </reviewItem>
    <reviewItem>
      <errorID>17f3d295-7e79-41c3-885a-ac24f6b3783c</errorID>
      <errorWord>祥尽</errorWord>
      <group>L1_Word</group>
      <groupName>字词问题</groupName>
      <ability>L2_Typo</ability>
      <abilityName>字词错误</abilityName>
      <candidateList>
        <item>详尽</item>
      </candidateList>
      <explain/>
      <paraID>203CC426</paraID>
      <start>25</start>
      <end>27</end>
      <status>unmodified</status>
      <modifiedWord/>
      <trackRevisions>false</trackRevisions>
    </reviewItem>
    <reviewItem>
      <errorID>a42b1d35-b9de-4c9f-bd9e-bd4c40f5ee89</errorID>
      <errorWord>-</errorWord>
      <group>L1_Format</group>
      <groupName>格式问题</groupName>
      <ability>L2_HalfPunc</ability>
      <abilityName>全半角检查</abilityName>
      <candidateList>
        <item>－</item>
      </candidateList>
      <explain>文本全半角错误。</explain>
      <paraID>203CC426</paraID>
      <start>43</start>
      <end>44</end>
      <status>unmodified</status>
      <modifiedWord/>
      <trackRevisions>false</trackRevisions>
    </reviewItem>
    <reviewItem>
      <errorID>b44b07da-f966-4910-966d-d27f40ee5206</errorID>
      <errorWord>入学率力</errorWord>
      <group>L1_Word</group>
      <groupName>字词问题</groupName>
      <ability>L2_Typo</ability>
      <abilityName>字词错误</abilityName>
      <candidateList>
        <item>入学率</item>
      </candidateList>
      <explain/>
      <paraID>203CC426</paraID>
      <start>50</start>
      <end>54</end>
      <status>unmodified</status>
      <modifiedWord/>
      <trackRevisions>false</trackRevisions>
    </reviewItem>
    <reviewItem>
      <errorID>1d4afae6-5d78-46ce-9450-138a0cd4d9cd</errorID>
      <errorWord>满意度</errorWord>
      <group>L1_Word</group>
      <groupName>字词问题</groupName>
      <ability>L2_Typo</ability>
      <abilityName>字词错误</abilityName>
      <candidateList>
        <item>满意</item>
      </candidateList>
      <explain/>
      <paraID>655306CE</paraID>
      <start>129</start>
      <end>132</end>
      <status>unmodified</status>
      <modifiedWord/>
      <trackRevisions>false</trackRevisions>
    </reviewItem>
    <reviewItem>
      <errorID>9f703207-3283-4339-8217-93f8f61196eb</errorID>
      <errorWord>经济效益</errorWord>
      <group>L1_Word</group>
      <groupName>字词问题</groupName>
      <ability>L2_Typo</ability>
      <abilityName>字词错误</abilityName>
      <candidateList>
        <item>济效益</item>
      </candidateList>
      <explain/>
      <paraID>7FCCD3DF</paraID>
      <start>86</start>
      <end>90</end>
      <status>unmodified</status>
      <modifiedWord/>
      <trackRevisions>false</trackRevisions>
    </reviewItem>
    <reviewItem>
      <errorID>84123fd4-27fe-4149-bb51-d0ab544e6252</errorID>
      <errorWord>-</errorWord>
      <group>L1_Format</group>
      <groupName>格式问题</groupName>
      <ability>L2_HalfPunc</ability>
      <abilityName>全半角检查</abilityName>
      <candidateList>
        <item>－</item>
      </candidateList>
      <explain>文本全半角错误。</explain>
      <paraID>7FCCD3DF</paraID>
      <start>92</start>
      <end>93</end>
      <status>unmodified</status>
      <modifiedWord/>
      <trackRevisions>false</trackRevisions>
    </reviewItem>
    <reviewItem>
      <errorID>ecdbe410-6886-427c-93cd-81e8fcce9697</errorID>
      <errorWord>截止</errorWord>
      <group>L1_Word</group>
      <groupName>字词问题</groupName>
      <ability>L2_Typo</ability>
      <abilityName>字词错误</abilityName>
      <candidateList>
        <item>截至</item>
      </candidateList>
      <explain>存在发音相同字词的误用。</explain>
      <paraID>7FCCD3DF</paraID>
      <start>125</start>
      <end>127</end>
      <status>unmodified</status>
      <modifiedWord/>
      <trackRevisions>false</trackRevisions>
    </reviewItem>
    <reviewItem>
      <errorID>139bbb22-5192-4994-927c-65d56f31d890</errorID>
      <errorWord>期</errorWord>
      <group>L1_Word</group>
      <groupName>字词问题</groupName>
      <ability>L2_Typo</ability>
      <abilityName>字词错误</abilityName>
      <candidateList>
        <item>期为</item>
      </candidateList>
      <explain/>
      <paraID>70ECEAAF</paraID>
      <start>156</start>
      <end>157</end>
      <status>unmodified</status>
      <modifiedWord/>
      <trackRevisions>false</trackRevisions>
    </reviewItem>
    <reviewItem>
      <errorID>5161f934-12f3-43dd-9e31-99b13d17f6ab</errorID>
      <errorWord>进展</errorWord>
      <group>L1_Word</group>
      <groupName>字词问题</groupName>
      <ability>L2_Typo</ability>
      <abilityName>字词错误</abilityName>
      <candidateList>
        <item>开展</item>
      </candidateList>
      <explain>〈动〉展览会开始展出：一年一度的春节花展明天～。</explain>
      <paraID>13CDC5DD</paraID>
      <start>78</start>
      <end>80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02DA-4B90-4738-856D-576251137ABC}">
  <ds:schemaRefs/>
</ds:datastoreItem>
</file>

<file path=customXml/itemProps3.xml><?xml version="1.0" encoding="utf-8"?>
<ds:datastoreItem xmlns:ds="http://schemas.openxmlformats.org/officeDocument/2006/customXml" ds:itemID="{36BE18BE-F18C-47EA-8DF8-09DA51468EFC}">
  <ds:schemaRefs/>
</ds:datastoreItem>
</file>

<file path=docProps/app.xml><?xml version="1.0" encoding="utf-8"?>
<Properties xmlns="http://schemas.openxmlformats.org/officeDocument/2006/extended-properties" xmlns:vt="http://schemas.openxmlformats.org/officeDocument/2006/docPropsVTypes">
  <Template>Normal</Template>
  <Pages>34</Pages>
  <Words>10453</Words>
  <Characters>11199</Characters>
  <Lines>135</Lines>
  <Paragraphs>38</Paragraphs>
  <TotalTime>19</TotalTime>
  <ScaleCrop>false</ScaleCrop>
  <LinksUpToDate>false</LinksUpToDate>
  <CharactersWithSpaces>11291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2021-09-18T14:39:00Z</dcterms:created>
  <cp:lastPrinted>2018-11-15T09:21:00Z</cp:lastPrinted>
  <dcterms:modified xsi:type="dcterms:W3CDTF">2026-01-30T02:51:24Z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65EAA2AF6B054788BDEC1F4BC5FA6B58</vt:lpwstr>
  </property>
  <property fmtid="{D5CDD505-2E9C-101B-9397-08002B2CF9AE}" pid="4" name="KSOTemplateDocerSaveRecord">
    <vt:lpwstr>eyJoZGlkIjoiYjljNjlkMzA2OGQ1ODc0Y2U5YzExMDNlODZhOTc1ZmQiLCJ1c2VySWQiOiIzMDQ0MTM2NzYifQ==</vt:lpwstr>
  </property>
</Properties>
</file>