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5859">
      <w:pPr>
        <w:widowControl/>
        <w:spacing w:line="590" w:lineRule="exact"/>
        <w:rPr>
          <w:rFonts w:ascii="仿宋_GB2312" w:hAnsi="黑体" w:eastAsia="仿宋_GB2312" w:cs="宋体+FPEF"/>
          <w:spacing w:val="6"/>
          <w:kern w:val="0"/>
          <w:szCs w:val="30"/>
        </w:rPr>
      </w:pPr>
      <w:r>
        <w:rPr>
          <w:rFonts w:hint="eastAsia" w:ascii="仿宋_GB2312" w:hAnsi="黑体" w:eastAsia="仿宋_GB2312" w:cs="宋体+FPEF"/>
          <w:spacing w:val="6"/>
          <w:kern w:val="0"/>
          <w:szCs w:val="30"/>
        </w:rPr>
        <w:t xml:space="preserve"> </w:t>
      </w:r>
    </w:p>
    <w:p w14:paraId="45676E39">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0B676B09">
      <w:pPr>
        <w:spacing w:line="590" w:lineRule="exact"/>
        <w:jc w:val="center"/>
        <w:rPr>
          <w:rFonts w:ascii="方正小标宋简体" w:hAnsi="方正小标宋简体" w:eastAsia="方正小标宋简体" w:cs="方正小标宋简体"/>
          <w:spacing w:val="6"/>
          <w:kern w:val="0"/>
          <w:sz w:val="40"/>
          <w:szCs w:val="40"/>
        </w:rPr>
      </w:pPr>
    </w:p>
    <w:p w14:paraId="107E33E0">
      <w:pPr>
        <w:spacing w:line="590" w:lineRule="exact"/>
        <w:jc w:val="center"/>
        <w:rPr>
          <w:rFonts w:ascii="方正小标宋简体" w:hAnsi="方正小标宋简体" w:eastAsia="方正小标宋简体" w:cs="方正小标宋简体"/>
          <w:spacing w:val="6"/>
          <w:kern w:val="0"/>
          <w:sz w:val="40"/>
          <w:szCs w:val="40"/>
        </w:rPr>
      </w:pPr>
    </w:p>
    <w:p w14:paraId="149EB2BA">
      <w:pPr>
        <w:spacing w:line="590" w:lineRule="exact"/>
        <w:jc w:val="center"/>
        <w:rPr>
          <w:rFonts w:ascii="黑体" w:hAnsi="黑体" w:eastAsia="黑体" w:cs="黑体"/>
          <w:b/>
          <w:bCs/>
          <w:spacing w:val="6"/>
          <w:kern w:val="0"/>
          <w:sz w:val="36"/>
          <w:szCs w:val="36"/>
        </w:rPr>
      </w:pPr>
      <w:r>
        <w:rPr>
          <w:rFonts w:hint="eastAsia" w:ascii="黑体" w:hAnsi="黑体" w:eastAsia="黑体" w:cs="黑体"/>
          <w:b/>
          <w:bCs/>
          <w:spacing w:val="6"/>
          <w:kern w:val="0"/>
          <w:sz w:val="36"/>
          <w:szCs w:val="36"/>
        </w:rPr>
        <w:t>晋宁（城区）雨污分流、溢流防控工程项目</w:t>
      </w:r>
    </w:p>
    <w:p w14:paraId="138C594F">
      <w:pPr>
        <w:jc w:val="center"/>
        <w:rPr>
          <w:rFonts w:ascii="黑体" w:hAnsi="黑体" w:eastAsia="黑体" w:cs="黑体"/>
          <w:b/>
          <w:bCs/>
          <w:color w:val="000000"/>
          <w:spacing w:val="6"/>
          <w:sz w:val="36"/>
          <w:szCs w:val="36"/>
        </w:rPr>
      </w:pPr>
      <w:r>
        <w:rPr>
          <w:rFonts w:hint="eastAsia" w:ascii="黑体" w:hAnsi="黑体" w:eastAsia="黑体" w:cs="黑体"/>
          <w:b/>
          <w:bCs/>
          <w:color w:val="000000"/>
          <w:spacing w:val="6"/>
          <w:sz w:val="36"/>
          <w:szCs w:val="36"/>
        </w:rPr>
        <w:t>绩效评价报告</w:t>
      </w:r>
    </w:p>
    <w:p w14:paraId="2F68CFE4">
      <w:pPr>
        <w:spacing w:line="590" w:lineRule="exact"/>
        <w:jc w:val="center"/>
        <w:rPr>
          <w:rFonts w:ascii="方正小标宋简体" w:hAnsi="Arial Narrow" w:eastAsia="方正小标宋简体"/>
          <w:spacing w:val="6"/>
          <w:kern w:val="0"/>
          <w:sz w:val="40"/>
          <w:szCs w:val="40"/>
        </w:rPr>
      </w:pPr>
    </w:p>
    <w:p w14:paraId="19BC8619">
      <w:pPr>
        <w:spacing w:line="590" w:lineRule="exact"/>
        <w:jc w:val="center"/>
        <w:rPr>
          <w:rFonts w:ascii="方正小标宋简体" w:hAnsi="Arial Narrow" w:eastAsia="方正小标宋简体"/>
          <w:spacing w:val="6"/>
          <w:kern w:val="0"/>
          <w:sz w:val="40"/>
          <w:szCs w:val="40"/>
        </w:rPr>
      </w:pPr>
    </w:p>
    <w:p w14:paraId="06740E25">
      <w:pPr>
        <w:spacing w:line="590" w:lineRule="exact"/>
        <w:jc w:val="center"/>
        <w:rPr>
          <w:rFonts w:ascii="方正小标宋简体" w:hAnsi="Arial Narrow" w:eastAsia="方正小标宋简体"/>
          <w:spacing w:val="6"/>
          <w:kern w:val="0"/>
          <w:sz w:val="40"/>
          <w:szCs w:val="40"/>
        </w:rPr>
      </w:pPr>
    </w:p>
    <w:p w14:paraId="628B3909">
      <w:pPr>
        <w:spacing w:line="590" w:lineRule="exact"/>
        <w:rPr>
          <w:rFonts w:ascii="方正小标宋简体" w:hAnsi="方正小标宋简体" w:eastAsia="方正小标宋简体" w:cs="方正小标宋简体"/>
          <w:spacing w:val="6"/>
          <w:kern w:val="0"/>
          <w:sz w:val="36"/>
          <w:szCs w:val="36"/>
        </w:rPr>
      </w:pPr>
    </w:p>
    <w:tbl>
      <w:tblPr>
        <w:tblStyle w:val="19"/>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3544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0800A12C">
            <w:pPr>
              <w:overflowPunct w:val="0"/>
              <w:autoSpaceDE w:val="0"/>
              <w:adjustRightInd w:val="0"/>
              <w:snapToGrid w:val="0"/>
              <w:spacing w:line="500" w:lineRule="exact"/>
              <w:jc w:val="left"/>
              <w:rPr>
                <w:rFonts w:asciiTheme="minorEastAsia" w:hAnsiTheme="minorEastAsia" w:eastAsiaTheme="minorEastAsia" w:cstheme="minorEastAsia"/>
                <w:spacing w:val="40"/>
                <w:kern w:val="0"/>
                <w:sz w:val="24"/>
                <w:szCs w:val="24"/>
                <w:lang w:bidi="ar"/>
              </w:rPr>
            </w:pPr>
            <w:r>
              <w:rPr>
                <w:rFonts w:hint="eastAsia" w:asciiTheme="minorEastAsia" w:hAnsiTheme="minorEastAsia" w:eastAsiaTheme="minorEastAsia" w:cstheme="minorEastAsia"/>
                <w:spacing w:val="40"/>
                <w:kern w:val="0"/>
                <w:sz w:val="24"/>
                <w:szCs w:val="24"/>
                <w:lang w:bidi="ar"/>
              </w:rPr>
              <w:t>委托单位名称：</w:t>
            </w:r>
          </w:p>
        </w:tc>
        <w:tc>
          <w:tcPr>
            <w:tcW w:w="5660" w:type="dxa"/>
            <w:tcBorders>
              <w:bottom w:val="single" w:color="auto" w:sz="4" w:space="0"/>
            </w:tcBorders>
            <w:vAlign w:val="center"/>
          </w:tcPr>
          <w:p w14:paraId="01FAB71F">
            <w:pPr>
              <w:overflowPunct w:val="0"/>
              <w:autoSpaceDE w:val="0"/>
              <w:adjustRightInd w:val="0"/>
              <w:snapToGrid w:val="0"/>
              <w:spacing w:line="500" w:lineRule="exact"/>
              <w:jc w:val="left"/>
              <w:rPr>
                <w:rFonts w:asciiTheme="minorEastAsia" w:hAnsiTheme="minorEastAsia" w:eastAsiaTheme="minorEastAsia" w:cstheme="minorEastAsia"/>
                <w:spacing w:val="40"/>
                <w:kern w:val="0"/>
                <w:sz w:val="24"/>
                <w:szCs w:val="24"/>
                <w:lang w:bidi="ar"/>
              </w:rPr>
            </w:pPr>
            <w:r>
              <w:rPr>
                <w:rFonts w:hint="eastAsia" w:asciiTheme="minorEastAsia" w:hAnsiTheme="minorEastAsia" w:eastAsiaTheme="minorEastAsia" w:cstheme="minorEastAsia"/>
                <w:spacing w:val="40"/>
                <w:kern w:val="0"/>
                <w:sz w:val="24"/>
                <w:szCs w:val="24"/>
                <w:lang w:bidi="ar"/>
              </w:rPr>
              <w:t>昆明市晋宁区财政局</w:t>
            </w:r>
          </w:p>
        </w:tc>
      </w:tr>
      <w:tr w14:paraId="6DD4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006A673B">
            <w:pPr>
              <w:overflowPunct w:val="0"/>
              <w:autoSpaceDE w:val="0"/>
              <w:adjustRightInd w:val="0"/>
              <w:snapToGrid w:val="0"/>
              <w:spacing w:line="500" w:lineRule="exact"/>
              <w:jc w:val="distribute"/>
              <w:rPr>
                <w:rFonts w:asciiTheme="minorEastAsia" w:hAnsiTheme="minorEastAsia" w:eastAsiaTheme="minorEastAsia" w:cstheme="minorEastAsia"/>
                <w:spacing w:val="40"/>
                <w:kern w:val="0"/>
                <w:sz w:val="24"/>
                <w:szCs w:val="24"/>
                <w:lang w:bidi="ar"/>
              </w:rPr>
            </w:pPr>
            <w:r>
              <w:rPr>
                <w:rFonts w:hint="eastAsia" w:asciiTheme="minorEastAsia" w:hAnsiTheme="minorEastAsia" w:eastAsiaTheme="minorEastAsia" w:cstheme="minorEastAsia"/>
                <w:spacing w:val="40"/>
                <w:kern w:val="0"/>
                <w:sz w:val="24"/>
                <w:szCs w:val="24"/>
                <w:lang w:bidi="ar"/>
              </w:rPr>
              <w:t>评审机构名称：</w:t>
            </w:r>
          </w:p>
        </w:tc>
        <w:tc>
          <w:tcPr>
            <w:tcW w:w="5660" w:type="dxa"/>
            <w:tcBorders>
              <w:bottom w:val="single" w:color="auto" w:sz="4" w:space="0"/>
            </w:tcBorders>
            <w:vAlign w:val="center"/>
          </w:tcPr>
          <w:p w14:paraId="6DD46348">
            <w:pPr>
              <w:overflowPunct w:val="0"/>
              <w:autoSpaceDE w:val="0"/>
              <w:adjustRightInd w:val="0"/>
              <w:snapToGrid w:val="0"/>
              <w:spacing w:line="500" w:lineRule="exact"/>
              <w:jc w:val="left"/>
              <w:rPr>
                <w:rFonts w:asciiTheme="minorEastAsia" w:hAnsiTheme="minorEastAsia" w:eastAsiaTheme="minorEastAsia" w:cstheme="minorEastAsia"/>
                <w:spacing w:val="40"/>
                <w:kern w:val="0"/>
                <w:sz w:val="24"/>
                <w:szCs w:val="24"/>
                <w:lang w:bidi="ar"/>
              </w:rPr>
            </w:pPr>
            <w:r>
              <w:rPr>
                <w:rFonts w:hint="eastAsia" w:asciiTheme="minorEastAsia" w:hAnsiTheme="minorEastAsia" w:eastAsiaTheme="minorEastAsia" w:cstheme="minorEastAsia"/>
                <w:spacing w:val="40"/>
                <w:kern w:val="0"/>
                <w:sz w:val="24"/>
                <w:szCs w:val="24"/>
                <w:lang w:bidi="ar"/>
              </w:rPr>
              <w:t>大华会计师事务所（特殊普通合伙）云南分所</w:t>
            </w:r>
          </w:p>
        </w:tc>
      </w:tr>
      <w:tr w14:paraId="4722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4D7A1C35">
            <w:pPr>
              <w:tabs>
                <w:tab w:val="right" w:pos="8306"/>
              </w:tabs>
              <w:adjustRightInd w:val="0"/>
              <w:snapToGrid w:val="0"/>
              <w:spacing w:line="500" w:lineRule="exact"/>
              <w:jc w:val="distribute"/>
              <w:rPr>
                <w:rFonts w:asciiTheme="minorEastAsia" w:hAnsiTheme="minorEastAsia" w:eastAsiaTheme="minorEastAsia" w:cstheme="minorEastAsia"/>
                <w:spacing w:val="40"/>
                <w:kern w:val="0"/>
                <w:sz w:val="24"/>
                <w:szCs w:val="24"/>
              </w:rPr>
            </w:pPr>
            <w:r>
              <w:rPr>
                <w:rFonts w:hint="eastAsia" w:asciiTheme="minorEastAsia" w:hAnsiTheme="minorEastAsia" w:eastAsiaTheme="minorEastAsia" w:cstheme="minorEastAsia"/>
                <w:spacing w:val="40"/>
                <w:kern w:val="0"/>
                <w:sz w:val="24"/>
                <w:szCs w:val="24"/>
              </w:rPr>
              <w:t>报告编号：</w:t>
            </w:r>
          </w:p>
        </w:tc>
        <w:tc>
          <w:tcPr>
            <w:tcW w:w="5660" w:type="dxa"/>
            <w:tcBorders>
              <w:top w:val="single" w:color="auto" w:sz="4" w:space="0"/>
              <w:bottom w:val="single" w:color="auto" w:sz="4" w:space="0"/>
            </w:tcBorders>
            <w:vAlign w:val="center"/>
          </w:tcPr>
          <w:p w14:paraId="7437439B">
            <w:pPr>
              <w:tabs>
                <w:tab w:val="right" w:pos="8306"/>
              </w:tabs>
              <w:adjustRightInd w:val="0"/>
              <w:snapToGrid w:val="0"/>
              <w:spacing w:line="500" w:lineRule="exact"/>
              <w:jc w:val="left"/>
              <w:rPr>
                <w:rFonts w:asciiTheme="minorEastAsia" w:hAnsiTheme="minorEastAsia" w:eastAsiaTheme="minorEastAsia" w:cstheme="minorEastAsia"/>
                <w:spacing w:val="40"/>
                <w:kern w:val="0"/>
                <w:sz w:val="24"/>
                <w:szCs w:val="24"/>
              </w:rPr>
            </w:pPr>
            <w:r>
              <w:rPr>
                <w:rFonts w:hint="eastAsia" w:asciiTheme="minorEastAsia" w:hAnsiTheme="minorEastAsia" w:eastAsiaTheme="minorEastAsia" w:cstheme="minorEastAsia"/>
                <w:spacing w:val="40"/>
                <w:kern w:val="0"/>
                <w:sz w:val="24"/>
                <w:szCs w:val="24"/>
                <w:lang w:bidi="ar"/>
              </w:rPr>
              <w:t>大华核字[202</w:t>
            </w:r>
            <w:r>
              <w:rPr>
                <w:rFonts w:hint="eastAsia" w:asciiTheme="minorEastAsia" w:hAnsiTheme="minorEastAsia" w:eastAsiaTheme="minorEastAsia" w:cstheme="minorEastAsia"/>
                <w:spacing w:val="40"/>
                <w:kern w:val="0"/>
                <w:sz w:val="24"/>
                <w:szCs w:val="24"/>
                <w:lang w:val="en-US" w:eastAsia="zh-CN" w:bidi="ar"/>
              </w:rPr>
              <w:t>6</w:t>
            </w:r>
            <w:r>
              <w:rPr>
                <w:rFonts w:hint="eastAsia" w:asciiTheme="minorEastAsia" w:hAnsiTheme="minorEastAsia" w:eastAsiaTheme="minorEastAsia" w:cstheme="minorEastAsia"/>
                <w:spacing w:val="40"/>
                <w:kern w:val="0"/>
                <w:sz w:val="24"/>
                <w:szCs w:val="24"/>
                <w:lang w:bidi="ar"/>
              </w:rPr>
              <w:t>]201100025</w:t>
            </w:r>
            <w:r>
              <w:rPr>
                <w:rFonts w:hint="eastAsia" w:asciiTheme="minorEastAsia" w:hAnsiTheme="minorEastAsia" w:eastAsiaTheme="minorEastAsia" w:cstheme="minorEastAsia"/>
                <w:spacing w:val="40"/>
                <w:kern w:val="0"/>
                <w:sz w:val="24"/>
                <w:szCs w:val="24"/>
                <w:lang w:val="en-US" w:eastAsia="zh-CN" w:bidi="ar"/>
              </w:rPr>
              <w:t>2</w:t>
            </w:r>
            <w:r>
              <w:rPr>
                <w:rFonts w:hint="eastAsia" w:asciiTheme="minorEastAsia" w:hAnsiTheme="minorEastAsia" w:eastAsiaTheme="minorEastAsia" w:cstheme="minorEastAsia"/>
                <w:spacing w:val="40"/>
                <w:kern w:val="0"/>
                <w:sz w:val="24"/>
                <w:szCs w:val="24"/>
                <w:lang w:bidi="ar"/>
              </w:rPr>
              <w:t>号</w:t>
            </w:r>
          </w:p>
        </w:tc>
      </w:tr>
      <w:tr w14:paraId="2E50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07B9F94C">
            <w:pPr>
              <w:overflowPunct w:val="0"/>
              <w:autoSpaceDE w:val="0"/>
              <w:adjustRightInd w:val="0"/>
              <w:snapToGrid w:val="0"/>
              <w:spacing w:line="500" w:lineRule="exact"/>
              <w:jc w:val="distribute"/>
              <w:rPr>
                <w:rFonts w:asciiTheme="minorEastAsia" w:hAnsiTheme="minorEastAsia" w:eastAsiaTheme="minorEastAsia" w:cstheme="minorEastAsia"/>
                <w:spacing w:val="40"/>
                <w:kern w:val="0"/>
                <w:sz w:val="24"/>
                <w:szCs w:val="24"/>
              </w:rPr>
            </w:pPr>
            <w:r>
              <w:rPr>
                <w:rFonts w:hint="eastAsia" w:asciiTheme="minorEastAsia" w:hAnsiTheme="minorEastAsia" w:eastAsiaTheme="minorEastAsia" w:cstheme="minorEastAsia"/>
                <w:spacing w:val="40"/>
                <w:kern w:val="0"/>
                <w:sz w:val="24"/>
                <w:szCs w:val="24"/>
                <w:lang w:bidi="ar"/>
              </w:rPr>
              <w:t>项目评审截止时间：</w:t>
            </w:r>
          </w:p>
        </w:tc>
        <w:tc>
          <w:tcPr>
            <w:tcW w:w="5660" w:type="dxa"/>
            <w:tcBorders>
              <w:top w:val="single" w:color="auto" w:sz="4" w:space="0"/>
              <w:bottom w:val="single" w:color="auto" w:sz="4" w:space="0"/>
            </w:tcBorders>
            <w:vAlign w:val="center"/>
          </w:tcPr>
          <w:p w14:paraId="50D36023">
            <w:pPr>
              <w:overflowPunct w:val="0"/>
              <w:autoSpaceDE w:val="0"/>
              <w:adjustRightInd w:val="0"/>
              <w:snapToGrid w:val="0"/>
              <w:spacing w:line="500" w:lineRule="exact"/>
              <w:jc w:val="left"/>
              <w:rPr>
                <w:rFonts w:asciiTheme="minorEastAsia" w:hAnsiTheme="minorEastAsia" w:eastAsiaTheme="minorEastAsia" w:cstheme="minorEastAsia"/>
                <w:spacing w:val="40"/>
                <w:kern w:val="0"/>
                <w:sz w:val="24"/>
                <w:szCs w:val="24"/>
              </w:rPr>
            </w:pPr>
            <w:r>
              <w:rPr>
                <w:rFonts w:hint="eastAsia" w:asciiTheme="minorEastAsia" w:hAnsiTheme="minorEastAsia" w:eastAsiaTheme="minorEastAsia" w:cstheme="minorEastAsia"/>
                <w:spacing w:val="40"/>
                <w:kern w:val="0"/>
                <w:sz w:val="24"/>
                <w:szCs w:val="24"/>
              </w:rPr>
              <w:t>2024年12月31日</w:t>
            </w:r>
          </w:p>
        </w:tc>
      </w:tr>
      <w:tr w14:paraId="1B17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1CDA187C">
            <w:pPr>
              <w:overflowPunct w:val="0"/>
              <w:autoSpaceDE w:val="0"/>
              <w:adjustRightInd w:val="0"/>
              <w:snapToGrid w:val="0"/>
              <w:spacing w:line="500" w:lineRule="exact"/>
              <w:jc w:val="distribute"/>
              <w:rPr>
                <w:rFonts w:asciiTheme="minorEastAsia" w:hAnsiTheme="minorEastAsia" w:eastAsiaTheme="minorEastAsia" w:cstheme="minorEastAsia"/>
                <w:spacing w:val="40"/>
                <w:kern w:val="0"/>
                <w:sz w:val="24"/>
                <w:szCs w:val="24"/>
                <w:lang w:bidi="ar"/>
              </w:rPr>
            </w:pPr>
            <w:r>
              <w:rPr>
                <w:rFonts w:hint="eastAsia" w:asciiTheme="minorEastAsia" w:hAnsiTheme="minorEastAsia" w:eastAsiaTheme="minorEastAsia" w:cstheme="minorEastAsia"/>
                <w:spacing w:val="40"/>
                <w:kern w:val="0"/>
                <w:sz w:val="24"/>
                <w:szCs w:val="24"/>
                <w:lang w:bidi="ar"/>
              </w:rPr>
              <w:t>评审报告出具时间：</w:t>
            </w:r>
          </w:p>
        </w:tc>
        <w:tc>
          <w:tcPr>
            <w:tcW w:w="5660" w:type="dxa"/>
            <w:tcBorders>
              <w:top w:val="single" w:color="auto" w:sz="4" w:space="0"/>
              <w:bottom w:val="single" w:color="auto" w:sz="4" w:space="0"/>
            </w:tcBorders>
            <w:vAlign w:val="center"/>
          </w:tcPr>
          <w:p w14:paraId="044EE014">
            <w:pPr>
              <w:overflowPunct w:val="0"/>
              <w:autoSpaceDE w:val="0"/>
              <w:adjustRightInd w:val="0"/>
              <w:snapToGrid w:val="0"/>
              <w:spacing w:line="500" w:lineRule="exact"/>
              <w:jc w:val="left"/>
              <w:rPr>
                <w:rFonts w:asciiTheme="minorEastAsia" w:hAnsiTheme="minorEastAsia" w:eastAsiaTheme="minorEastAsia" w:cstheme="minorEastAsia"/>
                <w:spacing w:val="40"/>
                <w:kern w:val="0"/>
                <w:sz w:val="24"/>
                <w:szCs w:val="24"/>
                <w:lang w:bidi="ar"/>
              </w:rPr>
            </w:pPr>
            <w:r>
              <w:rPr>
                <w:rFonts w:hint="eastAsia" w:asciiTheme="minorEastAsia" w:hAnsiTheme="minorEastAsia" w:eastAsiaTheme="minorEastAsia" w:cstheme="minorEastAsia"/>
                <w:spacing w:val="40"/>
                <w:kern w:val="0"/>
                <w:sz w:val="24"/>
                <w:szCs w:val="24"/>
              </w:rPr>
              <w:t>202</w:t>
            </w:r>
            <w:r>
              <w:rPr>
                <w:rFonts w:hint="eastAsia" w:asciiTheme="minorEastAsia" w:hAnsiTheme="minorEastAsia" w:eastAsiaTheme="minorEastAsia" w:cstheme="minorEastAsia"/>
                <w:spacing w:val="40"/>
                <w:kern w:val="0"/>
                <w:sz w:val="24"/>
                <w:szCs w:val="24"/>
                <w:lang w:val="en-US" w:eastAsia="zh-CN"/>
              </w:rPr>
              <w:t>5</w:t>
            </w:r>
            <w:r>
              <w:rPr>
                <w:rFonts w:hint="eastAsia" w:asciiTheme="minorEastAsia" w:hAnsiTheme="minorEastAsia" w:eastAsiaTheme="minorEastAsia" w:cstheme="minorEastAsia"/>
                <w:spacing w:val="40"/>
                <w:kern w:val="0"/>
                <w:sz w:val="24"/>
                <w:szCs w:val="24"/>
              </w:rPr>
              <w:t>年12月</w:t>
            </w:r>
            <w:r>
              <w:rPr>
                <w:rFonts w:hint="eastAsia" w:asciiTheme="minorEastAsia" w:hAnsiTheme="minorEastAsia" w:eastAsiaTheme="minorEastAsia" w:cstheme="minorEastAsia"/>
                <w:spacing w:val="40"/>
                <w:kern w:val="0"/>
                <w:sz w:val="24"/>
                <w:szCs w:val="24"/>
                <w:lang w:val="en-US" w:eastAsia="zh-CN"/>
              </w:rPr>
              <w:t>25</w:t>
            </w:r>
            <w:r>
              <w:rPr>
                <w:rFonts w:hint="eastAsia" w:asciiTheme="minorEastAsia" w:hAnsiTheme="minorEastAsia" w:eastAsiaTheme="minorEastAsia" w:cstheme="minorEastAsia"/>
                <w:spacing w:val="40"/>
                <w:kern w:val="0"/>
                <w:sz w:val="24"/>
                <w:szCs w:val="24"/>
              </w:rPr>
              <w:t>日</w:t>
            </w:r>
          </w:p>
        </w:tc>
      </w:tr>
    </w:tbl>
    <w:p w14:paraId="1059BCD0">
      <w:pPr>
        <w:snapToGrid w:val="0"/>
        <w:spacing w:line="560" w:lineRule="exact"/>
        <w:rPr>
          <w:rFonts w:ascii="宋体" w:hAnsi="宋体"/>
          <w:b/>
          <w:spacing w:val="40"/>
          <w:sz w:val="24"/>
          <w:szCs w:val="28"/>
        </w:rPr>
      </w:pPr>
    </w:p>
    <w:p w14:paraId="3484F42A">
      <w:pPr>
        <w:pStyle w:val="17"/>
        <w:ind w:left="632" w:firstLine="632"/>
      </w:pPr>
    </w:p>
    <w:p w14:paraId="598D0848">
      <w:pPr>
        <w:snapToGrid w:val="0"/>
        <w:spacing w:line="560" w:lineRule="exact"/>
        <w:jc w:val="center"/>
        <w:rPr>
          <w:rFonts w:ascii="宋体" w:hAnsi="宋体"/>
          <w:b/>
          <w:spacing w:val="40"/>
          <w:sz w:val="24"/>
          <w:szCs w:val="28"/>
        </w:rPr>
      </w:pPr>
      <w:r>
        <w:rPr>
          <w:rFonts w:ascii="宋体" w:hAnsi="宋体"/>
          <w:b/>
          <w:spacing w:val="40"/>
          <w:sz w:val="24"/>
          <w:szCs w:val="28"/>
        </w:rPr>
        <w:t>大华会计师事务所(特殊普通合伙)</w:t>
      </w:r>
      <w:r>
        <w:rPr>
          <w:rFonts w:hint="eastAsia" w:ascii="宋体" w:hAnsi="宋体"/>
          <w:b/>
          <w:spacing w:val="40"/>
          <w:sz w:val="24"/>
          <w:szCs w:val="28"/>
        </w:rPr>
        <w:t>云南分所</w:t>
      </w:r>
    </w:p>
    <w:p w14:paraId="6E2214E1">
      <w:pPr>
        <w:snapToGrid w:val="0"/>
        <w:spacing w:line="560" w:lineRule="exact"/>
        <w:jc w:val="center"/>
        <w:rPr>
          <w:rFonts w:ascii="宋体" w:hAnsi="宋体"/>
          <w:spacing w:val="-8"/>
          <w:sz w:val="24"/>
          <w:szCs w:val="28"/>
        </w:rPr>
      </w:pPr>
      <w:r>
        <w:rPr>
          <w:rFonts w:ascii="宋体" w:hAnsi="宋体"/>
          <w:spacing w:val="-8"/>
          <w:sz w:val="24"/>
          <w:szCs w:val="28"/>
        </w:rPr>
        <w:t>D</w:t>
      </w:r>
      <w:r>
        <w:rPr>
          <w:rFonts w:hint="eastAsia" w:ascii="宋体" w:hAnsi="宋体"/>
          <w:spacing w:val="-8"/>
          <w:sz w:val="24"/>
          <w:szCs w:val="28"/>
        </w:rPr>
        <w:t>a</w:t>
      </w:r>
      <w:r>
        <w:rPr>
          <w:rFonts w:ascii="宋体" w:hAnsi="宋体"/>
          <w:spacing w:val="-8"/>
          <w:sz w:val="24"/>
          <w:szCs w:val="28"/>
        </w:rPr>
        <w:t xml:space="preserve"> H</w:t>
      </w:r>
      <w:r>
        <w:rPr>
          <w:rFonts w:hint="eastAsia" w:ascii="宋体" w:hAnsi="宋体"/>
          <w:spacing w:val="-8"/>
          <w:sz w:val="24"/>
          <w:szCs w:val="28"/>
        </w:rPr>
        <w:t xml:space="preserve">ua </w:t>
      </w:r>
      <w:r>
        <w:rPr>
          <w:rFonts w:ascii="宋体" w:hAnsi="宋体"/>
          <w:spacing w:val="-8"/>
          <w:sz w:val="24"/>
          <w:szCs w:val="28"/>
        </w:rPr>
        <w:t>Certified Public Accountants</w:t>
      </w:r>
      <w:r>
        <w:rPr>
          <w:rFonts w:hint="eastAsia" w:ascii="宋体" w:hAnsi="宋体"/>
          <w:spacing w:val="-8"/>
          <w:sz w:val="24"/>
          <w:szCs w:val="28"/>
        </w:rPr>
        <w:t>（Special General Partnership）Yunnan Branch</w:t>
      </w:r>
    </w:p>
    <w:p w14:paraId="1F117E5C">
      <w:pPr>
        <w:autoSpaceDE w:val="0"/>
        <w:autoSpaceDN w:val="0"/>
        <w:adjustRightInd w:val="0"/>
        <w:spacing w:line="579" w:lineRule="exact"/>
        <w:rPr>
          <w:rFonts w:ascii="黑体" w:hAnsi="宋体" w:eastAsia="黑体"/>
          <w:spacing w:val="6"/>
          <w:szCs w:val="30"/>
        </w:rPr>
        <w:sectPr>
          <w:footerReference r:id="rId5" w:type="first"/>
          <w:headerReference r:id="rId3" w:type="default"/>
          <w:footerReference r:id="rId4" w:type="even"/>
          <w:type w:val="oddPage"/>
          <w:pgSz w:w="11906" w:h="16838"/>
          <w:pgMar w:top="2098" w:right="1474" w:bottom="1985" w:left="1588" w:header="851" w:footer="1474" w:gutter="0"/>
          <w:pgNumType w:fmt="lowerRoman" w:start="1"/>
          <w:cols w:space="425" w:num="1"/>
          <w:docGrid w:type="linesAndChars" w:linePitch="579" w:charSpace="3247"/>
        </w:sectPr>
      </w:pPr>
    </w:p>
    <w:p w14:paraId="07B75F0E">
      <w:pPr>
        <w:widowControl/>
        <w:spacing w:line="400" w:lineRule="exact"/>
        <w:jc w:val="center"/>
        <w:rPr>
          <w:rFonts w:ascii="黑体" w:hAnsi="黑体" w:eastAsia="黑体" w:cs="黑体"/>
          <w:b/>
          <w:sz w:val="32"/>
          <w:szCs w:val="32"/>
          <w:lang w:val="zh-CN"/>
        </w:rPr>
      </w:pPr>
      <w:r>
        <w:rPr>
          <w:rFonts w:hint="eastAsia" w:ascii="黑体" w:hAnsi="黑体" w:eastAsia="黑体" w:cs="黑体"/>
          <w:b/>
          <w:sz w:val="32"/>
          <w:szCs w:val="32"/>
          <w:lang w:val="zh-CN"/>
        </w:rPr>
        <w:t>目  录</w:t>
      </w:r>
    </w:p>
    <w:p w14:paraId="202B7264">
      <w:pPr>
        <w:widowControl/>
        <w:spacing w:line="400" w:lineRule="exact"/>
        <w:jc w:val="center"/>
        <w:rPr>
          <w:rFonts w:asciiTheme="minorEastAsia" w:hAnsiTheme="minorEastAsia" w:eastAsiaTheme="minorEastAsia"/>
          <w:b/>
          <w:sz w:val="36"/>
          <w:szCs w:val="36"/>
        </w:rPr>
      </w:pPr>
    </w:p>
    <w:sdt>
      <w:sdtPr>
        <w:rPr>
          <w:rFonts w:ascii="仿宋_GB2312" w:hAnsi="Times New Roman" w:eastAsia="仿宋_GB2312"/>
          <w:b/>
          <w:bCs/>
          <w:kern w:val="30"/>
          <w:sz w:val="24"/>
          <w:szCs w:val="24"/>
          <w:lang w:val="zh-CN"/>
        </w:rPr>
        <w:id w:val="-201706083"/>
      </w:sdtPr>
      <w:sdtEndPr>
        <w:rPr>
          <w:rFonts w:hint="eastAsia" w:asciiTheme="minorEastAsia" w:hAnsiTheme="minorEastAsia" w:eastAsiaTheme="minorEastAsia"/>
          <w:b w:val="0"/>
          <w:bCs w:val="0"/>
          <w:kern w:val="30"/>
          <w:sz w:val="28"/>
          <w:szCs w:val="28"/>
          <w:lang w:val="en-US"/>
        </w:rPr>
      </w:sdtEndPr>
      <w:sdtContent>
        <w:p w14:paraId="14CE42B9">
          <w:pPr>
            <w:pStyle w:val="14"/>
            <w:tabs>
              <w:tab w:val="right" w:leader="dot" w:pos="8789"/>
              <w:tab w:val="clear" w:pos="8931"/>
            </w:tabs>
            <w:ind w:right="38"/>
            <w:rPr>
              <w:rFonts w:cs="Times New Roman" w:asciiTheme="minorEastAsia" w:hAnsiTheme="minorEastAsia" w:eastAsiaTheme="minorEastAsia"/>
              <w:kern w:val="0"/>
              <w:sz w:val="28"/>
              <w:szCs w:val="28"/>
              <w:lang w:val="en-US" w:eastAsia="zh-CN" w:bidi="ar-SA"/>
            </w:rPr>
          </w:pPr>
          <w:r>
            <w:rPr>
              <w:rFonts w:asciiTheme="minorEastAsia" w:hAnsiTheme="minorEastAsia"/>
              <w:sz w:val="28"/>
              <w:szCs w:val="28"/>
            </w:rPr>
            <w:fldChar w:fldCharType="begin"/>
          </w:r>
          <w:r>
            <w:rPr>
              <w:rFonts w:asciiTheme="minorEastAsia" w:hAnsiTheme="minorEastAsia"/>
              <w:sz w:val="28"/>
              <w:szCs w:val="28"/>
            </w:rPr>
            <w:instrText xml:space="preserve"> TOC \o "1-3" \h \z \u </w:instrText>
          </w:r>
          <w:r>
            <w:rPr>
              <w:rFonts w:asciiTheme="minorEastAsia" w:hAnsiTheme="minorEastAsia"/>
              <w:sz w:val="28"/>
              <w:szCs w:val="28"/>
            </w:rPr>
            <w:fldChar w:fldCharType="separate"/>
          </w:r>
        </w:p>
        <w:p w14:paraId="4EF8561D">
          <w:pPr>
            <w:pStyle w:val="14"/>
            <w:tabs>
              <w:tab w:val="right" w:leader="dot" w:pos="8844"/>
              <w:tab w:val="clear" w:pos="8931"/>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_Toc6429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摘  要</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_Toc6429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I</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518AA4D0">
          <w:pPr>
            <w:pStyle w:val="14"/>
            <w:tabs>
              <w:tab w:val="right" w:leader="dot" w:pos="8844"/>
              <w:tab w:val="clear" w:pos="8931"/>
            </w:tabs>
            <w:rPr>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_Toc11231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一、基本情况</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_Toc11231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70A3B175">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_Toc4118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（一）项目概况</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_Toc4118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05DB1E2F">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_Toc20207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（二）项目绩效目标</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_Toc20207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3</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53CDBFDE">
          <w:pPr>
            <w:pStyle w:val="15"/>
            <w:tabs>
              <w:tab w:val="right" w:leader="dot" w:pos="8844"/>
              <w:tab w:val="clear" w:pos="8789"/>
            </w:tabs>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_Toc19739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（三）组织管理情况</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_Toc19739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4</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6E942C53">
          <w:pPr>
            <w:pStyle w:val="14"/>
            <w:tabs>
              <w:tab w:val="right" w:leader="dot" w:pos="8844"/>
              <w:tab w:val="clear" w:pos="8931"/>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_Toc27361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二、绩效评价工作开展情况</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_Toc27361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18C3346A">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_Toc12128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（一）绩效评价目的、对象和范围</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_Toc12128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5</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13F0FD73">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_Toc5213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（二）绩效评价原则、评价指标体系、评价方法、评价标准和评价抽样</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_Toc5213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5</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0DD022FE">
          <w:pPr>
            <w:pStyle w:val="15"/>
            <w:tabs>
              <w:tab w:val="right" w:leader="dot" w:pos="8844"/>
              <w:tab w:val="clear" w:pos="8789"/>
            </w:tabs>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_Toc27179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（三）绩效评价工作过程</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_Toc27179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9</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3F0BE5F2">
          <w:pPr>
            <w:pStyle w:val="14"/>
            <w:tabs>
              <w:tab w:val="right" w:leader="dot" w:pos="8844"/>
              <w:tab w:val="clear" w:pos="8931"/>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_Toc17893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三、绩效评价结论</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_Toc17893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10</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476BD3FB">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_Toc6395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（一）绩效评价综合结论</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_Toc6395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10</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40C7B3CB">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_Toc13275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（二）绩效目标实现情况</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_Toc13275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11</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35ADB165">
          <w:pPr>
            <w:pStyle w:val="14"/>
            <w:tabs>
              <w:tab w:val="right" w:leader="dot" w:pos="8844"/>
              <w:tab w:val="clear" w:pos="8931"/>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_Toc4615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四、绩效评价指标分析</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_Toc4615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108537AD">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_Toc27020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（一）项目决策情况</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_Toc27020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13</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7AC638BF">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_Toc20881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（二）项目过程情况</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_Toc20881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15</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5C538747">
          <w:pPr>
            <w:pStyle w:val="15"/>
            <w:tabs>
              <w:tab w:val="right" w:leader="dot" w:pos="8844"/>
              <w:tab w:val="clear" w:pos="8789"/>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_Toc16309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（三）项目产出情况</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_Toc16309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19</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19CD2B2E">
          <w:pPr>
            <w:pStyle w:val="15"/>
            <w:tabs>
              <w:tab w:val="right" w:leader="dot" w:pos="8844"/>
              <w:tab w:val="clear" w:pos="8789"/>
            </w:tabs>
          </w:pPr>
          <w:r>
            <w:rPr>
              <w:rFonts w:hint="eastAsia" w:asciiTheme="minorEastAsia" w:hAnsiTheme="minorEastAsia" w:eastAsiaTheme="minorEastAsia" w:cstheme="minorEastAsia"/>
              <w:b w:val="0"/>
              <w:bCs w:val="0"/>
              <w:szCs w:val="28"/>
            </w:rPr>
            <w:fldChar w:fldCharType="begin"/>
          </w:r>
          <w:r>
            <w:rPr>
              <w:rFonts w:hint="eastAsia" w:asciiTheme="minorEastAsia" w:hAnsiTheme="minorEastAsia" w:eastAsiaTheme="minorEastAsia" w:cstheme="minorEastAsia"/>
              <w:b w:val="0"/>
              <w:bCs w:val="0"/>
              <w:szCs w:val="28"/>
            </w:rPr>
            <w:instrText xml:space="preserve"> HYPERLINK \l _Toc27867 </w:instrText>
          </w:r>
          <w:r>
            <w:rPr>
              <w:rFonts w:hint="eastAsia" w:asciiTheme="minorEastAsia" w:hAnsiTheme="minorEastAsia" w:eastAsiaTheme="minorEastAsia" w:cstheme="minorEastAsia"/>
              <w:b w:val="0"/>
              <w:bCs w:val="0"/>
              <w:szCs w:val="28"/>
            </w:rPr>
            <w:fldChar w:fldCharType="separate"/>
          </w:r>
          <w:r>
            <w:rPr>
              <w:rFonts w:hint="eastAsia" w:asciiTheme="minorEastAsia" w:hAnsiTheme="minorEastAsia" w:eastAsiaTheme="minorEastAsia" w:cstheme="minorEastAsia"/>
              <w:b w:val="0"/>
              <w:bCs w:val="0"/>
              <w:szCs w:val="28"/>
            </w:rPr>
            <w:t>（四）项目效益情况</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_Toc27867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22</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szCs w:val="28"/>
            </w:rPr>
            <w:fldChar w:fldCharType="end"/>
          </w:r>
        </w:p>
        <w:p w14:paraId="0A789025">
          <w:pPr>
            <w:pStyle w:val="14"/>
            <w:tabs>
              <w:tab w:val="right" w:leader="dot" w:pos="8844"/>
              <w:tab w:val="clear" w:pos="8931"/>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五、存在问题及原因分析</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_Toc38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1516EA8E">
          <w:pPr>
            <w:pStyle w:val="14"/>
            <w:tabs>
              <w:tab w:val="right" w:leader="dot" w:pos="8844"/>
              <w:tab w:val="clear" w:pos="8931"/>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_Toc12738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六、建议</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_Toc12738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567EDC8E">
          <w:pPr>
            <w:pStyle w:val="14"/>
            <w:tabs>
              <w:tab w:val="right" w:leader="dot" w:pos="8844"/>
              <w:tab w:val="clear" w:pos="8931"/>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_Toc26466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七、其他需说明的情况</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_Toc26466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27</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4E3AFC96">
          <w:pPr>
            <w:pStyle w:val="14"/>
            <w:ind w:right="38"/>
            <w:rPr>
              <w:rFonts w:asciiTheme="minorEastAsia" w:hAnsiTheme="minorEastAsia"/>
              <w:sz w:val="28"/>
              <w:szCs w:val="28"/>
            </w:rPr>
          </w:pPr>
          <w:r>
            <w:rPr>
              <w:rFonts w:asciiTheme="minorEastAsia" w:hAnsiTheme="minorEastAsia"/>
              <w:sz w:val="28"/>
              <w:szCs w:val="28"/>
            </w:rPr>
            <w:fldChar w:fldCharType="end"/>
          </w:r>
        </w:p>
        <w:p w14:paraId="2B2F30E5">
          <w:pPr>
            <w:rPr>
              <w:rFonts w:ascii="方正小标宋简体" w:eastAsia="方正小标宋简体"/>
              <w:sz w:val="44"/>
              <w:szCs w:val="44"/>
            </w:rPr>
            <w:sectPr>
              <w:footerReference r:id="rId6" w:type="default"/>
              <w:type w:val="oddPage"/>
              <w:pgSz w:w="11906" w:h="16838"/>
              <w:pgMar w:top="2098" w:right="1474" w:bottom="1985" w:left="1588" w:header="851" w:footer="1474" w:gutter="0"/>
              <w:pgNumType w:start="0"/>
              <w:cols w:space="425" w:num="1"/>
              <w:docGrid w:type="linesAndChars" w:linePitch="579" w:charSpace="3247"/>
            </w:sectPr>
          </w:pPr>
        </w:p>
      </w:sdtContent>
    </w:sdt>
    <w:p w14:paraId="74A19302">
      <w:pPr>
        <w:overflowPunct w:val="0"/>
        <w:spacing w:line="560" w:lineRule="exact"/>
        <w:jc w:val="center"/>
        <w:outlineLvl w:val="0"/>
        <w:rPr>
          <w:rFonts w:ascii="黑体" w:hAnsi="黑体" w:eastAsia="黑体" w:cs="黑体"/>
          <w:b/>
          <w:bCs/>
          <w:sz w:val="32"/>
          <w:szCs w:val="32"/>
        </w:rPr>
        <w:sectPr>
          <w:footerReference r:id="rId10" w:type="first"/>
          <w:headerReference r:id="rId7" w:type="default"/>
          <w:footerReference r:id="rId8" w:type="default"/>
          <w:footerReference r:id="rId9" w:type="even"/>
          <w:type w:val="continuous"/>
          <w:pgSz w:w="11906" w:h="16838"/>
          <w:pgMar w:top="2098" w:right="1474" w:bottom="1985" w:left="1588" w:header="851" w:footer="1474" w:gutter="0"/>
          <w:pgNumType w:fmt="upperRoman" w:start="1"/>
          <w:cols w:space="425" w:num="1"/>
          <w:docGrid w:type="linesAndChars" w:linePitch="579" w:charSpace="3247"/>
        </w:sectPr>
      </w:pPr>
      <w:bookmarkStart w:id="0" w:name="_Hlk525313924"/>
    </w:p>
    <w:p w14:paraId="39DF5206">
      <w:pPr>
        <w:overflowPunct w:val="0"/>
        <w:spacing w:line="560" w:lineRule="exact"/>
        <w:jc w:val="center"/>
        <w:outlineLvl w:val="0"/>
        <w:rPr>
          <w:rFonts w:ascii="方正小标宋简体" w:eastAsia="方正小标宋简体"/>
          <w:b/>
          <w:bCs/>
          <w:sz w:val="32"/>
          <w:szCs w:val="32"/>
        </w:rPr>
      </w:pPr>
      <w:bookmarkStart w:id="1" w:name="_Toc6429"/>
      <w:r>
        <w:rPr>
          <w:rFonts w:hint="eastAsia" w:ascii="黑体" w:hAnsi="黑体" w:eastAsia="黑体" w:cs="黑体"/>
          <w:b/>
          <w:bCs/>
          <w:sz w:val="32"/>
          <w:szCs w:val="32"/>
        </w:rPr>
        <w:t>摘  要</w:t>
      </w:r>
      <w:bookmarkEnd w:id="1"/>
    </w:p>
    <w:p w14:paraId="5FB0657B">
      <w:pPr>
        <w:overflowPunct w:val="0"/>
        <w:adjustRightInd w:val="0"/>
        <w:snapToGrid w:val="0"/>
        <w:spacing w:line="560" w:lineRule="exact"/>
        <w:ind w:firstLine="629"/>
        <w:rPr>
          <w:rFonts w:ascii="黑体" w:hAnsi="黑体" w:eastAsia="黑体" w:cs="黑体"/>
          <w:b/>
          <w:bCs/>
          <w:sz w:val="32"/>
          <w:szCs w:val="32"/>
        </w:rPr>
      </w:pPr>
      <w:r>
        <w:rPr>
          <w:rFonts w:hint="eastAsia" w:ascii="黑体" w:hAnsi="黑体" w:eastAsia="黑体" w:cs="黑体"/>
          <w:b/>
          <w:bCs/>
          <w:sz w:val="32"/>
          <w:szCs w:val="32"/>
        </w:rPr>
        <w:t>一、基本情况</w:t>
      </w:r>
    </w:p>
    <w:p w14:paraId="3E4B2A0D">
      <w:pPr>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响应滇池保护治理和滇池流域雨污分流工作的要求，切实削减入河污染负荷，将干净的雨水引入河道，降低市政排水管网压力，提升污水处理厂的污水处理效能，根据《2021年度昆明主城区城市管网排查、雨污分流及溢流污染防控工作任务清单》（市委办〔2021〕39号），通过实施晋宁（城区）雨污分流、溢流防控工程系统工程项目，改造提升雨污分流，实现雨水管网功能有效恢复，让河道封堵雨水口正常打开，城市内涝问题得到有效缓解；使水质净化厂进水浓度得到提升，超负荷运行情况得到缓解，城区污水溢流污染得到有效控制，实现滇池源头治理保障。</w:t>
      </w:r>
    </w:p>
    <w:p w14:paraId="1F8606D1">
      <w:pPr>
        <w:spacing w:line="560" w:lineRule="exact"/>
        <w:ind w:firstLine="59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晋宁区（城区）雨污分流、溢流污染防控工程项目，于2023年3月取得《关于调整晋宁区（城区）雨污分流、溢流污染防控工程可行性研究报告的批复》（晋发改发〔2023〕21号），批复总投资33370.13万元，项目于2023年6月启动建设，实施范围主要分为昆阳城区、晋城片区、上蒜片区、古城片区市政和庭院雨污管网及其附属设施进行排查和改造，完善雨污分流系统及设施，实施内容为：庭院内部雨污分流，新建庭院雨、污水管线约185080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检查井8318座，新建建筑雨水立管197130m ,管线清淤24386立方米；市政管网完善，新建市政排水管道16233m，检查井633座，新建雨水口473个，新建智能检查井5座，水质取样检测8600次，水位在线监测仪2台，流量在线监测3台。</w:t>
      </w:r>
    </w:p>
    <w:p w14:paraId="4D5AADDE">
      <w:pPr>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根据晋宁区（城区）雨污分流、溢流污染防控项目实施方案，项目总投资约33370.13万元，其中建安工程费 26083.05万元，工程建设其他费3542.42万元，工程预备费2962.55万元，建设期利息782.11万元。项目资金来源主要为拟申请中央预算内投资10000万元，晋宁区区级自筹解决23370.13万元。项目周期为：2023年5月完成项目招投标；2024年12月完成项目建设。</w:t>
      </w:r>
    </w:p>
    <w:p w14:paraId="234CDF44">
      <w:pPr>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2024年12月31日，区级财政拨入中央及省级预算资金和专项债劵批复资金7791万元，实际到位资金7028万元,其中：区级财政拨入中央及省级预算资金1028.00万元，专项债劵批复资金6000.00万元，资金到位率为90.21%。实际已使用资金7028万元，资金使用率100%。</w:t>
      </w:r>
    </w:p>
    <w:p w14:paraId="7DC160CD">
      <w:pPr>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由于项目资金未按批复的可研报告和实施方案足额、及时下达、拨付，项目实施内容亦未能按可研报告和实施方案的建设内容实施，仅根据昆明城区雨污分流规划方案的“总体计划安排”完成相关建设内容。</w:t>
      </w:r>
    </w:p>
    <w:p w14:paraId="7FB4E87C">
      <w:pPr>
        <w:overflowPunct w:val="0"/>
        <w:adjustRightInd w:val="0"/>
        <w:snapToGrid w:val="0"/>
        <w:spacing w:line="560" w:lineRule="exact"/>
        <w:ind w:firstLine="629"/>
        <w:rPr>
          <w:rFonts w:ascii="黑体" w:hAnsi="黑体" w:eastAsia="黑体" w:cs="黑体"/>
          <w:b/>
          <w:bCs/>
          <w:sz w:val="32"/>
          <w:szCs w:val="32"/>
        </w:rPr>
      </w:pPr>
      <w:r>
        <w:rPr>
          <w:rFonts w:hint="eastAsia" w:ascii="黑体" w:hAnsi="黑体" w:eastAsia="黑体" w:cs="黑体"/>
          <w:b/>
          <w:bCs/>
          <w:sz w:val="32"/>
          <w:szCs w:val="32"/>
        </w:rPr>
        <w:t>二、绩效评价结论</w:t>
      </w:r>
    </w:p>
    <w:p w14:paraId="2285821A">
      <w:pPr>
        <w:overflowPunct w:val="0"/>
        <w:adjustRightInd w:val="0"/>
        <w:snapToGrid w:val="0"/>
        <w:spacing w:line="560" w:lineRule="exact"/>
        <w:ind w:firstLine="62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晋宁（城区）雨污分流、溢流防控工程项目农业产业结构调整项目绩效评价得分83.55分，评价等级为“良”。</w:t>
      </w:r>
    </w:p>
    <w:p w14:paraId="53A811B4">
      <w:pPr>
        <w:overflowPunct w:val="0"/>
        <w:adjustRightInd w:val="0"/>
        <w:snapToGrid w:val="0"/>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国务院等部门制定的《长江经济带发展规划纲要》、《长江经济带生态环境保护规划》、《长江保护修复攻坚战行动计划》及贯彻省委、省政府关于“湖泊革命”的具体要求，落实“四个坚持”“五个彻底转变”“退、减、调、治、管”的重要举措，制定多管齐下的保护治理综合措施，在全面实施《滇池流域水环境保护治理“十四五”规划》的基础上，按照科学治滇、系统治滇、集约治滇、依法治滇”的治理思路，按照晋宁区（城区）雨污分流、溢流污染防控工程项目可研批复（晋发改发〔2023〕21号）《晋宁（城区）雨污分流、溢流防控工程项目实施方案》及昆明城区雨污分流规划方案要求开展、实施项目。</w:t>
      </w:r>
    </w:p>
    <w:p w14:paraId="31F9A7D0">
      <w:pPr>
        <w:overflowPunct w:val="0"/>
        <w:adjustRightInd w:val="0"/>
        <w:snapToGrid w:val="0"/>
        <w:spacing w:line="560" w:lineRule="exact"/>
        <w:ind w:firstLine="62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项目资金来源为中央及省级预算资金和专债资金。实际到位资金7028万元，实际已使用资金7028万元，资金使用率100%。</w:t>
      </w:r>
    </w:p>
    <w:p w14:paraId="41C7A52D">
      <w:pPr>
        <w:overflowPunct w:val="0"/>
        <w:adjustRightInd w:val="0"/>
        <w:snapToGrid w:val="0"/>
        <w:spacing w:line="560" w:lineRule="exact"/>
        <w:ind w:firstLine="62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总体目标实现情况为：根据昆明市晋宁区发展和改革局文件《关于调整晋宁区（城区）雨污分流、溢流污染防控工程可行性研究报告的批复》（晋发改发〔2023〕21号）计划竣工时间调整为2024年11月，受资金到位情况影响，2025年2月28日进行了建筑工程施工许可证变更（编号530115202408070102），竣工日期由2023年10月21日变更为2025年12月30日，项目实施内容根据昆明城区雨污分流规划方案的“总体计划安排”进行，截至目前，市政主干管网改造已完成雨水管安装2.68公里，市政支次管11条项目管网改造，雨污分流和301个庭院小区改造已基本完成，拟进行相关工程项目的初验工作。</w:t>
      </w:r>
    </w:p>
    <w:p w14:paraId="473A9AB0">
      <w:pPr>
        <w:overflowPunct w:val="0"/>
        <w:adjustRightInd w:val="0"/>
        <w:snapToGrid w:val="0"/>
        <w:spacing w:line="560" w:lineRule="exact"/>
        <w:ind w:firstLine="62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项目投入使用后产生了一定的生态、社会及经济效益，通过实施晋宁城区雨污分流改造、溢流污染防控工程，以“网格化微改造”思路为基础，进行庭院小区雨污分流改造和市政管网完善，从庭院小区源头开始到市政管网，全面进行雨污分流，实现引清入滇，同时削减片区雨季溢流污染，降低片区水压力，提升水质净化厂污水处理效能，缓解区内淹水点。</w:t>
      </w:r>
    </w:p>
    <w:p w14:paraId="349D1B95">
      <w:pPr>
        <w:overflowPunct w:val="0"/>
        <w:adjustRightInd w:val="0"/>
        <w:snapToGrid w:val="0"/>
        <w:spacing w:line="560" w:lineRule="exact"/>
        <w:ind w:firstLine="62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但项目在实施过程中仍存在部分绩效目标设定不具体，项目资金预算（投资）调整不规范、资金未足额到位，未根据项目特点，探索建立长效机制，确保治理工作能够科学、可持续开展。</w:t>
      </w:r>
    </w:p>
    <w:p w14:paraId="07BE27D3">
      <w:pPr>
        <w:overflowPunct w:val="0"/>
        <w:adjustRightInd w:val="0"/>
        <w:snapToGrid w:val="0"/>
        <w:spacing w:line="560" w:lineRule="exact"/>
        <w:ind w:firstLine="629"/>
        <w:rPr>
          <w:rFonts w:ascii="黑体" w:hAnsi="黑体" w:eastAsia="黑体" w:cs="黑体"/>
          <w:b/>
          <w:bCs/>
          <w:sz w:val="32"/>
          <w:szCs w:val="32"/>
        </w:rPr>
      </w:pPr>
      <w:r>
        <w:rPr>
          <w:rFonts w:hint="eastAsia" w:ascii="黑体" w:hAnsi="黑体" w:eastAsia="黑体" w:cs="黑体"/>
          <w:b/>
          <w:bCs/>
          <w:sz w:val="32"/>
          <w:szCs w:val="32"/>
        </w:rPr>
        <w:t>三、存在的主要问题</w:t>
      </w:r>
    </w:p>
    <w:p w14:paraId="6D29927A">
      <w:pPr>
        <w:adjustRightInd w:val="0"/>
        <w:snapToGrid w:val="0"/>
        <w:spacing w:line="560" w:lineRule="exact"/>
        <w:ind w:firstLine="59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（一）绩效目标未细化，且未与年度设定相对应</w:t>
      </w:r>
    </w:p>
    <w:p w14:paraId="5AE22BD2">
      <w:pPr>
        <w:pStyle w:val="6"/>
        <w:spacing w:line="560" w:lineRule="exact"/>
        <w:ind w:firstLine="59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绩效目标未细化，产出指标仅设置质量指标-工程建设质量-按质量标准完成项目建设效益指标-社会效益-雨污分流项目实施后排水环境改善-完成小区庭院、市政道路的排水管网建设、满意度指标-服务对象满意度-周边群众满意度≥85%；设定的绩效指标未与各年度工作任务相对应。</w:t>
      </w:r>
    </w:p>
    <w:p w14:paraId="0A1FAB85">
      <w:pPr>
        <w:adjustRightInd w:val="0"/>
        <w:snapToGrid w:val="0"/>
        <w:spacing w:line="560" w:lineRule="exact"/>
        <w:ind w:firstLine="59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（二）项目投资概算资金调整不规范</w:t>
      </w:r>
    </w:p>
    <w:p w14:paraId="762A940C">
      <w:pPr>
        <w:adjustRightInd w:val="0"/>
        <w:snapToGrid w:val="0"/>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晋宁（城区）雨污分流、溢流防控工程项目可行性研究报告、实施方案的总投资额为33370.13万元，昆明城区雨污分流规划方案投资匡算19500万元，但实际到位资金仅7028万元，未提供投资估算（预算）相关调整报批程序资料。</w:t>
      </w:r>
    </w:p>
    <w:p w14:paraId="3B09A2BF">
      <w:pPr>
        <w:adjustRightInd w:val="0"/>
        <w:snapToGrid w:val="0"/>
        <w:spacing w:line="560" w:lineRule="exact"/>
        <w:ind w:firstLine="59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（三）投资总额不到位，影响项目建设内容完整性</w:t>
      </w:r>
    </w:p>
    <w:p w14:paraId="2A3AFEF9">
      <w:pPr>
        <w:widowControl/>
        <w:adjustRightInd w:val="0"/>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如上所述，项目可行性研究报告、实施方案的总投资额为33370.13万元，实际到位资金仅7028万元，投资到位率仅21.06%，由于项目资金未足额、及时到位，项目建设内容实施不完整。</w:t>
      </w:r>
    </w:p>
    <w:p w14:paraId="1844FD96">
      <w:pPr>
        <w:adjustRightInd w:val="0"/>
        <w:snapToGrid w:val="0"/>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（四）未建立项目长期管理机制</w:t>
      </w:r>
    </w:p>
    <w:p w14:paraId="6F47F086">
      <w:pPr>
        <w:widowControl/>
        <w:adjustRightInd w:val="0"/>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未根据项目特点，探索、建立符合项目特点的长效管理机制，确保晋宁（城区）雨污分流、溢流防控治理工作能够科学、可持续开展。</w:t>
      </w:r>
    </w:p>
    <w:p w14:paraId="62C5D200">
      <w:pPr>
        <w:overflowPunct w:val="0"/>
        <w:adjustRightInd w:val="0"/>
        <w:snapToGrid w:val="0"/>
        <w:spacing w:line="560" w:lineRule="exact"/>
        <w:ind w:firstLine="629"/>
        <w:rPr>
          <w:rFonts w:ascii="黑体" w:hAnsi="黑体" w:eastAsia="黑体" w:cs="黑体"/>
          <w:b/>
          <w:bCs/>
          <w:sz w:val="32"/>
          <w:szCs w:val="32"/>
        </w:rPr>
      </w:pPr>
      <w:r>
        <w:rPr>
          <w:rFonts w:hint="eastAsia" w:ascii="黑体" w:hAnsi="黑体" w:eastAsia="黑体" w:cs="黑体"/>
          <w:b/>
          <w:bCs/>
          <w:sz w:val="32"/>
          <w:szCs w:val="32"/>
        </w:rPr>
        <w:t>四、建议</w:t>
      </w:r>
    </w:p>
    <w:p w14:paraId="188B1170">
      <w:pPr>
        <w:adjustRightInd w:val="0"/>
        <w:snapToGrid w:val="0"/>
        <w:spacing w:line="560" w:lineRule="exact"/>
        <w:ind w:firstLine="59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（一）做好项目前期调研工作，细化、分解绩效目标工作任务，做好项目资金预算，制定完善绩效考核指标及项目投资概算调整审批程序，实现有效使用专项资金及绩效评价的规范性</w:t>
      </w:r>
    </w:p>
    <w:p w14:paraId="49F4D653">
      <w:pPr>
        <w:adjustRightInd w:val="0"/>
        <w:snapToGrid w:val="0"/>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项目实施前应充分考虑项目的特点，加强项目前期的实时调研，根据测量、调研结果，做好项目资金预算，在预算编制阶段严格绩效目标合规性审查，适时、合理、及时进行项目投资概算调整及报批。</w:t>
      </w:r>
    </w:p>
    <w:p w14:paraId="0A2EB52F">
      <w:pPr>
        <w:numPr>
          <w:ilvl w:val="0"/>
          <w:numId w:val="1"/>
        </w:numPr>
        <w:adjustRightInd w:val="0"/>
        <w:snapToGrid w:val="0"/>
        <w:spacing w:line="560" w:lineRule="exact"/>
        <w:ind w:firstLine="59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及时、足额投入项目资金，避免因项目投资不到位，项目建设内容减少，影响项目实施效果</w:t>
      </w:r>
    </w:p>
    <w:p w14:paraId="799FDE17">
      <w:pPr>
        <w:spacing w:line="560" w:lineRule="exact"/>
        <w:ind w:firstLine="59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建议及时、足额投入项目资金，通过“短期控风险+长期可持续融资+技术创新”组合策略应对，优先保障关键节点资金；减少对单一资金来源的依赖；加强公众沟通，将环保效益转化为社会支持动力。</w:t>
      </w:r>
    </w:p>
    <w:p w14:paraId="1A523A46">
      <w:pPr>
        <w:numPr>
          <w:ilvl w:val="0"/>
          <w:numId w:val="2"/>
        </w:numPr>
        <w:spacing w:line="560" w:lineRule="exact"/>
        <w:ind w:firstLine="59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建立项目长期管理机制</w:t>
      </w:r>
    </w:p>
    <w:p w14:paraId="60193BCE">
      <w:pPr>
        <w:spacing w:line="560" w:lineRule="exact"/>
        <w:ind w:firstLine="590" w:firstLineChars="200"/>
        <w:rPr>
          <w:rFonts w:asciiTheme="minorEastAsia" w:hAnsiTheme="minorEastAsia" w:eastAsiaTheme="minorEastAsia" w:cstheme="minorEastAsia"/>
          <w:sz w:val="28"/>
          <w:szCs w:val="28"/>
        </w:rPr>
        <w:sectPr>
          <w:pgSz w:w="11906" w:h="16838"/>
          <w:pgMar w:top="2098" w:right="1474" w:bottom="1985" w:left="1588" w:header="851" w:footer="1474" w:gutter="0"/>
          <w:pgNumType w:fmt="upperRoman" w:start="1"/>
          <w:cols w:space="425" w:num="1"/>
          <w:docGrid w:type="linesAndChars" w:linePitch="579" w:charSpace="3247"/>
        </w:sectPr>
      </w:pPr>
      <w:r>
        <w:rPr>
          <w:rFonts w:hint="eastAsia" w:asciiTheme="minorEastAsia" w:hAnsiTheme="minorEastAsia" w:eastAsiaTheme="minorEastAsia" w:cstheme="minorEastAsia"/>
          <w:sz w:val="28"/>
          <w:szCs w:val="28"/>
        </w:rPr>
        <w:t>雨污分流和溢流防控工程是城市水环境治理的关键措施，其长效管理机制需从规划、建设、运维、监管等多维度协同推进，确保系统持续高效运行。加强科学规划，建立、完善完整的工程数据库，记录管网走向、管径、高程等基础信息；加强应急响应机制，针对暴雨、管网破裂等突发事件，制定快速抢修和污染拦截预案；明确政府、排水公司、物业等各方职责，避免多头管理，强化源头管控；建立公众参与与宣传渠道，确保政策可持续性</w:t>
      </w:r>
      <w:bookmarkEnd w:id="0"/>
      <w:r>
        <w:rPr>
          <w:rFonts w:hint="eastAsia" w:asciiTheme="minorEastAsia" w:hAnsiTheme="minorEastAsia" w:eastAsiaTheme="minorEastAsia" w:cstheme="minorEastAsia"/>
          <w:sz w:val="28"/>
          <w:szCs w:val="28"/>
        </w:rPr>
        <w:t>。</w:t>
      </w:r>
    </w:p>
    <w:p w14:paraId="10C6A77B">
      <w:pPr>
        <w:pStyle w:val="17"/>
        <w:ind w:left="632" w:firstLine="632"/>
        <w:sectPr>
          <w:footerReference r:id="rId11" w:type="default"/>
          <w:type w:val="continuous"/>
          <w:pgSz w:w="11906" w:h="16838"/>
          <w:pgMar w:top="2098" w:right="1474" w:bottom="1985" w:left="1588" w:header="851" w:footer="1474" w:gutter="0"/>
          <w:pgNumType w:fmt="upperRoman"/>
          <w:cols w:space="425" w:num="1"/>
          <w:docGrid w:type="linesAndChars" w:linePitch="579" w:charSpace="3247"/>
        </w:sectPr>
      </w:pPr>
    </w:p>
    <w:p w14:paraId="6D2A6787">
      <w:pPr>
        <w:pStyle w:val="13"/>
        <w:pBdr>
          <w:bottom w:val="none" w:color="auto" w:sz="0" w:space="0"/>
        </w:pBdr>
        <w:jc w:val="both"/>
        <w:rPr>
          <w:rFonts w:ascii="等线" w:hAnsi="等线" w:eastAsia="等线" w:cs="黑体"/>
          <w:b/>
          <w:bCs/>
          <w:sz w:val="15"/>
          <w:szCs w:val="15"/>
        </w:rPr>
      </w:pPr>
    </w:p>
    <w:p w14:paraId="746BD5C7">
      <w:pPr>
        <w:spacing w:line="570" w:lineRule="exact"/>
        <w:jc w:val="center"/>
        <w:rPr>
          <w:rFonts w:ascii="黑体" w:hAnsi="黑体" w:eastAsia="黑体" w:cs="黑体"/>
          <w:b/>
          <w:bCs/>
          <w:spacing w:val="6"/>
          <w:kern w:val="0"/>
          <w:sz w:val="36"/>
          <w:szCs w:val="36"/>
        </w:rPr>
      </w:pPr>
      <w:r>
        <w:rPr>
          <w:rFonts w:hint="eastAsia" w:ascii="黑体" w:hAnsi="黑体" w:eastAsia="黑体" w:cs="黑体"/>
          <w:b/>
          <w:bCs/>
          <w:spacing w:val="6"/>
          <w:kern w:val="0"/>
          <w:sz w:val="36"/>
          <w:szCs w:val="36"/>
        </w:rPr>
        <w:t>晋宁（城区）雨污分流、溢流防控工程项目</w:t>
      </w:r>
    </w:p>
    <w:p w14:paraId="3399816A">
      <w:pPr>
        <w:spacing w:line="570" w:lineRule="exact"/>
        <w:jc w:val="center"/>
        <w:rPr>
          <w:rFonts w:ascii="黑体" w:hAnsi="黑体" w:eastAsia="黑体" w:cs="黑体"/>
          <w:b/>
          <w:bCs/>
          <w:sz w:val="36"/>
          <w:szCs w:val="36"/>
        </w:rPr>
      </w:pPr>
      <w:r>
        <w:rPr>
          <w:rFonts w:hint="eastAsia" w:ascii="黑体" w:hAnsi="黑体" w:eastAsia="黑体" w:cs="黑体"/>
          <w:b/>
          <w:bCs/>
          <w:sz w:val="36"/>
          <w:szCs w:val="36"/>
        </w:rPr>
        <w:t>绩效评价报告</w:t>
      </w:r>
    </w:p>
    <w:p w14:paraId="4E758FA1">
      <w:pPr>
        <w:spacing w:line="570" w:lineRule="exact"/>
        <w:rPr>
          <w:rFonts w:hAnsi="仿宋"/>
          <w:sz w:val="36"/>
          <w:szCs w:val="36"/>
        </w:rPr>
      </w:pPr>
    </w:p>
    <w:p w14:paraId="6018AE9B">
      <w:pPr>
        <w:spacing w:line="570" w:lineRule="exact"/>
        <w:ind w:firstLine="534" w:firstLineChars="200"/>
        <w:jc w:val="right"/>
        <w:rPr>
          <w:rFonts w:hint="eastAsia" w:asciiTheme="minorEastAsia" w:hAnsiTheme="minorEastAsia" w:eastAsiaTheme="minorEastAsia" w:cstheme="minorEastAsia"/>
          <w:b/>
          <w:bCs/>
          <w:color w:val="auto"/>
          <w:spacing w:val="6"/>
          <w:kern w:val="0"/>
          <w:sz w:val="24"/>
          <w:szCs w:val="24"/>
        </w:rPr>
      </w:pPr>
      <w:r>
        <w:rPr>
          <w:rFonts w:hint="eastAsia" w:asciiTheme="minorEastAsia" w:hAnsiTheme="minorEastAsia" w:eastAsiaTheme="minorEastAsia" w:cstheme="minorEastAsia"/>
          <w:b/>
          <w:bCs/>
          <w:color w:val="auto"/>
          <w:spacing w:val="6"/>
          <w:kern w:val="0"/>
          <w:sz w:val="24"/>
          <w:szCs w:val="24"/>
        </w:rPr>
        <w:t>大华核字[202</w:t>
      </w:r>
      <w:r>
        <w:rPr>
          <w:rFonts w:hint="eastAsia" w:asciiTheme="minorEastAsia" w:hAnsiTheme="minorEastAsia" w:eastAsiaTheme="minorEastAsia" w:cstheme="minorEastAsia"/>
          <w:b/>
          <w:bCs/>
          <w:color w:val="auto"/>
          <w:spacing w:val="6"/>
          <w:kern w:val="0"/>
          <w:sz w:val="24"/>
          <w:szCs w:val="24"/>
          <w:lang w:val="en-US" w:eastAsia="zh-CN"/>
        </w:rPr>
        <w:t>6</w:t>
      </w:r>
      <w:r>
        <w:rPr>
          <w:rFonts w:hint="eastAsia" w:asciiTheme="minorEastAsia" w:hAnsiTheme="minorEastAsia" w:eastAsiaTheme="minorEastAsia" w:cstheme="minorEastAsia"/>
          <w:b/>
          <w:bCs/>
          <w:color w:val="auto"/>
          <w:spacing w:val="6"/>
          <w:kern w:val="0"/>
          <w:sz w:val="24"/>
          <w:szCs w:val="24"/>
        </w:rPr>
        <w:t>]201100025</w:t>
      </w:r>
      <w:r>
        <w:rPr>
          <w:rFonts w:hint="eastAsia" w:asciiTheme="minorEastAsia" w:hAnsiTheme="minorEastAsia" w:eastAsiaTheme="minorEastAsia" w:cstheme="minorEastAsia"/>
          <w:b/>
          <w:bCs/>
          <w:color w:val="auto"/>
          <w:spacing w:val="6"/>
          <w:kern w:val="0"/>
          <w:sz w:val="24"/>
          <w:szCs w:val="24"/>
          <w:lang w:val="en-US" w:eastAsia="zh-CN"/>
        </w:rPr>
        <w:t>2</w:t>
      </w:r>
      <w:r>
        <w:rPr>
          <w:rFonts w:hint="eastAsia" w:asciiTheme="minorEastAsia" w:hAnsiTheme="minorEastAsia" w:eastAsiaTheme="minorEastAsia" w:cstheme="minorEastAsia"/>
          <w:b/>
          <w:bCs/>
          <w:color w:val="auto"/>
          <w:spacing w:val="6"/>
          <w:kern w:val="0"/>
          <w:sz w:val="24"/>
          <w:szCs w:val="24"/>
        </w:rPr>
        <w:t>号</w:t>
      </w:r>
    </w:p>
    <w:p w14:paraId="764596FB">
      <w:pPr>
        <w:spacing w:line="570" w:lineRule="exact"/>
        <w:ind w:firstLine="630" w:firstLineChars="200"/>
        <w:rPr>
          <w:rFonts w:hint="eastAsia" w:hAnsi="仿宋"/>
          <w:szCs w:val="30"/>
        </w:rPr>
      </w:pPr>
    </w:p>
    <w:p w14:paraId="3FE8BA2C">
      <w:pPr>
        <w:spacing w:line="570" w:lineRule="exact"/>
        <w:ind w:firstLine="59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预算法》规定，按照《财政部关于印发&lt;项目支出绩效评价管理办法&gt;的通知》(财预〔2020〕10号)、《中共云南省委、云南省政府关于全面实施预算绩效管理的实施意见》（云发〔2019〕11号）、《云南省财政厅关于印发&lt;云南省项目支出绩效评价管理办法&gt;的通知》（云财绩〔2020〕11号）、《晋宁预算绩效管理实施办法》的要求，昆明市晋宁区财政局委托大华会计师事务所（特殊普通合伙）云南分所于2025年9-11月对晋宁（城区）雨污分流、溢流防控工程项目开展绩效评价。现将绩效评价情况报告如下：</w:t>
      </w:r>
    </w:p>
    <w:p w14:paraId="0C53058D">
      <w:pPr>
        <w:keepLines w:val="0"/>
        <w:pageBreakBefore w:val="0"/>
        <w:widowControl w:val="0"/>
        <w:kinsoku/>
        <w:wordWrap/>
        <w:overflowPunct/>
        <w:topLinePunct w:val="0"/>
        <w:autoSpaceDE/>
        <w:autoSpaceDN/>
        <w:bidi w:val="0"/>
        <w:spacing w:line="560" w:lineRule="exact"/>
        <w:ind w:firstLine="670" w:firstLineChars="200"/>
        <w:jc w:val="both"/>
        <w:textAlignment w:val="auto"/>
        <w:outlineLvl w:val="0"/>
        <w:rPr>
          <w:rFonts w:hint="eastAsia" w:ascii="黑体" w:hAnsi="黑体" w:eastAsia="黑体" w:cs="黑体"/>
          <w:b/>
          <w:bCs/>
          <w:sz w:val="32"/>
          <w:szCs w:val="32"/>
        </w:rPr>
      </w:pPr>
      <w:bookmarkStart w:id="2" w:name="_Toc11231"/>
      <w:r>
        <w:rPr>
          <w:rFonts w:hint="eastAsia" w:ascii="黑体" w:hAnsi="黑体" w:eastAsia="黑体" w:cs="黑体"/>
          <w:b/>
          <w:bCs/>
          <w:sz w:val="32"/>
          <w:szCs w:val="32"/>
        </w:rPr>
        <w:t>一、基本情况</w:t>
      </w:r>
      <w:bookmarkEnd w:id="2"/>
    </w:p>
    <w:p w14:paraId="60271779">
      <w:pPr>
        <w:keepLines w:val="0"/>
        <w:pageBreakBefore w:val="0"/>
        <w:widowControl w:val="0"/>
        <w:kinsoku/>
        <w:wordWrap/>
        <w:overflowPunct/>
        <w:topLinePunct w:val="0"/>
        <w:autoSpaceDE/>
        <w:autoSpaceDN/>
        <w:bidi w:val="0"/>
        <w:spacing w:line="560" w:lineRule="exact"/>
        <w:ind w:firstLine="590" w:firstLineChars="200"/>
        <w:jc w:val="both"/>
        <w:textAlignment w:val="auto"/>
        <w:outlineLvl w:val="1"/>
        <w:rPr>
          <w:rFonts w:hint="eastAsia" w:asciiTheme="minorEastAsia" w:hAnsiTheme="minorEastAsia" w:eastAsiaTheme="minorEastAsia" w:cstheme="minorEastAsia"/>
          <w:b/>
          <w:bCs/>
          <w:sz w:val="28"/>
          <w:szCs w:val="28"/>
        </w:rPr>
      </w:pPr>
      <w:bookmarkStart w:id="3" w:name="_Toc4118"/>
      <w:r>
        <w:rPr>
          <w:rFonts w:hint="eastAsia" w:asciiTheme="minorEastAsia" w:hAnsiTheme="minorEastAsia" w:eastAsiaTheme="minorEastAsia" w:cstheme="minorEastAsia"/>
          <w:b/>
          <w:bCs/>
          <w:sz w:val="28"/>
          <w:szCs w:val="28"/>
        </w:rPr>
        <w:t>（一）项目概况</w:t>
      </w:r>
      <w:bookmarkEnd w:id="3"/>
    </w:p>
    <w:p w14:paraId="5B4DA437">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1.项目背景及目的</w:t>
      </w:r>
    </w:p>
    <w:p w14:paraId="63CB92D8">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sectPr>
          <w:headerReference r:id="rId12" w:type="default"/>
          <w:footerReference r:id="rId13" w:type="default"/>
          <w:pgSz w:w="11906" w:h="16838"/>
          <w:pgMar w:top="2098" w:right="1474" w:bottom="1985" w:left="1588" w:header="851" w:footer="1474" w:gutter="0"/>
          <w:pgNumType w:fmt="decimal" w:start="1"/>
          <w:cols w:space="425" w:num="1"/>
          <w:docGrid w:type="linesAndChars" w:linePitch="579" w:charSpace="3247"/>
        </w:sectPr>
      </w:pPr>
      <w:r>
        <w:rPr>
          <w:rFonts w:hint="eastAsia" w:asciiTheme="minorEastAsia" w:hAnsiTheme="minorEastAsia" w:eastAsiaTheme="minorEastAsia" w:cstheme="minorEastAsia"/>
          <w:sz w:val="28"/>
          <w:szCs w:val="28"/>
        </w:rPr>
        <w:t>为响应滇池保护治理和滇池流域雨污分流工作的要求，切实削减入河污染负荷，将干净的雨水引入河道，降低市政排水管网压力，提升污水处理厂的污水处理效能，根据《2021年度昆明主城区城市管网排查、雨污分流及溢流污染防控工作任务清单》（市委办〔2021〕39号），通过实施晋宁（城区）雨污分流、溢流防控工程系统工程项目，</w:t>
      </w:r>
    </w:p>
    <w:p w14:paraId="59BB61F4">
      <w:pPr>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sz w:val="28"/>
          <w:szCs w:val="28"/>
        </w:rPr>
        <w:sectPr>
          <w:headerReference r:id="rId14" w:type="default"/>
          <w:type w:val="continuous"/>
          <w:pgSz w:w="11906" w:h="16838"/>
          <w:pgMar w:top="2098" w:right="1474" w:bottom="1985" w:left="1588" w:header="851" w:footer="1474" w:gutter="0"/>
          <w:pgNumType w:fmt="decimal"/>
          <w:cols w:space="425" w:num="1"/>
          <w:docGrid w:type="linesAndChars" w:linePitch="579" w:charSpace="3247"/>
        </w:sectPr>
      </w:pPr>
      <w:r>
        <w:rPr>
          <w:rFonts w:hint="eastAsia" w:asciiTheme="minorEastAsia" w:hAnsiTheme="minorEastAsia" w:eastAsiaTheme="minorEastAsia" w:cstheme="minorEastAsia"/>
          <w:sz w:val="28"/>
          <w:szCs w:val="28"/>
        </w:rPr>
        <w:t>改造提升雨污分流，实现雨水管网功能有效恢复，让河道封堵雨水口</w:t>
      </w:r>
    </w:p>
    <w:p w14:paraId="2C2BADA7">
      <w:pPr>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正常打开，城市内涝问题得到有效缓解；使水质净化厂进水浓度得到提升，超负荷运行情况得到缓解，城区污水溢流污染得到有效控制，实现滇池源头治理保障。晋宁（城区）雨污分流、溢流防控工程以河道水质稳定并持续改善为目标导向，致力于削减河道入湖污染物数量，保证河道入湖口断面水质能够长期稳定满足地表水水质标准，逐步恢复流域及河道生态功能，实现小流域汇流区域清水入河，提升污水厂进水浓度。项目实施主要从小区、庭院着手，从源头上进行雨污分流，并对市政排水管网进行混错接改造，完善市政管网，提升河道水质，同时对项目实施前后进行全过程水质检测，确保项目实施效果。</w:t>
      </w:r>
    </w:p>
    <w:p w14:paraId="4BC3FD1E">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2.项目实施内容</w:t>
      </w:r>
    </w:p>
    <w:p w14:paraId="28366F7C">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晋宁区（城区）雨污分流、溢流污染防控工程项目于2023年3月取得《关于调整晋宁区（城区）雨污分流、溢流污染防控工程可行性研究报告的批复》（晋发改发〔2023〕21号），批复总投资33370.13万元，项目于2023年6月启动建设，实施范围主要分为昆阳城区、晋城片区、上蒜片区、古城片区市政和庭院雨污管网及其附属设施进行排查和改造，完善雨污分流系统及设施，实施内容为：庭院内部雨污分流，新建庭院雨、污水管线约185080m, 检查井8318座，新建建筑雨水立管197130m,管线清淤24386立方米；市政管网完善，新建市政排水管道16233m，检查井633 座，新建雨水口473个，新建智能检查井5座，水质取样检测8600次，水位在线监测仪2台，流量在线监测3台。</w:t>
      </w:r>
    </w:p>
    <w:p w14:paraId="0662A8E5">
      <w:pPr>
        <w:keepNext/>
        <w:keepLines w:val="0"/>
        <w:pageBreakBefore w:val="0"/>
        <w:widowControl w:val="0"/>
        <w:kinsoku/>
        <w:wordWrap/>
        <w:overflowPunct/>
        <w:topLinePunct w:val="0"/>
        <w:autoSpaceDE/>
        <w:autoSpaceDN/>
        <w:bidi w:val="0"/>
        <w:adjustRightInd/>
        <w:snapToGrid/>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项目资金（投资）未按批复的可研报告和实施方案足额、及时下达拨付，项目实施内容亦未能按可研报告和实施方案的建设内容实施，仅根据昆明城区雨污分流规划方案的“总体计划安排”完成相关建设内容，具体内容为完成市政主、次干雨污水管网改造2.65公里，301个小区雨污分流建设，同时，2023年7月至2024年10月由云南云水间检测科技有限公司进行水样检测，取得1581次检测报告（存在无资金支付未取得检测结果的情况）。</w:t>
      </w:r>
    </w:p>
    <w:p w14:paraId="3CA025DD">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3.项目资金来源及使用情况</w:t>
      </w:r>
    </w:p>
    <w:p w14:paraId="71F40C7C">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（1）项目资金来源</w:t>
      </w:r>
    </w:p>
    <w:p w14:paraId="762A5749">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资金来源为中央及省级预算资金和专债资金。截至2024年12月31日，拨入中央及省级预算资金和专项债劵批复资金7791万元，实际到位资金7028万元,其中：中央及省级预算资金1028.00万元，专项债劵批复资金6000.00万元，资金到位率为90.21%。</w:t>
      </w:r>
    </w:p>
    <w:p w14:paraId="504747C1">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（2）资金到位情况</w:t>
      </w:r>
    </w:p>
    <w:p w14:paraId="3BA384F9">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截至2024年12月31日，实际到位资金7028万元，实际已使用资金7028万元，资金使用率100%。</w:t>
      </w:r>
    </w:p>
    <w:p w14:paraId="3DB65406">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（3）资金使用情况</w:t>
      </w:r>
    </w:p>
    <w:p w14:paraId="0E6CC3BA">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2024年12月31日，实际已使用资金7028万元，资金使用率100%。主要用于支付晋宁（城区）雨污分流、溢流防控工程项目工程进度款、系统工程设计费、造价咨询、监理服务费检测费等费用。在评审过程未发现资金使用不规范的现象。</w:t>
      </w:r>
    </w:p>
    <w:p w14:paraId="21F7BB14">
      <w:pPr>
        <w:keepLines w:val="0"/>
        <w:pageBreakBefore w:val="0"/>
        <w:widowControl w:val="0"/>
        <w:kinsoku/>
        <w:wordWrap/>
        <w:overflowPunct/>
        <w:topLinePunct w:val="0"/>
        <w:autoSpaceDE/>
        <w:autoSpaceDN/>
        <w:bidi w:val="0"/>
        <w:spacing w:line="560" w:lineRule="exact"/>
        <w:ind w:firstLine="590" w:firstLineChars="200"/>
        <w:jc w:val="both"/>
        <w:textAlignment w:val="auto"/>
        <w:outlineLvl w:val="1"/>
        <w:rPr>
          <w:rFonts w:hint="eastAsia" w:asciiTheme="minorEastAsia" w:hAnsiTheme="minorEastAsia" w:eastAsiaTheme="minorEastAsia" w:cstheme="minorEastAsia"/>
          <w:b/>
          <w:bCs/>
          <w:sz w:val="28"/>
          <w:szCs w:val="28"/>
        </w:rPr>
      </w:pPr>
      <w:bookmarkStart w:id="4" w:name="_Toc20207"/>
      <w:r>
        <w:rPr>
          <w:rFonts w:hint="eastAsia" w:asciiTheme="minorEastAsia" w:hAnsiTheme="minorEastAsia" w:eastAsiaTheme="minorEastAsia" w:cstheme="minorEastAsia"/>
          <w:b/>
          <w:bCs/>
          <w:sz w:val="28"/>
          <w:szCs w:val="28"/>
        </w:rPr>
        <w:t>（二）项目绩效目标</w:t>
      </w:r>
      <w:bookmarkEnd w:id="4"/>
    </w:p>
    <w:p w14:paraId="61DBC33E">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bookmarkStart w:id="5" w:name="_Hlk525314309"/>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项目总目标</w:t>
      </w:r>
    </w:p>
    <w:p w14:paraId="31741EAA">
      <w:pPr>
        <w:pStyle w:val="6"/>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昆明市晋宁区发展和改革局《关于调整晋宁区（城区）雨污分流、溢流污染防控工程可行性研究报告的批复》（晋发改发〔2023〕21号），计划竣工时间调整为2024年11月，受资金到位情况影响，2025年2月28日进行了建筑工程施工许可证变更（编号530115202408070102），竣工日期由2023年10月21日变更为2025年12月30日，项目实施内容根据昆明城区雨污分流规划方案的“总体计划安排”进行，截至目前，市政主干管网改造已完成雨水管安装2.68公里，市政支次管11条项目管网改造，雨污分流和301个庭院小区改造已基本完成，后续拟进行相关工程项目的初验工作。</w:t>
      </w:r>
    </w:p>
    <w:p w14:paraId="4CF6254F">
      <w:pPr>
        <w:keepLines w:val="0"/>
        <w:pageBreakBefore w:val="0"/>
        <w:widowControl w:val="0"/>
        <w:kinsoku/>
        <w:wordWrap/>
        <w:overflowPunct/>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期效果：通过实施晋宁城区雨污分流改造、溢流污染防控工程，以“网格化微改造”思路为基础，进行庭院小区雨污分流改造和市政管网完善，从庭院小区源头开始到市政管网，全面进行雨污分流，实现引清入滇，同时削减片区雨季溢流污染，降低片区水压力，提升水质净化厂污水处理效能，缓解片区淹水点。</w:t>
      </w:r>
    </w:p>
    <w:bookmarkEnd w:id="5"/>
    <w:p w14:paraId="596CB598">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outlineLvl w:val="1"/>
        <w:rPr>
          <w:rFonts w:hint="eastAsia" w:asciiTheme="minorEastAsia" w:hAnsiTheme="minorEastAsia" w:eastAsiaTheme="minorEastAsia" w:cstheme="minorEastAsia"/>
          <w:b/>
          <w:bCs/>
          <w:sz w:val="28"/>
          <w:szCs w:val="28"/>
        </w:rPr>
      </w:pPr>
      <w:bookmarkStart w:id="6" w:name="_Toc19739"/>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"_Toc434746189"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t>组织管理情况</w:t>
      </w:r>
      <w:bookmarkEnd w:id="6"/>
    </w:p>
    <w:p w14:paraId="3C4E36DA">
      <w:pPr>
        <w:keepLines w:val="0"/>
        <w:pageBreakBefore w:val="0"/>
        <w:widowControl w:val="0"/>
        <w:kinsoku/>
        <w:wordWrap/>
        <w:overflowPunct/>
        <w:topLinePunct w:val="0"/>
        <w:autoSpaceDE/>
        <w:autoSpaceDN/>
        <w:bidi w:val="0"/>
        <w:adjustRightInd w:val="0"/>
        <w:snapToGrid w:val="0"/>
        <w:spacing w:line="560" w:lineRule="exact"/>
        <w:ind w:firstLine="614" w:firstLineChars="200"/>
        <w:jc w:val="both"/>
        <w:textAlignment w:val="auto"/>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1.项目管理情况</w:t>
      </w:r>
    </w:p>
    <w:p w14:paraId="37CC90CF">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晋宁（城区）雨污分流、溢流防控工程项目管理及实施单位为</w:t>
      </w:r>
      <w:r>
        <w:rPr>
          <w:rFonts w:hint="eastAsia" w:asciiTheme="minorEastAsia" w:hAnsiTheme="minorEastAsia" w:eastAsiaTheme="minorEastAsia" w:cstheme="minorEastAsia"/>
          <w:color w:val="363636"/>
          <w:w w:val="105"/>
          <w:sz w:val="28"/>
          <w:szCs w:val="28"/>
        </w:rPr>
        <w:t>昆明市晋宁区住房和城乡建设局</w:t>
      </w:r>
      <w:r>
        <w:rPr>
          <w:rFonts w:hint="eastAsia" w:asciiTheme="minorEastAsia" w:hAnsiTheme="minorEastAsia" w:eastAsiaTheme="minorEastAsia" w:cstheme="minorEastAsia"/>
          <w:sz w:val="28"/>
          <w:szCs w:val="28"/>
        </w:rPr>
        <w:t>。</w:t>
      </w:r>
    </w:p>
    <w:p w14:paraId="6FB34D50">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2.资金安排程序</w:t>
      </w:r>
    </w:p>
    <w:p w14:paraId="0AEA209F">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区级项目资金补助资金由区级财政局下拨资金至</w:t>
      </w:r>
      <w:r>
        <w:rPr>
          <w:rFonts w:hint="eastAsia" w:asciiTheme="minorEastAsia" w:hAnsiTheme="minorEastAsia" w:eastAsiaTheme="minorEastAsia" w:cstheme="minorEastAsia"/>
          <w:color w:val="363636"/>
          <w:w w:val="105"/>
          <w:sz w:val="28"/>
          <w:szCs w:val="28"/>
        </w:rPr>
        <w:t>昆明市晋宁区住房和城乡建设局</w:t>
      </w:r>
      <w:r>
        <w:rPr>
          <w:rFonts w:hint="eastAsia" w:asciiTheme="minorEastAsia" w:hAnsiTheme="minorEastAsia" w:eastAsiaTheme="minorEastAsia" w:cstheme="minorEastAsia"/>
          <w:sz w:val="28"/>
          <w:szCs w:val="28"/>
        </w:rPr>
        <w:t>，再由</w:t>
      </w:r>
      <w:r>
        <w:rPr>
          <w:rFonts w:hint="eastAsia" w:asciiTheme="minorEastAsia" w:hAnsiTheme="minorEastAsia" w:eastAsiaTheme="minorEastAsia" w:cstheme="minorEastAsia"/>
          <w:color w:val="363636"/>
          <w:w w:val="105"/>
          <w:sz w:val="28"/>
          <w:szCs w:val="28"/>
        </w:rPr>
        <w:t>昆明市晋宁区住房和城乡建设局</w:t>
      </w:r>
      <w:r>
        <w:rPr>
          <w:rFonts w:hint="eastAsia" w:asciiTheme="minorEastAsia" w:hAnsiTheme="minorEastAsia" w:eastAsiaTheme="minorEastAsia" w:cstheme="minorEastAsia"/>
          <w:sz w:val="28"/>
          <w:szCs w:val="28"/>
        </w:rPr>
        <w:t>按项目工程施工合同及其他造价咨询、监理、测量费、勘察费、工程设计履行相关审批程序进行款项拨付。</w:t>
      </w:r>
    </w:p>
    <w:p w14:paraId="52017D56">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3.专项资金组织管理</w:t>
      </w:r>
    </w:p>
    <w:p w14:paraId="28F0558E">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项目资金使用执行</w:t>
      </w:r>
      <w:r>
        <w:rPr>
          <w:rFonts w:hint="eastAsia" w:asciiTheme="minorEastAsia" w:hAnsiTheme="minorEastAsia" w:eastAsiaTheme="minorEastAsia" w:cstheme="minorEastAsia"/>
          <w:color w:val="363636"/>
          <w:w w:val="105"/>
          <w:sz w:val="28"/>
          <w:szCs w:val="28"/>
        </w:rPr>
        <w:t>昆明市晋宁区住房和城乡建设局</w:t>
      </w:r>
      <w:r>
        <w:rPr>
          <w:rFonts w:hint="eastAsia" w:asciiTheme="minorEastAsia" w:hAnsiTheme="minorEastAsia" w:eastAsiaTheme="minorEastAsia" w:cstheme="minorEastAsia"/>
          <w:sz w:val="28"/>
          <w:szCs w:val="28"/>
        </w:rPr>
        <w:t>内部控制规范手册相关财务管理办法，按规定的审批流程进行专项资金拨付。</w:t>
      </w:r>
    </w:p>
    <w:p w14:paraId="16E5AA4E">
      <w:pPr>
        <w:keepLines w:val="0"/>
        <w:pageBreakBefore w:val="0"/>
        <w:widowControl w:val="0"/>
        <w:kinsoku/>
        <w:wordWrap/>
        <w:overflowPunct/>
        <w:topLinePunct w:val="0"/>
        <w:autoSpaceDE/>
        <w:autoSpaceDN/>
        <w:bidi w:val="0"/>
        <w:adjustRightInd w:val="0"/>
        <w:snapToGrid w:val="0"/>
        <w:spacing w:line="560" w:lineRule="exact"/>
        <w:ind w:firstLine="670" w:firstLineChars="200"/>
        <w:jc w:val="both"/>
        <w:textAlignment w:val="auto"/>
        <w:outlineLvl w:val="0"/>
        <w:rPr>
          <w:rFonts w:hint="eastAsia" w:ascii="黑体" w:hAnsi="黑体" w:eastAsia="黑体" w:cs="黑体"/>
          <w:b/>
          <w:bCs/>
          <w:sz w:val="32"/>
          <w:szCs w:val="32"/>
        </w:rPr>
      </w:pPr>
      <w:bookmarkStart w:id="7" w:name="_Toc27361"/>
      <w:r>
        <w:rPr>
          <w:rFonts w:hint="eastAsia" w:ascii="黑体" w:hAnsi="黑体" w:eastAsia="黑体" w:cs="黑体"/>
          <w:b/>
          <w:bCs/>
          <w:sz w:val="32"/>
          <w:szCs w:val="32"/>
        </w:rPr>
        <w:t>二、绩效评价工作开展情况</w:t>
      </w:r>
      <w:bookmarkEnd w:id="7"/>
    </w:p>
    <w:p w14:paraId="5294014C">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outlineLvl w:val="1"/>
        <w:rPr>
          <w:rFonts w:hint="eastAsia" w:asciiTheme="minorEastAsia" w:hAnsiTheme="minorEastAsia" w:eastAsiaTheme="minorEastAsia" w:cstheme="minorEastAsia"/>
          <w:b/>
          <w:bCs/>
          <w:sz w:val="28"/>
          <w:szCs w:val="28"/>
        </w:rPr>
      </w:pPr>
      <w:bookmarkStart w:id="8" w:name="_Toc12128"/>
      <w:r>
        <w:rPr>
          <w:rFonts w:hint="eastAsia" w:asciiTheme="minorEastAsia" w:hAnsiTheme="minorEastAsia" w:eastAsiaTheme="minorEastAsia" w:cstheme="minorEastAsia"/>
          <w:b/>
          <w:bCs/>
          <w:sz w:val="28"/>
          <w:szCs w:val="28"/>
        </w:rPr>
        <w:t>（一）绩效评价目的、对象和范围</w:t>
      </w:r>
      <w:bookmarkEnd w:id="8"/>
    </w:p>
    <w:p w14:paraId="3AE9CB98">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1.绩效评价目的</w:t>
      </w:r>
    </w:p>
    <w:p w14:paraId="4F41E353">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支出绩效评价是运用客观的指标体系，对公共资源使用效率、效益进行综合分析和评价，促进政府职能转变，提高资源配置效率，推进政府管理科学化的重要抓手。绩效评价对于公共政策执行质量、效益、能力的提高等有一定的理论意义与实践价值。本次绩效评价受昆明市晋宁区财政局的委托，对项目决策、项目管理、项目产出、项目效益，做出综合的评价，为政府科学决策和项目长效管理提供依据。</w:t>
      </w:r>
    </w:p>
    <w:p w14:paraId="72E463FC">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通过本次绩效评价，有助于管理部门明确项目绩效目标，重视项目实施的规范性。并且总结经验教训，及时发现不足，对以后年度的计划安排和资金拨付以及工作开展，进行有益的探索和实践。</w:t>
      </w:r>
    </w:p>
    <w:p w14:paraId="48AE7AE5">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2.绩效评价的对象和范围</w:t>
      </w:r>
    </w:p>
    <w:p w14:paraId="06E8FA6F">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本次绩效评价对象为晋宁（城区）雨污分流、溢流防控工程项目项目的专项补助资金，评价范围为2024年晋宁（城区）雨污分流、溢流防控工程项目建设情况及专项资金使用情况。</w:t>
      </w:r>
    </w:p>
    <w:p w14:paraId="51B0DE44">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outlineLvl w:val="1"/>
        <w:rPr>
          <w:rFonts w:hint="eastAsia" w:asciiTheme="minorEastAsia" w:hAnsiTheme="minorEastAsia" w:eastAsiaTheme="minorEastAsia" w:cstheme="minorEastAsia"/>
          <w:b/>
          <w:bCs w:val="0"/>
          <w:sz w:val="28"/>
          <w:szCs w:val="28"/>
        </w:rPr>
      </w:pPr>
      <w:bookmarkStart w:id="9" w:name="_Toc83664572"/>
      <w:bookmarkStart w:id="10" w:name="_Toc84243563"/>
      <w:bookmarkStart w:id="11" w:name="_Toc83886773"/>
      <w:bookmarkStart w:id="12" w:name="_Toc83888587"/>
      <w:bookmarkStart w:id="13" w:name="_Toc83892453"/>
      <w:bookmarkStart w:id="14" w:name="_Toc5213"/>
      <w:bookmarkStart w:id="15" w:name="_Toc11677"/>
      <w:r>
        <w:rPr>
          <w:rFonts w:hint="eastAsia" w:asciiTheme="minorEastAsia" w:hAnsiTheme="minorEastAsia" w:eastAsiaTheme="minorEastAsia" w:cstheme="minorEastAsia"/>
          <w:b/>
          <w:bCs w:val="0"/>
          <w:sz w:val="28"/>
          <w:szCs w:val="28"/>
        </w:rPr>
        <w:t>（二）绩效评价原则、评价指标体系、评价方法、评价标准和评价抽样</w:t>
      </w:r>
      <w:bookmarkEnd w:id="9"/>
      <w:bookmarkEnd w:id="10"/>
      <w:bookmarkEnd w:id="11"/>
      <w:bookmarkEnd w:id="12"/>
      <w:bookmarkEnd w:id="13"/>
      <w:bookmarkEnd w:id="14"/>
    </w:p>
    <w:p w14:paraId="0EC6DC70">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1.绩效评价原则</w:t>
      </w:r>
    </w:p>
    <w:p w14:paraId="2159B0D5">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本次绩效评价遵循科学规范、公正公开、绩效相关的基本原则：</w:t>
      </w:r>
    </w:p>
    <w:p w14:paraId="4649CCCB">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（1）科学规范原则。绩效评价注重财政支出经济性、效率性和有效性，严格执行规定的程序，采用定量与定性分析相结合的方法。</w:t>
      </w:r>
    </w:p>
    <w:p w14:paraId="5A0591FB">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（2）公正公开原则。绩效评价客观公正，标准统一，资料可靠，依法公开并接受监督。</w:t>
      </w:r>
    </w:p>
    <w:p w14:paraId="625BE90A">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（3）绩效相关原则。绩效评价围绕绩效目标、针对具体支出及其产出绩效进行评价，评价结果清晰反映支出和产出绩效之间的对应关系。</w:t>
      </w:r>
    </w:p>
    <w:p w14:paraId="4F7F7C49">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2.绩效评价体系</w:t>
      </w:r>
    </w:p>
    <w:p w14:paraId="735885D4">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（1）绩效评价指标</w:t>
      </w:r>
    </w:p>
    <w:p w14:paraId="5338A622">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根据项目相关性、重要性、可比性、经济性、系统性原则，结合财政支出项目绩效评价的相关要求设立相应的指标，并分配相应的权重（分值）。根据项目特点，本项目评价指标拟设置4个一级指标（</w:t>
      </w:r>
      <w:r>
        <w:rPr>
          <w:rFonts w:hint="eastAsia" w:asciiTheme="minorEastAsia" w:hAnsiTheme="minorEastAsia" w:eastAsiaTheme="minorEastAsia" w:cstheme="minorEastAsia"/>
          <w:bCs/>
          <w:spacing w:val="6"/>
          <w:kern w:val="0"/>
          <w:sz w:val="28"/>
          <w:szCs w:val="28"/>
        </w:rPr>
        <w:t>决策、过程、产出、效果</w:t>
      </w:r>
      <w:r>
        <w:rPr>
          <w:rFonts w:hint="eastAsia" w:asciiTheme="minorEastAsia" w:hAnsiTheme="minorEastAsia" w:eastAsiaTheme="minorEastAsia" w:cstheme="minorEastAsia"/>
          <w:bCs/>
          <w:sz w:val="28"/>
          <w:szCs w:val="28"/>
        </w:rPr>
        <w:t>）；7个二级指标（项目立项、绩效目标、资金投入、项目管理、资金管理、产出数量、产出质量、时效指标、经济效益、社会效益、环境效益、可持续影响、满意度）；25个三级指标。</w:t>
      </w:r>
    </w:p>
    <w:p w14:paraId="44C9FD17">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具体内容详见“附件2：绩效评价指标体系”。</w:t>
      </w:r>
    </w:p>
    <w:p w14:paraId="2AA54598">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（2）绩效评价指标分值权重</w:t>
      </w:r>
    </w:p>
    <w:p w14:paraId="26BE09AC">
      <w:pPr>
        <w:keepLines w:val="0"/>
        <w:pageBreakBefore w:val="0"/>
        <w:widowControl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根据云南省财政厅关于印发《云南省项目支出绩效评价管理办法》的通知（云财绩〔2020〕11号）及</w:t>
      </w:r>
      <w:r>
        <w:rPr>
          <w:rFonts w:hint="eastAsia" w:asciiTheme="minorEastAsia" w:hAnsiTheme="minorEastAsia" w:eastAsiaTheme="minorEastAsia" w:cstheme="minorEastAsia"/>
          <w:sz w:val="28"/>
          <w:szCs w:val="28"/>
        </w:rPr>
        <w:t>《晋宁区绩效管理实施办法》</w:t>
      </w:r>
      <w:r>
        <w:rPr>
          <w:rFonts w:hint="eastAsia" w:asciiTheme="minorEastAsia" w:hAnsiTheme="minorEastAsia" w:eastAsiaTheme="minorEastAsia" w:cstheme="minorEastAsia"/>
          <w:bCs/>
          <w:spacing w:val="6"/>
          <w:sz w:val="28"/>
          <w:szCs w:val="28"/>
        </w:rPr>
        <w:t>要求，</w:t>
      </w:r>
      <w:r>
        <w:rPr>
          <w:rFonts w:hint="eastAsia" w:asciiTheme="minorEastAsia" w:hAnsiTheme="minorEastAsia" w:eastAsiaTheme="minorEastAsia" w:cstheme="minorEastAsia"/>
          <w:bCs/>
          <w:sz w:val="28"/>
          <w:szCs w:val="28"/>
        </w:rPr>
        <w:t>通过研究项目的实施背景与政策目标，分析梳理前期调研和试点获取的相关数据和资料，查看行业专家论点和相关文献，综合判断各级评价指标对实现绩效目标的关键程度，确定各评价指标的分值权重。</w:t>
      </w:r>
    </w:p>
    <w:p w14:paraId="46BBFA9D">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绩效评价指标体系从</w:t>
      </w:r>
      <w:r>
        <w:rPr>
          <w:rFonts w:hint="eastAsia" w:asciiTheme="minorEastAsia" w:hAnsiTheme="minorEastAsia" w:eastAsiaTheme="minorEastAsia" w:cstheme="minorEastAsia"/>
          <w:bCs/>
          <w:spacing w:val="6"/>
          <w:sz w:val="28"/>
          <w:szCs w:val="28"/>
        </w:rPr>
        <w:t>决策、过程、产出、效果四</w:t>
      </w:r>
      <w:r>
        <w:rPr>
          <w:rFonts w:hint="eastAsia" w:asciiTheme="minorEastAsia" w:hAnsiTheme="minorEastAsia" w:eastAsiaTheme="minorEastAsia" w:cstheme="minorEastAsia"/>
          <w:bCs/>
          <w:sz w:val="28"/>
          <w:szCs w:val="28"/>
        </w:rPr>
        <w:t>个方面进行构建，“决策”分值权重20分，“过程”分值权重20分，“产出”分值权重30分，“效益”分值权重30分。</w:t>
      </w:r>
    </w:p>
    <w:p w14:paraId="19CEC916">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本次评价采用百分制，各级指标依据其指标权重确定分值，最终得分由各级评价指标得分加总形成。</w:t>
      </w:r>
    </w:p>
    <w:p w14:paraId="1803375B">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（3）指标解释</w:t>
      </w:r>
    </w:p>
    <w:p w14:paraId="03AF7BB4">
      <w:pPr>
        <w:keepLines w:val="0"/>
        <w:pageBreakBefore w:val="0"/>
        <w:widowControl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z w:val="28"/>
          <w:szCs w:val="28"/>
        </w:rPr>
        <w:t>根据云南省财政厅关于印发《云南省项目支出绩效评价管理</w:t>
      </w:r>
      <w:r>
        <w:rPr>
          <w:rFonts w:hint="eastAsia" w:asciiTheme="minorEastAsia" w:hAnsiTheme="minorEastAsia" w:eastAsiaTheme="minorEastAsia" w:cstheme="minorEastAsia"/>
          <w:bCs/>
          <w:spacing w:val="6"/>
          <w:sz w:val="28"/>
          <w:szCs w:val="28"/>
        </w:rPr>
        <w:t>办法》的通知（云财绩〔2020〕11号）</w:t>
      </w:r>
      <w:r>
        <w:rPr>
          <w:rFonts w:hint="eastAsia" w:asciiTheme="minorEastAsia" w:hAnsiTheme="minorEastAsia" w:eastAsiaTheme="minorEastAsia" w:cstheme="minorEastAsia"/>
          <w:sz w:val="28"/>
          <w:szCs w:val="28"/>
        </w:rPr>
        <w:t>《晋宁区全过程预算绩效管理实施办法》</w:t>
      </w:r>
      <w:r>
        <w:rPr>
          <w:rFonts w:hint="eastAsia" w:asciiTheme="minorEastAsia" w:hAnsiTheme="minorEastAsia" w:eastAsiaTheme="minorEastAsia" w:cstheme="minorEastAsia"/>
          <w:bCs/>
          <w:spacing w:val="6"/>
          <w:sz w:val="28"/>
          <w:szCs w:val="28"/>
        </w:rPr>
        <w:t>要求，绩效评价指标从“决策、过程、产出、效果”四个方面，对项目执行效果及各项绩效目标的实现程度进行全面绩效评价。</w:t>
      </w:r>
    </w:p>
    <w:p w14:paraId="63B91B7F">
      <w:pPr>
        <w:keepLines w:val="0"/>
        <w:pageBreakBefore w:val="0"/>
        <w:widowControl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①“决策”指标由“</w:t>
      </w:r>
      <w:r>
        <w:rPr>
          <w:rFonts w:hint="eastAsia" w:asciiTheme="minorEastAsia" w:hAnsiTheme="minorEastAsia" w:eastAsiaTheme="minorEastAsia" w:cstheme="minorEastAsia"/>
          <w:bCs/>
          <w:sz w:val="28"/>
          <w:szCs w:val="28"/>
        </w:rPr>
        <w:t>项目立项、绩效目标</w:t>
      </w:r>
      <w:r>
        <w:rPr>
          <w:rFonts w:hint="eastAsia" w:asciiTheme="minorEastAsia" w:hAnsiTheme="minorEastAsia" w:eastAsiaTheme="minorEastAsia" w:cstheme="minorEastAsia"/>
          <w:bCs/>
          <w:spacing w:val="6"/>
          <w:sz w:val="28"/>
          <w:szCs w:val="28"/>
        </w:rPr>
        <w:t>”2个二级指标构成，同时将2个二级指标细化为5个三级指标。主要考核立项依据充分性、立项程序规范性、绩效目标合理性、绩效指标明确性、预算编制科学性。</w:t>
      </w:r>
    </w:p>
    <w:p w14:paraId="3414F9A0">
      <w:pPr>
        <w:keepLines w:val="0"/>
        <w:pageBreakBefore w:val="0"/>
        <w:widowControl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②“过程”指标由“</w:t>
      </w:r>
      <w:r>
        <w:rPr>
          <w:rFonts w:hint="eastAsia" w:asciiTheme="minorEastAsia" w:hAnsiTheme="minorEastAsia" w:eastAsiaTheme="minorEastAsia" w:cstheme="minorEastAsia"/>
          <w:bCs/>
          <w:sz w:val="28"/>
          <w:szCs w:val="28"/>
        </w:rPr>
        <w:t>项目投入、财务、实施管理</w:t>
      </w:r>
      <w:r>
        <w:rPr>
          <w:rFonts w:hint="eastAsia" w:asciiTheme="minorEastAsia" w:hAnsiTheme="minorEastAsia" w:eastAsiaTheme="minorEastAsia" w:cstheme="minorEastAsia"/>
          <w:bCs/>
          <w:spacing w:val="6"/>
          <w:sz w:val="28"/>
          <w:szCs w:val="28"/>
        </w:rPr>
        <w:t>”3个二级指标构成，同时将3个二级指标细化为11个三级指标。主要围绕项目管理、财务管理及项目实施管理为主线展开，依据相关项目管理制度和资金办理办法设计考核点，评价项目实施过程中资金到位率、预算执行率、资金使用合规性、管理制度健全性、制度执行有效性、监督考核及档案管理情况等。</w:t>
      </w:r>
    </w:p>
    <w:p w14:paraId="381BBA51">
      <w:pPr>
        <w:keepLines w:val="0"/>
        <w:pageBreakBefore w:val="0"/>
        <w:widowControl w:val="0"/>
        <w:tabs>
          <w:tab w:val="right" w:pos="8214"/>
        </w:tabs>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pacing w:val="6"/>
          <w:sz w:val="28"/>
          <w:szCs w:val="28"/>
        </w:rPr>
        <w:t>③“产出”指标设置了产出指标由“</w:t>
      </w:r>
      <w:r>
        <w:rPr>
          <w:rFonts w:hint="eastAsia" w:asciiTheme="minorEastAsia" w:hAnsiTheme="minorEastAsia" w:eastAsiaTheme="minorEastAsia" w:cstheme="minorEastAsia"/>
          <w:bCs/>
          <w:sz w:val="28"/>
          <w:szCs w:val="28"/>
        </w:rPr>
        <w:t>产出数量、产出质量、时效指标及成本控制为4个三级指标组成，</w:t>
      </w:r>
      <w:r>
        <w:rPr>
          <w:rFonts w:hint="eastAsia" w:asciiTheme="minorEastAsia" w:hAnsiTheme="minorEastAsia" w:eastAsiaTheme="minorEastAsia" w:cstheme="minorEastAsia"/>
          <w:bCs/>
          <w:spacing w:val="6"/>
          <w:sz w:val="28"/>
          <w:szCs w:val="28"/>
        </w:rPr>
        <w:t>即将1个二级指标细化为4个三级指标</w:t>
      </w:r>
      <w:r>
        <w:rPr>
          <w:rFonts w:hint="eastAsia" w:asciiTheme="minorEastAsia" w:hAnsiTheme="minorEastAsia" w:eastAsiaTheme="minorEastAsia" w:cstheme="minorEastAsia"/>
          <w:bCs/>
          <w:sz w:val="28"/>
          <w:szCs w:val="28"/>
        </w:rPr>
        <w:t>主要考核前期工作完成情况、项目建设情况、安全质量事故控制情况、项目施工规范性、已完工的项目达到规范标准要求、项目进度、时性及成本控制等。</w:t>
      </w:r>
    </w:p>
    <w:p w14:paraId="79A47725">
      <w:pPr>
        <w:keepLines w:val="0"/>
        <w:pageBreakBefore w:val="0"/>
        <w:widowControl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④“效果”指标由“经济效益、社会效益、环境效益、可持续影响、满意度”5个二级指标构成，同时将1个二级指标细化为5个三级指标，主要考核项目投资完成情况对生态环境修复、清淤除杂工程环境效益改善情况、群众居住环境改善情况、提升城市形象，促进经济发展、长效管理可持续性及项目实施效果的满意度等。</w:t>
      </w:r>
    </w:p>
    <w:p w14:paraId="62D53C0B">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bookmarkStart w:id="16" w:name="_Toc83721333"/>
      <w:bookmarkStart w:id="17" w:name="_Toc83888521"/>
      <w:bookmarkStart w:id="18" w:name="_Toc83892456"/>
      <w:bookmarkStart w:id="19" w:name="_Toc84243566"/>
      <w:bookmarkStart w:id="20" w:name="_Toc84242639"/>
      <w:bookmarkStart w:id="21" w:name="_Toc83664576"/>
      <w:bookmarkStart w:id="22" w:name="_Toc83886776"/>
      <w:bookmarkStart w:id="23" w:name="_Toc84241854"/>
      <w:bookmarkStart w:id="24" w:name="_Toc84242052"/>
      <w:r>
        <w:rPr>
          <w:rFonts w:hint="eastAsia" w:asciiTheme="minorEastAsia" w:hAnsiTheme="minorEastAsia" w:eastAsiaTheme="minorEastAsia" w:cstheme="minorEastAsia"/>
          <w:sz w:val="28"/>
          <w:szCs w:val="28"/>
        </w:rPr>
        <w:t>3.绩效评价方法</w:t>
      </w:r>
      <w:bookmarkEnd w:id="16"/>
      <w:bookmarkEnd w:id="17"/>
      <w:bookmarkEnd w:id="18"/>
      <w:bookmarkEnd w:id="19"/>
      <w:bookmarkEnd w:id="20"/>
      <w:bookmarkEnd w:id="21"/>
      <w:bookmarkEnd w:id="22"/>
      <w:bookmarkEnd w:id="23"/>
      <w:bookmarkEnd w:id="24"/>
    </w:p>
    <w:p w14:paraId="408C8155">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次绩效评价采用定量与定性相结合、审阅评价相结合，对收集的相关基础资料、各种技术经济数据，在归集、整理、分析的基础上，运用资料审阅法、实地查勘法、分析比较法、公众问卷调查法等，系统、科学的反映拟评价项目综合绩效情况。</w:t>
      </w:r>
    </w:p>
    <w:p w14:paraId="6A2119BD">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bookmarkStart w:id="25" w:name="_Toc84243567"/>
      <w:bookmarkStart w:id="26" w:name="_Toc84241855"/>
      <w:bookmarkStart w:id="27" w:name="_Toc84242640"/>
      <w:bookmarkStart w:id="28" w:name="_Toc83721334"/>
      <w:bookmarkStart w:id="29" w:name="_Toc83886777"/>
      <w:bookmarkStart w:id="30" w:name="_Toc83892457"/>
      <w:bookmarkStart w:id="31" w:name="_Toc83888522"/>
      <w:bookmarkStart w:id="32" w:name="_Toc83664577"/>
      <w:bookmarkStart w:id="33" w:name="_Toc84242053"/>
      <w:r>
        <w:rPr>
          <w:rFonts w:hint="eastAsia" w:asciiTheme="minorEastAsia" w:hAnsiTheme="minorEastAsia" w:eastAsiaTheme="minorEastAsia" w:cstheme="minorEastAsia"/>
          <w:sz w:val="28"/>
          <w:szCs w:val="28"/>
        </w:rPr>
        <w:t>4.评价标准</w:t>
      </w:r>
      <w:bookmarkEnd w:id="25"/>
      <w:bookmarkEnd w:id="26"/>
      <w:bookmarkEnd w:id="27"/>
      <w:bookmarkEnd w:id="28"/>
      <w:bookmarkEnd w:id="29"/>
      <w:bookmarkEnd w:id="30"/>
      <w:bookmarkEnd w:id="31"/>
      <w:bookmarkEnd w:id="32"/>
      <w:bookmarkEnd w:id="33"/>
    </w:p>
    <w:p w14:paraId="5A56D499">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本次评价采用百分制，各级指标依据其指标权重确定分值，最终得分由各级评价指标得分加总形成。根据最终得分将评价标准分为四个等级：优（得分≥90分）；良（80分≤得分＜90分）；中（60≤得分＜80分）；差（得分＜60分）。</w:t>
      </w:r>
    </w:p>
    <w:p w14:paraId="7A4A6B19">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bookmarkStart w:id="34" w:name="_Toc84242641"/>
      <w:bookmarkStart w:id="35" w:name="_Toc83721335"/>
      <w:bookmarkStart w:id="36" w:name="_Toc84242054"/>
      <w:bookmarkStart w:id="37" w:name="_Toc83664578"/>
      <w:bookmarkStart w:id="38" w:name="_Toc84243568"/>
      <w:bookmarkStart w:id="39" w:name="_Toc83888523"/>
      <w:bookmarkStart w:id="40" w:name="_Toc84241856"/>
      <w:bookmarkStart w:id="41" w:name="_Toc83892458"/>
      <w:bookmarkStart w:id="42" w:name="_Toc83886778"/>
      <w:r>
        <w:rPr>
          <w:rFonts w:hint="eastAsia" w:asciiTheme="minorEastAsia" w:hAnsiTheme="minorEastAsia" w:eastAsiaTheme="minorEastAsia" w:cstheme="minorEastAsia"/>
          <w:sz w:val="28"/>
          <w:szCs w:val="28"/>
        </w:rPr>
        <w:t>5.实地评价抽样</w:t>
      </w:r>
      <w:bookmarkEnd w:id="34"/>
      <w:bookmarkEnd w:id="35"/>
      <w:bookmarkEnd w:id="36"/>
      <w:bookmarkEnd w:id="37"/>
      <w:bookmarkEnd w:id="38"/>
      <w:bookmarkEnd w:id="39"/>
      <w:bookmarkEnd w:id="40"/>
      <w:bookmarkEnd w:id="41"/>
      <w:bookmarkEnd w:id="42"/>
    </w:p>
    <w:p w14:paraId="5D5001E0">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该项目选择100%全覆盖的实地评价方式。</w:t>
      </w:r>
    </w:p>
    <w:bookmarkEnd w:id="15"/>
    <w:p w14:paraId="46EA4C13">
      <w:pPr>
        <w:keepLines w:val="0"/>
        <w:pageBreakBefore w:val="0"/>
        <w:widowControl w:val="0"/>
        <w:kinsoku/>
        <w:wordWrap/>
        <w:overflowPunct/>
        <w:topLinePunct w:val="0"/>
        <w:autoSpaceDE/>
        <w:autoSpaceDN/>
        <w:bidi w:val="0"/>
        <w:adjustRightInd w:val="0"/>
        <w:spacing w:line="560" w:lineRule="exact"/>
        <w:ind w:firstLine="590" w:firstLineChars="200"/>
        <w:jc w:val="both"/>
        <w:textAlignment w:val="auto"/>
        <w:outlineLvl w:val="1"/>
        <w:rPr>
          <w:rFonts w:hint="eastAsia" w:asciiTheme="minorEastAsia" w:hAnsiTheme="minorEastAsia" w:eastAsiaTheme="minorEastAsia" w:cstheme="minorEastAsia"/>
          <w:b/>
          <w:bCs w:val="0"/>
          <w:sz w:val="28"/>
          <w:szCs w:val="28"/>
        </w:rPr>
      </w:pPr>
      <w:bookmarkStart w:id="43" w:name="_Toc83886779"/>
      <w:bookmarkStart w:id="44" w:name="_Toc83892459"/>
      <w:bookmarkStart w:id="45" w:name="_Toc83664579"/>
      <w:bookmarkStart w:id="46" w:name="_Toc84243569"/>
      <w:bookmarkStart w:id="47" w:name="_Toc27179"/>
      <w:bookmarkStart w:id="48" w:name="_Toc83888588"/>
      <w:r>
        <w:rPr>
          <w:rFonts w:hint="eastAsia" w:asciiTheme="minorEastAsia" w:hAnsiTheme="minorEastAsia" w:eastAsiaTheme="minorEastAsia" w:cstheme="minorEastAsia"/>
          <w:b/>
          <w:bCs w:val="0"/>
          <w:sz w:val="28"/>
          <w:szCs w:val="28"/>
        </w:rPr>
        <w:t>（三）绩效评价工作过程</w:t>
      </w:r>
      <w:bookmarkEnd w:id="43"/>
      <w:bookmarkEnd w:id="44"/>
      <w:bookmarkEnd w:id="45"/>
      <w:bookmarkEnd w:id="46"/>
      <w:bookmarkEnd w:id="47"/>
      <w:bookmarkEnd w:id="48"/>
    </w:p>
    <w:p w14:paraId="750E9EAB">
      <w:pPr>
        <w:keepLines w:val="0"/>
        <w:pageBreakBefore w:val="0"/>
        <w:widowControl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pacing w:val="6"/>
          <w:kern w:val="0"/>
          <w:sz w:val="28"/>
          <w:szCs w:val="28"/>
        </w:rPr>
      </w:pPr>
      <w:r>
        <w:rPr>
          <w:rFonts w:hint="eastAsia" w:asciiTheme="minorEastAsia" w:hAnsiTheme="minorEastAsia" w:eastAsiaTheme="minorEastAsia" w:cstheme="minorEastAsia"/>
          <w:bCs/>
          <w:spacing w:val="6"/>
          <w:kern w:val="0"/>
          <w:sz w:val="28"/>
          <w:szCs w:val="28"/>
        </w:rPr>
        <w:t>绩效评价小组严格按照评价工作方案中确定的评价思路，通过研读项目相关文件资料、填报基础数据采集表、问卷调查、访谈等方法收集项目相关数据。具体实施过程如下：</w:t>
      </w:r>
    </w:p>
    <w:p w14:paraId="041BDFD7">
      <w:pPr>
        <w:keepLines w:val="0"/>
        <w:pageBreakBefore w:val="0"/>
        <w:widowControl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pacing w:val="6"/>
          <w:kern w:val="0"/>
          <w:sz w:val="28"/>
          <w:szCs w:val="28"/>
        </w:rPr>
      </w:pPr>
      <w:r>
        <w:rPr>
          <w:rFonts w:hint="eastAsia" w:asciiTheme="minorEastAsia" w:hAnsiTheme="minorEastAsia" w:eastAsiaTheme="minorEastAsia" w:cstheme="minorEastAsia"/>
          <w:bCs/>
          <w:spacing w:val="6"/>
          <w:kern w:val="0"/>
          <w:sz w:val="28"/>
          <w:szCs w:val="28"/>
        </w:rPr>
        <w:t>1.数据填报和采集。本次绩效评价数据包括定性和定量两种数据，定性数据主要通过实地考察、面对面访谈、问卷调研等社会调查的方式来采集。定量数据的采集主要通过被评价单位上报数据、服务绩效考核数据和实地复核数据相结合的方式，形成数据采集两条线，有效保证数据的真实性和可靠性。</w:t>
      </w:r>
    </w:p>
    <w:p w14:paraId="41787356">
      <w:pPr>
        <w:keepLines w:val="0"/>
        <w:pageBreakBefore w:val="0"/>
        <w:widowControl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pacing w:val="6"/>
          <w:kern w:val="0"/>
          <w:sz w:val="28"/>
          <w:szCs w:val="28"/>
        </w:rPr>
      </w:pPr>
      <w:r>
        <w:rPr>
          <w:rFonts w:hint="eastAsia" w:asciiTheme="minorEastAsia" w:hAnsiTheme="minorEastAsia" w:eastAsiaTheme="minorEastAsia" w:cstheme="minorEastAsia"/>
          <w:bCs/>
          <w:spacing w:val="6"/>
          <w:kern w:val="0"/>
          <w:sz w:val="28"/>
          <w:szCs w:val="28"/>
          <w:lang w:val="en-US" w:eastAsia="zh-CN"/>
        </w:rPr>
        <w:t>2.</w:t>
      </w:r>
      <w:r>
        <w:rPr>
          <w:rFonts w:hint="eastAsia" w:asciiTheme="minorEastAsia" w:hAnsiTheme="minorEastAsia" w:eastAsiaTheme="minorEastAsia" w:cstheme="minorEastAsia"/>
          <w:bCs/>
          <w:spacing w:val="6"/>
          <w:kern w:val="0"/>
          <w:sz w:val="28"/>
          <w:szCs w:val="28"/>
        </w:rPr>
        <w:t>采用一对一现场访谈的形式对项目相关负责人进行了访谈，了解了项目组织、实施和管理的具体情况。根据工作方案中确定的调查对象、调查内容和抽样方式，以问卷调查的形式对项目实施受益对象开展满意度调查，对管理部门发放调查问卷10份，对施工单位、监理单位及造价单位发放调查问卷10份，回收率均100%；对社会公众共发放问卷100份，实际回收有效问卷100份，回收率100%，根据问卷调查结果，项目组撰写了社会调查问卷分析报告，详见附件</w:t>
      </w:r>
      <w:r>
        <w:rPr>
          <w:rFonts w:hint="eastAsia" w:asciiTheme="minorEastAsia" w:hAnsiTheme="minorEastAsia" w:eastAsiaTheme="minorEastAsia" w:cstheme="minorEastAsia"/>
          <w:bCs/>
          <w:spacing w:val="6"/>
          <w:kern w:val="0"/>
          <w:sz w:val="28"/>
          <w:szCs w:val="28"/>
          <w:lang w:val="en-US" w:eastAsia="zh-CN"/>
        </w:rPr>
        <w:t>5</w:t>
      </w:r>
      <w:r>
        <w:rPr>
          <w:rFonts w:hint="eastAsia" w:asciiTheme="minorEastAsia" w:hAnsiTheme="minorEastAsia" w:eastAsiaTheme="minorEastAsia" w:cstheme="minorEastAsia"/>
          <w:bCs/>
          <w:spacing w:val="6"/>
          <w:kern w:val="0"/>
          <w:sz w:val="28"/>
          <w:szCs w:val="28"/>
        </w:rPr>
        <w:t>。</w:t>
      </w:r>
    </w:p>
    <w:p w14:paraId="45C5DA5D">
      <w:pPr>
        <w:keepLines w:val="0"/>
        <w:pageBreakBefore w:val="0"/>
        <w:widowControl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pacing w:val="6"/>
          <w:kern w:val="0"/>
          <w:sz w:val="28"/>
          <w:szCs w:val="28"/>
        </w:rPr>
      </w:pPr>
      <w:r>
        <w:rPr>
          <w:rFonts w:hint="eastAsia" w:asciiTheme="minorEastAsia" w:hAnsiTheme="minorEastAsia" w:eastAsiaTheme="minorEastAsia" w:cstheme="minorEastAsia"/>
          <w:bCs/>
          <w:spacing w:val="6"/>
          <w:kern w:val="0"/>
          <w:sz w:val="28"/>
          <w:szCs w:val="28"/>
        </w:rPr>
        <w:t>3.数据分析和撰写报告。项目组根据绩效评价的原理和规范，对采集的数据进行甄别、分析和评分，并提炼结论撰写报告，在规定时间内上报委托方，由委托方对报告进行评审。</w:t>
      </w:r>
    </w:p>
    <w:p w14:paraId="2678B807">
      <w:pPr>
        <w:keepLines w:val="0"/>
        <w:pageBreakBefore w:val="0"/>
        <w:widowControl w:val="0"/>
        <w:kinsoku/>
        <w:wordWrap/>
        <w:overflowPunct/>
        <w:topLinePunct w:val="0"/>
        <w:autoSpaceDE/>
        <w:autoSpaceDN/>
        <w:bidi w:val="0"/>
        <w:adjustRightInd w:val="0"/>
        <w:snapToGrid w:val="0"/>
        <w:spacing w:line="560" w:lineRule="exact"/>
        <w:ind w:firstLine="670" w:firstLineChars="200"/>
        <w:jc w:val="both"/>
        <w:textAlignment w:val="auto"/>
        <w:outlineLvl w:val="0"/>
        <w:rPr>
          <w:rFonts w:hint="eastAsia" w:ascii="黑体" w:hAnsi="黑体" w:eastAsia="黑体" w:cs="黑体"/>
          <w:b/>
          <w:bCs/>
          <w:sz w:val="32"/>
          <w:szCs w:val="32"/>
        </w:rPr>
      </w:pPr>
      <w:bookmarkStart w:id="49" w:name="_Toc17893"/>
      <w:r>
        <w:rPr>
          <w:rFonts w:hint="eastAsia" w:ascii="黑体" w:hAnsi="黑体" w:eastAsia="黑体" w:cs="黑体"/>
          <w:b/>
          <w:bCs/>
          <w:sz w:val="32"/>
          <w:szCs w:val="32"/>
        </w:rPr>
        <w:t>三、绩效评价结论</w:t>
      </w:r>
      <w:bookmarkEnd w:id="49"/>
    </w:p>
    <w:p w14:paraId="386569D9">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outlineLvl w:val="1"/>
        <w:rPr>
          <w:rFonts w:hint="eastAsia" w:asciiTheme="minorEastAsia" w:hAnsiTheme="minorEastAsia" w:eastAsiaTheme="minorEastAsia" w:cstheme="minorEastAsia"/>
          <w:b/>
          <w:bCs/>
          <w:sz w:val="28"/>
          <w:szCs w:val="28"/>
        </w:rPr>
      </w:pPr>
      <w:bookmarkStart w:id="50" w:name="_Toc6395"/>
      <w:r>
        <w:rPr>
          <w:rFonts w:hint="eastAsia" w:asciiTheme="minorEastAsia" w:hAnsiTheme="minorEastAsia" w:eastAsiaTheme="minorEastAsia" w:cstheme="minorEastAsia"/>
          <w:b/>
          <w:bCs/>
          <w:sz w:val="28"/>
          <w:szCs w:val="28"/>
        </w:rPr>
        <w:t>（一）绩效评价综合结论</w:t>
      </w:r>
      <w:bookmarkEnd w:id="50"/>
    </w:p>
    <w:p w14:paraId="47B5F7A9">
      <w:pPr>
        <w:keepLines w:val="0"/>
        <w:pageBreakBefore w:val="0"/>
        <w:widowControl w:val="0"/>
        <w:kinsoku/>
        <w:wordWrap/>
        <w:overflowPunct/>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sz w:val="28"/>
          <w:szCs w:val="28"/>
        </w:rPr>
      </w:pPr>
      <w:bookmarkStart w:id="51" w:name="_Hlk525314439"/>
      <w:r>
        <w:rPr>
          <w:rFonts w:hint="eastAsia" w:asciiTheme="minorEastAsia" w:hAnsiTheme="minorEastAsia" w:eastAsiaTheme="minorEastAsia" w:cstheme="minorEastAsia"/>
          <w:sz w:val="28"/>
          <w:szCs w:val="28"/>
        </w:rPr>
        <w:t>晋宁（城区）雨污分流、溢流防控工程项目农业产业结构调整项目绩效评价得分83.55分，评价等级为“良”。一级指标具体得分情况详见下表：</w:t>
      </w:r>
    </w:p>
    <w:p w14:paraId="3EAA413C">
      <w:pPr>
        <w:spacing w:line="570" w:lineRule="exact"/>
        <w:jc w:val="center"/>
        <w:rPr>
          <w:rFonts w:ascii="黑体" w:hAnsi="黑体" w:eastAsia="黑体" w:cs="宋体"/>
          <w:bCs/>
          <w:sz w:val="24"/>
          <w:szCs w:val="24"/>
        </w:rPr>
      </w:pPr>
      <w:r>
        <w:rPr>
          <w:rFonts w:hint="eastAsia" w:ascii="黑体" w:hAnsi="黑体" w:eastAsia="黑体" w:cs="宋体"/>
          <w:bCs/>
          <w:sz w:val="24"/>
          <w:szCs w:val="24"/>
        </w:rPr>
        <w:t>表</w:t>
      </w:r>
      <w:r>
        <w:rPr>
          <w:rFonts w:ascii="黑体" w:hAnsi="黑体" w:eastAsia="黑体" w:cs="宋体"/>
          <w:bCs/>
          <w:sz w:val="24"/>
          <w:szCs w:val="24"/>
        </w:rPr>
        <w:t>8</w:t>
      </w:r>
      <w:r>
        <w:rPr>
          <w:rFonts w:hint="eastAsia" w:ascii="黑体" w:hAnsi="黑体" w:eastAsia="黑体" w:cs="宋体"/>
          <w:bCs/>
          <w:sz w:val="24"/>
          <w:szCs w:val="24"/>
        </w:rPr>
        <w:t>：绩效评价得分情况表</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E9D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8" w:hRule="atLeast"/>
          <w:tblHeader/>
          <w:jc w:val="center"/>
        </w:trPr>
        <w:tc>
          <w:tcPr>
            <w:tcW w:w="2212" w:type="dxa"/>
            <w:tcBorders>
              <w:top w:val="single" w:color="auto" w:sz="4" w:space="0"/>
            </w:tcBorders>
            <w:vAlign w:val="center"/>
          </w:tcPr>
          <w:p w14:paraId="4F254ADB">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一级指标</w:t>
            </w:r>
          </w:p>
        </w:tc>
        <w:tc>
          <w:tcPr>
            <w:tcW w:w="2211" w:type="dxa"/>
            <w:tcBorders>
              <w:top w:val="single" w:color="auto" w:sz="4" w:space="0"/>
            </w:tcBorders>
            <w:vAlign w:val="center"/>
          </w:tcPr>
          <w:p w14:paraId="202FAC46">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指标分值</w:t>
            </w:r>
          </w:p>
        </w:tc>
        <w:tc>
          <w:tcPr>
            <w:tcW w:w="2211" w:type="dxa"/>
            <w:tcBorders>
              <w:top w:val="single" w:color="auto" w:sz="4" w:space="0"/>
            </w:tcBorders>
            <w:vAlign w:val="center"/>
          </w:tcPr>
          <w:p w14:paraId="76ABBF61">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评价得分</w:t>
            </w:r>
          </w:p>
        </w:tc>
        <w:tc>
          <w:tcPr>
            <w:tcW w:w="2211" w:type="dxa"/>
            <w:tcBorders>
              <w:top w:val="single" w:color="auto" w:sz="4" w:space="0"/>
            </w:tcBorders>
            <w:vAlign w:val="center"/>
          </w:tcPr>
          <w:p w14:paraId="09631E58">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得分率</w:t>
            </w:r>
          </w:p>
        </w:tc>
      </w:tr>
      <w:tr w14:paraId="4AD0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6" w:hRule="atLeast"/>
          <w:jc w:val="center"/>
        </w:trPr>
        <w:tc>
          <w:tcPr>
            <w:tcW w:w="2212" w:type="dxa"/>
            <w:vAlign w:val="center"/>
          </w:tcPr>
          <w:p w14:paraId="78BCF488">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决策</w:t>
            </w:r>
          </w:p>
        </w:tc>
        <w:tc>
          <w:tcPr>
            <w:tcW w:w="2211" w:type="dxa"/>
            <w:vAlign w:val="center"/>
          </w:tcPr>
          <w:p w14:paraId="1CA436DE">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20</w:t>
            </w:r>
          </w:p>
        </w:tc>
        <w:tc>
          <w:tcPr>
            <w:tcW w:w="2211" w:type="dxa"/>
            <w:vAlign w:val="center"/>
          </w:tcPr>
          <w:p w14:paraId="7193D7AE">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16</w:t>
            </w:r>
          </w:p>
        </w:tc>
        <w:tc>
          <w:tcPr>
            <w:tcW w:w="2211" w:type="dxa"/>
            <w:vAlign w:val="center"/>
          </w:tcPr>
          <w:p w14:paraId="1DC1BEFC">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80.00%</w:t>
            </w:r>
          </w:p>
        </w:tc>
      </w:tr>
      <w:tr w14:paraId="1D22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atLeast"/>
          <w:jc w:val="center"/>
        </w:trPr>
        <w:tc>
          <w:tcPr>
            <w:tcW w:w="2212" w:type="dxa"/>
            <w:vAlign w:val="center"/>
          </w:tcPr>
          <w:p w14:paraId="722AF42B">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过程（管理）</w:t>
            </w:r>
          </w:p>
        </w:tc>
        <w:tc>
          <w:tcPr>
            <w:tcW w:w="2211" w:type="dxa"/>
            <w:vAlign w:val="center"/>
          </w:tcPr>
          <w:p w14:paraId="0764FA30">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20</w:t>
            </w:r>
          </w:p>
        </w:tc>
        <w:tc>
          <w:tcPr>
            <w:tcW w:w="2211" w:type="dxa"/>
            <w:vAlign w:val="center"/>
          </w:tcPr>
          <w:p w14:paraId="3961DA78">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17.11</w:t>
            </w:r>
          </w:p>
        </w:tc>
        <w:tc>
          <w:tcPr>
            <w:tcW w:w="2211" w:type="dxa"/>
            <w:vAlign w:val="center"/>
          </w:tcPr>
          <w:p w14:paraId="146C36FC">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85.55%</w:t>
            </w:r>
          </w:p>
        </w:tc>
      </w:tr>
      <w:tr w14:paraId="51C2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2" w:hRule="atLeast"/>
          <w:jc w:val="center"/>
        </w:trPr>
        <w:tc>
          <w:tcPr>
            <w:tcW w:w="2212" w:type="dxa"/>
            <w:vAlign w:val="center"/>
          </w:tcPr>
          <w:p w14:paraId="050D00C9">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产出</w:t>
            </w:r>
          </w:p>
        </w:tc>
        <w:tc>
          <w:tcPr>
            <w:tcW w:w="2211" w:type="dxa"/>
            <w:vAlign w:val="center"/>
          </w:tcPr>
          <w:p w14:paraId="0EA70C71">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30</w:t>
            </w:r>
          </w:p>
        </w:tc>
        <w:tc>
          <w:tcPr>
            <w:tcW w:w="2211" w:type="dxa"/>
            <w:vAlign w:val="center"/>
          </w:tcPr>
          <w:p w14:paraId="01F3362E">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27.44</w:t>
            </w:r>
          </w:p>
        </w:tc>
        <w:tc>
          <w:tcPr>
            <w:tcW w:w="2211" w:type="dxa"/>
            <w:vAlign w:val="center"/>
          </w:tcPr>
          <w:p w14:paraId="457BC848">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91.47%</w:t>
            </w:r>
          </w:p>
        </w:tc>
      </w:tr>
      <w:tr w14:paraId="5727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212" w:type="dxa"/>
            <w:vAlign w:val="center"/>
          </w:tcPr>
          <w:p w14:paraId="56807DF3">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效益</w:t>
            </w:r>
          </w:p>
        </w:tc>
        <w:tc>
          <w:tcPr>
            <w:tcW w:w="2211" w:type="dxa"/>
            <w:vAlign w:val="center"/>
          </w:tcPr>
          <w:p w14:paraId="2D2F2011">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30</w:t>
            </w:r>
          </w:p>
        </w:tc>
        <w:tc>
          <w:tcPr>
            <w:tcW w:w="2211" w:type="dxa"/>
            <w:vAlign w:val="center"/>
          </w:tcPr>
          <w:p w14:paraId="4634FDBD">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23</w:t>
            </w:r>
          </w:p>
        </w:tc>
        <w:tc>
          <w:tcPr>
            <w:tcW w:w="2211" w:type="dxa"/>
            <w:vAlign w:val="center"/>
          </w:tcPr>
          <w:p w14:paraId="45D967A1">
            <w:pPr>
              <w:snapToGrid w:val="0"/>
              <w:spacing w:line="570" w:lineRule="exact"/>
              <w:jc w:val="center"/>
              <w:rPr>
                <w:rFonts w:hint="eastAsia" w:asciiTheme="minorEastAsia" w:hAnsiTheme="minorEastAsia" w:eastAsiaTheme="minorEastAsia" w:cstheme="minorEastAsia"/>
                <w:bCs/>
                <w:spacing w:val="6"/>
                <w:sz w:val="21"/>
              </w:rPr>
            </w:pPr>
            <w:r>
              <w:rPr>
                <w:rFonts w:hint="eastAsia" w:asciiTheme="minorEastAsia" w:hAnsiTheme="minorEastAsia" w:eastAsiaTheme="minorEastAsia" w:cstheme="minorEastAsia"/>
                <w:bCs/>
                <w:spacing w:val="6"/>
                <w:sz w:val="21"/>
              </w:rPr>
              <w:t>76.67%</w:t>
            </w:r>
          </w:p>
        </w:tc>
      </w:tr>
      <w:tr w14:paraId="10AF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5" w:hRule="atLeast"/>
          <w:jc w:val="center"/>
        </w:trPr>
        <w:tc>
          <w:tcPr>
            <w:tcW w:w="2212" w:type="dxa"/>
            <w:vAlign w:val="center"/>
          </w:tcPr>
          <w:p w14:paraId="34BDF6CF">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合 计</w:t>
            </w:r>
          </w:p>
        </w:tc>
        <w:tc>
          <w:tcPr>
            <w:tcW w:w="2211" w:type="dxa"/>
            <w:vAlign w:val="center"/>
          </w:tcPr>
          <w:p w14:paraId="3A2D3B65">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100</w:t>
            </w:r>
          </w:p>
        </w:tc>
        <w:tc>
          <w:tcPr>
            <w:tcW w:w="2211" w:type="dxa"/>
            <w:vAlign w:val="center"/>
          </w:tcPr>
          <w:p w14:paraId="69B3075F">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83.55</w:t>
            </w:r>
          </w:p>
        </w:tc>
        <w:tc>
          <w:tcPr>
            <w:tcW w:w="2211" w:type="dxa"/>
            <w:vAlign w:val="center"/>
          </w:tcPr>
          <w:p w14:paraId="0EA897F1">
            <w:pPr>
              <w:snapToGrid w:val="0"/>
              <w:spacing w:line="570" w:lineRule="exact"/>
              <w:jc w:val="center"/>
              <w:rPr>
                <w:rFonts w:hint="eastAsia" w:asciiTheme="minorEastAsia" w:hAnsiTheme="minorEastAsia" w:eastAsiaTheme="minorEastAsia" w:cstheme="minorEastAsia"/>
                <w:b/>
                <w:bCs/>
                <w:spacing w:val="6"/>
                <w:sz w:val="21"/>
              </w:rPr>
            </w:pPr>
            <w:r>
              <w:rPr>
                <w:rFonts w:hint="eastAsia" w:asciiTheme="minorEastAsia" w:hAnsiTheme="minorEastAsia" w:eastAsiaTheme="minorEastAsia" w:cstheme="minorEastAsia"/>
                <w:b/>
                <w:bCs/>
                <w:spacing w:val="6"/>
                <w:sz w:val="21"/>
              </w:rPr>
              <w:t>83.55%</w:t>
            </w:r>
          </w:p>
        </w:tc>
      </w:tr>
    </w:tbl>
    <w:p w14:paraId="0889A878">
      <w:pPr>
        <w:adjustRightInd w:val="0"/>
        <w:snapToGrid w:val="0"/>
        <w:spacing w:line="570" w:lineRule="exact"/>
        <w:ind w:firstLine="59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从项目总体目标实现情况看，通过专项债券资金以及财政拨付资金的投入，项目总体已按昆明城区雨污分流规划方案建设完成并投入使用，拟在2025年12月完成初验。</w:t>
      </w:r>
    </w:p>
    <w:p w14:paraId="5229FABE">
      <w:pPr>
        <w:adjustRightInd w:val="0"/>
        <w:snapToGrid w:val="0"/>
        <w:spacing w:line="570" w:lineRule="exact"/>
        <w:ind w:firstLine="59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从管理层面看，项目资金使用及管理执行项目单位内部管理办法相关规定，项目单位有效执行了所属单位的内控管理制度和财务管理制度。</w:t>
      </w:r>
    </w:p>
    <w:p w14:paraId="12116192">
      <w:pPr>
        <w:adjustRightInd w:val="0"/>
        <w:snapToGrid w:val="0"/>
        <w:spacing w:line="570" w:lineRule="exact"/>
        <w:ind w:firstLine="59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从产出及效益情况看，项目内容存在调整且未履行相关申请报批手续，故项目实施内容与项目可研报告不致，评审过程中进行了问卷调查和满意度调查，受益对象对项目实施的满意度84.50%以上。</w:t>
      </w:r>
    </w:p>
    <w:p w14:paraId="1F15ACC3">
      <w:pPr>
        <w:adjustRightInd w:val="0"/>
        <w:snapToGrid w:val="0"/>
        <w:spacing w:line="570" w:lineRule="exact"/>
        <w:ind w:firstLine="59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问卷调查及污水检测，项目的实施在生态效益方面，提升系统工程对生态环境修复、清淤除杂工程环境效益改善、改善群众居住环境及清除有机质,社会效益目标实现方面，项目实施创造良好城市风貌，改善城市环境，促进经济发展，带动一定的经济收益。</w:t>
      </w:r>
    </w:p>
    <w:bookmarkEnd w:id="51"/>
    <w:p w14:paraId="52A15A4D">
      <w:pPr>
        <w:adjustRightInd w:val="0"/>
        <w:snapToGrid w:val="0"/>
        <w:spacing w:line="570" w:lineRule="exact"/>
        <w:ind w:firstLine="590" w:firstLineChars="200"/>
        <w:outlineLvl w:val="1"/>
        <w:rPr>
          <w:rFonts w:hint="eastAsia" w:asciiTheme="minorEastAsia" w:hAnsiTheme="minorEastAsia" w:eastAsiaTheme="minorEastAsia" w:cstheme="minorEastAsia"/>
          <w:b/>
          <w:bCs/>
          <w:sz w:val="28"/>
          <w:szCs w:val="28"/>
        </w:rPr>
      </w:pPr>
      <w:bookmarkStart w:id="52" w:name="_Toc13275"/>
      <w:r>
        <w:rPr>
          <w:rFonts w:hint="eastAsia" w:asciiTheme="minorEastAsia" w:hAnsiTheme="minorEastAsia" w:eastAsiaTheme="minorEastAsia" w:cstheme="minorEastAsia"/>
          <w:b/>
          <w:bCs/>
          <w:sz w:val="28"/>
          <w:szCs w:val="28"/>
        </w:rPr>
        <w:t>（二）绩效目标实现情况</w:t>
      </w:r>
      <w:bookmarkEnd w:id="52"/>
    </w:p>
    <w:p w14:paraId="1D98B8E2">
      <w:pPr>
        <w:adjustRightInd w:val="0"/>
        <w:snapToGrid w:val="0"/>
        <w:spacing w:line="570" w:lineRule="exact"/>
        <w:ind w:firstLine="590" w:firstLineChars="200"/>
        <w:rPr>
          <w:rFonts w:hint="eastAsia" w:asciiTheme="minorEastAsia" w:hAnsiTheme="minorEastAsia" w:eastAsiaTheme="minorEastAsia" w:cstheme="minorEastAsia"/>
          <w:sz w:val="28"/>
          <w:szCs w:val="28"/>
        </w:rPr>
      </w:pPr>
      <w:bookmarkStart w:id="53" w:name="_Hlk525314457"/>
      <w:r>
        <w:rPr>
          <w:rFonts w:hint="eastAsia" w:asciiTheme="minorEastAsia" w:hAnsiTheme="minorEastAsia" w:eastAsiaTheme="minorEastAsia" w:cstheme="minorEastAsia"/>
          <w:sz w:val="28"/>
          <w:szCs w:val="28"/>
        </w:rPr>
        <w:t>根据评价情况，晋宁（城区）雨污分流、溢流防控工程项目农业产业结构调整项目部分绩效目标未全部实现，16项具体绩效指标有13项实现预期目标,完成比例为81.25%；3项指标未完成，未实现比例为18.75%。各指标完成情况详见下表：</w:t>
      </w:r>
    </w:p>
    <w:p w14:paraId="134721CD">
      <w:pPr>
        <w:spacing w:line="570" w:lineRule="exact"/>
        <w:jc w:val="center"/>
        <w:rPr>
          <w:rFonts w:hint="eastAsia" w:ascii="黑体" w:hAnsi="黑体" w:eastAsia="黑体" w:cs="黑体"/>
          <w:sz w:val="24"/>
          <w:szCs w:val="24"/>
        </w:rPr>
      </w:pPr>
      <w:r>
        <w:rPr>
          <w:rFonts w:hint="eastAsia" w:ascii="黑体" w:hAnsi="黑体" w:eastAsia="黑体" w:cs="黑体"/>
          <w:bCs/>
          <w:sz w:val="24"/>
          <w:szCs w:val="24"/>
        </w:rPr>
        <w:t>表9：绩效指标完成情况表</w:t>
      </w:r>
    </w:p>
    <w:bookmarkEnd w:id="53"/>
    <w:tbl>
      <w:tblPr>
        <w:tblStyle w:val="1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411"/>
        <w:gridCol w:w="2274"/>
        <w:gridCol w:w="709"/>
        <w:gridCol w:w="3402"/>
      </w:tblGrid>
      <w:tr w14:paraId="707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46" w:type="dxa"/>
            <w:shd w:val="clear" w:color="auto" w:fill="auto"/>
            <w:vAlign w:val="center"/>
          </w:tcPr>
          <w:p w14:paraId="427562D0">
            <w:pPr>
              <w:widowControl/>
              <w:adjustRightInd w:val="0"/>
              <w:snapToGrid w:val="0"/>
              <w:spacing w:line="24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一级指标</w:t>
            </w:r>
          </w:p>
        </w:tc>
        <w:tc>
          <w:tcPr>
            <w:tcW w:w="1134" w:type="dxa"/>
            <w:shd w:val="clear" w:color="auto" w:fill="auto"/>
            <w:vAlign w:val="center"/>
          </w:tcPr>
          <w:p w14:paraId="3EBEAF82">
            <w:pPr>
              <w:widowControl/>
              <w:adjustRightInd w:val="0"/>
              <w:snapToGrid w:val="0"/>
              <w:spacing w:line="24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二级指标</w:t>
            </w:r>
          </w:p>
        </w:tc>
        <w:tc>
          <w:tcPr>
            <w:tcW w:w="1411" w:type="dxa"/>
            <w:shd w:val="clear" w:color="auto" w:fill="auto"/>
            <w:vAlign w:val="center"/>
          </w:tcPr>
          <w:p w14:paraId="41A92845">
            <w:pPr>
              <w:widowControl/>
              <w:adjustRightInd w:val="0"/>
              <w:snapToGrid w:val="0"/>
              <w:spacing w:line="24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三级指标</w:t>
            </w:r>
          </w:p>
        </w:tc>
        <w:tc>
          <w:tcPr>
            <w:tcW w:w="2274" w:type="dxa"/>
            <w:shd w:val="clear" w:color="auto" w:fill="auto"/>
            <w:vAlign w:val="center"/>
          </w:tcPr>
          <w:p w14:paraId="197191E8">
            <w:pPr>
              <w:widowControl/>
              <w:adjustRightInd w:val="0"/>
              <w:snapToGrid w:val="0"/>
              <w:spacing w:line="24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指标值</w:t>
            </w:r>
          </w:p>
        </w:tc>
        <w:tc>
          <w:tcPr>
            <w:tcW w:w="709" w:type="dxa"/>
            <w:shd w:val="clear" w:color="auto" w:fill="auto"/>
            <w:vAlign w:val="center"/>
          </w:tcPr>
          <w:p w14:paraId="7D6AA853">
            <w:pPr>
              <w:widowControl/>
              <w:adjustRightInd w:val="0"/>
              <w:snapToGrid w:val="0"/>
              <w:spacing w:line="24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指标实现情况</w:t>
            </w:r>
          </w:p>
        </w:tc>
        <w:tc>
          <w:tcPr>
            <w:tcW w:w="3402" w:type="dxa"/>
            <w:shd w:val="clear" w:color="auto" w:fill="auto"/>
            <w:vAlign w:val="center"/>
          </w:tcPr>
          <w:p w14:paraId="26F7E827">
            <w:pPr>
              <w:widowControl/>
              <w:adjustRightInd w:val="0"/>
              <w:snapToGrid w:val="0"/>
              <w:spacing w:line="24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完成情况说明</w:t>
            </w:r>
          </w:p>
        </w:tc>
      </w:tr>
      <w:tr w14:paraId="42CB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46" w:type="dxa"/>
            <w:vMerge w:val="restart"/>
            <w:tcBorders>
              <w:top w:val="nil"/>
            </w:tcBorders>
            <w:vAlign w:val="center"/>
          </w:tcPr>
          <w:p w14:paraId="72DFE1ED">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68510FB7">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625C6EDE">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46A6ADED">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07E76F81">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62593D56">
            <w:pPr>
              <w:adjustRightInd w:val="0"/>
              <w:snapToGrid w:val="0"/>
              <w:spacing w:line="24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w:t>
            </w:r>
          </w:p>
          <w:p w14:paraId="5A9B855D">
            <w:pPr>
              <w:adjustRightInd w:val="0"/>
              <w:snapToGrid w:val="0"/>
              <w:spacing w:line="240" w:lineRule="exac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指标</w:t>
            </w:r>
          </w:p>
          <w:p w14:paraId="445DAB00">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369BB400">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6BCCA1F5">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7A18248F">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7153F886">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2E861E2F">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6938D41E">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66D36198">
            <w:pPr>
              <w:adjustRightInd w:val="0"/>
              <w:snapToGrid w:val="0"/>
              <w:spacing w:line="240" w:lineRule="exact"/>
              <w:rPr>
                <w:rFonts w:hint="eastAsia" w:asciiTheme="minorEastAsia" w:hAnsiTheme="minorEastAsia" w:eastAsiaTheme="minorEastAsia" w:cstheme="minorEastAsia"/>
                <w:color w:val="000000"/>
                <w:kern w:val="0"/>
                <w:sz w:val="18"/>
                <w:szCs w:val="18"/>
              </w:rPr>
            </w:pPr>
          </w:p>
          <w:p w14:paraId="0E3A36AE">
            <w:pPr>
              <w:adjustRightInd w:val="0"/>
              <w:snapToGrid w:val="0"/>
              <w:spacing w:line="240" w:lineRule="exact"/>
              <w:rPr>
                <w:rFonts w:hint="eastAsia" w:asciiTheme="minorEastAsia" w:hAnsiTheme="minorEastAsia" w:eastAsiaTheme="minorEastAsia" w:cstheme="minorEastAsia"/>
                <w:color w:val="000000"/>
                <w:kern w:val="0"/>
                <w:sz w:val="18"/>
                <w:szCs w:val="18"/>
              </w:rPr>
            </w:pPr>
          </w:p>
        </w:tc>
        <w:tc>
          <w:tcPr>
            <w:tcW w:w="1134" w:type="dxa"/>
            <w:vMerge w:val="restart"/>
            <w:vAlign w:val="center"/>
          </w:tcPr>
          <w:p w14:paraId="63E1F6BB">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5A0D4291">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5783EBD9">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60DD5314">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7A68C4B6">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1C891D66">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1B6C8415">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5628DB13">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4DF5C6E3">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5E048B32">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5644BEB1">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5D383CED">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6D7D977F">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p w14:paraId="73A2114E">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数量指标</w:t>
            </w:r>
          </w:p>
        </w:tc>
        <w:tc>
          <w:tcPr>
            <w:tcW w:w="1411" w:type="dxa"/>
            <w:shd w:val="clear" w:color="auto" w:fill="auto"/>
            <w:vAlign w:val="center"/>
          </w:tcPr>
          <w:p w14:paraId="5B7A2C89">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晋宁（城区）雨污分流、溢流防控项目完成市政主、次干雨污水管网改造2.65公里建设完成率</w:t>
            </w:r>
          </w:p>
        </w:tc>
        <w:tc>
          <w:tcPr>
            <w:tcW w:w="2274" w:type="dxa"/>
            <w:shd w:val="clear" w:color="auto" w:fill="auto"/>
            <w:vAlign w:val="center"/>
          </w:tcPr>
          <w:p w14:paraId="02640F50">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考察晋宁（城区）雨污分流、溢流防控项目是否按照昆明市局下达的工作内容完成情况进行产出考评。</w:t>
            </w:r>
          </w:p>
          <w:p w14:paraId="5CF22B3D">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项目完成率=实际完成主要建设内容/计划（调整）完成主要建设内容×100%          </w:t>
            </w:r>
          </w:p>
        </w:tc>
        <w:tc>
          <w:tcPr>
            <w:tcW w:w="709" w:type="dxa"/>
            <w:shd w:val="clear" w:color="auto" w:fill="auto"/>
            <w:vAlign w:val="center"/>
          </w:tcPr>
          <w:p w14:paraId="4FBA9710">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4C53F853">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由于项目未按可研报告总投资投入资金，项目建设内容未按可研报复内容建设，存在调整，评价工作按昆明市局下达的工作内容进行完成情况产出考评。目前项目已完工拟初验。</w:t>
            </w:r>
          </w:p>
        </w:tc>
      </w:tr>
      <w:tr w14:paraId="60F9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846" w:type="dxa"/>
            <w:vMerge w:val="continue"/>
            <w:vAlign w:val="center"/>
          </w:tcPr>
          <w:p w14:paraId="260E3FE3">
            <w:pPr>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continue"/>
            <w:vAlign w:val="center"/>
          </w:tcPr>
          <w:p w14:paraId="3F197065">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tc>
        <w:tc>
          <w:tcPr>
            <w:tcW w:w="1411" w:type="dxa"/>
            <w:shd w:val="clear" w:color="auto" w:fill="auto"/>
            <w:vAlign w:val="center"/>
          </w:tcPr>
          <w:p w14:paraId="41DE7213">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301个小区雨污分流建设完成率</w:t>
            </w:r>
          </w:p>
        </w:tc>
        <w:tc>
          <w:tcPr>
            <w:tcW w:w="2274" w:type="dxa"/>
            <w:shd w:val="clear" w:color="auto" w:fill="auto"/>
            <w:vAlign w:val="center"/>
          </w:tcPr>
          <w:p w14:paraId="0DAD8F01">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考察改造小区是否按照昆明城区雨污分流规划方案的要求，完成相关工作内容。</w:t>
            </w:r>
          </w:p>
          <w:p w14:paraId="5BD85D53">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项目完成率=实际完成主要工作内容/计划（调整）完成主要工作内容×100%</w:t>
            </w:r>
          </w:p>
        </w:tc>
        <w:tc>
          <w:tcPr>
            <w:tcW w:w="709" w:type="dxa"/>
            <w:shd w:val="clear" w:color="auto" w:fill="auto"/>
            <w:vAlign w:val="center"/>
          </w:tcPr>
          <w:p w14:paraId="567446CC">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13432682">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已完工拟初验</w:t>
            </w:r>
          </w:p>
        </w:tc>
      </w:tr>
      <w:tr w14:paraId="07D0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846" w:type="dxa"/>
            <w:vMerge w:val="continue"/>
            <w:vAlign w:val="center"/>
          </w:tcPr>
          <w:p w14:paraId="5860EF68">
            <w:pPr>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continue"/>
            <w:vAlign w:val="center"/>
          </w:tcPr>
          <w:p w14:paraId="14C0ACF6">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tc>
        <w:tc>
          <w:tcPr>
            <w:tcW w:w="1411" w:type="dxa"/>
            <w:shd w:val="clear" w:color="auto" w:fill="auto"/>
            <w:vAlign w:val="center"/>
          </w:tcPr>
          <w:p w14:paraId="64E6DE41">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完成投资完成情况</w:t>
            </w:r>
          </w:p>
        </w:tc>
        <w:tc>
          <w:tcPr>
            <w:tcW w:w="2274" w:type="dxa"/>
            <w:shd w:val="clear" w:color="auto" w:fill="auto"/>
            <w:vAlign w:val="center"/>
          </w:tcPr>
          <w:p w14:paraId="7C78EE8F">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完成投资匡算19500万元</w:t>
            </w:r>
          </w:p>
        </w:tc>
        <w:tc>
          <w:tcPr>
            <w:tcW w:w="709" w:type="dxa"/>
            <w:shd w:val="clear" w:color="auto" w:fill="auto"/>
            <w:vAlign w:val="center"/>
          </w:tcPr>
          <w:p w14:paraId="4D83FF9B">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未完成</w:t>
            </w:r>
          </w:p>
        </w:tc>
        <w:tc>
          <w:tcPr>
            <w:tcW w:w="3402" w:type="dxa"/>
            <w:shd w:val="clear" w:color="auto" w:fill="auto"/>
            <w:vAlign w:val="center"/>
          </w:tcPr>
          <w:p w14:paraId="489566FD">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项目实际到位资金7028万元，昆明城区雨污分流规划方案投资匡算19500万元，实际投资完成36.04%</w:t>
            </w:r>
          </w:p>
        </w:tc>
      </w:tr>
      <w:tr w14:paraId="621D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46" w:type="dxa"/>
            <w:vMerge w:val="continue"/>
            <w:shd w:val="clear" w:color="auto" w:fill="auto"/>
            <w:vAlign w:val="center"/>
          </w:tcPr>
          <w:p w14:paraId="4B837DA5">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restart"/>
            <w:shd w:val="clear" w:color="auto" w:fill="auto"/>
            <w:vAlign w:val="center"/>
          </w:tcPr>
          <w:p w14:paraId="1A798E4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质量指标</w:t>
            </w:r>
          </w:p>
        </w:tc>
        <w:tc>
          <w:tcPr>
            <w:tcW w:w="1411" w:type="dxa"/>
            <w:shd w:val="clear" w:color="auto" w:fill="auto"/>
            <w:vAlign w:val="center"/>
          </w:tcPr>
          <w:p w14:paraId="62330A6A">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雨污水管网改造项目施工规范性</w:t>
            </w:r>
          </w:p>
        </w:tc>
        <w:tc>
          <w:tcPr>
            <w:tcW w:w="2274" w:type="dxa"/>
            <w:shd w:val="clear" w:color="auto" w:fill="auto"/>
            <w:vAlign w:val="center"/>
          </w:tcPr>
          <w:p w14:paraId="664D379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考察各项目雨污水管网改造工程是否按项目管理制度完成施工</w:t>
            </w:r>
          </w:p>
        </w:tc>
        <w:tc>
          <w:tcPr>
            <w:tcW w:w="709" w:type="dxa"/>
            <w:shd w:val="clear" w:color="auto" w:fill="auto"/>
            <w:vAlign w:val="center"/>
          </w:tcPr>
          <w:p w14:paraId="33813BFA">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59202C18">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rPr>
              <w:t>按管理办法实施管理、监理规划和监理实施、质量控制管理及进度、安全文明施工。</w:t>
            </w:r>
          </w:p>
        </w:tc>
      </w:tr>
      <w:tr w14:paraId="1779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46" w:type="dxa"/>
            <w:vMerge w:val="continue"/>
            <w:shd w:val="clear" w:color="auto" w:fill="auto"/>
            <w:vAlign w:val="center"/>
          </w:tcPr>
          <w:p w14:paraId="6F243EAF">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continue"/>
            <w:shd w:val="clear" w:color="auto" w:fill="auto"/>
            <w:vAlign w:val="center"/>
          </w:tcPr>
          <w:p w14:paraId="2136083E">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411" w:type="dxa"/>
            <w:shd w:val="clear" w:color="auto" w:fill="auto"/>
            <w:vAlign w:val="center"/>
          </w:tcPr>
          <w:p w14:paraId="78F4CFDF">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301个小区雨污分流建设施工规范性</w:t>
            </w:r>
          </w:p>
        </w:tc>
        <w:tc>
          <w:tcPr>
            <w:tcW w:w="2274" w:type="dxa"/>
            <w:shd w:val="clear" w:color="auto" w:fill="auto"/>
            <w:vAlign w:val="center"/>
          </w:tcPr>
          <w:p w14:paraId="16744D71">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考察小区雨污分流建设施工是否按照相关内控管理制度规范施工。</w:t>
            </w:r>
          </w:p>
        </w:tc>
        <w:tc>
          <w:tcPr>
            <w:tcW w:w="709" w:type="dxa"/>
            <w:shd w:val="clear" w:color="auto" w:fill="auto"/>
            <w:vAlign w:val="center"/>
          </w:tcPr>
          <w:p w14:paraId="1C4A52DA">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61FFAF36">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规范施工</w:t>
            </w:r>
          </w:p>
        </w:tc>
      </w:tr>
      <w:tr w14:paraId="707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1AF65FB0">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continue"/>
            <w:shd w:val="clear" w:color="auto" w:fill="auto"/>
            <w:vAlign w:val="center"/>
          </w:tcPr>
          <w:p w14:paraId="52B88523">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411" w:type="dxa"/>
            <w:shd w:val="clear" w:color="auto" w:fill="auto"/>
            <w:vAlign w:val="center"/>
          </w:tcPr>
          <w:p w14:paraId="794B6C3E">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项目施工过程安全施工情况</w:t>
            </w:r>
          </w:p>
        </w:tc>
        <w:tc>
          <w:tcPr>
            <w:tcW w:w="2274" w:type="dxa"/>
            <w:shd w:val="clear" w:color="auto" w:fill="auto"/>
            <w:vAlign w:val="center"/>
          </w:tcPr>
          <w:p w14:paraId="5A28E260">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是否存在工程施工安全事故</w:t>
            </w:r>
          </w:p>
        </w:tc>
        <w:tc>
          <w:tcPr>
            <w:tcW w:w="709" w:type="dxa"/>
            <w:shd w:val="clear" w:color="auto" w:fill="auto"/>
            <w:vAlign w:val="center"/>
          </w:tcPr>
          <w:p w14:paraId="1B8FE696">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32104A03">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无安全事故</w:t>
            </w:r>
          </w:p>
        </w:tc>
      </w:tr>
      <w:tr w14:paraId="6269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551B09C5">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shd w:val="clear" w:color="auto" w:fill="auto"/>
            <w:vAlign w:val="center"/>
          </w:tcPr>
          <w:p w14:paraId="4EACEE20">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时效指标</w:t>
            </w:r>
          </w:p>
        </w:tc>
        <w:tc>
          <w:tcPr>
            <w:tcW w:w="1411" w:type="dxa"/>
            <w:shd w:val="clear" w:color="auto" w:fill="auto"/>
            <w:vAlign w:val="center"/>
          </w:tcPr>
          <w:p w14:paraId="5A89528D">
            <w:pPr>
              <w:widowControl/>
              <w:adjustRightInd w:val="0"/>
              <w:snapToGrid w:val="0"/>
              <w:spacing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项目进度及时性</w:t>
            </w:r>
          </w:p>
        </w:tc>
        <w:tc>
          <w:tcPr>
            <w:tcW w:w="2274" w:type="dxa"/>
            <w:shd w:val="clear" w:color="auto" w:fill="auto"/>
            <w:vAlign w:val="center"/>
          </w:tcPr>
          <w:p w14:paraId="71DE74D5">
            <w:pPr>
              <w:widowControl/>
              <w:adjustRightInd w:val="0"/>
              <w:snapToGrid w:val="0"/>
              <w:spacing w:line="24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 xml:space="preserve">考察是否按照《晋宁（城区）雨污分流、溢流防控系统工程可行性研究报告》或工程计划书的要求按时完成。  </w:t>
            </w:r>
            <w:r>
              <w:rPr>
                <w:rFonts w:hint="eastAsia" w:asciiTheme="minorEastAsia" w:hAnsiTheme="minorEastAsia" w:eastAsiaTheme="minorEastAsia" w:cstheme="minorEastAsia"/>
                <w:color w:val="000000"/>
                <w:kern w:val="0"/>
                <w:sz w:val="18"/>
                <w:szCs w:val="18"/>
              </w:rPr>
              <w:t xml:space="preserve">                                                                                       </w:t>
            </w:r>
          </w:p>
        </w:tc>
        <w:tc>
          <w:tcPr>
            <w:tcW w:w="709" w:type="dxa"/>
            <w:shd w:val="clear" w:color="auto" w:fill="auto"/>
            <w:vAlign w:val="center"/>
          </w:tcPr>
          <w:p w14:paraId="5FBB69AC">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16030C2A">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据《关于调整晋宁区（城区）雨污分流、溢流污染防控工程可行性研究报告的批复》（晋发改发〔2023〕21号），计划竣工时间调整为2024年11月，而2025年2月28日变更的建筑工程施工许可证（编号530115202408070102），竣工日期由2023年10月21日变更为2025年12月30日。在评价检查过程中，按昆明城区雨污分流规划方案的相关建设内容，该工程建设内容基本已完成，拟进行初验阶段。</w:t>
            </w:r>
          </w:p>
        </w:tc>
      </w:tr>
      <w:tr w14:paraId="5E5A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2D1A314B">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shd w:val="clear" w:color="auto" w:fill="auto"/>
            <w:vAlign w:val="center"/>
          </w:tcPr>
          <w:p w14:paraId="26424A9C">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产出成本</w:t>
            </w:r>
          </w:p>
        </w:tc>
        <w:tc>
          <w:tcPr>
            <w:tcW w:w="1411" w:type="dxa"/>
            <w:shd w:val="clear" w:color="auto" w:fill="auto"/>
            <w:vAlign w:val="center"/>
          </w:tcPr>
          <w:p w14:paraId="63762C10">
            <w:pPr>
              <w:widowControl/>
              <w:adjustRightInd w:val="0"/>
              <w:snapToGrid w:val="0"/>
              <w:spacing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《晋宁（城区）雨污分流、溢流防控工程系统工程可行性研究报告》各项工程成本控制率</w:t>
            </w:r>
          </w:p>
        </w:tc>
        <w:tc>
          <w:tcPr>
            <w:tcW w:w="2274" w:type="dxa"/>
            <w:shd w:val="clear" w:color="auto" w:fill="auto"/>
            <w:vAlign w:val="center"/>
          </w:tcPr>
          <w:p w14:paraId="57425E5F">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考察管理能力建设项目涉及各子项目是否按照立项批复、可研批复、实施方案批复的总投资额内完成相关工作。</w:t>
            </w:r>
          </w:p>
        </w:tc>
        <w:tc>
          <w:tcPr>
            <w:tcW w:w="709" w:type="dxa"/>
            <w:shd w:val="clear" w:color="auto" w:fill="auto"/>
            <w:vAlign w:val="center"/>
          </w:tcPr>
          <w:p w14:paraId="57C0CD58">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6FDE602A">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据根据《关于调整晋宁区（城区）雨污分流、溢流污染防控工程可行性研究报告的批复》（晋发改发〔2023〕21号），总投资额为33370.13万元，昆明城区雨污分流规划方案投资匡算19500万元，但实际到位资金仅7028万元。故项目建设内容仅根据昆明城区雨污分流规划方案的进行，未达到可行性研究报告预期的建设规模，投资总成本不存在超预期的情况。</w:t>
            </w:r>
          </w:p>
        </w:tc>
      </w:tr>
      <w:tr w14:paraId="206F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restart"/>
            <w:shd w:val="clear" w:color="auto" w:fill="auto"/>
            <w:vAlign w:val="center"/>
          </w:tcPr>
          <w:p w14:paraId="779EB134">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p w14:paraId="3728A27A">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3758BAE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195AFB6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44B9535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3B792295">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166427E4">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54B3930C">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22AA6D0E">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44C966A5">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7E5EA2A6">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73860E86">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7D370725">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2104A13A">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79D166F4">
            <w:pPr>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p w14:paraId="269AF2EB">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tc>
        <w:tc>
          <w:tcPr>
            <w:tcW w:w="1134" w:type="dxa"/>
            <w:shd w:val="clear" w:color="auto" w:fill="auto"/>
            <w:vAlign w:val="center"/>
          </w:tcPr>
          <w:p w14:paraId="6DB44AC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经济效益</w:t>
            </w:r>
          </w:p>
        </w:tc>
        <w:tc>
          <w:tcPr>
            <w:tcW w:w="1411" w:type="dxa"/>
            <w:shd w:val="clear" w:color="auto" w:fill="auto"/>
            <w:vAlign w:val="center"/>
          </w:tcPr>
          <w:p w14:paraId="05CE4A8D">
            <w:pPr>
              <w:widowControl/>
              <w:adjustRightInd w:val="0"/>
              <w:snapToGrid w:val="0"/>
              <w:spacing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项目实施创造良好城市风貌，城市环境，促进经济发展，带动经济收益</w:t>
            </w:r>
          </w:p>
        </w:tc>
        <w:tc>
          <w:tcPr>
            <w:tcW w:w="2274" w:type="dxa"/>
            <w:shd w:val="clear" w:color="auto" w:fill="auto"/>
            <w:vAlign w:val="center"/>
          </w:tcPr>
          <w:p w14:paraId="379D6D72">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通过项目实施问卷，调查是否带来的经济效益和社会效益明显用。</w:t>
            </w:r>
          </w:p>
        </w:tc>
        <w:tc>
          <w:tcPr>
            <w:tcW w:w="709" w:type="dxa"/>
            <w:shd w:val="clear" w:color="auto" w:fill="auto"/>
            <w:vAlign w:val="center"/>
          </w:tcPr>
          <w:p w14:paraId="1BD899DF">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7292CCBE">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现场调查、访谈。</w:t>
            </w:r>
          </w:p>
        </w:tc>
      </w:tr>
      <w:tr w14:paraId="330B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58CD4521">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restart"/>
            <w:shd w:val="clear" w:color="auto" w:fill="auto"/>
            <w:vAlign w:val="center"/>
          </w:tcPr>
          <w:p w14:paraId="601C088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社会效益</w:t>
            </w:r>
          </w:p>
        </w:tc>
        <w:tc>
          <w:tcPr>
            <w:tcW w:w="1411" w:type="dxa"/>
            <w:shd w:val="clear" w:color="auto" w:fill="auto"/>
            <w:vAlign w:val="center"/>
          </w:tcPr>
          <w:p w14:paraId="168E1BB0">
            <w:pPr>
              <w:widowControl/>
              <w:adjustRightInd w:val="0"/>
              <w:snapToGrid w:val="0"/>
              <w:spacing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改善群众居住环境、有效缓解道路、居民小区淹水</w:t>
            </w:r>
          </w:p>
        </w:tc>
        <w:tc>
          <w:tcPr>
            <w:tcW w:w="2274" w:type="dxa"/>
            <w:shd w:val="clear" w:color="auto" w:fill="auto"/>
            <w:vAlign w:val="center"/>
          </w:tcPr>
          <w:p w14:paraId="2164A384">
            <w:pPr>
              <w:widowControl/>
              <w:adjustRightInd w:val="0"/>
              <w:snapToGrid w:val="0"/>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考察通过项目实施，晋宁（城区）雨污分流、溢流防控系统工程项目建设规模是否.改善群众居住环境、有效缓解道路、居民小区淹水。</w:t>
            </w:r>
          </w:p>
        </w:tc>
        <w:tc>
          <w:tcPr>
            <w:tcW w:w="709" w:type="dxa"/>
            <w:shd w:val="clear" w:color="auto" w:fill="auto"/>
            <w:vAlign w:val="center"/>
          </w:tcPr>
          <w:p w14:paraId="17B2B4C8">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088DC0A5">
            <w:pPr>
              <w:widowControl/>
              <w:adjustRightInd w:val="0"/>
              <w:snapToGrid w:val="0"/>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问卷调查结果：有77%的受调查群众认为项目建成后汇流区内淹水点能得到缓解，19%的受调查群众认为是能够完全缓解的，4%的受调查群众认为只能基本缓解。表明绝大多数人员对项目在缓解淹水点方面的效果持肯定态度</w:t>
            </w:r>
          </w:p>
        </w:tc>
      </w:tr>
      <w:tr w14:paraId="3952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78F0CC0C">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continue"/>
            <w:shd w:val="clear" w:color="auto" w:fill="auto"/>
            <w:vAlign w:val="center"/>
          </w:tcPr>
          <w:p w14:paraId="54E20362">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411" w:type="dxa"/>
            <w:shd w:val="clear" w:color="auto" w:fill="auto"/>
            <w:vAlign w:val="center"/>
          </w:tcPr>
          <w:p w14:paraId="0150CF26">
            <w:pPr>
              <w:widowControl/>
              <w:adjustRightInd w:val="0"/>
              <w:snapToGrid w:val="0"/>
              <w:spacing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有益于滇池保护治理，提升城市的人居环境，提高城市的整体竞争力</w:t>
            </w:r>
          </w:p>
        </w:tc>
        <w:tc>
          <w:tcPr>
            <w:tcW w:w="2274" w:type="dxa"/>
            <w:shd w:val="clear" w:color="auto" w:fill="auto"/>
            <w:vAlign w:val="center"/>
          </w:tcPr>
          <w:p w14:paraId="5A1DDE05">
            <w:pPr>
              <w:widowControl/>
              <w:adjustRightInd w:val="0"/>
              <w:snapToGrid w:val="0"/>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考察通过项目实施，是否对提升城市形象促进经济发展提供积极作用。</w:t>
            </w:r>
          </w:p>
        </w:tc>
        <w:tc>
          <w:tcPr>
            <w:tcW w:w="709" w:type="dxa"/>
            <w:shd w:val="clear" w:color="auto" w:fill="auto"/>
            <w:vAlign w:val="center"/>
          </w:tcPr>
          <w:p w14:paraId="6CD5D286">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562FC577">
            <w:pPr>
              <w:widowControl/>
              <w:adjustRightInd w:val="0"/>
              <w:snapToGrid w:val="0"/>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问卷调查结果：有68%的受调查群众认为项目的建成对于滇池保护治理，城市的人居环境的提升，城市的整体竞争力的提高具有非常明显的作用，31%的受调查群众认为作用明显，仅有1%的受调查群众认为作用一般，表明大部分群众认可项目建成带来的明显作用</w:t>
            </w:r>
          </w:p>
        </w:tc>
      </w:tr>
      <w:tr w14:paraId="048D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5A68FA79">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continue"/>
            <w:shd w:val="clear" w:color="auto" w:fill="auto"/>
            <w:vAlign w:val="center"/>
          </w:tcPr>
          <w:p w14:paraId="1EC03B2B">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411" w:type="dxa"/>
            <w:shd w:val="clear" w:color="auto" w:fill="auto"/>
            <w:vAlign w:val="center"/>
          </w:tcPr>
          <w:p w14:paraId="5EF87B47">
            <w:pPr>
              <w:widowControl/>
              <w:adjustRightInd w:val="0"/>
              <w:snapToGrid w:val="0"/>
              <w:spacing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雨污分流、溢流污染防控工程项目的在建设效果、设施配套等方面的总体完成情况</w:t>
            </w:r>
          </w:p>
        </w:tc>
        <w:tc>
          <w:tcPr>
            <w:tcW w:w="2274" w:type="dxa"/>
            <w:shd w:val="clear" w:color="auto" w:fill="auto"/>
            <w:vAlign w:val="center"/>
          </w:tcPr>
          <w:p w14:paraId="4CD00AF5">
            <w:pPr>
              <w:widowControl/>
              <w:adjustRightInd w:val="0"/>
              <w:snapToGrid w:val="0"/>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考察通过项目实施，是否满意建设效果和设施配套等方面。</w:t>
            </w:r>
          </w:p>
        </w:tc>
        <w:tc>
          <w:tcPr>
            <w:tcW w:w="709" w:type="dxa"/>
            <w:shd w:val="clear" w:color="auto" w:fill="auto"/>
            <w:vAlign w:val="center"/>
          </w:tcPr>
          <w:p w14:paraId="1D156549">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076AD697">
            <w:pPr>
              <w:widowControl/>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57%的人认为在建设效果、设施配套等方面的总体完成情况非常好，43%的人认为总体完成情况好，两者合计占比100%，</w:t>
            </w:r>
          </w:p>
        </w:tc>
      </w:tr>
      <w:tr w14:paraId="6580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Merge w:val="continue"/>
            <w:shd w:val="clear" w:color="auto" w:fill="auto"/>
            <w:vAlign w:val="center"/>
          </w:tcPr>
          <w:p w14:paraId="04BBCA3E">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p>
        </w:tc>
        <w:tc>
          <w:tcPr>
            <w:tcW w:w="1134" w:type="dxa"/>
            <w:vMerge w:val="restart"/>
            <w:shd w:val="clear" w:color="auto" w:fill="auto"/>
            <w:vAlign w:val="center"/>
          </w:tcPr>
          <w:p w14:paraId="48F58092">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生态效益</w:t>
            </w:r>
          </w:p>
        </w:tc>
        <w:tc>
          <w:tcPr>
            <w:tcW w:w="1411" w:type="dxa"/>
            <w:shd w:val="clear" w:color="auto" w:fill="auto"/>
            <w:vAlign w:val="center"/>
          </w:tcPr>
          <w:p w14:paraId="4F3E2105">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生态环境提升系统工程对生态环境修复</w:t>
            </w:r>
          </w:p>
        </w:tc>
        <w:tc>
          <w:tcPr>
            <w:tcW w:w="2274" w:type="dxa"/>
            <w:shd w:val="clear" w:color="auto" w:fill="auto"/>
            <w:vAlign w:val="center"/>
          </w:tcPr>
          <w:p w14:paraId="4CCE0B4B">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考察通过项目实施，是否对有益于滇池保护治理有明显的优化。</w:t>
            </w:r>
          </w:p>
        </w:tc>
        <w:tc>
          <w:tcPr>
            <w:tcW w:w="709" w:type="dxa"/>
            <w:shd w:val="clear" w:color="auto" w:fill="auto"/>
            <w:vAlign w:val="center"/>
          </w:tcPr>
          <w:p w14:paraId="0FD781F7">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41EC0BFD">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有100%的受调查群众认为该项目建成对生态环境修复具有优化</w:t>
            </w:r>
          </w:p>
        </w:tc>
      </w:tr>
      <w:tr w14:paraId="6D12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46" w:type="dxa"/>
            <w:vMerge w:val="continue"/>
            <w:vAlign w:val="center"/>
          </w:tcPr>
          <w:p w14:paraId="7F0F2E3B">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tc>
        <w:tc>
          <w:tcPr>
            <w:tcW w:w="1134" w:type="dxa"/>
            <w:vMerge w:val="continue"/>
            <w:vAlign w:val="center"/>
          </w:tcPr>
          <w:p w14:paraId="1BDA6B6B">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tc>
        <w:tc>
          <w:tcPr>
            <w:tcW w:w="1411" w:type="dxa"/>
            <w:shd w:val="clear" w:color="auto" w:fill="auto"/>
            <w:vAlign w:val="center"/>
          </w:tcPr>
          <w:p w14:paraId="1FFC6201">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清淤除杂工程环境效益改善情况</w:t>
            </w:r>
          </w:p>
        </w:tc>
        <w:tc>
          <w:tcPr>
            <w:tcW w:w="2274" w:type="dxa"/>
            <w:shd w:val="clear" w:color="auto" w:fill="auto"/>
            <w:vAlign w:val="center"/>
          </w:tcPr>
          <w:p w14:paraId="2287D3B7">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考察通过项目实施，是否达到湖河道及支流沟渠水质改善。</w:t>
            </w:r>
          </w:p>
        </w:tc>
        <w:tc>
          <w:tcPr>
            <w:tcW w:w="709" w:type="dxa"/>
            <w:shd w:val="clear" w:color="auto" w:fill="auto"/>
            <w:vAlign w:val="center"/>
          </w:tcPr>
          <w:p w14:paraId="7FC78D8D">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完成</w:t>
            </w:r>
          </w:p>
        </w:tc>
        <w:tc>
          <w:tcPr>
            <w:tcW w:w="3402" w:type="dxa"/>
            <w:shd w:val="clear" w:color="auto" w:fill="auto"/>
            <w:vAlign w:val="center"/>
          </w:tcPr>
          <w:p w14:paraId="17EC119C">
            <w:pPr>
              <w:widowControl/>
              <w:adjustRightInd w:val="0"/>
              <w:snapToGrid w:val="0"/>
              <w:spacing w:line="24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清除有机质水质，水质无色、无味、无浮油、清澈</w:t>
            </w:r>
          </w:p>
        </w:tc>
      </w:tr>
      <w:tr w14:paraId="7B1F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6" w:type="dxa"/>
            <w:vMerge w:val="continue"/>
            <w:shd w:val="clear" w:color="auto" w:fill="auto"/>
            <w:vAlign w:val="center"/>
          </w:tcPr>
          <w:p w14:paraId="69393C2B">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tc>
        <w:tc>
          <w:tcPr>
            <w:tcW w:w="1134" w:type="dxa"/>
            <w:shd w:val="clear" w:color="auto" w:fill="auto"/>
            <w:vAlign w:val="center"/>
          </w:tcPr>
          <w:p w14:paraId="0D1D5E23">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可持续影响</w:t>
            </w:r>
          </w:p>
        </w:tc>
        <w:tc>
          <w:tcPr>
            <w:tcW w:w="1411" w:type="dxa"/>
            <w:shd w:val="clear" w:color="auto" w:fill="auto"/>
            <w:vAlign w:val="center"/>
          </w:tcPr>
          <w:p w14:paraId="11A1CCDD">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可持续影响</w:t>
            </w:r>
          </w:p>
        </w:tc>
        <w:tc>
          <w:tcPr>
            <w:tcW w:w="2274" w:type="dxa"/>
            <w:shd w:val="clear" w:color="auto" w:fill="auto"/>
            <w:vAlign w:val="center"/>
          </w:tcPr>
          <w:p w14:paraId="6B6F0041">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在项目的实施过程中，是否探索建立长效机制，确保治理工作能够科学、可持续开展。</w:t>
            </w:r>
          </w:p>
        </w:tc>
        <w:tc>
          <w:tcPr>
            <w:tcW w:w="709" w:type="dxa"/>
            <w:shd w:val="clear" w:color="auto" w:fill="auto"/>
            <w:vAlign w:val="center"/>
          </w:tcPr>
          <w:p w14:paraId="18E9B116">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未完成</w:t>
            </w:r>
          </w:p>
        </w:tc>
        <w:tc>
          <w:tcPr>
            <w:tcW w:w="3402" w:type="dxa"/>
            <w:shd w:val="clear" w:color="auto" w:fill="auto"/>
            <w:vAlign w:val="center"/>
          </w:tcPr>
          <w:p w14:paraId="2DF98841">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未根据项目特点，制定项目长期管理机制</w:t>
            </w:r>
          </w:p>
        </w:tc>
      </w:tr>
      <w:tr w14:paraId="779C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6" w:type="dxa"/>
            <w:vMerge w:val="continue"/>
            <w:vAlign w:val="center"/>
          </w:tcPr>
          <w:p w14:paraId="3DF6E46B">
            <w:pPr>
              <w:widowControl/>
              <w:adjustRightInd w:val="0"/>
              <w:snapToGrid w:val="0"/>
              <w:spacing w:line="240" w:lineRule="exact"/>
              <w:jc w:val="left"/>
              <w:rPr>
                <w:rFonts w:hint="eastAsia" w:asciiTheme="minorEastAsia" w:hAnsiTheme="minorEastAsia" w:eastAsiaTheme="minorEastAsia" w:cstheme="minorEastAsia"/>
                <w:color w:val="000000"/>
                <w:kern w:val="0"/>
                <w:sz w:val="18"/>
                <w:szCs w:val="18"/>
              </w:rPr>
            </w:pPr>
          </w:p>
        </w:tc>
        <w:tc>
          <w:tcPr>
            <w:tcW w:w="1134" w:type="dxa"/>
            <w:shd w:val="clear" w:color="auto" w:fill="auto"/>
            <w:vAlign w:val="center"/>
          </w:tcPr>
          <w:p w14:paraId="2DAF6B9D">
            <w:pPr>
              <w:widowControl/>
              <w:adjustRightInd w:val="0"/>
              <w:snapToGrid w:val="0"/>
              <w:spacing w:line="24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社会公众满意度</w:t>
            </w:r>
          </w:p>
        </w:tc>
        <w:tc>
          <w:tcPr>
            <w:tcW w:w="1411" w:type="dxa"/>
            <w:shd w:val="clear" w:color="auto" w:fill="auto"/>
            <w:vAlign w:val="center"/>
          </w:tcPr>
          <w:p w14:paraId="754F2425">
            <w:pPr>
              <w:widowControl/>
              <w:adjustRightInd w:val="0"/>
              <w:snapToGrid w:val="0"/>
              <w:spacing w:line="24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社会公众满意度</w:t>
            </w:r>
          </w:p>
        </w:tc>
        <w:tc>
          <w:tcPr>
            <w:tcW w:w="2274" w:type="dxa"/>
            <w:shd w:val="clear" w:color="auto" w:fill="auto"/>
            <w:vAlign w:val="center"/>
          </w:tcPr>
          <w:p w14:paraId="6C141220">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社会公众对项目实施的满意度≥90%。</w:t>
            </w:r>
          </w:p>
        </w:tc>
        <w:tc>
          <w:tcPr>
            <w:tcW w:w="709" w:type="dxa"/>
            <w:shd w:val="clear" w:color="auto" w:fill="auto"/>
            <w:vAlign w:val="center"/>
          </w:tcPr>
          <w:p w14:paraId="0D8D47DE">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未完成</w:t>
            </w:r>
          </w:p>
        </w:tc>
        <w:tc>
          <w:tcPr>
            <w:tcW w:w="3402" w:type="dxa"/>
            <w:shd w:val="clear" w:color="auto" w:fill="auto"/>
            <w:vAlign w:val="center"/>
          </w:tcPr>
          <w:p w14:paraId="38DF6BB1">
            <w:pPr>
              <w:widowControl/>
              <w:adjustRightInd w:val="0"/>
              <w:snapToGrid w:val="0"/>
              <w:spacing w:line="2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社会公众满意度84.50%</w:t>
            </w:r>
          </w:p>
        </w:tc>
      </w:tr>
    </w:tbl>
    <w:p w14:paraId="3F7910A3">
      <w:pPr>
        <w:adjustRightInd w:val="0"/>
        <w:snapToGrid w:val="0"/>
        <w:spacing w:line="570" w:lineRule="exact"/>
        <w:ind w:firstLine="670" w:firstLineChars="200"/>
        <w:outlineLvl w:val="0"/>
        <w:rPr>
          <w:rFonts w:hint="eastAsia" w:ascii="黑体" w:hAnsi="黑体" w:eastAsia="黑体" w:cs="黑体"/>
          <w:b/>
          <w:bCs/>
          <w:sz w:val="32"/>
          <w:szCs w:val="32"/>
        </w:rPr>
      </w:pPr>
      <w:bookmarkStart w:id="54" w:name="_Toc4615"/>
      <w:r>
        <w:rPr>
          <w:rFonts w:hint="eastAsia" w:ascii="黑体" w:hAnsi="黑体" w:eastAsia="黑体" w:cs="黑体"/>
          <w:b/>
          <w:bCs/>
          <w:sz w:val="32"/>
          <w:szCs w:val="32"/>
        </w:rPr>
        <w:t>四、绩效评价指标分析</w:t>
      </w:r>
      <w:bookmarkEnd w:id="54"/>
    </w:p>
    <w:p w14:paraId="158520B2">
      <w:pPr>
        <w:adjustRightInd w:val="0"/>
        <w:snapToGrid w:val="0"/>
        <w:spacing w:line="570" w:lineRule="exact"/>
        <w:ind w:firstLine="590" w:firstLineChars="200"/>
        <w:outlineLvl w:val="1"/>
        <w:rPr>
          <w:rFonts w:hint="eastAsia" w:asciiTheme="minorEastAsia" w:hAnsiTheme="minorEastAsia" w:eastAsiaTheme="minorEastAsia" w:cstheme="minorEastAsia"/>
          <w:b/>
          <w:bCs/>
          <w:sz w:val="28"/>
          <w:szCs w:val="28"/>
        </w:rPr>
      </w:pPr>
      <w:bookmarkStart w:id="55" w:name="_Toc518317811"/>
      <w:bookmarkStart w:id="56" w:name="_Toc27020"/>
      <w:bookmarkStart w:id="57" w:name="_Toc517260975"/>
      <w:r>
        <w:rPr>
          <w:rFonts w:hint="eastAsia" w:asciiTheme="minorEastAsia" w:hAnsiTheme="minorEastAsia" w:eastAsiaTheme="minorEastAsia" w:cstheme="minorEastAsia"/>
          <w:b/>
          <w:bCs/>
          <w:sz w:val="28"/>
          <w:szCs w:val="28"/>
        </w:rPr>
        <w:t>（一）项目决策情况</w:t>
      </w:r>
      <w:bookmarkEnd w:id="55"/>
      <w:bookmarkEnd w:id="56"/>
      <w:bookmarkEnd w:id="57"/>
    </w:p>
    <w:p w14:paraId="6B1FFB5E">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pacing w:val="6"/>
          <w:sz w:val="28"/>
          <w:szCs w:val="28"/>
        </w:rPr>
        <w:t>项目决策类指标，包括项目立项、绩效目标两个方面的内容，由5个三级指标构成。该项指标评价满分20分，实际得分16分，得分率80.00%，具体分析如下：</w:t>
      </w:r>
      <w:r>
        <w:rPr>
          <w:rFonts w:hint="eastAsia" w:asciiTheme="minorEastAsia" w:hAnsiTheme="minorEastAsia" w:eastAsiaTheme="minorEastAsia" w:cstheme="minorEastAsia"/>
          <w:bCs/>
          <w:sz w:val="28"/>
          <w:szCs w:val="28"/>
        </w:rPr>
        <w:t xml:space="preserve"> </w:t>
      </w:r>
    </w:p>
    <w:p w14:paraId="5B59DA3A">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项目立项方面</w:t>
      </w:r>
    </w:p>
    <w:p w14:paraId="3538EA3B">
      <w:pPr>
        <w:keepNext w:val="0"/>
        <w:keepLines w:val="0"/>
        <w:pageBreakBefore w:val="0"/>
        <w:widowControl w:val="0"/>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该部分主要考察项目立项是否与部门中长期规划目标适应性，是否有充分的依据，符合国家、省、市相关规定，以及项目的申请、设立过程是否符合相关要求。各指标的业绩值和绩效分值详见表4-1：</w:t>
      </w:r>
    </w:p>
    <w:p w14:paraId="1F9CC0D0">
      <w:pPr>
        <w:widowControl/>
        <w:adjustRightInd w:val="0"/>
        <w:spacing w:line="57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bCs w:val="0"/>
          <w:sz w:val="24"/>
          <w:szCs w:val="24"/>
        </w:rPr>
        <w:t>表4-1：“项目立项”指标评价分析及绩效得分情况</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4"/>
        <w:gridCol w:w="1598"/>
        <w:gridCol w:w="1153"/>
        <w:gridCol w:w="1220"/>
      </w:tblGrid>
      <w:tr w14:paraId="1B82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74" w:type="dxa"/>
          </w:tcPr>
          <w:p w14:paraId="62A70420">
            <w:pPr>
              <w:tabs>
                <w:tab w:val="left" w:pos="1276"/>
              </w:tabs>
              <w:adjustRightInd w:val="0"/>
              <w:spacing w:line="570" w:lineRule="exact"/>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指标名称</w:t>
            </w:r>
          </w:p>
        </w:tc>
        <w:tc>
          <w:tcPr>
            <w:tcW w:w="1598" w:type="dxa"/>
          </w:tcPr>
          <w:p w14:paraId="16D1630D">
            <w:pPr>
              <w:tabs>
                <w:tab w:val="left" w:pos="1276"/>
              </w:tabs>
              <w:adjustRightInd w:val="0"/>
              <w:spacing w:line="570" w:lineRule="exact"/>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指标权重</w:t>
            </w:r>
          </w:p>
        </w:tc>
        <w:tc>
          <w:tcPr>
            <w:tcW w:w="1153" w:type="dxa"/>
          </w:tcPr>
          <w:p w14:paraId="7CD9F56A">
            <w:pPr>
              <w:tabs>
                <w:tab w:val="left" w:pos="1276"/>
              </w:tabs>
              <w:adjustRightInd w:val="0"/>
              <w:spacing w:line="570" w:lineRule="exact"/>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业绩值</w:t>
            </w:r>
          </w:p>
        </w:tc>
        <w:tc>
          <w:tcPr>
            <w:tcW w:w="1220" w:type="dxa"/>
          </w:tcPr>
          <w:p w14:paraId="63C185F6">
            <w:pPr>
              <w:tabs>
                <w:tab w:val="left" w:pos="1276"/>
              </w:tabs>
              <w:adjustRightInd w:val="0"/>
              <w:spacing w:line="570" w:lineRule="exact"/>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实际得分</w:t>
            </w:r>
          </w:p>
        </w:tc>
      </w:tr>
      <w:tr w14:paraId="4895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74" w:type="dxa"/>
          </w:tcPr>
          <w:p w14:paraId="7148127B">
            <w:pPr>
              <w:tabs>
                <w:tab w:val="left" w:pos="1276"/>
              </w:tabs>
              <w:adjustRightInd w:val="0"/>
              <w:spacing w:line="570" w:lineRule="exact"/>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与部门中长期规划目标适应性</w:t>
            </w:r>
          </w:p>
        </w:tc>
        <w:tc>
          <w:tcPr>
            <w:tcW w:w="1598" w:type="dxa"/>
          </w:tcPr>
          <w:p w14:paraId="2E0A2FC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c>
          <w:tcPr>
            <w:tcW w:w="1153" w:type="dxa"/>
          </w:tcPr>
          <w:p w14:paraId="3C85438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20" w:type="dxa"/>
          </w:tcPr>
          <w:p w14:paraId="6076050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r>
      <w:tr w14:paraId="6837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74" w:type="dxa"/>
          </w:tcPr>
          <w:p w14:paraId="377A9A5C">
            <w:pPr>
              <w:tabs>
                <w:tab w:val="left" w:pos="1276"/>
              </w:tabs>
              <w:adjustRightInd w:val="0"/>
              <w:spacing w:line="570" w:lineRule="exact"/>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立项依据充分性</w:t>
            </w:r>
          </w:p>
        </w:tc>
        <w:tc>
          <w:tcPr>
            <w:tcW w:w="1598" w:type="dxa"/>
            <w:vAlign w:val="center"/>
          </w:tcPr>
          <w:p w14:paraId="329BAE62">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153" w:type="dxa"/>
            <w:vAlign w:val="center"/>
          </w:tcPr>
          <w:p w14:paraId="3A24A0C7">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20" w:type="dxa"/>
            <w:vAlign w:val="center"/>
          </w:tcPr>
          <w:p w14:paraId="254CB8D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r>
      <w:tr w14:paraId="7D21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74" w:type="dxa"/>
          </w:tcPr>
          <w:p w14:paraId="67F5F6A2">
            <w:pPr>
              <w:tabs>
                <w:tab w:val="left" w:pos="1276"/>
              </w:tabs>
              <w:adjustRightInd w:val="0"/>
              <w:spacing w:line="570" w:lineRule="exact"/>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项目立项规范性</w:t>
            </w:r>
          </w:p>
        </w:tc>
        <w:tc>
          <w:tcPr>
            <w:tcW w:w="1598" w:type="dxa"/>
            <w:vAlign w:val="center"/>
          </w:tcPr>
          <w:p w14:paraId="716B32A2">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c>
          <w:tcPr>
            <w:tcW w:w="1153" w:type="dxa"/>
            <w:vAlign w:val="center"/>
          </w:tcPr>
          <w:p w14:paraId="093BC8E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20" w:type="dxa"/>
            <w:vAlign w:val="center"/>
          </w:tcPr>
          <w:p w14:paraId="0D7DB96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7A05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74" w:type="dxa"/>
          </w:tcPr>
          <w:p w14:paraId="38B89488">
            <w:pPr>
              <w:tabs>
                <w:tab w:val="left" w:pos="1276"/>
              </w:tabs>
              <w:adjustRightInd w:val="0"/>
              <w:spacing w:line="570" w:lineRule="exact"/>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小  计</w:t>
            </w:r>
          </w:p>
        </w:tc>
        <w:tc>
          <w:tcPr>
            <w:tcW w:w="1598" w:type="dxa"/>
            <w:vAlign w:val="center"/>
          </w:tcPr>
          <w:p w14:paraId="66163AE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w:t>
            </w:r>
          </w:p>
        </w:tc>
        <w:tc>
          <w:tcPr>
            <w:tcW w:w="1153" w:type="dxa"/>
            <w:vAlign w:val="center"/>
          </w:tcPr>
          <w:p w14:paraId="47825567">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20" w:type="dxa"/>
            <w:vAlign w:val="center"/>
          </w:tcPr>
          <w:p w14:paraId="0B6315D6">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w:t>
            </w:r>
          </w:p>
        </w:tc>
      </w:tr>
    </w:tbl>
    <w:p w14:paraId="518FF96C">
      <w:pPr>
        <w:keepNext w:val="0"/>
        <w:keepLines w:val="0"/>
        <w:pageBreakBefore w:val="0"/>
        <w:kinsoku/>
        <w:wordWrap/>
        <w:overflowPunct/>
        <w:topLinePunct w:val="0"/>
        <w:autoSpaceDE/>
        <w:autoSpaceDN/>
        <w:bidi w:val="0"/>
        <w:snapToGrid/>
        <w:spacing w:line="560" w:lineRule="exact"/>
        <w:ind w:firstLine="590"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sz w:val="28"/>
          <w:szCs w:val="28"/>
        </w:rPr>
        <w:t>2023年3月17日昆明市晋宁区发展和改革委员会进行了《关于调整晋宁区（城区）雨污分流、溢流污染防控工程可行性研究报告的批复》（晋发改发〔2023〕21号），2023年3月制定了晋宁（城区）雨污分流、溢流防控工程项目实施方案，</w:t>
      </w:r>
      <w:r>
        <w:rPr>
          <w:rFonts w:hint="eastAsia" w:asciiTheme="minorEastAsia" w:hAnsiTheme="minorEastAsia" w:eastAsiaTheme="minorEastAsia" w:cstheme="minorEastAsia"/>
          <w:bCs/>
          <w:sz w:val="28"/>
          <w:szCs w:val="28"/>
        </w:rPr>
        <w:t>项目的申请、设立过程是否符合相关要求。</w:t>
      </w:r>
    </w:p>
    <w:p w14:paraId="18E05D25">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该项指标满分为8分，根据评分标准得8分。</w:t>
      </w:r>
    </w:p>
    <w:p w14:paraId="03C410C9">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2、绩效目标方面</w:t>
      </w:r>
    </w:p>
    <w:p w14:paraId="5A62B882">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该部分主要考察所设定的项目绩效目标是否依据充分、完整且与预算相匹配，细化分解的绩效目标是否与绩效目标相适应。各指标的业绩值和绩效分值详见表4-2：</w:t>
      </w:r>
    </w:p>
    <w:p w14:paraId="47CA9F65">
      <w:pPr>
        <w:widowControl/>
        <w:adjustRightInd w:val="0"/>
        <w:spacing w:line="57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bCs w:val="0"/>
          <w:sz w:val="24"/>
          <w:szCs w:val="24"/>
        </w:rPr>
        <w:t>表4-2：“绩效目标”指标评价分析及绩效得分情况</w:t>
      </w:r>
    </w:p>
    <w:tbl>
      <w:tblPr>
        <w:tblStyle w:val="1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2D9D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08FC3A93">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656" w:type="dxa"/>
          </w:tcPr>
          <w:p w14:paraId="3A712C20">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192" w:type="dxa"/>
          </w:tcPr>
          <w:p w14:paraId="192712D5">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62" w:type="dxa"/>
          </w:tcPr>
          <w:p w14:paraId="31B1AF01">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10FB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7B8663CA">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绩效目标设定的合理性</w:t>
            </w:r>
          </w:p>
        </w:tc>
        <w:tc>
          <w:tcPr>
            <w:tcW w:w="1656" w:type="dxa"/>
          </w:tcPr>
          <w:p w14:paraId="5CEB7FB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w:t>
            </w:r>
          </w:p>
        </w:tc>
        <w:tc>
          <w:tcPr>
            <w:tcW w:w="1192" w:type="dxa"/>
          </w:tcPr>
          <w:p w14:paraId="770DE62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66.67%</w:t>
            </w:r>
          </w:p>
        </w:tc>
        <w:tc>
          <w:tcPr>
            <w:tcW w:w="1262" w:type="dxa"/>
          </w:tcPr>
          <w:p w14:paraId="2456304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7E7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47836A0F">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绩效指标设定的明确性</w:t>
            </w:r>
          </w:p>
        </w:tc>
        <w:tc>
          <w:tcPr>
            <w:tcW w:w="1656" w:type="dxa"/>
          </w:tcPr>
          <w:p w14:paraId="4AFDF2B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w:t>
            </w:r>
          </w:p>
        </w:tc>
        <w:tc>
          <w:tcPr>
            <w:tcW w:w="1192" w:type="dxa"/>
          </w:tcPr>
          <w:p w14:paraId="0DA61A2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66.67%</w:t>
            </w:r>
          </w:p>
        </w:tc>
        <w:tc>
          <w:tcPr>
            <w:tcW w:w="1262" w:type="dxa"/>
          </w:tcPr>
          <w:p w14:paraId="1F4D36D7">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5C2F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2B253A82">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656" w:type="dxa"/>
          </w:tcPr>
          <w:p w14:paraId="3D675ED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12</w:t>
            </w:r>
          </w:p>
        </w:tc>
        <w:tc>
          <w:tcPr>
            <w:tcW w:w="1192" w:type="dxa"/>
          </w:tcPr>
          <w:p w14:paraId="52AAD312">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66.67%</w:t>
            </w:r>
          </w:p>
        </w:tc>
        <w:tc>
          <w:tcPr>
            <w:tcW w:w="1262" w:type="dxa"/>
          </w:tcPr>
          <w:p w14:paraId="1A8FDBC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w:t>
            </w:r>
          </w:p>
        </w:tc>
      </w:tr>
    </w:tbl>
    <w:p w14:paraId="1C18050E">
      <w:pPr>
        <w:keepNext w:val="0"/>
        <w:keepLines w:val="0"/>
        <w:pageBreakBefore w:val="0"/>
        <w:widowControl/>
        <w:kinsoku/>
        <w:wordWrap/>
        <w:overflowPunct/>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项目绩效目标未细化项目明细（项目内容），产出指标仅设置质量指标-工程建设质量-按质量标准完成项目建设效益指标-社会效益-雨污分流项目实施后排水环境改善-完成小区庭院、市政道路的排水管网建设、满意度指标-服务对象满意度-周边群众满意度≥85；设定的绩效指标未与各年度工作任务相对应。</w:t>
      </w:r>
    </w:p>
    <w:p w14:paraId="12897CCE">
      <w:pPr>
        <w:keepNext w:val="0"/>
        <w:keepLines w:val="0"/>
        <w:pageBreakBefore w:val="0"/>
        <w:widowControl/>
        <w:kinsoku/>
        <w:wordWrap/>
        <w:overflowPunct/>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该项指标满分为12分，根据评分标准得8分。</w:t>
      </w:r>
    </w:p>
    <w:p w14:paraId="16A17657">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outlineLvl w:val="1"/>
        <w:rPr>
          <w:rFonts w:hint="eastAsia" w:asciiTheme="minorEastAsia" w:hAnsiTheme="minorEastAsia" w:eastAsiaTheme="minorEastAsia" w:cstheme="minorEastAsia"/>
          <w:b/>
          <w:bCs/>
          <w:sz w:val="28"/>
          <w:szCs w:val="28"/>
        </w:rPr>
      </w:pPr>
      <w:bookmarkStart w:id="58" w:name="_Toc518317812"/>
      <w:bookmarkStart w:id="59" w:name="_Toc517260976"/>
      <w:bookmarkStart w:id="60" w:name="_Toc20881"/>
      <w:r>
        <w:rPr>
          <w:rFonts w:hint="eastAsia" w:asciiTheme="minorEastAsia" w:hAnsiTheme="minorEastAsia" w:eastAsiaTheme="minorEastAsia" w:cstheme="minorEastAsia"/>
          <w:b/>
          <w:bCs/>
          <w:sz w:val="28"/>
          <w:szCs w:val="28"/>
        </w:rPr>
        <w:t>（二）项目过程情况</w:t>
      </w:r>
      <w:bookmarkEnd w:id="58"/>
      <w:bookmarkEnd w:id="59"/>
      <w:bookmarkEnd w:id="60"/>
    </w:p>
    <w:p w14:paraId="2BFC8CF8">
      <w:pPr>
        <w:keepNext w:val="0"/>
        <w:keepLines w:val="0"/>
        <w:pageBreakBefore w:val="0"/>
        <w:kinsoku/>
        <w:wordWrap/>
        <w:overflowPunct/>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项目过程类指标，包括项目投入、财务管理和项目实施三方面的内容，由11个三级指标构成。该</w:t>
      </w:r>
      <w:bookmarkStart w:id="78" w:name="_GoBack"/>
      <w:bookmarkEnd w:id="78"/>
      <w:r>
        <w:rPr>
          <w:rFonts w:hint="eastAsia" w:asciiTheme="minorEastAsia" w:hAnsiTheme="minorEastAsia" w:eastAsiaTheme="minorEastAsia" w:cstheme="minorEastAsia"/>
          <w:bCs/>
          <w:spacing w:val="6"/>
          <w:sz w:val="28"/>
          <w:szCs w:val="28"/>
        </w:rPr>
        <w:t>指标评价满分20分，实际得分15.11分，得分率75.55%。</w:t>
      </w:r>
    </w:p>
    <w:p w14:paraId="602E395A">
      <w:pPr>
        <w:keepNext w:val="0"/>
        <w:keepLines w:val="0"/>
        <w:pageBreakBefore w:val="0"/>
        <w:numPr>
          <w:ilvl w:val="0"/>
          <w:numId w:val="4"/>
        </w:numPr>
        <w:kinsoku/>
        <w:wordWrap/>
        <w:overflowPunct/>
        <w:topLinePunct w:val="0"/>
        <w:autoSpaceDE/>
        <w:autoSpaceDN/>
        <w:bidi w:val="0"/>
        <w:adjustRightInd w:val="0"/>
        <w:spacing w:line="560" w:lineRule="exact"/>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项目投入方面</w:t>
      </w:r>
    </w:p>
    <w:p w14:paraId="585A380B">
      <w:pPr>
        <w:keepNext w:val="0"/>
        <w:keepLines w:val="0"/>
        <w:pageBreakBefore w:val="0"/>
        <w:kinsoku/>
        <w:wordWrap/>
        <w:overflowPunct/>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该部分主要考察项目实施单位项目资金预算编制合理性、预算调整规范性、预算执行率及预算资金到位情况。各指标分值和得分情况详见表4-3：</w:t>
      </w:r>
    </w:p>
    <w:p w14:paraId="0FB34DB5">
      <w:pPr>
        <w:widowControl/>
        <w:adjustRightInd w:val="0"/>
        <w:spacing w:line="57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表4-3：“项目管理”指标评价分析及绩效得分情况</w:t>
      </w:r>
    </w:p>
    <w:tbl>
      <w:tblPr>
        <w:tblStyle w:val="1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34E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4ED8033A">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656" w:type="dxa"/>
          </w:tcPr>
          <w:p w14:paraId="79DDFDC1">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192" w:type="dxa"/>
          </w:tcPr>
          <w:p w14:paraId="34D94F80">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62" w:type="dxa"/>
          </w:tcPr>
          <w:p w14:paraId="1A59A484">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0E94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4EC2D88">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项目资金预算编制合理性</w:t>
            </w:r>
          </w:p>
        </w:tc>
        <w:tc>
          <w:tcPr>
            <w:tcW w:w="1656" w:type="dxa"/>
            <w:vAlign w:val="center"/>
          </w:tcPr>
          <w:p w14:paraId="755FB4F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c>
          <w:tcPr>
            <w:tcW w:w="1192" w:type="dxa"/>
            <w:vAlign w:val="center"/>
          </w:tcPr>
          <w:p w14:paraId="295E611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62" w:type="dxa"/>
            <w:vAlign w:val="center"/>
          </w:tcPr>
          <w:p w14:paraId="13F71A9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r>
      <w:tr w14:paraId="7C0F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0624B745">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项目资金预算调整规范性</w:t>
            </w:r>
          </w:p>
        </w:tc>
        <w:tc>
          <w:tcPr>
            <w:tcW w:w="1656" w:type="dxa"/>
            <w:vAlign w:val="center"/>
          </w:tcPr>
          <w:p w14:paraId="198BF806">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c>
          <w:tcPr>
            <w:tcW w:w="1192" w:type="dxa"/>
            <w:vAlign w:val="center"/>
          </w:tcPr>
          <w:p w14:paraId="1021C2E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0.00%</w:t>
            </w:r>
          </w:p>
        </w:tc>
        <w:tc>
          <w:tcPr>
            <w:tcW w:w="1262" w:type="dxa"/>
            <w:vAlign w:val="center"/>
          </w:tcPr>
          <w:p w14:paraId="2A856F9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0</w:t>
            </w:r>
          </w:p>
        </w:tc>
      </w:tr>
      <w:tr w14:paraId="0B32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287583C6">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项目资金到位率</w:t>
            </w:r>
          </w:p>
        </w:tc>
        <w:tc>
          <w:tcPr>
            <w:tcW w:w="1656" w:type="dxa"/>
            <w:vAlign w:val="center"/>
          </w:tcPr>
          <w:p w14:paraId="6BB83FD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c>
          <w:tcPr>
            <w:tcW w:w="1192" w:type="dxa"/>
            <w:vAlign w:val="center"/>
          </w:tcPr>
          <w:p w14:paraId="1820C2F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21.00%</w:t>
            </w:r>
          </w:p>
        </w:tc>
        <w:tc>
          <w:tcPr>
            <w:tcW w:w="1262" w:type="dxa"/>
            <w:vAlign w:val="center"/>
          </w:tcPr>
          <w:p w14:paraId="5E74144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0.21</w:t>
            </w:r>
          </w:p>
        </w:tc>
      </w:tr>
      <w:tr w14:paraId="79CA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F9F3D24">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项目资金到位及时率</w:t>
            </w:r>
          </w:p>
        </w:tc>
        <w:tc>
          <w:tcPr>
            <w:tcW w:w="1656" w:type="dxa"/>
            <w:vAlign w:val="center"/>
          </w:tcPr>
          <w:p w14:paraId="5FC6366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c>
          <w:tcPr>
            <w:tcW w:w="1192" w:type="dxa"/>
            <w:vAlign w:val="center"/>
          </w:tcPr>
          <w:p w14:paraId="06789709">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90.00%</w:t>
            </w:r>
          </w:p>
        </w:tc>
        <w:tc>
          <w:tcPr>
            <w:tcW w:w="1262" w:type="dxa"/>
            <w:vAlign w:val="center"/>
          </w:tcPr>
          <w:p w14:paraId="6F9DD23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0.9</w:t>
            </w:r>
          </w:p>
        </w:tc>
      </w:tr>
      <w:tr w14:paraId="62D7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4345D69D">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项目资金预算执行进度</w:t>
            </w:r>
          </w:p>
        </w:tc>
        <w:tc>
          <w:tcPr>
            <w:tcW w:w="1656" w:type="dxa"/>
            <w:vAlign w:val="center"/>
          </w:tcPr>
          <w:p w14:paraId="29431F5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c>
          <w:tcPr>
            <w:tcW w:w="1192" w:type="dxa"/>
            <w:vAlign w:val="center"/>
          </w:tcPr>
          <w:p w14:paraId="47665B5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62" w:type="dxa"/>
            <w:vAlign w:val="center"/>
          </w:tcPr>
          <w:p w14:paraId="15CCA37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r>
      <w:tr w14:paraId="1D0F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7FAD2BEB">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656" w:type="dxa"/>
          </w:tcPr>
          <w:p w14:paraId="26619E9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c>
          <w:tcPr>
            <w:tcW w:w="1192" w:type="dxa"/>
          </w:tcPr>
          <w:p w14:paraId="1C721EC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75.55%</w:t>
            </w:r>
          </w:p>
        </w:tc>
        <w:tc>
          <w:tcPr>
            <w:tcW w:w="1262" w:type="dxa"/>
          </w:tcPr>
          <w:p w14:paraId="7BAC5556">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3.11</w:t>
            </w:r>
          </w:p>
        </w:tc>
      </w:tr>
    </w:tbl>
    <w:p w14:paraId="7744030A">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（1）</w:t>
      </w:r>
      <w:r>
        <w:rPr>
          <w:rFonts w:hint="eastAsia" w:asciiTheme="minorEastAsia" w:hAnsiTheme="minorEastAsia" w:eastAsiaTheme="minorEastAsia" w:cstheme="minorEastAsia"/>
          <w:sz w:val="28"/>
          <w:szCs w:val="28"/>
        </w:rPr>
        <w:t>项目资金预算编制合理性</w:t>
      </w:r>
    </w:p>
    <w:p w14:paraId="0E90EEEA">
      <w:pPr>
        <w:keepNext w:val="0"/>
        <w:keepLines w:val="0"/>
        <w:pageBreakBefore w:val="0"/>
        <w:kinsoku/>
        <w:wordWrap/>
        <w:overflowPunct/>
        <w:topLinePunct w:val="0"/>
        <w:autoSpaceDE/>
        <w:autoSpaceDN/>
        <w:bidi w:val="0"/>
        <w:snapToGrid/>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项目管理、实施单位对项目资金预算编制是否合理性。</w:t>
      </w:r>
    </w:p>
    <w:p w14:paraId="7CD5EB86">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该项指标满分为1分，根据评分标准得1分。</w:t>
      </w:r>
    </w:p>
    <w:p w14:paraId="619F6915">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（2）项目资金预算调整规范性</w:t>
      </w:r>
    </w:p>
    <w:p w14:paraId="321D08AE">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在实地评价过程中，项目投资额未达到可研报告的投资额，未提供项目投资概算资金调整的报、审程序资料。</w:t>
      </w:r>
    </w:p>
    <w:p w14:paraId="6F507BB7">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该项指标满分为1分，根据评分标准得0分。</w:t>
      </w:r>
    </w:p>
    <w:p w14:paraId="4DB8BD1D">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（3）项目资金到位率</w:t>
      </w:r>
    </w:p>
    <w:p w14:paraId="69E62A89">
      <w:pPr>
        <w:keepNext w:val="0"/>
        <w:keepLines w:val="0"/>
        <w:pageBreakBefore w:val="0"/>
        <w:kinsoku/>
        <w:wordWrap/>
        <w:overflowPunct/>
        <w:topLinePunct w:val="0"/>
        <w:autoSpaceDE/>
        <w:autoSpaceDN/>
        <w:bidi w:val="0"/>
        <w:adjustRightInd w:val="0"/>
        <w:snapToGrid/>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实际到位资金7028万元，预算批复总投资33370.13万元，投资到位率21.06%。</w:t>
      </w:r>
    </w:p>
    <w:p w14:paraId="68119F3F">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该项指标满分为1分，根据评分标准得0.21分。</w:t>
      </w:r>
    </w:p>
    <w:p w14:paraId="3BAD0B87">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（4）项目资金到位及时率</w:t>
      </w:r>
    </w:p>
    <w:p w14:paraId="55D5A4FB">
      <w:pPr>
        <w:keepNext w:val="0"/>
        <w:keepLines w:val="0"/>
        <w:pageBreakBefore w:val="0"/>
        <w:kinsoku/>
        <w:wordWrap/>
        <w:overflowPunct/>
        <w:topLinePunct w:val="0"/>
        <w:autoSpaceDE/>
        <w:autoSpaceDN/>
        <w:bidi w:val="0"/>
        <w:adjustRightInd w:val="0"/>
        <w:snapToGrid/>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在实地评价过程中，评价项目资金到位、及时性情况。项目预算执行率90.21%。</w:t>
      </w:r>
    </w:p>
    <w:p w14:paraId="4A054A79">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该项指标满分为1分，根据评分标准得0.9分。</w:t>
      </w:r>
    </w:p>
    <w:p w14:paraId="71F6E7B0">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（5）项目资金预算执行进度情况</w:t>
      </w:r>
    </w:p>
    <w:p w14:paraId="6421EA44">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在实地评价过程中，评价项目资金预算执行情况。</w:t>
      </w:r>
    </w:p>
    <w:p w14:paraId="7CACEC15">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该项指标满分为1分，根据评分标准得1分。</w:t>
      </w:r>
    </w:p>
    <w:p w14:paraId="0EADCA79">
      <w:pPr>
        <w:keepNext w:val="0"/>
        <w:keepLines w:val="0"/>
        <w:pageBreakBefore w:val="0"/>
        <w:numPr>
          <w:ilvl w:val="0"/>
          <w:numId w:val="4"/>
        </w:numPr>
        <w:kinsoku/>
        <w:wordWrap/>
        <w:overflowPunct/>
        <w:topLinePunct w:val="0"/>
        <w:autoSpaceDE/>
        <w:autoSpaceDN/>
        <w:bidi w:val="0"/>
        <w:adjustRightInd w:val="0"/>
        <w:snapToGrid/>
        <w:spacing w:line="560" w:lineRule="exact"/>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财务管理方面。</w:t>
      </w:r>
    </w:p>
    <w:p w14:paraId="7DA38CBC">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该部分主要考察项目资金使用情况，项目资金拨付程序是否完整，会计核算是否合规。各指标分值和得分情况详见表4-4：</w:t>
      </w:r>
    </w:p>
    <w:p w14:paraId="0F509203">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表4-4：“财务管理”指标评价分析及绩效得分情况</w:t>
      </w:r>
    </w:p>
    <w:tbl>
      <w:tblPr>
        <w:tblStyle w:val="1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1F7C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58E8541F">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656" w:type="dxa"/>
          </w:tcPr>
          <w:p w14:paraId="3839A453">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192" w:type="dxa"/>
          </w:tcPr>
          <w:p w14:paraId="4F73ACEE">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62" w:type="dxa"/>
          </w:tcPr>
          <w:p w14:paraId="74D4FCC3">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2E97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319CA9C">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资金使用情况</w:t>
            </w:r>
          </w:p>
        </w:tc>
        <w:tc>
          <w:tcPr>
            <w:tcW w:w="1656" w:type="dxa"/>
          </w:tcPr>
          <w:p w14:paraId="59E294F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1192" w:type="dxa"/>
          </w:tcPr>
          <w:p w14:paraId="565F64D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62" w:type="dxa"/>
          </w:tcPr>
          <w:p w14:paraId="36380F1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49AB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66FD693E">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资金管理制度健全性</w:t>
            </w:r>
          </w:p>
        </w:tc>
        <w:tc>
          <w:tcPr>
            <w:tcW w:w="1656" w:type="dxa"/>
          </w:tcPr>
          <w:p w14:paraId="11B22F7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c>
          <w:tcPr>
            <w:tcW w:w="1192" w:type="dxa"/>
          </w:tcPr>
          <w:p w14:paraId="6402285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62" w:type="dxa"/>
          </w:tcPr>
          <w:p w14:paraId="432D315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r>
      <w:tr w14:paraId="796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55413D15">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财务监控有效性</w:t>
            </w:r>
          </w:p>
        </w:tc>
        <w:tc>
          <w:tcPr>
            <w:tcW w:w="1656" w:type="dxa"/>
          </w:tcPr>
          <w:p w14:paraId="090CC09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1192" w:type="dxa"/>
          </w:tcPr>
          <w:p w14:paraId="1DF5D956">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62" w:type="dxa"/>
          </w:tcPr>
          <w:p w14:paraId="7C0503F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1541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1B74D3C0">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656" w:type="dxa"/>
          </w:tcPr>
          <w:p w14:paraId="01AFF28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c>
          <w:tcPr>
            <w:tcW w:w="1192" w:type="dxa"/>
          </w:tcPr>
          <w:p w14:paraId="5BE672F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62" w:type="dxa"/>
          </w:tcPr>
          <w:p w14:paraId="35F8E50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r>
    </w:tbl>
    <w:p w14:paraId="1FAA671F">
      <w:pPr>
        <w:keepNext w:val="0"/>
        <w:keepLines w:val="0"/>
        <w:pageBreakBefore w:val="0"/>
        <w:kinsoku/>
        <w:wordWrap/>
        <w:overflowPunct/>
        <w:topLinePunct w:val="0"/>
        <w:autoSpaceDE/>
        <w:autoSpaceDN/>
        <w:bidi w:val="0"/>
        <w:adjustRightInd w:val="0"/>
        <w:snapToGrid/>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（1）资金使用情况</w:t>
      </w:r>
    </w:p>
    <w:p w14:paraId="29CCC6C8">
      <w:pPr>
        <w:keepNext w:val="0"/>
        <w:keepLines w:val="0"/>
        <w:pageBreakBefore w:val="0"/>
        <w:kinsoku/>
        <w:wordWrap/>
        <w:overflowPunct/>
        <w:topLinePunct w:val="0"/>
        <w:autoSpaceDE/>
        <w:autoSpaceDN/>
        <w:bidi w:val="0"/>
        <w:snapToGrid/>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资金使用执行相关内控管理制度，未发现使用不规范情况。</w:t>
      </w:r>
    </w:p>
    <w:p w14:paraId="42270E6A">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该项指标满分为2分，根据评分标准得2分。</w:t>
      </w:r>
    </w:p>
    <w:p w14:paraId="619457B3">
      <w:pPr>
        <w:keepNext w:val="0"/>
        <w:keepLines w:val="0"/>
        <w:pageBreakBefore w:val="0"/>
        <w:kinsoku/>
        <w:wordWrap/>
        <w:overflowPunct/>
        <w:topLinePunct w:val="0"/>
        <w:autoSpaceDE/>
        <w:autoSpaceDN/>
        <w:bidi w:val="0"/>
        <w:adjustRightInd w:val="0"/>
        <w:snapToGrid/>
        <w:spacing w:line="560" w:lineRule="exact"/>
        <w:ind w:firstLine="590"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（2）资金管理制度健全性</w:t>
      </w:r>
    </w:p>
    <w:p w14:paraId="5E7C99F3">
      <w:pPr>
        <w:keepNext w:val="0"/>
        <w:keepLines w:val="0"/>
        <w:pageBreakBefore w:val="0"/>
        <w:kinsoku/>
        <w:wordWrap/>
        <w:overflowPunct/>
        <w:topLinePunct w:val="0"/>
        <w:autoSpaceDE/>
        <w:autoSpaceDN/>
        <w:bidi w:val="0"/>
        <w:snapToGrid/>
        <w:spacing w:line="560" w:lineRule="exact"/>
        <w:ind w:firstLine="59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内控管理制度中资金管理制度健全性。预算执行率为100%。</w:t>
      </w:r>
    </w:p>
    <w:p w14:paraId="6818723B">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该项指标满分为1分，根据评分标准得1分。</w:t>
      </w:r>
    </w:p>
    <w:p w14:paraId="6A64396A">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（3）财务监控有效性</w:t>
      </w:r>
    </w:p>
    <w:p w14:paraId="16B49065">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pacing w:val="6"/>
          <w:sz w:val="28"/>
          <w:szCs w:val="28"/>
        </w:rPr>
        <w:t>根据实地评价，资金的拨付有完整的审批程序和手续，未发现未按批复用途使用资金的情况，资金使用符合国家财经法规和财务管理制度规定以及有关专项资金管理办法的规定。未发现存在截留、挤占、挪用、虚列支出等情况，资金拨付程序完整,财务制度有效执行</w:t>
      </w:r>
      <w:r>
        <w:rPr>
          <w:rFonts w:hint="eastAsia" w:asciiTheme="minorEastAsia" w:hAnsiTheme="minorEastAsia" w:eastAsiaTheme="minorEastAsia" w:cstheme="minorEastAsia"/>
          <w:bCs/>
          <w:sz w:val="28"/>
          <w:szCs w:val="28"/>
        </w:rPr>
        <w:t>。</w:t>
      </w:r>
    </w:p>
    <w:p w14:paraId="013174C2">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该项指标满分为2分，根据评分标准得2分。</w:t>
      </w:r>
    </w:p>
    <w:p w14:paraId="04D129A6">
      <w:pPr>
        <w:keepNext w:val="0"/>
        <w:keepLines w:val="0"/>
        <w:pageBreakBefore w:val="0"/>
        <w:numPr>
          <w:ilvl w:val="0"/>
          <w:numId w:val="4"/>
        </w:numPr>
        <w:kinsoku/>
        <w:wordWrap/>
        <w:overflowPunct/>
        <w:topLinePunct w:val="0"/>
        <w:autoSpaceDE/>
        <w:autoSpaceDN/>
        <w:bidi w:val="0"/>
        <w:adjustRightInd w:val="0"/>
        <w:snapToGrid/>
        <w:spacing w:line="560" w:lineRule="exact"/>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项目实施</w:t>
      </w:r>
    </w:p>
    <w:p w14:paraId="78A7D60F">
      <w:pPr>
        <w:keepNext w:val="0"/>
        <w:keepLines w:val="0"/>
        <w:pageBreakBefore w:val="0"/>
        <w:kinsoku/>
        <w:wordWrap/>
        <w:overflowPunct/>
        <w:topLinePunct w:val="0"/>
        <w:autoSpaceDE/>
        <w:autoSpaceDN/>
        <w:bidi w:val="0"/>
        <w:adjustRightInd w:val="0"/>
        <w:snapToGrid/>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该部分主要考察项目管理制度健全性、执行有效性、政府采购规范性及绩效管理执行规范性。各指标分值和得分情况详见表4-5：</w:t>
      </w:r>
    </w:p>
    <w:p w14:paraId="13B32138">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表4-5：“项目实施”指标评价分析及绩效得分情况</w:t>
      </w:r>
    </w:p>
    <w:tbl>
      <w:tblPr>
        <w:tblStyle w:val="1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32B3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412549BD">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656" w:type="dxa"/>
          </w:tcPr>
          <w:p w14:paraId="366EA5A8">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192" w:type="dxa"/>
          </w:tcPr>
          <w:p w14:paraId="0B0BC179">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62" w:type="dxa"/>
          </w:tcPr>
          <w:p w14:paraId="77FB305D">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60B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02FE0DF">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项目管理制度健全性</w:t>
            </w:r>
          </w:p>
        </w:tc>
        <w:tc>
          <w:tcPr>
            <w:tcW w:w="1656" w:type="dxa"/>
          </w:tcPr>
          <w:p w14:paraId="3E24567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1192" w:type="dxa"/>
          </w:tcPr>
          <w:p w14:paraId="71D32AD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62" w:type="dxa"/>
          </w:tcPr>
          <w:p w14:paraId="10E9A61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2E73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552C64C">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项目管理制度执行有效性</w:t>
            </w:r>
          </w:p>
        </w:tc>
        <w:tc>
          <w:tcPr>
            <w:tcW w:w="1656" w:type="dxa"/>
          </w:tcPr>
          <w:p w14:paraId="40B9ACF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c>
          <w:tcPr>
            <w:tcW w:w="1192" w:type="dxa"/>
          </w:tcPr>
          <w:p w14:paraId="5B7A5CB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62" w:type="dxa"/>
          </w:tcPr>
          <w:p w14:paraId="62B32E1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110A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4AB76790">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政府采购规范性</w:t>
            </w:r>
          </w:p>
        </w:tc>
        <w:tc>
          <w:tcPr>
            <w:tcW w:w="1656" w:type="dxa"/>
          </w:tcPr>
          <w:p w14:paraId="5ABBF69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1192" w:type="dxa"/>
          </w:tcPr>
          <w:p w14:paraId="5C45174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62" w:type="dxa"/>
          </w:tcPr>
          <w:p w14:paraId="447E96B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5CCB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1BC15CD">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绩效管理执行规范性</w:t>
            </w:r>
          </w:p>
        </w:tc>
        <w:tc>
          <w:tcPr>
            <w:tcW w:w="1656" w:type="dxa"/>
          </w:tcPr>
          <w:p w14:paraId="3F37C54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1192" w:type="dxa"/>
          </w:tcPr>
          <w:p w14:paraId="668EAB1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50%</w:t>
            </w:r>
          </w:p>
        </w:tc>
        <w:tc>
          <w:tcPr>
            <w:tcW w:w="1262" w:type="dxa"/>
          </w:tcPr>
          <w:p w14:paraId="34F10F7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w:t>
            </w:r>
          </w:p>
        </w:tc>
      </w:tr>
      <w:tr w14:paraId="3C3C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11C5812D">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656" w:type="dxa"/>
          </w:tcPr>
          <w:p w14:paraId="0B3D545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w:t>
            </w:r>
          </w:p>
        </w:tc>
        <w:tc>
          <w:tcPr>
            <w:tcW w:w="1192" w:type="dxa"/>
          </w:tcPr>
          <w:p w14:paraId="42EFC12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90.00%</w:t>
            </w:r>
          </w:p>
        </w:tc>
        <w:tc>
          <w:tcPr>
            <w:tcW w:w="1262" w:type="dxa"/>
          </w:tcPr>
          <w:p w14:paraId="364B7A1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9</w:t>
            </w:r>
          </w:p>
        </w:tc>
      </w:tr>
    </w:tbl>
    <w:p w14:paraId="75F1F74A">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（1）项目管理制度健全性</w:t>
      </w:r>
    </w:p>
    <w:p w14:paraId="5AF8336A">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根据实地评价，项目实施过程中单位管理制度健全性及项目组织机构保障性按照《昆明市晋宁区住房和城乡建设局内部控制规范手册》执行。</w:t>
      </w:r>
    </w:p>
    <w:p w14:paraId="417A61EE">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该项指标满分为2分，根据评分标准得2分。</w:t>
      </w:r>
    </w:p>
    <w:p w14:paraId="13440999">
      <w:pPr>
        <w:keepNext w:val="0"/>
        <w:keepLines w:val="0"/>
        <w:pageBreakBefore w:val="0"/>
        <w:widowControl w:val="0"/>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（2）项目管理制度执行有效性</w:t>
      </w:r>
    </w:p>
    <w:p w14:paraId="304614B6">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根据实地评价，按项目管理办法实施项目管理，对建立台账记录、项目合同执行有效性。</w:t>
      </w:r>
    </w:p>
    <w:p w14:paraId="2E8C7D58">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该项指标满分为4分，根据评分标准得4分。</w:t>
      </w:r>
    </w:p>
    <w:p w14:paraId="3BA9298F">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政府采购规范性</w:t>
      </w:r>
    </w:p>
    <w:p w14:paraId="2A6FA733">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根据实地评价，采购方式合规性及采购流程规范性符合相关项目管理办法或制度。</w:t>
      </w:r>
    </w:p>
    <w:p w14:paraId="685CBF9C">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该项指标满分为2分，根据评分标准得2分。</w:t>
      </w:r>
    </w:p>
    <w:p w14:paraId="3D0ED29A">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绩效管理执行规范性</w:t>
      </w:r>
    </w:p>
    <w:p w14:paraId="20D1F47C">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根据实地评价，项目自评报告中相关指标设计未结合年初预算批复的项目支出及项目特点，补充设计个性指标。</w:t>
      </w:r>
    </w:p>
    <w:p w14:paraId="71300120">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pacing w:val="6"/>
          <w:sz w:val="28"/>
          <w:szCs w:val="28"/>
        </w:rPr>
        <w:t>该项指标满分为2分，根据评分标准得1分</w:t>
      </w:r>
    </w:p>
    <w:p w14:paraId="3E9D769B">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outlineLvl w:val="1"/>
        <w:rPr>
          <w:rFonts w:hint="eastAsia" w:asciiTheme="minorEastAsia" w:hAnsiTheme="minorEastAsia" w:eastAsiaTheme="minorEastAsia" w:cstheme="minorEastAsia"/>
          <w:b/>
          <w:bCs/>
          <w:sz w:val="28"/>
          <w:szCs w:val="28"/>
        </w:rPr>
      </w:pPr>
      <w:bookmarkStart w:id="61" w:name="_Toc518317813"/>
      <w:bookmarkStart w:id="62" w:name="_Toc517260977"/>
      <w:bookmarkStart w:id="63" w:name="_Toc16309"/>
      <w:r>
        <w:rPr>
          <w:rFonts w:hint="eastAsia" w:asciiTheme="minorEastAsia" w:hAnsiTheme="minorEastAsia" w:eastAsiaTheme="minorEastAsia" w:cstheme="minorEastAsia"/>
          <w:b/>
          <w:bCs/>
          <w:sz w:val="28"/>
          <w:szCs w:val="28"/>
        </w:rPr>
        <w:t>（三）项目产出情况</w:t>
      </w:r>
      <w:bookmarkEnd w:id="61"/>
      <w:bookmarkEnd w:id="62"/>
      <w:bookmarkEnd w:id="63"/>
    </w:p>
    <w:p w14:paraId="6687F11D">
      <w:pPr>
        <w:keepNext w:val="0"/>
        <w:keepLines w:val="0"/>
        <w:pageBreakBefore w:val="0"/>
        <w:widowControl w:val="0"/>
        <w:kinsoku/>
        <w:wordWrap/>
        <w:overflowPunct/>
        <w:topLinePunct w:val="0"/>
        <w:autoSpaceDE/>
        <w:autoSpaceDN/>
        <w:bidi w:val="0"/>
        <w:adjustRightInd w:val="0"/>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项目产出类指标，包括产出数量、产出质量、产出时效和产出成本控制四个方面的内容，由4个三级指标构成。指标得分满分30分，实际得分27.44分，得分率91.47%。</w:t>
      </w:r>
    </w:p>
    <w:p w14:paraId="3ACAF025">
      <w:pPr>
        <w:keepNext w:val="0"/>
        <w:keepLines w:val="0"/>
        <w:pageBreakBefore w:val="0"/>
        <w:widowControl w:val="0"/>
        <w:kinsoku/>
        <w:wordWrap/>
        <w:overflowPunct/>
        <w:topLinePunct w:val="0"/>
        <w:autoSpaceDE/>
        <w:autoSpaceDN/>
        <w:bidi w:val="0"/>
        <w:adjustRightInd w:val="0"/>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1、产出数量</w:t>
      </w:r>
    </w:p>
    <w:p w14:paraId="5D02876E">
      <w:pPr>
        <w:keepNext w:val="0"/>
        <w:keepLines w:val="0"/>
        <w:pageBreakBefore w:val="0"/>
        <w:widowControl w:val="0"/>
        <w:kinsoku/>
        <w:wordWrap/>
        <w:overflowPunct/>
        <w:topLinePunct w:val="0"/>
        <w:autoSpaceDE/>
        <w:autoSpaceDN/>
        <w:bidi w:val="0"/>
        <w:adjustRightInd w:val="0"/>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该部分主要考察项目产出数量的目标完成情况。各指标分值和得分情况详见表4-6：</w:t>
      </w:r>
    </w:p>
    <w:p w14:paraId="76219339">
      <w:pPr>
        <w:widowControl/>
        <w:adjustRightInd w:val="0"/>
        <w:spacing w:line="57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表4-6：“产出数量”指标评价分析及绩效得分情况</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6AB1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5BE60D30">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276" w:type="dxa"/>
          </w:tcPr>
          <w:p w14:paraId="43B24DBE">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276" w:type="dxa"/>
          </w:tcPr>
          <w:p w14:paraId="761A9EE6">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45" w:type="dxa"/>
          </w:tcPr>
          <w:p w14:paraId="0B34B082">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51D8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43" w:type="dxa"/>
            <w:vAlign w:val="center"/>
          </w:tcPr>
          <w:p w14:paraId="05E6FDDF">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晋宁（城区）雨污分流、溢流防控项目完成市政主、次干雨污水管网改造2.65公里建设完成率</w:t>
            </w:r>
          </w:p>
        </w:tc>
        <w:tc>
          <w:tcPr>
            <w:tcW w:w="1276" w:type="dxa"/>
            <w:vAlign w:val="center"/>
          </w:tcPr>
          <w:p w14:paraId="6DA9B1F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c>
          <w:tcPr>
            <w:tcW w:w="1276" w:type="dxa"/>
            <w:vAlign w:val="center"/>
          </w:tcPr>
          <w:p w14:paraId="32EFBBD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vAlign w:val="center"/>
          </w:tcPr>
          <w:p w14:paraId="4599E10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7BBA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21A6267B">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301个小区雨污分流建设完成率</w:t>
            </w:r>
          </w:p>
        </w:tc>
        <w:tc>
          <w:tcPr>
            <w:tcW w:w="1276" w:type="dxa"/>
            <w:vAlign w:val="center"/>
          </w:tcPr>
          <w:p w14:paraId="3209BF6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c>
          <w:tcPr>
            <w:tcW w:w="1276" w:type="dxa"/>
            <w:vAlign w:val="center"/>
          </w:tcPr>
          <w:p w14:paraId="0A82CB5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vAlign w:val="center"/>
          </w:tcPr>
          <w:p w14:paraId="79206E2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2CDB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45E15FC2">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完成投资匡算19500万元万元</w:t>
            </w:r>
          </w:p>
        </w:tc>
        <w:tc>
          <w:tcPr>
            <w:tcW w:w="1276" w:type="dxa"/>
            <w:vAlign w:val="center"/>
          </w:tcPr>
          <w:p w14:paraId="7DE313D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c>
          <w:tcPr>
            <w:tcW w:w="1276" w:type="dxa"/>
          </w:tcPr>
          <w:p w14:paraId="456AECD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vAlign w:val="center"/>
          </w:tcPr>
          <w:p w14:paraId="08DE465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7948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20CFBC31">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276" w:type="dxa"/>
          </w:tcPr>
          <w:p w14:paraId="222F18E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12</w:t>
            </w:r>
          </w:p>
        </w:tc>
        <w:tc>
          <w:tcPr>
            <w:tcW w:w="1276" w:type="dxa"/>
          </w:tcPr>
          <w:p w14:paraId="0D9AD05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2FE8025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12</w:t>
            </w:r>
          </w:p>
        </w:tc>
      </w:tr>
    </w:tbl>
    <w:p w14:paraId="48B8A878">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（1）完成市政主、次干雨污水管网改造建设完成率</w:t>
      </w:r>
    </w:p>
    <w:p w14:paraId="240145DB">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根据昆明城区雨污分流规划方案，完成市政主、次干雨污水管网改造2.65公里建设，且施工所有要件合法。</w:t>
      </w:r>
    </w:p>
    <w:p w14:paraId="235FBB33">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该项指标满分为4分，根据评分标准得4分。</w:t>
      </w:r>
    </w:p>
    <w:p w14:paraId="1F380A61">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（2）完成小区雨污分流建设完成率</w:t>
      </w:r>
    </w:p>
    <w:p w14:paraId="6FCCAE44">
      <w:pPr>
        <w:keepNext w:val="0"/>
        <w:keepLines w:val="0"/>
        <w:pageBreakBefore w:val="0"/>
        <w:widowControl w:val="0"/>
        <w:kinsoku/>
        <w:wordWrap/>
        <w:overflowPunct/>
        <w:topLinePunct w:val="0"/>
        <w:autoSpaceDE/>
        <w:autoSpaceDN/>
        <w:bidi w:val="0"/>
        <w:snapToGrid/>
        <w:spacing w:line="560" w:lineRule="exact"/>
        <w:ind w:firstLine="614"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pacing w:val="6"/>
          <w:sz w:val="28"/>
          <w:szCs w:val="28"/>
        </w:rPr>
        <w:t>根据昆明城区雨污分流规划方案，完成301个小区雨污分流建设</w:t>
      </w:r>
      <w:r>
        <w:rPr>
          <w:rFonts w:hint="eastAsia" w:asciiTheme="minorEastAsia" w:hAnsiTheme="minorEastAsia" w:eastAsiaTheme="minorEastAsia" w:cstheme="minorEastAsia"/>
          <w:sz w:val="28"/>
          <w:szCs w:val="28"/>
        </w:rPr>
        <w:t xml:space="preserve">。                                                                                                   </w:t>
      </w:r>
    </w:p>
    <w:p w14:paraId="564A43A2">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该项指标满分为2分，根据评分标准得2分。</w:t>
      </w:r>
    </w:p>
    <w:p w14:paraId="4885C973">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完成投资匡算完成率</w:t>
      </w:r>
    </w:p>
    <w:p w14:paraId="2FAD1A90">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根据昆明城区雨污分流规划方案，投资匡算19500万元未完成，项目实际支付7028万元，未完成相关工作内容。</w:t>
      </w:r>
    </w:p>
    <w:p w14:paraId="34A78181">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该项指标满分为4分，根据评分标准得1.44分。</w:t>
      </w:r>
    </w:p>
    <w:p w14:paraId="591F5273">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2、产出质量</w:t>
      </w:r>
    </w:p>
    <w:p w14:paraId="1ED22C53">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反映的是项目产出质量情况，主要是考察项目施工过程中的施工质量，各分项指标的业绩值和绩效分值如下表所示：</w:t>
      </w:r>
    </w:p>
    <w:p w14:paraId="2880DF2B">
      <w:pPr>
        <w:widowControl/>
        <w:adjustRightInd w:val="0"/>
        <w:spacing w:line="57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表4-7：“产出质量”指标评价分析及绩效得分情况</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590D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43ACE6F5">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276" w:type="dxa"/>
          </w:tcPr>
          <w:p w14:paraId="634A9819">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276" w:type="dxa"/>
          </w:tcPr>
          <w:p w14:paraId="5D7E6991">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45" w:type="dxa"/>
          </w:tcPr>
          <w:p w14:paraId="6145223F">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62F0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860EDC1">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雨污水管网改造项目施工规范性</w:t>
            </w:r>
          </w:p>
        </w:tc>
        <w:tc>
          <w:tcPr>
            <w:tcW w:w="1276" w:type="dxa"/>
          </w:tcPr>
          <w:p w14:paraId="2A55203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tcPr>
          <w:p w14:paraId="40023A3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6725B93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r>
      <w:tr w14:paraId="636A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67B36E83">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301个小区雨污分流建设施工规范性</w:t>
            </w:r>
          </w:p>
        </w:tc>
        <w:tc>
          <w:tcPr>
            <w:tcW w:w="1276" w:type="dxa"/>
          </w:tcPr>
          <w:p w14:paraId="29B5C51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tcPr>
          <w:p w14:paraId="1D7870F6">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1816A5C2">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r>
      <w:tr w14:paraId="0D59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7F6AB1F6">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项目施工过程安全施工情况</w:t>
            </w:r>
          </w:p>
        </w:tc>
        <w:tc>
          <w:tcPr>
            <w:tcW w:w="1276" w:type="dxa"/>
          </w:tcPr>
          <w:p w14:paraId="4DD019A9">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1276" w:type="dxa"/>
          </w:tcPr>
          <w:p w14:paraId="2701ED0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20AB14F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17F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19BB1AFC">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276" w:type="dxa"/>
          </w:tcPr>
          <w:p w14:paraId="522858C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w:t>
            </w:r>
          </w:p>
        </w:tc>
        <w:tc>
          <w:tcPr>
            <w:tcW w:w="1276" w:type="dxa"/>
          </w:tcPr>
          <w:p w14:paraId="58C082F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6E375F6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w:t>
            </w:r>
          </w:p>
        </w:tc>
      </w:tr>
    </w:tbl>
    <w:p w14:paraId="43471704">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（1）按项目管理制度完成市政主、次干雨污水管网改造2.65公里建设</w:t>
      </w:r>
    </w:p>
    <w:p w14:paraId="7F8F4CAF">
      <w:pPr>
        <w:keepNext w:val="0"/>
        <w:keepLines w:val="0"/>
        <w:pageBreakBefore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该项指标满分为3分，根据评分标准得3分。</w:t>
      </w:r>
    </w:p>
    <w:p w14:paraId="60D5D47F">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（2）按项目管理制度完成301个小区雨污分流建设</w:t>
      </w:r>
    </w:p>
    <w:p w14:paraId="553C9711">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该项指标满分为3分，根据评分标准得3分。</w:t>
      </w:r>
    </w:p>
    <w:p w14:paraId="16EABC4E">
      <w:pPr>
        <w:keepNext w:val="0"/>
        <w:keepLines w:val="0"/>
        <w:pageBreakBefore w:val="0"/>
        <w:widowControl/>
        <w:kinsoku/>
        <w:wordWrap/>
        <w:overflowPunct/>
        <w:topLinePunct w:val="0"/>
        <w:autoSpaceDE/>
        <w:autoSpaceDN/>
        <w:bidi w:val="0"/>
        <w:adjustRightInd w:val="0"/>
        <w:snapToGrid/>
        <w:spacing w:line="560" w:lineRule="exact"/>
        <w:ind w:left="63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（3）项目未发现发生安全事故。</w:t>
      </w:r>
    </w:p>
    <w:p w14:paraId="7C679D4C">
      <w:pPr>
        <w:keepNext w:val="0"/>
        <w:keepLines w:val="0"/>
        <w:pageBreakBefore w:val="0"/>
        <w:widowControl/>
        <w:kinsoku/>
        <w:wordWrap/>
        <w:overflowPunct/>
        <w:topLinePunct w:val="0"/>
        <w:autoSpaceDE/>
        <w:autoSpaceDN/>
        <w:bidi w:val="0"/>
        <w:adjustRightInd w:val="0"/>
        <w:snapToGrid/>
        <w:spacing w:line="560" w:lineRule="exact"/>
        <w:ind w:left="63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该项指标满分为2分，根据评分标准得2分。</w:t>
      </w:r>
    </w:p>
    <w:p w14:paraId="22FC42E6">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3、产出时效</w:t>
      </w:r>
    </w:p>
    <w:p w14:paraId="5CDD8CC0">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反映的是项目产出时效，主要是考察项目是否制定进度计划并按期完成，用以反映项目产出时效。各分项指标的业绩值和绩效分值如下表所示：</w:t>
      </w:r>
    </w:p>
    <w:p w14:paraId="68BB21A8">
      <w:pPr>
        <w:widowControl/>
        <w:adjustRightInd w:val="0"/>
        <w:spacing w:line="57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表4-8：“产出时效”指标评价分析及绩效得分情况</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06ED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27FA495E">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276" w:type="dxa"/>
          </w:tcPr>
          <w:p w14:paraId="4201EBBF">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276" w:type="dxa"/>
          </w:tcPr>
          <w:p w14:paraId="0358B66A">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45" w:type="dxa"/>
          </w:tcPr>
          <w:p w14:paraId="5107D512">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1EDB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101ABF86">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项目进度及时性</w:t>
            </w:r>
          </w:p>
        </w:tc>
        <w:tc>
          <w:tcPr>
            <w:tcW w:w="1276" w:type="dxa"/>
          </w:tcPr>
          <w:p w14:paraId="0F44405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c>
          <w:tcPr>
            <w:tcW w:w="1276" w:type="dxa"/>
          </w:tcPr>
          <w:p w14:paraId="77D305D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7D79161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2ECC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73E8DEB7">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276" w:type="dxa"/>
          </w:tcPr>
          <w:p w14:paraId="5834D67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c>
          <w:tcPr>
            <w:tcW w:w="1276" w:type="dxa"/>
          </w:tcPr>
          <w:p w14:paraId="01E04E7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58F98D8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bl>
    <w:p w14:paraId="319ABCF8">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pacing w:val="6"/>
          <w:sz w:val="28"/>
          <w:szCs w:val="28"/>
        </w:rPr>
        <w:t>根据昆明市晋宁区发展和改革局</w:t>
      </w:r>
      <w:r>
        <w:rPr>
          <w:rFonts w:hint="eastAsia" w:asciiTheme="minorEastAsia" w:hAnsiTheme="minorEastAsia" w:eastAsiaTheme="minorEastAsia" w:cstheme="minorEastAsia"/>
          <w:sz w:val="28"/>
          <w:szCs w:val="28"/>
        </w:rPr>
        <w:t>《关于调整晋宁区（城区）雨污分流、溢流污染防</w:t>
      </w:r>
      <w:r>
        <w:rPr>
          <w:rFonts w:hint="eastAsia" w:asciiTheme="minorEastAsia" w:hAnsiTheme="minorEastAsia" w:eastAsiaTheme="minorEastAsia" w:cstheme="minorEastAsia"/>
          <w:bCs/>
          <w:spacing w:val="6"/>
          <w:sz w:val="28"/>
          <w:szCs w:val="28"/>
        </w:rPr>
        <w:t>控工程可行性研究报告的批复》（晋发改发〔2023〕21号），计划竣工时间调整为2024年11月，</w:t>
      </w:r>
      <w:r>
        <w:rPr>
          <w:rFonts w:hint="eastAsia" w:asciiTheme="minorEastAsia" w:hAnsiTheme="minorEastAsia" w:eastAsiaTheme="minorEastAsia" w:cstheme="minorEastAsia"/>
          <w:sz w:val="28"/>
          <w:szCs w:val="28"/>
        </w:rPr>
        <w:t>2025年2月28日进行了建筑工程施工许可证变更（编号530115202408070102），竣工日期由2023年10月21日变更为2025年12月30日。</w:t>
      </w:r>
      <w:r>
        <w:rPr>
          <w:rFonts w:hint="eastAsia" w:asciiTheme="minorEastAsia" w:hAnsiTheme="minorEastAsia" w:eastAsiaTheme="minorEastAsia" w:cstheme="minorEastAsia"/>
          <w:bCs/>
          <w:spacing w:val="6"/>
          <w:sz w:val="28"/>
          <w:szCs w:val="28"/>
        </w:rPr>
        <w:t xml:space="preserve">在评价检查过程中，按昆明城区雨污分流规划方案的相关建设内容该工程建设内容基本已完成，拟进行初验阶段。                                                       </w:t>
      </w:r>
      <w:r>
        <w:rPr>
          <w:rFonts w:hint="eastAsia" w:asciiTheme="minorEastAsia" w:hAnsiTheme="minorEastAsia" w:eastAsiaTheme="minorEastAsia" w:cstheme="minorEastAsia"/>
          <w:sz w:val="28"/>
          <w:szCs w:val="28"/>
        </w:rPr>
        <w:t xml:space="preserve">                      </w:t>
      </w:r>
    </w:p>
    <w:p w14:paraId="188C1A89">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该项指标满分为4分，根据评分标准得4分。</w:t>
      </w:r>
    </w:p>
    <w:p w14:paraId="79D1482E">
      <w:pPr>
        <w:keepNext w:val="0"/>
        <w:keepLines w:val="0"/>
        <w:pageBreakBefore w:val="0"/>
        <w:widowControl/>
        <w:numPr>
          <w:ilvl w:val="0"/>
          <w:numId w:val="7"/>
        </w:numPr>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产出成本</w:t>
      </w:r>
    </w:p>
    <w:p w14:paraId="4F0E7F89">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反映的是项目成本控制率，主要考察项目总体实际支出成本与项目实施方案或可研报告中的投资估算中相关成本的控制率。各分项指标的业绩值和绩效分值如下表所示：</w:t>
      </w:r>
    </w:p>
    <w:p w14:paraId="1EB42044">
      <w:pPr>
        <w:widowControl/>
        <w:adjustRightInd w:val="0"/>
        <w:spacing w:line="570" w:lineRule="exact"/>
        <w:jc w:val="center"/>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4"/>
          <w:szCs w:val="24"/>
        </w:rPr>
        <w:t>表4-9：“产出成本”指标评价分析及绩效得分情况</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9"/>
        <w:gridCol w:w="1030"/>
        <w:gridCol w:w="910"/>
        <w:gridCol w:w="1201"/>
      </w:tblGrid>
      <w:tr w14:paraId="71C2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99" w:type="dxa"/>
          </w:tcPr>
          <w:p w14:paraId="2E6CB8A0">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030" w:type="dxa"/>
          </w:tcPr>
          <w:p w14:paraId="3B44B0D7">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910" w:type="dxa"/>
          </w:tcPr>
          <w:p w14:paraId="51C6478D">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01" w:type="dxa"/>
          </w:tcPr>
          <w:p w14:paraId="5D36A8EE">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0F3D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9" w:type="dxa"/>
            <w:vAlign w:val="center"/>
          </w:tcPr>
          <w:p w14:paraId="3110EA70">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晋宁（城区）雨污分流、溢流防控项目成本控制率</w:t>
            </w:r>
          </w:p>
        </w:tc>
        <w:tc>
          <w:tcPr>
            <w:tcW w:w="1030" w:type="dxa"/>
            <w:vAlign w:val="center"/>
          </w:tcPr>
          <w:p w14:paraId="11A1DA7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910" w:type="dxa"/>
            <w:vAlign w:val="center"/>
          </w:tcPr>
          <w:p w14:paraId="6D20EEB2">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01" w:type="dxa"/>
            <w:vAlign w:val="center"/>
          </w:tcPr>
          <w:p w14:paraId="37EC694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39FF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9" w:type="dxa"/>
            <w:vAlign w:val="center"/>
          </w:tcPr>
          <w:p w14:paraId="45228444">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《晋宁（城区）雨污分流、溢流防控系统工程可行性研究报告》建筑工程费项目成本控制率</w:t>
            </w:r>
          </w:p>
        </w:tc>
        <w:tc>
          <w:tcPr>
            <w:tcW w:w="1030" w:type="dxa"/>
            <w:vAlign w:val="center"/>
          </w:tcPr>
          <w:p w14:paraId="70FCF1D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910" w:type="dxa"/>
            <w:vAlign w:val="center"/>
          </w:tcPr>
          <w:p w14:paraId="0616E08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01" w:type="dxa"/>
            <w:vAlign w:val="center"/>
          </w:tcPr>
          <w:p w14:paraId="42FF2D6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3A78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9" w:type="dxa"/>
            <w:vAlign w:val="center"/>
          </w:tcPr>
          <w:p w14:paraId="14D179BB">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其它建设费成本控制率（设计、检查、造价、监理等费用）</w:t>
            </w:r>
          </w:p>
        </w:tc>
        <w:tc>
          <w:tcPr>
            <w:tcW w:w="1030" w:type="dxa"/>
            <w:vAlign w:val="center"/>
          </w:tcPr>
          <w:p w14:paraId="135FEF3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c>
          <w:tcPr>
            <w:tcW w:w="910" w:type="dxa"/>
            <w:vAlign w:val="center"/>
          </w:tcPr>
          <w:p w14:paraId="14E19A07">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01" w:type="dxa"/>
            <w:vAlign w:val="center"/>
          </w:tcPr>
          <w:p w14:paraId="28760F9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4D83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9" w:type="dxa"/>
          </w:tcPr>
          <w:p w14:paraId="4D0B1F63">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030" w:type="dxa"/>
            <w:vAlign w:val="center"/>
          </w:tcPr>
          <w:p w14:paraId="02E397E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w:t>
            </w:r>
          </w:p>
        </w:tc>
        <w:tc>
          <w:tcPr>
            <w:tcW w:w="910" w:type="dxa"/>
            <w:vAlign w:val="center"/>
          </w:tcPr>
          <w:p w14:paraId="006C0AD7">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w:t>
            </w:r>
          </w:p>
        </w:tc>
        <w:tc>
          <w:tcPr>
            <w:tcW w:w="1201" w:type="dxa"/>
            <w:vAlign w:val="center"/>
          </w:tcPr>
          <w:p w14:paraId="0FF210E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w:t>
            </w:r>
          </w:p>
        </w:tc>
      </w:tr>
    </w:tbl>
    <w:p w14:paraId="51C7BDE6">
      <w:pPr>
        <w:pStyle w:val="6"/>
        <w:keepNext w:val="0"/>
        <w:keepLines w:val="0"/>
        <w:pageBreakBefore w:val="0"/>
        <w:kinsoku/>
        <w:wordWrap/>
        <w:overflowPunct/>
        <w:topLinePunct w:val="0"/>
        <w:autoSpaceDE/>
        <w:autoSpaceDN/>
        <w:bidi w:val="0"/>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考察管理能力建设项目涉及各子项目是否按照立项批复、可研批复、实施方案批复的总投资额内完成相关工作。根据昆明市晋宁区发展和改革局《</w:t>
      </w:r>
      <w:r>
        <w:rPr>
          <w:rFonts w:hint="eastAsia" w:asciiTheme="minorEastAsia" w:hAnsiTheme="minorEastAsia" w:eastAsiaTheme="minorEastAsia" w:cstheme="minorEastAsia"/>
          <w:sz w:val="28"/>
          <w:szCs w:val="28"/>
        </w:rPr>
        <w:t>关于调整晋宁区（城区）雨污分流、溢流污染防控工程可行性研究报告的批复》（晋发改发〔2023〕21号）</w:t>
      </w:r>
      <w:r>
        <w:rPr>
          <w:rFonts w:hint="eastAsia" w:asciiTheme="minorEastAsia" w:hAnsiTheme="minorEastAsia" w:eastAsiaTheme="minorEastAsia" w:cstheme="minorEastAsia"/>
          <w:bCs/>
          <w:spacing w:val="6"/>
          <w:sz w:val="28"/>
          <w:szCs w:val="28"/>
        </w:rPr>
        <w:t>的总投资额为33370.13万元，昆明城区雨污分流规划方案投资匡算19500万元，但实际到位资金仅7028万元。故项目建设内容仅根据昆明城区雨污分流规划方案的进行，未达到可行性研究报告预期的建设规模，投资总成本不存在超预期的情况。</w:t>
      </w:r>
    </w:p>
    <w:p w14:paraId="730E7EFD">
      <w:pPr>
        <w:keepNext w:val="0"/>
        <w:keepLines w:val="0"/>
        <w:pageBreakBefore w:val="0"/>
        <w:widowControl/>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该项指标满分为6分，根据评分标准得6分</w:t>
      </w:r>
    </w:p>
    <w:p w14:paraId="1A66FD5C">
      <w:pPr>
        <w:keepNext w:val="0"/>
        <w:keepLines w:val="0"/>
        <w:pageBreakBefore w:val="0"/>
        <w:kinsoku/>
        <w:wordWrap/>
        <w:overflowPunct/>
        <w:topLinePunct w:val="0"/>
        <w:autoSpaceDE/>
        <w:autoSpaceDN/>
        <w:bidi w:val="0"/>
        <w:adjustRightInd w:val="0"/>
        <w:snapToGrid w:val="0"/>
        <w:spacing w:line="560" w:lineRule="exact"/>
        <w:ind w:firstLine="590" w:firstLineChars="200"/>
        <w:jc w:val="both"/>
        <w:textAlignment w:val="auto"/>
        <w:outlineLvl w:val="1"/>
        <w:rPr>
          <w:rFonts w:hint="eastAsia" w:asciiTheme="minorEastAsia" w:hAnsiTheme="minorEastAsia" w:eastAsiaTheme="minorEastAsia" w:cstheme="minorEastAsia"/>
          <w:b/>
          <w:bCs/>
          <w:sz w:val="28"/>
          <w:szCs w:val="28"/>
        </w:rPr>
      </w:pPr>
      <w:bookmarkStart w:id="64" w:name="_Toc518317814"/>
      <w:bookmarkStart w:id="65" w:name="_Toc27867"/>
      <w:bookmarkStart w:id="66" w:name="_Toc517260978"/>
      <w:r>
        <w:rPr>
          <w:rFonts w:hint="eastAsia" w:asciiTheme="minorEastAsia" w:hAnsiTheme="minorEastAsia" w:eastAsiaTheme="minorEastAsia" w:cstheme="minorEastAsia"/>
          <w:b/>
          <w:bCs/>
          <w:sz w:val="28"/>
          <w:szCs w:val="28"/>
        </w:rPr>
        <w:t>（四）项目效益情况</w:t>
      </w:r>
      <w:bookmarkEnd w:id="64"/>
      <w:bookmarkEnd w:id="65"/>
      <w:bookmarkEnd w:id="66"/>
    </w:p>
    <w:p w14:paraId="12555AEA">
      <w:pPr>
        <w:keepNext w:val="0"/>
        <w:keepLines w:val="0"/>
        <w:pageBreakBefore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项目效益类指标，包括生态效益、经济效益、社会效益和可持续影响和服务对象满意度五个方面的内容，由5个三级指标构成。指标得分满分30分，实际得分23.00分，得分率76.67%。</w:t>
      </w:r>
    </w:p>
    <w:p w14:paraId="038C09A6">
      <w:pPr>
        <w:keepNext w:val="0"/>
        <w:keepLines w:val="0"/>
        <w:pageBreakBefore w:val="0"/>
        <w:widowControl/>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该部分主要考察项目生态效益、经济效益、社会效益、环境效益、可持续影响和服务对象满意度等方面的实现情况。各指标分值和得分情况详见表4-10：</w:t>
      </w:r>
    </w:p>
    <w:p w14:paraId="476A62CE">
      <w:pPr>
        <w:keepNext w:val="0"/>
        <w:keepLines w:val="0"/>
        <w:pageBreakBefore w:val="0"/>
        <w:widowControl/>
        <w:kinsoku/>
        <w:wordWrap/>
        <w:overflowPunct/>
        <w:topLinePunct w:val="0"/>
        <w:autoSpaceDE/>
        <w:autoSpaceDN/>
        <w:bidi w:val="0"/>
        <w:adjustRightInd w:val="0"/>
        <w:spacing w:line="560" w:lineRule="exact"/>
        <w:jc w:val="center"/>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表4-10：“项目效益”指标评价分析及绩效得分情况</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498C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297AE76F">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指标名称</w:t>
            </w:r>
          </w:p>
        </w:tc>
        <w:tc>
          <w:tcPr>
            <w:tcW w:w="1276" w:type="dxa"/>
          </w:tcPr>
          <w:p w14:paraId="64730F80">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指标权重</w:t>
            </w:r>
          </w:p>
        </w:tc>
        <w:tc>
          <w:tcPr>
            <w:tcW w:w="1276" w:type="dxa"/>
          </w:tcPr>
          <w:p w14:paraId="6045FFFF">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业绩值</w:t>
            </w:r>
          </w:p>
        </w:tc>
        <w:tc>
          <w:tcPr>
            <w:tcW w:w="1245" w:type="dxa"/>
          </w:tcPr>
          <w:p w14:paraId="5D697663">
            <w:pPr>
              <w:widowControl/>
              <w:adjustRightInd w:val="0"/>
              <w:spacing w:line="570" w:lineRule="exact"/>
              <w:jc w:val="center"/>
              <w:rPr>
                <w:rFonts w:hint="eastAsia" w:asciiTheme="minorEastAsia" w:hAnsiTheme="minorEastAsia" w:eastAsiaTheme="minorEastAsia" w:cstheme="minorEastAsia"/>
                <w:b/>
                <w:bCs w:val="0"/>
                <w:color w:val="000000"/>
                <w:kern w:val="0"/>
                <w:sz w:val="18"/>
                <w:szCs w:val="18"/>
              </w:rPr>
            </w:pPr>
            <w:r>
              <w:rPr>
                <w:rFonts w:hint="eastAsia" w:asciiTheme="minorEastAsia" w:hAnsiTheme="minorEastAsia" w:eastAsiaTheme="minorEastAsia" w:cstheme="minorEastAsia"/>
                <w:b/>
                <w:bCs w:val="0"/>
                <w:color w:val="000000"/>
                <w:kern w:val="0"/>
                <w:sz w:val="18"/>
                <w:szCs w:val="18"/>
              </w:rPr>
              <w:t>实际得分</w:t>
            </w:r>
          </w:p>
        </w:tc>
      </w:tr>
      <w:tr w14:paraId="0771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12490034">
            <w:pPr>
              <w:widowControl/>
              <w:adjustRightInd w:val="0"/>
              <w:spacing w:line="570" w:lineRule="exact"/>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kern w:val="0"/>
                <w:sz w:val="18"/>
                <w:szCs w:val="18"/>
              </w:rPr>
              <w:t>1.生态效益</w:t>
            </w:r>
          </w:p>
        </w:tc>
        <w:tc>
          <w:tcPr>
            <w:tcW w:w="1276" w:type="dxa"/>
          </w:tcPr>
          <w:p w14:paraId="7F2F8A4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c>
          <w:tcPr>
            <w:tcW w:w="1276" w:type="dxa"/>
          </w:tcPr>
          <w:p w14:paraId="72630C4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tcPr>
          <w:p w14:paraId="4F864359">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r>
      <w:tr w14:paraId="01BB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4995EDA5">
            <w:pPr>
              <w:widowControl/>
              <w:adjustRightInd w:val="0"/>
              <w:spacing w:line="570" w:lineRule="exact"/>
              <w:ind w:firstLine="390" w:firstLineChars="200"/>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sz w:val="18"/>
                <w:szCs w:val="18"/>
              </w:rPr>
              <w:t>1-1.生态环境提升系统工程对生态环境修复满意度。</w:t>
            </w:r>
          </w:p>
        </w:tc>
        <w:tc>
          <w:tcPr>
            <w:tcW w:w="1276" w:type="dxa"/>
            <w:vAlign w:val="center"/>
          </w:tcPr>
          <w:p w14:paraId="59DBC9E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c>
          <w:tcPr>
            <w:tcW w:w="1276" w:type="dxa"/>
            <w:vAlign w:val="center"/>
          </w:tcPr>
          <w:p w14:paraId="2C341DF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vAlign w:val="center"/>
          </w:tcPr>
          <w:p w14:paraId="4F5898F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r>
      <w:tr w14:paraId="74DA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F33C0FC">
            <w:pPr>
              <w:widowControl/>
              <w:adjustRightInd w:val="0"/>
              <w:spacing w:line="570" w:lineRule="exact"/>
              <w:ind w:firstLine="390" w:firstLineChars="20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1-2.清淤除杂工程环境效益改善情况</w:t>
            </w:r>
          </w:p>
        </w:tc>
        <w:tc>
          <w:tcPr>
            <w:tcW w:w="1276" w:type="dxa"/>
            <w:vAlign w:val="center"/>
          </w:tcPr>
          <w:p w14:paraId="7AE9DFE5">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c>
          <w:tcPr>
            <w:tcW w:w="1276" w:type="dxa"/>
            <w:vAlign w:val="center"/>
          </w:tcPr>
          <w:p w14:paraId="530B3BC8">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vAlign w:val="center"/>
          </w:tcPr>
          <w:p w14:paraId="05CFAAC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w:t>
            </w:r>
          </w:p>
        </w:tc>
      </w:tr>
      <w:tr w14:paraId="13F2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24AA706E">
            <w:pPr>
              <w:widowControl/>
              <w:adjustRightInd w:val="0"/>
              <w:spacing w:line="570" w:lineRule="exact"/>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2.社会效益</w:t>
            </w:r>
          </w:p>
        </w:tc>
        <w:tc>
          <w:tcPr>
            <w:tcW w:w="1276" w:type="dxa"/>
            <w:vAlign w:val="center"/>
          </w:tcPr>
          <w:p w14:paraId="77DC279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9</w:t>
            </w:r>
          </w:p>
        </w:tc>
        <w:tc>
          <w:tcPr>
            <w:tcW w:w="1276" w:type="dxa"/>
            <w:vAlign w:val="center"/>
          </w:tcPr>
          <w:p w14:paraId="2075908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vAlign w:val="center"/>
          </w:tcPr>
          <w:p w14:paraId="4C41623F">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9</w:t>
            </w:r>
          </w:p>
        </w:tc>
      </w:tr>
      <w:tr w14:paraId="376C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2109A6D5">
            <w:pPr>
              <w:widowControl/>
              <w:adjustRightInd w:val="0"/>
              <w:spacing w:line="570" w:lineRule="exact"/>
              <w:ind w:firstLine="390" w:firstLineChars="20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2-1改善群众居住环境、有效缓解道路、居民小区淹水</w:t>
            </w:r>
          </w:p>
        </w:tc>
        <w:tc>
          <w:tcPr>
            <w:tcW w:w="1276" w:type="dxa"/>
          </w:tcPr>
          <w:p w14:paraId="2738085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vAlign w:val="center"/>
          </w:tcPr>
          <w:p w14:paraId="1558ADD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66.67%</w:t>
            </w:r>
          </w:p>
        </w:tc>
        <w:tc>
          <w:tcPr>
            <w:tcW w:w="1245" w:type="dxa"/>
          </w:tcPr>
          <w:p w14:paraId="1E26EA3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030A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D17FEC9">
            <w:pPr>
              <w:widowControl/>
              <w:adjustRightInd w:val="0"/>
              <w:spacing w:line="570" w:lineRule="exact"/>
              <w:ind w:firstLine="390" w:firstLineChars="20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2-2有益于滇池保护治理，提升城市的人居环境，提高城市的整体竞争力</w:t>
            </w:r>
          </w:p>
        </w:tc>
        <w:tc>
          <w:tcPr>
            <w:tcW w:w="1276" w:type="dxa"/>
          </w:tcPr>
          <w:p w14:paraId="0B46274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vAlign w:val="center"/>
          </w:tcPr>
          <w:p w14:paraId="442FDCD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66.67%</w:t>
            </w:r>
          </w:p>
        </w:tc>
        <w:tc>
          <w:tcPr>
            <w:tcW w:w="1245" w:type="dxa"/>
          </w:tcPr>
          <w:p w14:paraId="78ADC78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0675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16A8D173">
            <w:pPr>
              <w:widowControl/>
              <w:adjustRightInd w:val="0"/>
              <w:spacing w:line="570" w:lineRule="exact"/>
              <w:ind w:firstLine="390" w:firstLineChars="20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2-3雨污分流、溢流污染防控工程项目的在建设效果、设施配套等方面的总体完成情况</w:t>
            </w:r>
          </w:p>
        </w:tc>
        <w:tc>
          <w:tcPr>
            <w:tcW w:w="1276" w:type="dxa"/>
          </w:tcPr>
          <w:p w14:paraId="45611B5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vAlign w:val="center"/>
          </w:tcPr>
          <w:p w14:paraId="7FE89187">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66.67%</w:t>
            </w:r>
          </w:p>
        </w:tc>
        <w:tc>
          <w:tcPr>
            <w:tcW w:w="1245" w:type="dxa"/>
          </w:tcPr>
          <w:p w14:paraId="44DDDC51">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w:t>
            </w:r>
          </w:p>
        </w:tc>
      </w:tr>
      <w:tr w14:paraId="6BC9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39D6A6B7">
            <w:pPr>
              <w:widowControl/>
              <w:adjustRightInd w:val="0"/>
              <w:spacing w:line="570" w:lineRule="exact"/>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3.经济效益</w:t>
            </w:r>
          </w:p>
        </w:tc>
        <w:tc>
          <w:tcPr>
            <w:tcW w:w="1276" w:type="dxa"/>
            <w:shd w:val="clear" w:color="auto" w:fill="auto"/>
            <w:vAlign w:val="center"/>
          </w:tcPr>
          <w:p w14:paraId="537AAC7B">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shd w:val="clear" w:color="auto" w:fill="auto"/>
            <w:vAlign w:val="center"/>
          </w:tcPr>
          <w:p w14:paraId="58FAF7E9">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shd w:val="clear" w:color="auto" w:fill="auto"/>
            <w:vAlign w:val="center"/>
          </w:tcPr>
          <w:p w14:paraId="3183A19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r>
      <w:tr w14:paraId="6326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4D8F504B">
            <w:pPr>
              <w:widowControl/>
              <w:adjustRightInd w:val="0"/>
              <w:spacing w:line="570" w:lineRule="exact"/>
              <w:ind w:firstLine="390" w:firstLineChars="20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3-1.项目实施创造良好城市风貌，改善城市环境，促进经济发展，带动经济收益</w:t>
            </w:r>
          </w:p>
        </w:tc>
        <w:tc>
          <w:tcPr>
            <w:tcW w:w="1276" w:type="dxa"/>
            <w:vAlign w:val="center"/>
          </w:tcPr>
          <w:p w14:paraId="25EB438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vAlign w:val="center"/>
          </w:tcPr>
          <w:p w14:paraId="7D793EA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100.00%</w:t>
            </w:r>
          </w:p>
        </w:tc>
        <w:tc>
          <w:tcPr>
            <w:tcW w:w="1245" w:type="dxa"/>
            <w:vAlign w:val="center"/>
          </w:tcPr>
          <w:p w14:paraId="22BC1532">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r>
      <w:tr w14:paraId="5426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50AC4853">
            <w:pPr>
              <w:widowControl/>
              <w:adjustRightInd w:val="0"/>
              <w:spacing w:line="570" w:lineRule="exact"/>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4.可持续影响指标</w:t>
            </w:r>
          </w:p>
        </w:tc>
        <w:tc>
          <w:tcPr>
            <w:tcW w:w="1276" w:type="dxa"/>
            <w:shd w:val="clear" w:color="auto" w:fill="auto"/>
            <w:vAlign w:val="center"/>
          </w:tcPr>
          <w:p w14:paraId="2A834036">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shd w:val="clear" w:color="auto" w:fill="auto"/>
            <w:vAlign w:val="center"/>
          </w:tcPr>
          <w:p w14:paraId="3738440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w:t>
            </w:r>
          </w:p>
        </w:tc>
        <w:tc>
          <w:tcPr>
            <w:tcW w:w="1245" w:type="dxa"/>
            <w:shd w:val="clear" w:color="auto" w:fill="auto"/>
            <w:vAlign w:val="center"/>
          </w:tcPr>
          <w:p w14:paraId="7D3FE139">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0</w:t>
            </w:r>
          </w:p>
        </w:tc>
      </w:tr>
      <w:tr w14:paraId="7B27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39FB717C">
            <w:pPr>
              <w:widowControl/>
              <w:adjustRightInd w:val="0"/>
              <w:spacing w:line="570" w:lineRule="exact"/>
              <w:ind w:firstLine="390" w:firstLineChars="200"/>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4-1. 长效管理可持续性</w:t>
            </w:r>
          </w:p>
        </w:tc>
        <w:tc>
          <w:tcPr>
            <w:tcW w:w="1276" w:type="dxa"/>
            <w:vAlign w:val="center"/>
          </w:tcPr>
          <w:p w14:paraId="2252A632">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w:t>
            </w:r>
          </w:p>
        </w:tc>
        <w:tc>
          <w:tcPr>
            <w:tcW w:w="1276" w:type="dxa"/>
            <w:vAlign w:val="center"/>
          </w:tcPr>
          <w:p w14:paraId="76DC0273">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w:t>
            </w:r>
          </w:p>
        </w:tc>
        <w:tc>
          <w:tcPr>
            <w:tcW w:w="1245" w:type="dxa"/>
            <w:vAlign w:val="center"/>
          </w:tcPr>
          <w:p w14:paraId="30184FEC">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0</w:t>
            </w:r>
          </w:p>
        </w:tc>
      </w:tr>
      <w:tr w14:paraId="3ACD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5AA95D21">
            <w:pPr>
              <w:widowControl/>
              <w:adjustRightInd w:val="0"/>
              <w:spacing w:line="57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000000"/>
                <w:kern w:val="0"/>
                <w:sz w:val="18"/>
                <w:szCs w:val="18"/>
              </w:rPr>
              <w:t>5.服务对象满意度</w:t>
            </w:r>
          </w:p>
        </w:tc>
        <w:tc>
          <w:tcPr>
            <w:tcW w:w="1276" w:type="dxa"/>
            <w:vAlign w:val="center"/>
          </w:tcPr>
          <w:p w14:paraId="0C25572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c>
          <w:tcPr>
            <w:tcW w:w="1276" w:type="dxa"/>
          </w:tcPr>
          <w:p w14:paraId="1272C827">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80.00%</w:t>
            </w:r>
          </w:p>
        </w:tc>
        <w:tc>
          <w:tcPr>
            <w:tcW w:w="1245" w:type="dxa"/>
            <w:vAlign w:val="center"/>
          </w:tcPr>
          <w:p w14:paraId="41606FCD">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695E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96D815E">
            <w:pPr>
              <w:widowControl/>
              <w:adjustRightInd w:val="0"/>
              <w:spacing w:line="570" w:lineRule="exact"/>
              <w:ind w:firstLine="390" w:firstLineChars="200"/>
              <w:jc w:val="left"/>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5-1.</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bCs/>
                <w:color w:val="000000"/>
                <w:kern w:val="0"/>
                <w:sz w:val="18"/>
                <w:szCs w:val="18"/>
              </w:rPr>
              <w:t>社会公众对项目实施效果的满意度</w:t>
            </w:r>
          </w:p>
        </w:tc>
        <w:tc>
          <w:tcPr>
            <w:tcW w:w="1276" w:type="dxa"/>
            <w:vAlign w:val="center"/>
          </w:tcPr>
          <w:p w14:paraId="2E6B205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5</w:t>
            </w:r>
          </w:p>
        </w:tc>
        <w:tc>
          <w:tcPr>
            <w:tcW w:w="1276" w:type="dxa"/>
          </w:tcPr>
          <w:p w14:paraId="29822294">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80.00%</w:t>
            </w:r>
          </w:p>
        </w:tc>
        <w:tc>
          <w:tcPr>
            <w:tcW w:w="1245" w:type="dxa"/>
            <w:vAlign w:val="center"/>
          </w:tcPr>
          <w:p w14:paraId="55AA7D0E">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4</w:t>
            </w:r>
          </w:p>
        </w:tc>
      </w:tr>
      <w:tr w14:paraId="6350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2EE3BC23">
            <w:pPr>
              <w:widowControl/>
              <w:adjustRightInd w:val="0"/>
              <w:spacing w:line="570" w:lineRule="exact"/>
              <w:jc w:val="center"/>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小  计</w:t>
            </w:r>
          </w:p>
        </w:tc>
        <w:tc>
          <w:tcPr>
            <w:tcW w:w="1276" w:type="dxa"/>
          </w:tcPr>
          <w:p w14:paraId="004B5700">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30</w:t>
            </w:r>
          </w:p>
        </w:tc>
        <w:tc>
          <w:tcPr>
            <w:tcW w:w="1276" w:type="dxa"/>
          </w:tcPr>
          <w:p w14:paraId="59489906">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76.67%</w:t>
            </w:r>
          </w:p>
        </w:tc>
        <w:tc>
          <w:tcPr>
            <w:tcW w:w="1245" w:type="dxa"/>
          </w:tcPr>
          <w:p w14:paraId="3C03707A">
            <w:pPr>
              <w:tabs>
                <w:tab w:val="left" w:pos="1276"/>
              </w:tabs>
              <w:adjustRightInd w:val="0"/>
              <w:spacing w:line="570" w:lineRule="exact"/>
              <w:jc w:val="center"/>
              <w:rPr>
                <w:rFonts w:hint="eastAsia" w:ascii="Arial Narrow" w:hAnsi="Arial Narrow" w:cs="Arial Narrow" w:eastAsiaTheme="minorEastAsia"/>
                <w:bCs/>
                <w:sz w:val="18"/>
                <w:szCs w:val="18"/>
                <w:highlight w:val="none"/>
              </w:rPr>
            </w:pPr>
            <w:r>
              <w:rPr>
                <w:rFonts w:hint="eastAsia" w:ascii="Arial Narrow" w:hAnsi="Arial Narrow" w:cs="Arial Narrow" w:eastAsiaTheme="minorEastAsia"/>
                <w:bCs/>
                <w:sz w:val="18"/>
                <w:szCs w:val="18"/>
                <w:highlight w:val="none"/>
              </w:rPr>
              <w:t>23</w:t>
            </w:r>
          </w:p>
        </w:tc>
      </w:tr>
    </w:tbl>
    <w:p w14:paraId="1C81E8BB">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1.生态效益。100%的受调查群众认为该项目建成对生态环境修复具有优化；清除有机质，水质无色、无味、无浮油、清澈。</w:t>
      </w:r>
    </w:p>
    <w:p w14:paraId="43438ED3">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该项指标满分为10分，根据评分标准得10分。</w:t>
      </w:r>
    </w:p>
    <w:p w14:paraId="055A0D98">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2.社会效益</w:t>
      </w:r>
    </w:p>
    <w:p w14:paraId="013239BB">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项目实施后改善了群众居住环境有利于提升城市形象，促进经济发展。</w:t>
      </w:r>
    </w:p>
    <w:p w14:paraId="5F61D50B">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该项指标满分为9分，根据评分标准得6分。</w:t>
      </w:r>
    </w:p>
    <w:p w14:paraId="08ED7F8E">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3.经济效益。项目实施创造良好城市风貌，改善城市环境，促进经济发展，一定程度上带动经济收益。</w:t>
      </w:r>
    </w:p>
    <w:p w14:paraId="42A08291">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该项指标满分为3分，根据评分标准得3分。</w:t>
      </w:r>
    </w:p>
    <w:p w14:paraId="23D46A72">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4.可持续影响。项目实施后未建立长效机制，确保治理工作能够科学、可持续开展，仅参照赤水河管理机制，无项目本身的长期管理机制。</w:t>
      </w:r>
    </w:p>
    <w:p w14:paraId="4C9BE0E9">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该项指标满分为3分，根据评分标准得0分。</w:t>
      </w:r>
    </w:p>
    <w:p w14:paraId="13F8055F">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5.社会公众满意度。通过发放调查问卷，了解社会公众的满意程度，本次绩效评价共发放问卷100份，收回有效问卷100份，其中</w:t>
      </w:r>
      <w:r>
        <w:rPr>
          <w:rFonts w:hint="eastAsia" w:asciiTheme="minorEastAsia" w:hAnsiTheme="minorEastAsia" w:eastAsiaTheme="minorEastAsia" w:cstheme="minorEastAsia"/>
          <w:bCs/>
          <w:color w:val="000000"/>
          <w:sz w:val="28"/>
          <w:szCs w:val="28"/>
        </w:rPr>
        <w:t>经社会调查，受访者对建设规模在建设效果、设施配套等方面的总体完成情况持肯定态度，选择“非常好”和“好”的比例合计达到84%，表明大部分较为</w:t>
      </w:r>
      <w:r>
        <w:rPr>
          <w:rFonts w:hint="eastAsia" w:asciiTheme="minorEastAsia" w:hAnsiTheme="minorEastAsia" w:eastAsiaTheme="minorEastAsia" w:cstheme="minorEastAsia"/>
          <w:sz w:val="28"/>
          <w:szCs w:val="28"/>
        </w:rPr>
        <w:t>满意度，未达90%以上。</w:t>
      </w:r>
    </w:p>
    <w:p w14:paraId="5AA48E9A">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spacing w:val="6"/>
          <w:sz w:val="28"/>
          <w:szCs w:val="28"/>
        </w:rPr>
      </w:pPr>
      <w:r>
        <w:rPr>
          <w:rFonts w:hint="eastAsia" w:asciiTheme="minorEastAsia" w:hAnsiTheme="minorEastAsia" w:eastAsiaTheme="minorEastAsia" w:cstheme="minorEastAsia"/>
          <w:bCs/>
          <w:spacing w:val="6"/>
          <w:sz w:val="28"/>
          <w:szCs w:val="28"/>
        </w:rPr>
        <w:t>该项指标满分为5分，根据评分标准得4分。</w:t>
      </w:r>
    </w:p>
    <w:p w14:paraId="5D7DA223">
      <w:pPr>
        <w:keepNext w:val="0"/>
        <w:keepLines w:val="0"/>
        <w:pageBreakBefore w:val="0"/>
        <w:kinsoku/>
        <w:wordWrap/>
        <w:overflowPunct/>
        <w:topLinePunct w:val="0"/>
        <w:autoSpaceDE/>
        <w:autoSpaceDN/>
        <w:bidi w:val="0"/>
        <w:adjustRightInd w:val="0"/>
        <w:snapToGrid w:val="0"/>
        <w:spacing w:line="560" w:lineRule="exact"/>
        <w:ind w:firstLine="670" w:firstLineChars="200"/>
        <w:textAlignment w:val="auto"/>
        <w:outlineLvl w:val="0"/>
        <w:rPr>
          <w:rFonts w:hint="eastAsia" w:ascii="黑体" w:hAnsi="黑体" w:eastAsia="黑体" w:cs="黑体"/>
          <w:b/>
          <w:bCs/>
          <w:sz w:val="32"/>
          <w:szCs w:val="32"/>
        </w:rPr>
      </w:pPr>
      <w:bookmarkStart w:id="67" w:name="_Hlk528850248"/>
      <w:bookmarkStart w:id="68" w:name="_Toc38"/>
      <w:r>
        <w:rPr>
          <w:rFonts w:hint="eastAsia" w:ascii="黑体" w:hAnsi="黑体" w:eastAsia="黑体" w:cs="黑体"/>
          <w:b/>
          <w:bCs/>
          <w:sz w:val="32"/>
          <w:szCs w:val="32"/>
        </w:rPr>
        <w:t>五、存在问题及原因分析</w:t>
      </w:r>
      <w:bookmarkEnd w:id="67"/>
      <w:bookmarkEnd w:id="68"/>
    </w:p>
    <w:p w14:paraId="6930432F">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sz w:val="28"/>
          <w:szCs w:val="28"/>
        </w:rPr>
      </w:pPr>
      <w:bookmarkStart w:id="69" w:name="_Hlk528850280"/>
      <w:r>
        <w:rPr>
          <w:rFonts w:hint="eastAsia" w:asciiTheme="minorEastAsia" w:hAnsiTheme="minorEastAsia" w:eastAsiaTheme="minorEastAsia" w:cstheme="minorEastAsia"/>
          <w:b/>
          <w:bCs/>
          <w:sz w:val="28"/>
          <w:szCs w:val="28"/>
        </w:rPr>
        <w:t>（一）绩效目标未细化，且未与年度设定相对应</w:t>
      </w:r>
    </w:p>
    <w:p w14:paraId="4E671FCC">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绩效目标未细化，产出指标仅设置质量指标-工程建设质量-按质量标准完成项目建设效益指标-社会效益-雨污分流项目实施后排水环境改善-完成小区庭院、市政道路的排水管网建设、满意度指标-服务对象满意度-周边群众满意度≥85%；设定的绩效指标未与各年度工作任务相对应。</w:t>
      </w:r>
    </w:p>
    <w:p w14:paraId="5DB354DD">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（二）项目投资概算资金调整不规范</w:t>
      </w:r>
    </w:p>
    <w:p w14:paraId="4CC6E166">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晋宁（城区）雨污分流、溢流防控工程项目可行性研究报告、实施方案的总投资额为33370.13万元，昆明城区雨污分流规划方案投资匡算19500万元，但实际到位资金仅7028万元，未提供投资估算（预算）相关调整报批程序资料。</w:t>
      </w:r>
    </w:p>
    <w:p w14:paraId="769E7098">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（三）投资总额不到位，影响项目建设内容完整性</w:t>
      </w:r>
    </w:p>
    <w:p w14:paraId="4704E84D">
      <w:pPr>
        <w:keepNext w:val="0"/>
        <w:keepLines w:val="0"/>
        <w:pageBreakBefore w:val="0"/>
        <w:widowControl/>
        <w:kinsoku/>
        <w:wordWrap/>
        <w:overflowPunct/>
        <w:topLinePunct w:val="0"/>
        <w:autoSpaceDE/>
        <w:autoSpaceDN/>
        <w:bidi w:val="0"/>
        <w:adjustRightIn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如上所述，项目可行性研究报告、实施方案的总投资额为33370.13万元，实际到位资金仅7028万元，投资到位率仅21.06%，由于项目资金未足额、及时到位，项目建设内容实施不完整。</w:t>
      </w:r>
    </w:p>
    <w:p w14:paraId="3735E943">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（四）未建立项目长期管理机制</w:t>
      </w:r>
    </w:p>
    <w:p w14:paraId="784B6142">
      <w:pPr>
        <w:keepNext w:val="0"/>
        <w:keepLines w:val="0"/>
        <w:pageBreakBefore w:val="0"/>
        <w:widowControl/>
        <w:kinsoku/>
        <w:wordWrap/>
        <w:overflowPunct/>
        <w:topLinePunct w:val="0"/>
        <w:autoSpaceDE/>
        <w:autoSpaceDN/>
        <w:bidi w:val="0"/>
        <w:adjustRightIn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未根据项目特点，探索、建立符合项目特点的长效管理机制，确保晋宁（城区）雨污分流、溢流防控工程项目治理工作能够科学、可持续开展。</w:t>
      </w:r>
    </w:p>
    <w:p w14:paraId="6254FDE0">
      <w:pPr>
        <w:keepNext w:val="0"/>
        <w:keepLines w:val="0"/>
        <w:pageBreakBefore w:val="0"/>
        <w:kinsoku/>
        <w:wordWrap/>
        <w:overflowPunct/>
        <w:topLinePunct w:val="0"/>
        <w:autoSpaceDE/>
        <w:autoSpaceDN/>
        <w:bidi w:val="0"/>
        <w:adjustRightInd w:val="0"/>
        <w:snapToGrid w:val="0"/>
        <w:spacing w:line="560" w:lineRule="exact"/>
        <w:ind w:firstLine="670" w:firstLineChars="200"/>
        <w:textAlignment w:val="auto"/>
        <w:outlineLvl w:val="0"/>
        <w:rPr>
          <w:rFonts w:hint="eastAsia" w:ascii="黑体" w:hAnsi="黑体" w:eastAsia="黑体" w:cs="黑体"/>
          <w:b/>
          <w:bCs/>
          <w:sz w:val="32"/>
          <w:szCs w:val="32"/>
        </w:rPr>
      </w:pPr>
      <w:bookmarkStart w:id="70" w:name="_Toc12738"/>
      <w:r>
        <w:rPr>
          <w:rFonts w:hint="eastAsia" w:ascii="黑体" w:hAnsi="黑体" w:eastAsia="黑体" w:cs="黑体"/>
          <w:b/>
          <w:bCs/>
          <w:sz w:val="32"/>
          <w:szCs w:val="32"/>
        </w:rPr>
        <w:t>六、建议</w:t>
      </w:r>
      <w:bookmarkEnd w:id="70"/>
    </w:p>
    <w:bookmarkEnd w:id="69"/>
    <w:p w14:paraId="428F5AA9">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（一）做好项目前期调研工作，细化、分解绩效目标工作任务，做好项目资金预算，制定完善绩效考核指标及项目投资概算调整审批程序，实现有效使用专项资金及绩效评价的规范性</w:t>
      </w:r>
    </w:p>
    <w:p w14:paraId="176F6BAB">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预算资金绩效目标不细化，会导致财政资源配置低效、项目实施不明确、效果难以评估等问题。项目实施前应充分考虑项目的特点，加强项目前期的实时调研，根据测量、调研结果，做好项目资金预算，在预算编制阶段严格绩效目标合规性审查，适时、合理、及时进行项目投资概算调整及报批，保证项目有序进展及资金的使用效率。同时完善财政资金预算、拨付、实施全过程管理，要求项目单位对关键指标签署完成承诺书，并将目标清晰度作为资金分配的重要因素。</w:t>
      </w:r>
    </w:p>
    <w:p w14:paraId="73099FF3">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（二）及时、足额投入项目资金，避免因项目投资不到位，项目建设内容减少，影响项目实施效果</w:t>
      </w:r>
    </w:p>
    <w:p w14:paraId="0F9F2DDD">
      <w:pPr>
        <w:keepNext w:val="0"/>
        <w:keepLines w:val="0"/>
        <w:pageBreakBefore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雨污分流项目（雨水和污水分流排放系统）是城市基础设施建设的重要组成部分，若投资不到位，可能对环境保护、城市运行及政府公信力等多方面产生深远影响，项目实施不到位，形成临时、急性突发问题，临时应急措施（如抽排污水）成本远高于系统性分流改造成本，而污水倒灌、道路积水等问题引发投诉，影响社区和谐，居民生活质量下降。</w:t>
      </w:r>
    </w:p>
    <w:p w14:paraId="2E184C4A">
      <w:pPr>
        <w:keepNext w:val="0"/>
        <w:keepLines w:val="0"/>
        <w:pageBreakBefore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雨污分流项目投资不足的负面影响具有连锁性和长期性，需通过“短期控风险+长期可持续融资+技术创新”组合策略应对。建议优先保障关键节点资金，减少对单一资金来源的依赖；加强公众沟通，将环保效益转化为社会支持动力。</w:t>
      </w:r>
    </w:p>
    <w:p w14:paraId="27D2DC50">
      <w:pPr>
        <w:keepNext w:val="0"/>
        <w:keepLines w:val="0"/>
        <w:pageBreakBefore w:val="0"/>
        <w:numPr>
          <w:ilvl w:val="0"/>
          <w:numId w:val="8"/>
        </w:numPr>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建立项目长期管理机制</w:t>
      </w:r>
    </w:p>
    <w:p w14:paraId="536BF0A4">
      <w:pPr>
        <w:keepNext w:val="0"/>
        <w:keepLines w:val="0"/>
        <w:pageBreakBefore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雨污分流和溢流防控工程是城市水环境治理的关键措施，其长效管理机制需从规划、建设、运维、监管等多维度协同推进，确保系统持续高效运行。加强科学规划，建立、完善完整的工程数据库，记录管网走向、管径、高程等基础信息；加强应急响应机制，针对暴雨、管网破裂等突发事件，制定快速抢修和污染拦截预案；明确政府、排水公司、物业等各方职责，避免多头管理，强化源头管控；建立公众参与与宣传渠道，确保政策可持续性。</w:t>
      </w:r>
    </w:p>
    <w:p w14:paraId="2F192B80">
      <w:pPr>
        <w:keepNext w:val="0"/>
        <w:keepLines w:val="0"/>
        <w:pageBreakBefore w:val="0"/>
        <w:kinsoku/>
        <w:wordWrap/>
        <w:overflowPunct/>
        <w:topLinePunct w:val="0"/>
        <w:autoSpaceDE/>
        <w:autoSpaceDN/>
        <w:bidi w:val="0"/>
        <w:adjustRightInd w:val="0"/>
        <w:snapToGrid w:val="0"/>
        <w:spacing w:line="560" w:lineRule="exact"/>
        <w:ind w:firstLine="670" w:firstLineChars="200"/>
        <w:textAlignment w:val="auto"/>
        <w:outlineLvl w:val="0"/>
        <w:rPr>
          <w:rFonts w:hint="eastAsia" w:ascii="黑体" w:hAnsi="黑体" w:eastAsia="黑体" w:cs="黑体"/>
          <w:b/>
          <w:bCs/>
          <w:sz w:val="32"/>
          <w:szCs w:val="32"/>
        </w:rPr>
      </w:pPr>
      <w:bookmarkStart w:id="71" w:name="_Toc26466"/>
      <w:r>
        <w:rPr>
          <w:rFonts w:hint="eastAsia" w:ascii="黑体" w:hAnsi="黑体" w:eastAsia="黑体" w:cs="黑体"/>
          <w:b/>
          <w:bCs/>
          <w:sz w:val="32"/>
          <w:szCs w:val="32"/>
        </w:rPr>
        <w:t>七、其他需说明的情况</w:t>
      </w:r>
      <w:bookmarkEnd w:id="71"/>
    </w:p>
    <w:p w14:paraId="52C2AFBC">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rPr>
          <w:rFonts w:hint="eastAsia"/>
        </w:rPr>
      </w:pPr>
      <w:bookmarkStart w:id="72" w:name="_Hlk525314514"/>
      <w:r>
        <w:rPr>
          <w:rFonts w:hint="eastAsia" w:asciiTheme="minorEastAsia" w:hAnsiTheme="minorEastAsia" w:eastAsiaTheme="minorEastAsia" w:cstheme="minorEastAsia"/>
          <w:sz w:val="28"/>
          <w:szCs w:val="28"/>
        </w:rPr>
        <w:t>无。</w:t>
      </w:r>
      <w:bookmarkEnd w:id="72"/>
    </w:p>
    <w:p w14:paraId="70AECDC9">
      <w:pPr>
        <w:keepNext w:val="0"/>
        <w:keepLines w:val="0"/>
        <w:pageBreakBefore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sz w:val="28"/>
          <w:szCs w:val="28"/>
        </w:rPr>
      </w:pPr>
      <w:bookmarkStart w:id="73" w:name="_Hlk525314575"/>
    </w:p>
    <w:p w14:paraId="13EE76AD">
      <w:pPr>
        <w:keepNext w:val="0"/>
        <w:keepLines w:val="0"/>
        <w:pageBreakBefore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附件：1.绩效目标表</w:t>
      </w:r>
    </w:p>
    <w:p w14:paraId="2181464B">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bookmarkStart w:id="74" w:name="_Hlk527019547"/>
      <w:r>
        <w:rPr>
          <w:rFonts w:hint="eastAsia" w:asciiTheme="minorEastAsia" w:hAnsiTheme="minorEastAsia" w:eastAsiaTheme="minorEastAsia" w:cstheme="minorEastAsia"/>
          <w:sz w:val="28"/>
          <w:szCs w:val="28"/>
        </w:rPr>
        <w:t>绩效评价指标体系及评分表</w:t>
      </w:r>
      <w:bookmarkEnd w:id="74"/>
    </w:p>
    <w:p w14:paraId="109CA5E0">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bookmarkStart w:id="75" w:name="_Hlk527019566"/>
      <w:r>
        <w:rPr>
          <w:rFonts w:hint="eastAsia" w:asciiTheme="minorEastAsia" w:hAnsiTheme="minorEastAsia" w:eastAsiaTheme="minorEastAsia" w:cstheme="minorEastAsia"/>
          <w:sz w:val="28"/>
          <w:szCs w:val="28"/>
        </w:rPr>
        <w:t>资金使用情况表</w:t>
      </w:r>
      <w:bookmarkEnd w:id="75"/>
    </w:p>
    <w:p w14:paraId="107441CD">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bookmarkStart w:id="76" w:name="_Hlk527019595"/>
      <w:r>
        <w:rPr>
          <w:rFonts w:hint="eastAsia" w:asciiTheme="minorEastAsia" w:hAnsiTheme="minorEastAsia" w:eastAsiaTheme="minorEastAsia" w:cstheme="minorEastAsia"/>
          <w:sz w:val="28"/>
          <w:szCs w:val="28"/>
        </w:rPr>
        <w:t>发现问题汇总表</w:t>
      </w:r>
      <w:bookmarkEnd w:id="76"/>
    </w:p>
    <w:p w14:paraId="78A493C2">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bookmarkStart w:id="77" w:name="_Hlk527019673"/>
      <w:r>
        <w:rPr>
          <w:rFonts w:hint="eastAsia" w:asciiTheme="minorEastAsia" w:hAnsiTheme="minorEastAsia" w:eastAsiaTheme="minorEastAsia" w:cstheme="minorEastAsia"/>
          <w:sz w:val="28"/>
          <w:szCs w:val="28"/>
        </w:rPr>
        <w:t>调查问卷结果汇总</w:t>
      </w:r>
      <w:bookmarkEnd w:id="77"/>
      <w:r>
        <w:rPr>
          <w:rFonts w:hint="eastAsia" w:asciiTheme="minorEastAsia" w:hAnsiTheme="minorEastAsia" w:eastAsiaTheme="minorEastAsia" w:cstheme="minorEastAsia"/>
          <w:sz w:val="28"/>
          <w:szCs w:val="28"/>
        </w:rPr>
        <w:t>报告</w:t>
      </w:r>
    </w:p>
    <w:p w14:paraId="34277401">
      <w:pPr>
        <w:pStyle w:val="17"/>
        <w:ind w:left="0" w:leftChars="0" w:firstLine="0" w:firstLineChars="0"/>
        <w:rPr>
          <w:rFonts w:hint="eastAsia"/>
        </w:rPr>
      </w:pPr>
    </w:p>
    <w:p w14:paraId="506A7BBE">
      <w:pPr>
        <w:pStyle w:val="17"/>
        <w:ind w:left="0" w:leftChars="0" w:firstLine="0" w:firstLineChars="0"/>
        <w:rPr>
          <w:rFonts w:hint="eastAsia"/>
        </w:rPr>
      </w:pPr>
    </w:p>
    <w:p w14:paraId="126092E1">
      <w:pPr>
        <w:pStyle w:val="17"/>
        <w:ind w:left="0" w:leftChars="0" w:firstLine="0" w:firstLineChars="0"/>
        <w:rPr>
          <w:rFonts w:hint="eastAsia"/>
        </w:rPr>
      </w:pPr>
    </w:p>
    <w:p w14:paraId="5F1E64D0">
      <w:pPr>
        <w:pStyle w:val="17"/>
        <w:ind w:left="0" w:leftChars="0" w:firstLine="0" w:firstLineChars="0"/>
        <w:rPr>
          <w:rFonts w:hint="eastAsia"/>
        </w:rPr>
      </w:pPr>
    </w:p>
    <w:p w14:paraId="118B5D77">
      <w:pPr>
        <w:pStyle w:val="17"/>
        <w:ind w:left="0" w:leftChars="0" w:firstLine="0" w:firstLineChars="0"/>
        <w:rPr>
          <w:rFonts w:hint="eastAsia"/>
        </w:rPr>
      </w:pPr>
    </w:p>
    <w:p w14:paraId="40995515">
      <w:pPr>
        <w:pStyle w:val="17"/>
        <w:ind w:left="0" w:leftChars="0" w:firstLine="0" w:firstLineChars="0"/>
        <w:rPr>
          <w:rFonts w:hint="eastAsia"/>
        </w:rPr>
      </w:pPr>
    </w:p>
    <w:bookmarkEnd w:id="73"/>
    <w:p w14:paraId="61AE63C8">
      <w:pPr>
        <w:spacing w:line="590" w:lineRule="exact"/>
        <w:rPr>
          <w:rFonts w:hint="eastAsia" w:asciiTheme="minorEastAsia" w:hAnsiTheme="minorEastAsia" w:eastAsiaTheme="minorEastAsia" w:cstheme="minorEastAsia"/>
          <w:spacing w:val="6"/>
          <w:kern w:val="0"/>
          <w:sz w:val="28"/>
          <w:szCs w:val="28"/>
        </w:rPr>
      </w:pPr>
      <w:r>
        <w:rPr>
          <w:rFonts w:hint="eastAsia" w:asciiTheme="minorEastAsia" w:hAnsiTheme="minorEastAsia" w:eastAsiaTheme="minorEastAsia" w:cstheme="minorEastAsia"/>
          <w:spacing w:val="6"/>
          <w:kern w:val="0"/>
          <w:sz w:val="28"/>
          <w:szCs w:val="28"/>
        </w:rPr>
        <w:t>[此页无正文，为大华核字[202</w:t>
      </w:r>
      <w:r>
        <w:rPr>
          <w:rFonts w:hint="eastAsia" w:asciiTheme="minorEastAsia" w:hAnsiTheme="minorEastAsia" w:eastAsiaTheme="minorEastAsia" w:cstheme="minorEastAsia"/>
          <w:spacing w:val="6"/>
          <w:kern w:val="0"/>
          <w:sz w:val="28"/>
          <w:szCs w:val="28"/>
          <w:lang w:val="en-US" w:eastAsia="zh-CN"/>
        </w:rPr>
        <w:t>6</w:t>
      </w:r>
      <w:r>
        <w:rPr>
          <w:rFonts w:hint="eastAsia" w:asciiTheme="minorEastAsia" w:hAnsiTheme="minorEastAsia" w:eastAsiaTheme="minorEastAsia" w:cstheme="minorEastAsia"/>
          <w:spacing w:val="6"/>
          <w:kern w:val="0"/>
          <w:sz w:val="28"/>
          <w:szCs w:val="28"/>
        </w:rPr>
        <w:t>]</w:t>
      </w:r>
      <w:r>
        <w:rPr>
          <w:rFonts w:hint="eastAsia" w:asciiTheme="minorEastAsia" w:hAnsiTheme="minorEastAsia" w:eastAsiaTheme="minorEastAsia" w:cstheme="minorEastAsia"/>
          <w:color w:val="000000"/>
          <w:sz w:val="28"/>
          <w:szCs w:val="28"/>
        </w:rPr>
        <w:t>201100025</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spacing w:val="6"/>
          <w:kern w:val="0"/>
          <w:sz w:val="28"/>
          <w:szCs w:val="28"/>
        </w:rPr>
        <w:t>号报告签章页]</w:t>
      </w:r>
    </w:p>
    <w:p w14:paraId="390403B0">
      <w:pPr>
        <w:pStyle w:val="2"/>
        <w:rPr>
          <w:rFonts w:ascii="仿宋_GB2312" w:hAnsi="Arial Narrow" w:eastAsia="仿宋_GB2312"/>
          <w:spacing w:val="6"/>
          <w:kern w:val="0"/>
          <w:szCs w:val="30"/>
        </w:rPr>
      </w:pPr>
    </w:p>
    <w:p w14:paraId="32D62409">
      <w:pPr>
        <w:rPr>
          <w:rFonts w:ascii="仿宋_GB2312" w:hAnsi="Arial Narrow" w:eastAsia="仿宋_GB2312"/>
          <w:spacing w:val="6"/>
          <w:kern w:val="0"/>
          <w:szCs w:val="30"/>
        </w:rPr>
      </w:pPr>
    </w:p>
    <w:p w14:paraId="12DCC824">
      <w:pPr>
        <w:pStyle w:val="2"/>
      </w:pPr>
    </w:p>
    <w:tbl>
      <w:tblPr>
        <w:tblStyle w:val="18"/>
        <w:tblW w:w="0" w:type="auto"/>
        <w:jc w:val="center"/>
        <w:tblLayout w:type="fixed"/>
        <w:tblCellMar>
          <w:top w:w="0" w:type="dxa"/>
          <w:left w:w="108" w:type="dxa"/>
          <w:bottom w:w="0" w:type="dxa"/>
          <w:right w:w="108" w:type="dxa"/>
        </w:tblCellMar>
      </w:tblPr>
      <w:tblGrid>
        <w:gridCol w:w="4851"/>
        <w:gridCol w:w="363"/>
        <w:gridCol w:w="2608"/>
        <w:gridCol w:w="1352"/>
      </w:tblGrid>
      <w:tr w14:paraId="79CA50F4">
        <w:tblPrEx>
          <w:tblCellMar>
            <w:top w:w="0" w:type="dxa"/>
            <w:left w:w="108" w:type="dxa"/>
            <w:bottom w:w="0" w:type="dxa"/>
            <w:right w:w="108" w:type="dxa"/>
          </w:tblCellMar>
        </w:tblPrEx>
        <w:trPr>
          <w:trHeight w:val="707" w:hRule="exact"/>
          <w:jc w:val="center"/>
        </w:trPr>
        <w:tc>
          <w:tcPr>
            <w:tcW w:w="4851" w:type="dxa"/>
            <w:noWrap w:val="0"/>
            <w:vAlign w:val="center"/>
          </w:tcPr>
          <w:p w14:paraId="395DC760">
            <w:pPr>
              <w:widowControl/>
              <w:snapToGrid w:val="0"/>
              <w:spacing w:line="560" w:lineRule="exact"/>
              <w:ind w:left="-78" w:leftChars="-25" w:right="-78" w:rightChars="-25"/>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大华会计师事务所(特殊普通合伙)</w:t>
            </w:r>
          </w:p>
        </w:tc>
        <w:tc>
          <w:tcPr>
            <w:tcW w:w="363" w:type="dxa"/>
            <w:noWrap w:val="0"/>
            <w:vAlign w:val="center"/>
          </w:tcPr>
          <w:p w14:paraId="32AF4D55">
            <w:pPr>
              <w:widowControl/>
              <w:snapToGrid w:val="0"/>
              <w:spacing w:line="560" w:lineRule="exact"/>
              <w:jc w:val="left"/>
              <w:rPr>
                <w:rFonts w:hint="eastAsia" w:asciiTheme="minorEastAsia" w:hAnsiTheme="minorEastAsia" w:eastAsiaTheme="minorEastAsia" w:cstheme="minorEastAsia"/>
                <w:kern w:val="0"/>
                <w:sz w:val="28"/>
                <w:szCs w:val="28"/>
              </w:rPr>
            </w:pPr>
          </w:p>
        </w:tc>
        <w:tc>
          <w:tcPr>
            <w:tcW w:w="2608" w:type="dxa"/>
            <w:noWrap w:val="0"/>
            <w:vAlign w:val="center"/>
          </w:tcPr>
          <w:p w14:paraId="4B74EFD7">
            <w:pPr>
              <w:snapToGrid w:val="0"/>
              <w:spacing w:line="560" w:lineRule="exact"/>
              <w:ind w:left="-78" w:leftChars="-25" w:right="-78" w:rightChars="-25"/>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中国注册会计师：</w:t>
            </w:r>
          </w:p>
        </w:tc>
        <w:tc>
          <w:tcPr>
            <w:tcW w:w="1352" w:type="dxa"/>
            <w:tcBorders>
              <w:bottom w:val="single" w:color="auto" w:sz="4" w:space="0"/>
            </w:tcBorders>
            <w:noWrap w:val="0"/>
            <w:vAlign w:val="center"/>
          </w:tcPr>
          <w:p w14:paraId="62C7A664">
            <w:pPr>
              <w:widowControl/>
              <w:snapToGrid w:val="0"/>
              <w:spacing w:line="560" w:lineRule="exact"/>
              <w:jc w:val="center"/>
              <w:rPr>
                <w:rFonts w:hint="eastAsia" w:asciiTheme="minorEastAsia" w:hAnsiTheme="minorEastAsia" w:eastAsiaTheme="minorEastAsia" w:cstheme="minorEastAsia"/>
                <w:kern w:val="0"/>
                <w:sz w:val="28"/>
                <w:szCs w:val="28"/>
              </w:rPr>
            </w:pPr>
          </w:p>
        </w:tc>
      </w:tr>
      <w:tr w14:paraId="2D67ECB9">
        <w:tblPrEx>
          <w:tblCellMar>
            <w:top w:w="0" w:type="dxa"/>
            <w:left w:w="108" w:type="dxa"/>
            <w:bottom w:w="0" w:type="dxa"/>
            <w:right w:w="108" w:type="dxa"/>
          </w:tblCellMar>
        </w:tblPrEx>
        <w:trPr>
          <w:trHeight w:val="964" w:hRule="exact"/>
          <w:jc w:val="center"/>
        </w:trPr>
        <w:tc>
          <w:tcPr>
            <w:tcW w:w="4851" w:type="dxa"/>
            <w:noWrap w:val="0"/>
            <w:vAlign w:val="center"/>
          </w:tcPr>
          <w:p w14:paraId="12A741A8">
            <w:pPr>
              <w:widowControl/>
              <w:snapToGrid w:val="0"/>
              <w:spacing w:line="5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云南分所</w:t>
            </w:r>
          </w:p>
        </w:tc>
        <w:tc>
          <w:tcPr>
            <w:tcW w:w="363" w:type="dxa"/>
            <w:noWrap w:val="0"/>
            <w:vAlign w:val="center"/>
          </w:tcPr>
          <w:p w14:paraId="4637B211">
            <w:pPr>
              <w:widowControl/>
              <w:snapToGrid w:val="0"/>
              <w:spacing w:line="560" w:lineRule="exact"/>
              <w:jc w:val="left"/>
              <w:rPr>
                <w:rFonts w:hint="eastAsia" w:asciiTheme="minorEastAsia" w:hAnsiTheme="minorEastAsia" w:eastAsiaTheme="minorEastAsia" w:cstheme="minorEastAsia"/>
                <w:kern w:val="0"/>
                <w:sz w:val="28"/>
                <w:szCs w:val="28"/>
              </w:rPr>
            </w:pPr>
          </w:p>
        </w:tc>
        <w:tc>
          <w:tcPr>
            <w:tcW w:w="2608" w:type="dxa"/>
            <w:noWrap w:val="0"/>
            <w:vAlign w:val="center"/>
          </w:tcPr>
          <w:p w14:paraId="23D569A8">
            <w:pPr>
              <w:snapToGrid w:val="0"/>
              <w:spacing w:after="234" w:afterLines="75" w:line="560" w:lineRule="exact"/>
              <w:jc w:val="center"/>
              <w:rPr>
                <w:rFonts w:hint="eastAsia" w:asciiTheme="minorEastAsia" w:hAnsiTheme="minorEastAsia" w:eastAsiaTheme="minorEastAsia" w:cstheme="minorEastAsia"/>
                <w:kern w:val="0"/>
                <w:sz w:val="28"/>
                <w:szCs w:val="28"/>
              </w:rPr>
            </w:pPr>
          </w:p>
        </w:tc>
        <w:tc>
          <w:tcPr>
            <w:tcW w:w="1352" w:type="dxa"/>
            <w:tcBorders>
              <w:top w:val="single" w:color="auto" w:sz="4" w:space="0"/>
            </w:tcBorders>
            <w:noWrap w:val="0"/>
            <w:vAlign w:val="center"/>
          </w:tcPr>
          <w:p w14:paraId="734E941E">
            <w:pPr>
              <w:snapToGrid w:val="0"/>
              <w:spacing w:after="234" w:afterLines="75" w:line="560" w:lineRule="exact"/>
              <w:jc w:val="center"/>
              <w:rPr>
                <w:rFonts w:hint="eastAsia" w:asciiTheme="minorEastAsia" w:hAnsiTheme="minorEastAsia" w:eastAsiaTheme="minorEastAsia" w:cstheme="minorEastAsia"/>
                <w:color w:val="366091"/>
                <w:kern w:val="0"/>
                <w:sz w:val="28"/>
                <w:szCs w:val="28"/>
              </w:rPr>
            </w:pPr>
            <w:r>
              <w:rPr>
                <w:rFonts w:hint="eastAsia" w:asciiTheme="minorEastAsia" w:hAnsiTheme="minorEastAsia" w:eastAsiaTheme="minorEastAsia" w:cstheme="minorEastAsia"/>
                <w:kern w:val="0"/>
                <w:sz w:val="28"/>
                <w:szCs w:val="28"/>
              </w:rPr>
              <w:t>扶成柏</w:t>
            </w:r>
          </w:p>
        </w:tc>
      </w:tr>
      <w:tr w14:paraId="1B0436DA">
        <w:tblPrEx>
          <w:tblCellMar>
            <w:top w:w="0" w:type="dxa"/>
            <w:left w:w="108" w:type="dxa"/>
            <w:bottom w:w="0" w:type="dxa"/>
            <w:right w:w="108" w:type="dxa"/>
          </w:tblCellMar>
        </w:tblPrEx>
        <w:trPr>
          <w:trHeight w:val="564" w:hRule="exact"/>
          <w:jc w:val="center"/>
        </w:trPr>
        <w:tc>
          <w:tcPr>
            <w:tcW w:w="4851" w:type="dxa"/>
            <w:noWrap w:val="0"/>
            <w:vAlign w:val="center"/>
          </w:tcPr>
          <w:p w14:paraId="3C9983DF">
            <w:pPr>
              <w:widowControl/>
              <w:snapToGrid w:val="0"/>
              <w:spacing w:line="5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中国</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sz w:val="28"/>
                <w:szCs w:val="28"/>
              </w:rPr>
              <w:t>昆明</w:t>
            </w:r>
          </w:p>
        </w:tc>
        <w:tc>
          <w:tcPr>
            <w:tcW w:w="363" w:type="dxa"/>
            <w:noWrap w:val="0"/>
            <w:vAlign w:val="center"/>
          </w:tcPr>
          <w:p w14:paraId="0BBFE7CE">
            <w:pPr>
              <w:widowControl/>
              <w:snapToGrid w:val="0"/>
              <w:spacing w:line="560" w:lineRule="exact"/>
              <w:jc w:val="left"/>
              <w:rPr>
                <w:rFonts w:hint="eastAsia" w:asciiTheme="minorEastAsia" w:hAnsiTheme="minorEastAsia" w:eastAsiaTheme="minorEastAsia" w:cstheme="minorEastAsia"/>
                <w:kern w:val="0"/>
                <w:sz w:val="28"/>
                <w:szCs w:val="28"/>
              </w:rPr>
            </w:pPr>
          </w:p>
        </w:tc>
        <w:tc>
          <w:tcPr>
            <w:tcW w:w="2608" w:type="dxa"/>
            <w:noWrap w:val="0"/>
            <w:vAlign w:val="center"/>
          </w:tcPr>
          <w:p w14:paraId="3485B57C">
            <w:pPr>
              <w:snapToGrid w:val="0"/>
              <w:spacing w:line="560" w:lineRule="exact"/>
              <w:ind w:left="-78" w:leftChars="-25" w:right="-78" w:rightChars="-25"/>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中国注册会计师：</w:t>
            </w:r>
          </w:p>
        </w:tc>
        <w:tc>
          <w:tcPr>
            <w:tcW w:w="1352" w:type="dxa"/>
            <w:tcBorders>
              <w:bottom w:val="single" w:color="auto" w:sz="4" w:space="0"/>
            </w:tcBorders>
            <w:noWrap w:val="0"/>
            <w:vAlign w:val="center"/>
          </w:tcPr>
          <w:p w14:paraId="5C8CDA8C">
            <w:pPr>
              <w:widowControl/>
              <w:snapToGrid w:val="0"/>
              <w:spacing w:line="560" w:lineRule="exact"/>
              <w:jc w:val="center"/>
              <w:rPr>
                <w:rFonts w:hint="eastAsia" w:asciiTheme="minorEastAsia" w:hAnsiTheme="minorEastAsia" w:eastAsiaTheme="minorEastAsia" w:cstheme="minorEastAsia"/>
                <w:color w:val="366091"/>
                <w:kern w:val="0"/>
                <w:sz w:val="28"/>
                <w:szCs w:val="28"/>
              </w:rPr>
            </w:pPr>
          </w:p>
        </w:tc>
      </w:tr>
      <w:tr w14:paraId="514730FE">
        <w:tblPrEx>
          <w:tblCellMar>
            <w:top w:w="0" w:type="dxa"/>
            <w:left w:w="108" w:type="dxa"/>
            <w:bottom w:w="0" w:type="dxa"/>
            <w:right w:w="108" w:type="dxa"/>
          </w:tblCellMar>
        </w:tblPrEx>
        <w:trPr>
          <w:trHeight w:val="964" w:hRule="exact"/>
          <w:jc w:val="center"/>
        </w:trPr>
        <w:tc>
          <w:tcPr>
            <w:tcW w:w="4851" w:type="dxa"/>
            <w:noWrap w:val="0"/>
            <w:vAlign w:val="center"/>
          </w:tcPr>
          <w:p w14:paraId="4DC0558D">
            <w:pPr>
              <w:widowControl/>
              <w:snapToGrid w:val="0"/>
              <w:spacing w:line="560" w:lineRule="exact"/>
              <w:jc w:val="center"/>
              <w:rPr>
                <w:rFonts w:hint="eastAsia" w:asciiTheme="minorEastAsia" w:hAnsiTheme="minorEastAsia" w:eastAsiaTheme="minorEastAsia" w:cstheme="minorEastAsia"/>
                <w:kern w:val="0"/>
                <w:sz w:val="28"/>
                <w:szCs w:val="28"/>
              </w:rPr>
            </w:pPr>
          </w:p>
        </w:tc>
        <w:tc>
          <w:tcPr>
            <w:tcW w:w="363" w:type="dxa"/>
            <w:noWrap w:val="0"/>
            <w:vAlign w:val="center"/>
          </w:tcPr>
          <w:p w14:paraId="1861A8CA">
            <w:pPr>
              <w:widowControl/>
              <w:snapToGrid w:val="0"/>
              <w:spacing w:line="560" w:lineRule="exact"/>
              <w:jc w:val="left"/>
              <w:rPr>
                <w:rFonts w:hint="eastAsia" w:asciiTheme="minorEastAsia" w:hAnsiTheme="minorEastAsia" w:eastAsiaTheme="minorEastAsia" w:cstheme="minorEastAsia"/>
                <w:kern w:val="0"/>
                <w:sz w:val="28"/>
                <w:szCs w:val="28"/>
              </w:rPr>
            </w:pPr>
          </w:p>
        </w:tc>
        <w:tc>
          <w:tcPr>
            <w:tcW w:w="2608" w:type="dxa"/>
            <w:noWrap w:val="0"/>
            <w:vAlign w:val="center"/>
          </w:tcPr>
          <w:p w14:paraId="3A40583A">
            <w:pPr>
              <w:snapToGrid w:val="0"/>
              <w:spacing w:after="234" w:afterLines="75" w:line="560" w:lineRule="exact"/>
              <w:jc w:val="center"/>
              <w:rPr>
                <w:rFonts w:hint="eastAsia" w:asciiTheme="minorEastAsia" w:hAnsiTheme="minorEastAsia" w:eastAsiaTheme="minorEastAsia" w:cstheme="minorEastAsia"/>
                <w:kern w:val="0"/>
                <w:sz w:val="28"/>
                <w:szCs w:val="28"/>
              </w:rPr>
            </w:pPr>
          </w:p>
        </w:tc>
        <w:tc>
          <w:tcPr>
            <w:tcW w:w="1352" w:type="dxa"/>
            <w:tcBorders>
              <w:top w:val="single" w:color="auto" w:sz="4" w:space="0"/>
            </w:tcBorders>
            <w:noWrap w:val="0"/>
            <w:vAlign w:val="center"/>
          </w:tcPr>
          <w:p w14:paraId="587B4452">
            <w:pPr>
              <w:snapToGrid w:val="0"/>
              <w:spacing w:after="234" w:afterLines="75" w:line="560" w:lineRule="exact"/>
              <w:jc w:val="center"/>
              <w:rPr>
                <w:rFonts w:hint="eastAsia" w:asciiTheme="minorEastAsia" w:hAnsiTheme="minorEastAsia" w:eastAsiaTheme="minorEastAsia" w:cstheme="minorEastAsia"/>
                <w:color w:val="366091"/>
                <w:kern w:val="0"/>
                <w:sz w:val="28"/>
                <w:szCs w:val="28"/>
              </w:rPr>
            </w:pPr>
            <w:r>
              <w:rPr>
                <w:rFonts w:hint="eastAsia" w:asciiTheme="minorEastAsia" w:hAnsiTheme="minorEastAsia" w:eastAsiaTheme="minorEastAsia" w:cstheme="minorEastAsia"/>
                <w:kern w:val="0"/>
                <w:sz w:val="28"/>
                <w:szCs w:val="28"/>
              </w:rPr>
              <w:t>陈红霞</w:t>
            </w:r>
          </w:p>
        </w:tc>
      </w:tr>
      <w:tr w14:paraId="7817677A">
        <w:tblPrEx>
          <w:tblCellMar>
            <w:top w:w="0" w:type="dxa"/>
            <w:left w:w="108" w:type="dxa"/>
            <w:bottom w:w="0" w:type="dxa"/>
            <w:right w:w="108" w:type="dxa"/>
          </w:tblCellMar>
        </w:tblPrEx>
        <w:trPr>
          <w:trHeight w:val="567" w:hRule="exact"/>
          <w:jc w:val="center"/>
        </w:trPr>
        <w:tc>
          <w:tcPr>
            <w:tcW w:w="4851" w:type="dxa"/>
            <w:noWrap w:val="0"/>
            <w:vAlign w:val="center"/>
          </w:tcPr>
          <w:p w14:paraId="01AC9FEE">
            <w:pPr>
              <w:widowControl/>
              <w:snapToGrid w:val="0"/>
              <w:spacing w:line="560" w:lineRule="exact"/>
              <w:jc w:val="center"/>
              <w:rPr>
                <w:rFonts w:hint="eastAsia" w:asciiTheme="minorEastAsia" w:hAnsiTheme="minorEastAsia" w:eastAsiaTheme="minorEastAsia" w:cstheme="minorEastAsia"/>
                <w:kern w:val="0"/>
                <w:sz w:val="28"/>
                <w:szCs w:val="28"/>
              </w:rPr>
            </w:pPr>
          </w:p>
        </w:tc>
        <w:tc>
          <w:tcPr>
            <w:tcW w:w="363" w:type="dxa"/>
            <w:noWrap w:val="0"/>
            <w:vAlign w:val="center"/>
          </w:tcPr>
          <w:p w14:paraId="5FE928A7">
            <w:pPr>
              <w:widowControl/>
              <w:snapToGrid w:val="0"/>
              <w:spacing w:line="560" w:lineRule="exact"/>
              <w:jc w:val="left"/>
              <w:rPr>
                <w:rFonts w:hint="eastAsia" w:asciiTheme="minorEastAsia" w:hAnsiTheme="minorEastAsia" w:eastAsiaTheme="minorEastAsia" w:cstheme="minorEastAsia"/>
                <w:kern w:val="0"/>
                <w:sz w:val="28"/>
                <w:szCs w:val="28"/>
              </w:rPr>
            </w:pPr>
          </w:p>
        </w:tc>
        <w:tc>
          <w:tcPr>
            <w:tcW w:w="3960" w:type="dxa"/>
            <w:gridSpan w:val="2"/>
            <w:noWrap w:val="0"/>
            <w:vAlign w:val="center"/>
          </w:tcPr>
          <w:p w14:paraId="58E510EF">
            <w:pPr>
              <w:widowControl/>
              <w:snapToGrid w:val="0"/>
              <w:spacing w:line="56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二〇二五</w:t>
            </w:r>
            <w:r>
              <w:rPr>
                <w:rFonts w:hint="eastAsia" w:asciiTheme="minorEastAsia" w:hAnsiTheme="minorEastAsia" w:eastAsiaTheme="minorEastAsia" w:cstheme="minorEastAsia"/>
                <w:sz w:val="28"/>
                <w:szCs w:val="28"/>
              </w:rPr>
              <w:t>年十二月</w:t>
            </w:r>
            <w:r>
              <w:rPr>
                <w:rFonts w:hint="eastAsia" w:asciiTheme="minorEastAsia" w:hAnsiTheme="minorEastAsia" w:eastAsiaTheme="minorEastAsia" w:cstheme="minorEastAsia"/>
                <w:sz w:val="28"/>
                <w:szCs w:val="28"/>
                <w:lang w:val="en-US" w:eastAsia="zh-CN"/>
              </w:rPr>
              <w:t>二十五</w:t>
            </w:r>
            <w:r>
              <w:rPr>
                <w:rFonts w:hint="eastAsia" w:asciiTheme="minorEastAsia" w:hAnsiTheme="minorEastAsia" w:eastAsiaTheme="minorEastAsia" w:cstheme="minorEastAsia"/>
                <w:sz w:val="28"/>
                <w:szCs w:val="28"/>
              </w:rPr>
              <w:t>日</w:t>
            </w:r>
          </w:p>
        </w:tc>
      </w:tr>
    </w:tbl>
    <w:p w14:paraId="1E1616DA">
      <w:pPr>
        <w:spacing w:line="590" w:lineRule="exact"/>
        <w:rPr>
          <w:rFonts w:ascii="仿宋_GB2312" w:hAnsi="Arial Narrow" w:eastAsia="仿宋_GB2312"/>
          <w:spacing w:val="6"/>
          <w:kern w:val="0"/>
          <w:szCs w:val="30"/>
        </w:rPr>
      </w:pPr>
    </w:p>
    <w:sectPr>
      <w:type w:val="continuous"/>
      <w:pgSz w:w="11906" w:h="16838"/>
      <w:pgMar w:top="2098" w:right="1474" w:bottom="1985" w:left="1588" w:header="851" w:footer="1474" w:gutter="0"/>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95CB5">
    <w:pPr>
      <w:pStyle w:val="12"/>
      <w:jc w:val="center"/>
      <w:rPr>
        <w:rFonts w:ascii="仿宋" w:hAnsi="仿宋" w:eastAsia="仿宋"/>
        <w:sz w:val="28"/>
        <w:szCs w:val="2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6D23">
    <w:pPr>
      <w:pStyle w:val="12"/>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2E0D3">
    <w:pPr>
      <w:pStyle w:val="12"/>
      <w:jc w:val="center"/>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65D3D">
    <w:pPr>
      <w:pStyle w:val="12"/>
      <w:tabs>
        <w:tab w:val="center" w:pos="4422"/>
        <w:tab w:val="right" w:pos="8964"/>
      </w:tabs>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2247D">
    <w:pPr>
      <w:pStyle w:val="12"/>
      <w:rPr>
        <w:rFonts w:ascii="仿宋" w:hAnsi="仿宋" w:eastAsia="仿宋"/>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182B">
    <w:pPr>
      <w:pStyle w:val="1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E2F0">
    <w:pPr>
      <w:pStyle w:val="12"/>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5202C">
    <w:pPr>
      <w:pStyle w:val="12"/>
      <w:jc w:val="center"/>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B40C5">
                          <w:pPr>
                            <w:pStyle w:val="12"/>
                            <w:jc w:val="cente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BB40C5">
                    <w:pPr>
                      <w:pStyle w:val="12"/>
                      <w:jc w:val="cente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0679">
    <w:pPr>
      <w:pStyle w:val="13"/>
      <w:pBdr>
        <w:bottom w:val="none" w:color="auto" w:sz="0" w:space="0"/>
      </w:pBdr>
      <w:jc w:val="right"/>
    </w:pPr>
    <w:r>
      <w:rPr>
        <w:rFonts w:hint="eastAsia" w:ascii="等线" w:hAnsi="等线" w:eastAsia="等线" w:cs="黑体"/>
        <w:b/>
        <w:bCs/>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C243">
    <w:pPr>
      <w:pStyle w:val="13"/>
      <w:pBdr>
        <w:bottom w:val="none" w:color="auto" w:sz="0" w:space="0"/>
      </w:pBdr>
      <w:jc w:val="right"/>
      <w:rPr>
        <w:rFonts w:ascii="等线" w:hAnsi="等线" w:eastAsia="等线" w:cs="黑体"/>
        <w:sz w:val="13"/>
        <w:szCs w:val="13"/>
      </w:rPr>
    </w:pPr>
    <w:r>
      <w:rPr>
        <w:rFonts w:hint="eastAsia" w:ascii="等线" w:hAnsi="等线" w:eastAsia="等线" w:cs="黑体"/>
        <w:b/>
        <w:bCs/>
        <w:sz w:val="15"/>
        <w:szCs w:val="15"/>
      </w:rPr>
      <w:t xml:space="preserve">                       </w:t>
    </w:r>
  </w:p>
  <w:p w14:paraId="7430E6D1">
    <w:pPr>
      <w:pStyle w:val="13"/>
      <w:pBdr>
        <w:bottom w:val="none" w:color="auto" w:sz="0" w:space="0"/>
      </w:pBdr>
      <w:jc w:val="right"/>
    </w:pPr>
    <w:r>
      <w:rPr>
        <w:rFonts w:hint="eastAsia" w:ascii="等线" w:hAnsi="等线" w:eastAsia="等线" w:cs="黑体"/>
        <w:b/>
        <w:bCs/>
        <w:sz w:val="15"/>
        <w:szCs w:val="15"/>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F5F7">
    <w:pPr>
      <w:pStyle w:val="13"/>
      <w:pBdr>
        <w:bottom w:val="none" w:color="auto" w:sz="0" w:space="0"/>
      </w:pBdr>
      <w:jc w:val="both"/>
      <w:rPr>
        <w:rFonts w:ascii="等线" w:hAnsi="等线" w:eastAsia="等线" w:cs="黑体"/>
        <w:b/>
        <w:bCs/>
        <w:sz w:val="15"/>
        <w:szCs w:val="15"/>
      </w:rPr>
    </w:pPr>
    <w:r>
      <w:rPr>
        <w:rFonts w:ascii="等线" w:hAnsi="等线" w:eastAsia="等线" w:cs="黑体"/>
        <w:sz w:val="13"/>
        <w:szCs w:val="13"/>
      </w:rPr>
      <w:drawing>
        <wp:inline distT="0" distB="0" distL="114300" distR="114300">
          <wp:extent cx="2428875" cy="447675"/>
          <wp:effectExtent l="0" t="0" r="9525" b="9525"/>
          <wp:docPr id="1" name="图片 1" descr="QQ图片20230413155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30413155904.png"/>
                  <pic:cNvPicPr>
                    <a:picLocks noChangeAspect="1"/>
                  </pic:cNvPicPr>
                </pic:nvPicPr>
                <pic:blipFill>
                  <a:blip r:embed="rId1"/>
                  <a:stretch>
                    <a:fillRect/>
                  </a:stretch>
                </pic:blipFill>
                <pic:spPr>
                  <a:xfrm>
                    <a:off x="0" y="0"/>
                    <a:ext cx="2428875" cy="447675"/>
                  </a:xfrm>
                  <a:prstGeom prst="rect">
                    <a:avLst/>
                  </a:prstGeom>
                  <a:noFill/>
                  <a:ln>
                    <a:noFill/>
                  </a:ln>
                </pic:spPr>
              </pic:pic>
            </a:graphicData>
          </a:graphic>
        </wp:inline>
      </w:drawing>
    </w:r>
    <w:r>
      <w:rPr>
        <w:rFonts w:hint="eastAsia" w:ascii="等线" w:hAnsi="等线" w:eastAsia="等线" w:cs="黑体"/>
        <w:b/>
        <w:bCs/>
        <w:sz w:val="15"/>
        <w:szCs w:val="15"/>
      </w:rPr>
      <w:t xml:space="preserve">                           大华会计师事务所（特殊普通合伙）云南分所</w:t>
    </w:r>
  </w:p>
  <w:p w14:paraId="75FDA223">
    <w:pPr>
      <w:pStyle w:val="13"/>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云南省昆明市西山区日新中路广福城A8座7楼 </w:t>
    </w:r>
  </w:p>
  <w:p w14:paraId="3BA1E3CC">
    <w:pPr>
      <w:pStyle w:val="13"/>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电话：0871-63955266 传真：0871-68236561 </w:t>
    </w:r>
  </w:p>
  <w:p w14:paraId="530FFABF">
    <w:pPr>
      <w:pStyle w:val="13"/>
      <w:pBdr>
        <w:bottom w:val="none" w:color="auto" w:sz="0" w:space="0"/>
      </w:pBdr>
      <w:jc w:val="right"/>
      <w:rPr>
        <w:rFonts w:ascii="等线" w:hAnsi="等线" w:eastAsia="等线" w:cs="黑体"/>
        <w:sz w:val="13"/>
        <w:szCs w:val="13"/>
      </w:rPr>
    </w:pPr>
    <w:r>
      <w:fldChar w:fldCharType="begin"/>
    </w:r>
    <w:r>
      <w:instrText xml:space="preserve"> HYPERLINK "http://www.dahua-cpa.com" </w:instrText>
    </w:r>
    <w:r>
      <w:fldChar w:fldCharType="separate"/>
    </w:r>
    <w:r>
      <w:rPr>
        <w:rStyle w:val="22"/>
        <w:rFonts w:hint="eastAsia" w:ascii="等线 Light" w:hAnsi="等线 Light" w:eastAsia="等线" w:cs="等线 Light"/>
        <w:b/>
        <w:bCs/>
        <w:i/>
        <w:iCs/>
        <w:color w:val="004B65"/>
        <w:sz w:val="15"/>
        <w:szCs w:val="15"/>
      </w:rPr>
      <w:t>www.dahua-cpa.com</w:t>
    </w:r>
    <w:r>
      <w:rPr>
        <w:rFonts w:hint="eastAsia" w:ascii="等线 Light" w:hAnsi="等线 Light" w:eastAsia="等线" w:cs="等线 Light"/>
        <w:b/>
        <w:bCs/>
        <w:i/>
        <w:iCs/>
        <w:color w:val="004B65"/>
        <w:sz w:val="15"/>
        <w:szCs w:val="15"/>
      </w:rPr>
      <w:fldChar w:fldCharType="end"/>
    </w:r>
  </w:p>
  <w:p w14:paraId="6A00180F">
    <w:pPr>
      <w:pStyle w:val="13"/>
      <w:pBdr>
        <w:bottom w:val="none" w:color="auto" w:sz="0" w:space="0"/>
      </w:pBdr>
      <w:jc w:val="right"/>
    </w:pPr>
    <w:r>
      <w:rPr>
        <w:rFonts w:hint="eastAsia" w:ascii="等线" w:hAnsi="等线" w:eastAsia="等线" w:cs="黑体"/>
        <w:b/>
        <w:bCs/>
        <w:sz w:val="15"/>
        <w:szCs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B8F5">
    <w:pPr>
      <w:pStyle w:val="13"/>
      <w:jc w:val="right"/>
    </w:pPr>
    <w:r>
      <w:rPr>
        <w:rFonts w:hint="eastAsia"/>
        <w:color w:val="000000"/>
        <w:szCs w:val="21"/>
      </w:rPr>
      <w:t>大华核字[202</w:t>
    </w:r>
    <w:r>
      <w:rPr>
        <w:rFonts w:hint="eastAsia"/>
        <w:color w:val="000000"/>
        <w:szCs w:val="21"/>
        <w:lang w:val="en-US" w:eastAsia="zh-CN"/>
      </w:rPr>
      <w:t>6</w:t>
    </w:r>
    <w:r>
      <w:rPr>
        <w:rFonts w:hint="eastAsia"/>
        <w:color w:val="000000"/>
        <w:szCs w:val="21"/>
      </w:rPr>
      <w:t>]</w:t>
    </w:r>
    <w:r>
      <w:rPr>
        <w:rFonts w:hint="eastAsia" w:hAnsi="Courier New" w:eastAsia="宋体" w:cs="Times New Roman"/>
        <w:color w:val="000000"/>
        <w:szCs w:val="21"/>
      </w:rPr>
      <w:t>201100025</w:t>
    </w:r>
    <w:r>
      <w:rPr>
        <w:rFonts w:hint="eastAsia" w:hAnsi="Courier New" w:eastAsia="宋体" w:cs="Times New Roman"/>
        <w:color w:val="000000"/>
        <w:szCs w:val="21"/>
        <w:lang w:val="en-US" w:eastAsia="zh-CN"/>
      </w:rPr>
      <w:t>2</w:t>
    </w:r>
    <w:r>
      <w:rPr>
        <w:rFonts w:hint="eastAsia"/>
        <w:color w:val="000000"/>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1EB44"/>
    <w:multiLevelType w:val="singleLevel"/>
    <w:tmpl w:val="FCB1EB44"/>
    <w:lvl w:ilvl="0" w:tentative="0">
      <w:start w:val="3"/>
      <w:numFmt w:val="decimal"/>
      <w:suff w:val="nothing"/>
      <w:lvlText w:val="（%1）"/>
      <w:lvlJc w:val="left"/>
      <w:pPr>
        <w:ind w:left="6"/>
      </w:pPr>
    </w:lvl>
  </w:abstractNum>
  <w:abstractNum w:abstractNumId="1">
    <w:nsid w:val="12DB1AEB"/>
    <w:multiLevelType w:val="singleLevel"/>
    <w:tmpl w:val="12DB1AEB"/>
    <w:lvl w:ilvl="0" w:tentative="0">
      <w:start w:val="3"/>
      <w:numFmt w:val="chineseCounting"/>
      <w:suff w:val="nothing"/>
      <w:lvlText w:val="（%1）"/>
      <w:lvlJc w:val="left"/>
    </w:lvl>
  </w:abstractNum>
  <w:abstractNum w:abstractNumId="2">
    <w:nsid w:val="39EB1E21"/>
    <w:multiLevelType w:val="multilevel"/>
    <w:tmpl w:val="39EB1E21"/>
    <w:lvl w:ilvl="0" w:tentative="0">
      <w:start w:val="1"/>
      <w:numFmt w:val="decimal"/>
      <w:lvlText w:val="%1."/>
      <w:lvlJc w:val="left"/>
      <w:pPr>
        <w:ind w:left="972" w:hanging="360"/>
      </w:pPr>
      <w:rPr>
        <w:rFonts w:hint="default"/>
      </w:rPr>
    </w:lvl>
    <w:lvl w:ilvl="1" w:tentative="0">
      <w:start w:val="1"/>
      <w:numFmt w:val="lowerLetter"/>
      <w:lvlText w:val="%2)"/>
      <w:lvlJc w:val="left"/>
      <w:pPr>
        <w:ind w:left="1452" w:hanging="420"/>
      </w:p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abstractNum w:abstractNumId="3">
    <w:nsid w:val="3D765ACE"/>
    <w:multiLevelType w:val="singleLevel"/>
    <w:tmpl w:val="3D765ACE"/>
    <w:lvl w:ilvl="0" w:tentative="0">
      <w:start w:val="4"/>
      <w:numFmt w:val="decimal"/>
      <w:suff w:val="nothing"/>
      <w:lvlText w:val="%1、"/>
      <w:lvlJc w:val="left"/>
    </w:lvl>
  </w:abstractNum>
  <w:abstractNum w:abstractNumId="4">
    <w:nsid w:val="4D366289"/>
    <w:multiLevelType w:val="multilevel"/>
    <w:tmpl w:val="4D366289"/>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1C4F6F5"/>
    <w:multiLevelType w:val="singleLevel"/>
    <w:tmpl w:val="51C4F6F5"/>
    <w:lvl w:ilvl="0" w:tentative="0">
      <w:start w:val="3"/>
      <w:numFmt w:val="decimal"/>
      <w:suff w:val="nothing"/>
      <w:lvlText w:val="（%1）"/>
      <w:lvlJc w:val="left"/>
    </w:lvl>
  </w:abstractNum>
  <w:abstractNum w:abstractNumId="6">
    <w:nsid w:val="6583AAB0"/>
    <w:multiLevelType w:val="singleLevel"/>
    <w:tmpl w:val="6583AAB0"/>
    <w:lvl w:ilvl="0" w:tentative="0">
      <w:start w:val="2"/>
      <w:numFmt w:val="chineseCounting"/>
      <w:suff w:val="nothing"/>
      <w:lvlText w:val="（%1）"/>
      <w:lvlJc w:val="left"/>
    </w:lvl>
  </w:abstractNum>
  <w:abstractNum w:abstractNumId="7">
    <w:nsid w:val="69423B5C"/>
    <w:multiLevelType w:val="singleLevel"/>
    <w:tmpl w:val="69423B5C"/>
    <w:lvl w:ilvl="0" w:tentative="0">
      <w:start w:val="3"/>
      <w:numFmt w:val="chineseCounting"/>
      <w:suff w:val="nothing"/>
      <w:lvlText w:val="（%1）"/>
      <w:lvlJc w:val="left"/>
    </w:lvl>
  </w:abstractNum>
  <w:num w:numId="1">
    <w:abstractNumId w:val="6"/>
  </w:num>
  <w:num w:numId="2">
    <w:abstractNumId w:val="7"/>
  </w:num>
  <w:num w:numId="3">
    <w:abstractNumId w:val="4"/>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420"/>
  <w:drawingGridHorizontalSpacing w:val="158"/>
  <w:drawingGridVerticalSpacing w:val="579"/>
  <w:displayHorizont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8D"/>
    <w:rsid w:val="00001E42"/>
    <w:rsid w:val="000027B8"/>
    <w:rsid w:val="00002F0B"/>
    <w:rsid w:val="000032EE"/>
    <w:rsid w:val="00003457"/>
    <w:rsid w:val="00005269"/>
    <w:rsid w:val="000053D4"/>
    <w:rsid w:val="0000541A"/>
    <w:rsid w:val="00005612"/>
    <w:rsid w:val="000061F3"/>
    <w:rsid w:val="000079FB"/>
    <w:rsid w:val="000109E6"/>
    <w:rsid w:val="00011162"/>
    <w:rsid w:val="00012FD6"/>
    <w:rsid w:val="00012FE6"/>
    <w:rsid w:val="00013835"/>
    <w:rsid w:val="00013B21"/>
    <w:rsid w:val="000163D2"/>
    <w:rsid w:val="00021B6D"/>
    <w:rsid w:val="000221CA"/>
    <w:rsid w:val="00022371"/>
    <w:rsid w:val="00022B2B"/>
    <w:rsid w:val="00022FFA"/>
    <w:rsid w:val="00023FF0"/>
    <w:rsid w:val="000302F4"/>
    <w:rsid w:val="00031E88"/>
    <w:rsid w:val="00032A27"/>
    <w:rsid w:val="00032A3F"/>
    <w:rsid w:val="000333B0"/>
    <w:rsid w:val="00034210"/>
    <w:rsid w:val="000352D9"/>
    <w:rsid w:val="0003594B"/>
    <w:rsid w:val="000377E6"/>
    <w:rsid w:val="00040985"/>
    <w:rsid w:val="00042B1B"/>
    <w:rsid w:val="00044EEC"/>
    <w:rsid w:val="00044EFF"/>
    <w:rsid w:val="00045931"/>
    <w:rsid w:val="00046291"/>
    <w:rsid w:val="00046463"/>
    <w:rsid w:val="00047BDF"/>
    <w:rsid w:val="00050813"/>
    <w:rsid w:val="00051B77"/>
    <w:rsid w:val="0005214A"/>
    <w:rsid w:val="00052BF6"/>
    <w:rsid w:val="00053024"/>
    <w:rsid w:val="0005327F"/>
    <w:rsid w:val="00053457"/>
    <w:rsid w:val="0005644F"/>
    <w:rsid w:val="000565E6"/>
    <w:rsid w:val="00057354"/>
    <w:rsid w:val="00057AB2"/>
    <w:rsid w:val="00057E6F"/>
    <w:rsid w:val="0006106E"/>
    <w:rsid w:val="000614D5"/>
    <w:rsid w:val="00062C5A"/>
    <w:rsid w:val="00064652"/>
    <w:rsid w:val="00066FEA"/>
    <w:rsid w:val="00071FB9"/>
    <w:rsid w:val="000726F3"/>
    <w:rsid w:val="00072A8D"/>
    <w:rsid w:val="00072CEC"/>
    <w:rsid w:val="00072DE3"/>
    <w:rsid w:val="000731C8"/>
    <w:rsid w:val="000737BA"/>
    <w:rsid w:val="00073C73"/>
    <w:rsid w:val="00075F9B"/>
    <w:rsid w:val="000761D2"/>
    <w:rsid w:val="00076B13"/>
    <w:rsid w:val="00077511"/>
    <w:rsid w:val="00077515"/>
    <w:rsid w:val="00077684"/>
    <w:rsid w:val="0008001E"/>
    <w:rsid w:val="0008006D"/>
    <w:rsid w:val="00080072"/>
    <w:rsid w:val="0008270C"/>
    <w:rsid w:val="00082777"/>
    <w:rsid w:val="00082DC6"/>
    <w:rsid w:val="00084022"/>
    <w:rsid w:val="000848EC"/>
    <w:rsid w:val="00085697"/>
    <w:rsid w:val="00085F32"/>
    <w:rsid w:val="0008688C"/>
    <w:rsid w:val="00086A62"/>
    <w:rsid w:val="000910C9"/>
    <w:rsid w:val="0009229C"/>
    <w:rsid w:val="000926D7"/>
    <w:rsid w:val="000929CD"/>
    <w:rsid w:val="00093656"/>
    <w:rsid w:val="0009376E"/>
    <w:rsid w:val="00093BD7"/>
    <w:rsid w:val="00094628"/>
    <w:rsid w:val="0009497D"/>
    <w:rsid w:val="0009510D"/>
    <w:rsid w:val="00095539"/>
    <w:rsid w:val="0009571D"/>
    <w:rsid w:val="00096C2D"/>
    <w:rsid w:val="00097033"/>
    <w:rsid w:val="000A0E47"/>
    <w:rsid w:val="000A0F6A"/>
    <w:rsid w:val="000A1F97"/>
    <w:rsid w:val="000A2945"/>
    <w:rsid w:val="000A3182"/>
    <w:rsid w:val="000A3ED9"/>
    <w:rsid w:val="000A4562"/>
    <w:rsid w:val="000A4B78"/>
    <w:rsid w:val="000A4D4E"/>
    <w:rsid w:val="000A60AC"/>
    <w:rsid w:val="000A6407"/>
    <w:rsid w:val="000A69CD"/>
    <w:rsid w:val="000B18D8"/>
    <w:rsid w:val="000B3526"/>
    <w:rsid w:val="000B45A8"/>
    <w:rsid w:val="000B4DCE"/>
    <w:rsid w:val="000B54C2"/>
    <w:rsid w:val="000B577B"/>
    <w:rsid w:val="000B6BB5"/>
    <w:rsid w:val="000B7FBF"/>
    <w:rsid w:val="000C04DE"/>
    <w:rsid w:val="000C0984"/>
    <w:rsid w:val="000C1646"/>
    <w:rsid w:val="000C1832"/>
    <w:rsid w:val="000C1909"/>
    <w:rsid w:val="000C1973"/>
    <w:rsid w:val="000C25D3"/>
    <w:rsid w:val="000C2861"/>
    <w:rsid w:val="000C3CE0"/>
    <w:rsid w:val="000C4C79"/>
    <w:rsid w:val="000C6072"/>
    <w:rsid w:val="000C7789"/>
    <w:rsid w:val="000C77BF"/>
    <w:rsid w:val="000C7A97"/>
    <w:rsid w:val="000D071E"/>
    <w:rsid w:val="000D1FBB"/>
    <w:rsid w:val="000D61CE"/>
    <w:rsid w:val="000D6B9B"/>
    <w:rsid w:val="000D6F0C"/>
    <w:rsid w:val="000D71DD"/>
    <w:rsid w:val="000E04E3"/>
    <w:rsid w:val="000E0C09"/>
    <w:rsid w:val="000E1691"/>
    <w:rsid w:val="000E21D8"/>
    <w:rsid w:val="000E31B7"/>
    <w:rsid w:val="000E3EF2"/>
    <w:rsid w:val="000E5DFF"/>
    <w:rsid w:val="000E702E"/>
    <w:rsid w:val="000F3E60"/>
    <w:rsid w:val="000F3EBB"/>
    <w:rsid w:val="000F4570"/>
    <w:rsid w:val="000F6595"/>
    <w:rsid w:val="000F6D94"/>
    <w:rsid w:val="001005CB"/>
    <w:rsid w:val="0010134E"/>
    <w:rsid w:val="0010278B"/>
    <w:rsid w:val="00102884"/>
    <w:rsid w:val="001028D7"/>
    <w:rsid w:val="00104EDC"/>
    <w:rsid w:val="00106279"/>
    <w:rsid w:val="001062CB"/>
    <w:rsid w:val="00106A8B"/>
    <w:rsid w:val="00106FBD"/>
    <w:rsid w:val="001075E2"/>
    <w:rsid w:val="00110119"/>
    <w:rsid w:val="001107F6"/>
    <w:rsid w:val="00110F10"/>
    <w:rsid w:val="00111234"/>
    <w:rsid w:val="001140C2"/>
    <w:rsid w:val="0011424C"/>
    <w:rsid w:val="00114580"/>
    <w:rsid w:val="00114B67"/>
    <w:rsid w:val="00116139"/>
    <w:rsid w:val="00116445"/>
    <w:rsid w:val="00117C31"/>
    <w:rsid w:val="00122361"/>
    <w:rsid w:val="001234F1"/>
    <w:rsid w:val="00124FFE"/>
    <w:rsid w:val="001254E8"/>
    <w:rsid w:val="00125D9C"/>
    <w:rsid w:val="00126C74"/>
    <w:rsid w:val="0012764C"/>
    <w:rsid w:val="001308E4"/>
    <w:rsid w:val="00133BDC"/>
    <w:rsid w:val="00135009"/>
    <w:rsid w:val="00136949"/>
    <w:rsid w:val="00137CA9"/>
    <w:rsid w:val="00137EA3"/>
    <w:rsid w:val="00143359"/>
    <w:rsid w:val="00143563"/>
    <w:rsid w:val="0014378E"/>
    <w:rsid w:val="001439E1"/>
    <w:rsid w:val="0014485A"/>
    <w:rsid w:val="00144939"/>
    <w:rsid w:val="00144A2C"/>
    <w:rsid w:val="00147856"/>
    <w:rsid w:val="00147F84"/>
    <w:rsid w:val="00150676"/>
    <w:rsid w:val="0015079A"/>
    <w:rsid w:val="00150F3E"/>
    <w:rsid w:val="001513E5"/>
    <w:rsid w:val="001523A5"/>
    <w:rsid w:val="00152B2B"/>
    <w:rsid w:val="001537D8"/>
    <w:rsid w:val="00153BC6"/>
    <w:rsid w:val="00156F74"/>
    <w:rsid w:val="00156F91"/>
    <w:rsid w:val="0016036C"/>
    <w:rsid w:val="00161317"/>
    <w:rsid w:val="00161605"/>
    <w:rsid w:val="00161DC3"/>
    <w:rsid w:val="0016290B"/>
    <w:rsid w:val="0016384F"/>
    <w:rsid w:val="00165E43"/>
    <w:rsid w:val="00167243"/>
    <w:rsid w:val="001675E7"/>
    <w:rsid w:val="001722F7"/>
    <w:rsid w:val="001735D6"/>
    <w:rsid w:val="00174235"/>
    <w:rsid w:val="0017453B"/>
    <w:rsid w:val="0017515E"/>
    <w:rsid w:val="001756CC"/>
    <w:rsid w:val="00175976"/>
    <w:rsid w:val="00176AE7"/>
    <w:rsid w:val="00177445"/>
    <w:rsid w:val="00180E68"/>
    <w:rsid w:val="00182303"/>
    <w:rsid w:val="00182613"/>
    <w:rsid w:val="00182C96"/>
    <w:rsid w:val="001836BB"/>
    <w:rsid w:val="00183D89"/>
    <w:rsid w:val="001844AE"/>
    <w:rsid w:val="001846CE"/>
    <w:rsid w:val="00185F8D"/>
    <w:rsid w:val="001862BA"/>
    <w:rsid w:val="0018683E"/>
    <w:rsid w:val="00186B58"/>
    <w:rsid w:val="001874A4"/>
    <w:rsid w:val="001905A5"/>
    <w:rsid w:val="00190961"/>
    <w:rsid w:val="001925C9"/>
    <w:rsid w:val="00193665"/>
    <w:rsid w:val="001942DF"/>
    <w:rsid w:val="00194653"/>
    <w:rsid w:val="00196581"/>
    <w:rsid w:val="0019737A"/>
    <w:rsid w:val="001A01E4"/>
    <w:rsid w:val="001A2410"/>
    <w:rsid w:val="001A2656"/>
    <w:rsid w:val="001A2D6F"/>
    <w:rsid w:val="001A3418"/>
    <w:rsid w:val="001A4150"/>
    <w:rsid w:val="001A4B57"/>
    <w:rsid w:val="001A5378"/>
    <w:rsid w:val="001A644B"/>
    <w:rsid w:val="001A69FE"/>
    <w:rsid w:val="001A6EEB"/>
    <w:rsid w:val="001A77EE"/>
    <w:rsid w:val="001A7B0F"/>
    <w:rsid w:val="001B1A67"/>
    <w:rsid w:val="001B338F"/>
    <w:rsid w:val="001B3F40"/>
    <w:rsid w:val="001B4784"/>
    <w:rsid w:val="001B485E"/>
    <w:rsid w:val="001C2398"/>
    <w:rsid w:val="001C2D6D"/>
    <w:rsid w:val="001C44C3"/>
    <w:rsid w:val="001C5D76"/>
    <w:rsid w:val="001C649A"/>
    <w:rsid w:val="001D1888"/>
    <w:rsid w:val="001D1B0B"/>
    <w:rsid w:val="001D28EF"/>
    <w:rsid w:val="001D4E03"/>
    <w:rsid w:val="001D588C"/>
    <w:rsid w:val="001D58D7"/>
    <w:rsid w:val="001D5FBA"/>
    <w:rsid w:val="001D7010"/>
    <w:rsid w:val="001E07CC"/>
    <w:rsid w:val="001E085F"/>
    <w:rsid w:val="001E091F"/>
    <w:rsid w:val="001E1C7F"/>
    <w:rsid w:val="001E1FC4"/>
    <w:rsid w:val="001E410D"/>
    <w:rsid w:val="001E53F4"/>
    <w:rsid w:val="001E6E29"/>
    <w:rsid w:val="001E713D"/>
    <w:rsid w:val="001E74DD"/>
    <w:rsid w:val="001F02C9"/>
    <w:rsid w:val="001F039B"/>
    <w:rsid w:val="001F1267"/>
    <w:rsid w:val="001F1285"/>
    <w:rsid w:val="001F1844"/>
    <w:rsid w:val="001F264E"/>
    <w:rsid w:val="001F26A7"/>
    <w:rsid w:val="001F3BD6"/>
    <w:rsid w:val="001F3D69"/>
    <w:rsid w:val="001F46E7"/>
    <w:rsid w:val="001F566D"/>
    <w:rsid w:val="001F59A3"/>
    <w:rsid w:val="001F5F2E"/>
    <w:rsid w:val="001F68BC"/>
    <w:rsid w:val="00200263"/>
    <w:rsid w:val="00200E37"/>
    <w:rsid w:val="0020171F"/>
    <w:rsid w:val="00201989"/>
    <w:rsid w:val="00201C2D"/>
    <w:rsid w:val="00201EF3"/>
    <w:rsid w:val="002039F0"/>
    <w:rsid w:val="0020414B"/>
    <w:rsid w:val="00205765"/>
    <w:rsid w:val="00205DF7"/>
    <w:rsid w:val="002076CB"/>
    <w:rsid w:val="00210C02"/>
    <w:rsid w:val="00212FA7"/>
    <w:rsid w:val="002131B9"/>
    <w:rsid w:val="002162BD"/>
    <w:rsid w:val="00216901"/>
    <w:rsid w:val="00217869"/>
    <w:rsid w:val="0021797F"/>
    <w:rsid w:val="00217AA8"/>
    <w:rsid w:val="00220068"/>
    <w:rsid w:val="00220AD6"/>
    <w:rsid w:val="00221280"/>
    <w:rsid w:val="00222652"/>
    <w:rsid w:val="002229E2"/>
    <w:rsid w:val="0022365E"/>
    <w:rsid w:val="00224780"/>
    <w:rsid w:val="00225F68"/>
    <w:rsid w:val="002260C9"/>
    <w:rsid w:val="00226E95"/>
    <w:rsid w:val="002274FB"/>
    <w:rsid w:val="00227EAF"/>
    <w:rsid w:val="00230719"/>
    <w:rsid w:val="00230C67"/>
    <w:rsid w:val="00234AFB"/>
    <w:rsid w:val="00235C5D"/>
    <w:rsid w:val="00235D66"/>
    <w:rsid w:val="00237192"/>
    <w:rsid w:val="00240B85"/>
    <w:rsid w:val="002422DC"/>
    <w:rsid w:val="0024279E"/>
    <w:rsid w:val="00242C8A"/>
    <w:rsid w:val="0024302C"/>
    <w:rsid w:val="002430D5"/>
    <w:rsid w:val="00246276"/>
    <w:rsid w:val="0024742B"/>
    <w:rsid w:val="0024764F"/>
    <w:rsid w:val="00250B79"/>
    <w:rsid w:val="00251346"/>
    <w:rsid w:val="002532A4"/>
    <w:rsid w:val="00254804"/>
    <w:rsid w:val="00254B91"/>
    <w:rsid w:val="002554E5"/>
    <w:rsid w:val="0025669F"/>
    <w:rsid w:val="002567D8"/>
    <w:rsid w:val="002567E0"/>
    <w:rsid w:val="00256D4E"/>
    <w:rsid w:val="002606F4"/>
    <w:rsid w:val="00261621"/>
    <w:rsid w:val="00261B36"/>
    <w:rsid w:val="002620E4"/>
    <w:rsid w:val="002625DF"/>
    <w:rsid w:val="00266468"/>
    <w:rsid w:val="00266A67"/>
    <w:rsid w:val="00270FAC"/>
    <w:rsid w:val="00274648"/>
    <w:rsid w:val="002758C7"/>
    <w:rsid w:val="00277ACC"/>
    <w:rsid w:val="00277FCA"/>
    <w:rsid w:val="00280FFD"/>
    <w:rsid w:val="0028281F"/>
    <w:rsid w:val="00282CC8"/>
    <w:rsid w:val="00283F38"/>
    <w:rsid w:val="00285265"/>
    <w:rsid w:val="002862D6"/>
    <w:rsid w:val="002866C2"/>
    <w:rsid w:val="00286C80"/>
    <w:rsid w:val="00287A4C"/>
    <w:rsid w:val="00287D6D"/>
    <w:rsid w:val="00290595"/>
    <w:rsid w:val="002934AD"/>
    <w:rsid w:val="0029356B"/>
    <w:rsid w:val="00294FDE"/>
    <w:rsid w:val="00295FDB"/>
    <w:rsid w:val="002A0059"/>
    <w:rsid w:val="002A0197"/>
    <w:rsid w:val="002A020A"/>
    <w:rsid w:val="002A06D4"/>
    <w:rsid w:val="002A1DF7"/>
    <w:rsid w:val="002A2389"/>
    <w:rsid w:val="002A2654"/>
    <w:rsid w:val="002A3BDB"/>
    <w:rsid w:val="002A5AD2"/>
    <w:rsid w:val="002A5C67"/>
    <w:rsid w:val="002A6C0A"/>
    <w:rsid w:val="002A6EAA"/>
    <w:rsid w:val="002B2BFC"/>
    <w:rsid w:val="002B3F00"/>
    <w:rsid w:val="002B40EA"/>
    <w:rsid w:val="002B5300"/>
    <w:rsid w:val="002B6F01"/>
    <w:rsid w:val="002B7A27"/>
    <w:rsid w:val="002B7B5E"/>
    <w:rsid w:val="002C2CAE"/>
    <w:rsid w:val="002C46F4"/>
    <w:rsid w:val="002C50DD"/>
    <w:rsid w:val="002C555C"/>
    <w:rsid w:val="002C6AE3"/>
    <w:rsid w:val="002C6F22"/>
    <w:rsid w:val="002D1A05"/>
    <w:rsid w:val="002D1D67"/>
    <w:rsid w:val="002D2317"/>
    <w:rsid w:val="002D3A7A"/>
    <w:rsid w:val="002D498A"/>
    <w:rsid w:val="002D4E21"/>
    <w:rsid w:val="002D55A2"/>
    <w:rsid w:val="002D5D1E"/>
    <w:rsid w:val="002D73C2"/>
    <w:rsid w:val="002E06C9"/>
    <w:rsid w:val="002E0F87"/>
    <w:rsid w:val="002E1041"/>
    <w:rsid w:val="002E20E8"/>
    <w:rsid w:val="002E280F"/>
    <w:rsid w:val="002E44E2"/>
    <w:rsid w:val="002E4F0D"/>
    <w:rsid w:val="002E5A37"/>
    <w:rsid w:val="002E6F0D"/>
    <w:rsid w:val="002E6FAE"/>
    <w:rsid w:val="002F05E7"/>
    <w:rsid w:val="002F0B5C"/>
    <w:rsid w:val="002F0E14"/>
    <w:rsid w:val="002F2027"/>
    <w:rsid w:val="002F3A58"/>
    <w:rsid w:val="002F4221"/>
    <w:rsid w:val="002F516E"/>
    <w:rsid w:val="002F571B"/>
    <w:rsid w:val="002F59F0"/>
    <w:rsid w:val="002F5F78"/>
    <w:rsid w:val="002F7BE7"/>
    <w:rsid w:val="0030030F"/>
    <w:rsid w:val="003006BD"/>
    <w:rsid w:val="003020B9"/>
    <w:rsid w:val="003057F0"/>
    <w:rsid w:val="00307209"/>
    <w:rsid w:val="00307963"/>
    <w:rsid w:val="00307A5C"/>
    <w:rsid w:val="00307B63"/>
    <w:rsid w:val="00307D79"/>
    <w:rsid w:val="0031132F"/>
    <w:rsid w:val="003116BB"/>
    <w:rsid w:val="003124B3"/>
    <w:rsid w:val="003133EF"/>
    <w:rsid w:val="00313C52"/>
    <w:rsid w:val="0031406D"/>
    <w:rsid w:val="00314557"/>
    <w:rsid w:val="00314A18"/>
    <w:rsid w:val="00314AF8"/>
    <w:rsid w:val="003219A7"/>
    <w:rsid w:val="00321A43"/>
    <w:rsid w:val="003226AA"/>
    <w:rsid w:val="003241BB"/>
    <w:rsid w:val="003242F3"/>
    <w:rsid w:val="003270CD"/>
    <w:rsid w:val="00327DCF"/>
    <w:rsid w:val="003305B8"/>
    <w:rsid w:val="0033130B"/>
    <w:rsid w:val="00333FE4"/>
    <w:rsid w:val="00334636"/>
    <w:rsid w:val="0033489A"/>
    <w:rsid w:val="0033762E"/>
    <w:rsid w:val="0034011D"/>
    <w:rsid w:val="0034081C"/>
    <w:rsid w:val="0034153B"/>
    <w:rsid w:val="003427BE"/>
    <w:rsid w:val="0034304B"/>
    <w:rsid w:val="0034415B"/>
    <w:rsid w:val="003446BE"/>
    <w:rsid w:val="00345149"/>
    <w:rsid w:val="00345478"/>
    <w:rsid w:val="00345E5B"/>
    <w:rsid w:val="00347579"/>
    <w:rsid w:val="00347950"/>
    <w:rsid w:val="00347C48"/>
    <w:rsid w:val="00347CEB"/>
    <w:rsid w:val="00350301"/>
    <w:rsid w:val="00351D75"/>
    <w:rsid w:val="00353796"/>
    <w:rsid w:val="00355733"/>
    <w:rsid w:val="00356D1E"/>
    <w:rsid w:val="00357576"/>
    <w:rsid w:val="003579A4"/>
    <w:rsid w:val="00357E6E"/>
    <w:rsid w:val="00361B06"/>
    <w:rsid w:val="00362CCC"/>
    <w:rsid w:val="003647C0"/>
    <w:rsid w:val="00364941"/>
    <w:rsid w:val="0036565B"/>
    <w:rsid w:val="00365AA5"/>
    <w:rsid w:val="00365B28"/>
    <w:rsid w:val="00367117"/>
    <w:rsid w:val="00370B41"/>
    <w:rsid w:val="00371A8F"/>
    <w:rsid w:val="00371BB6"/>
    <w:rsid w:val="00371CAA"/>
    <w:rsid w:val="00371D2B"/>
    <w:rsid w:val="00373EC0"/>
    <w:rsid w:val="0037449E"/>
    <w:rsid w:val="00375A44"/>
    <w:rsid w:val="00375AF4"/>
    <w:rsid w:val="003761AE"/>
    <w:rsid w:val="00376534"/>
    <w:rsid w:val="00376A60"/>
    <w:rsid w:val="00380118"/>
    <w:rsid w:val="003807BD"/>
    <w:rsid w:val="00381F0D"/>
    <w:rsid w:val="00382931"/>
    <w:rsid w:val="0038325E"/>
    <w:rsid w:val="0038336A"/>
    <w:rsid w:val="00383899"/>
    <w:rsid w:val="00383FAD"/>
    <w:rsid w:val="00384495"/>
    <w:rsid w:val="00384980"/>
    <w:rsid w:val="00385C35"/>
    <w:rsid w:val="003864AB"/>
    <w:rsid w:val="00387976"/>
    <w:rsid w:val="00390C5A"/>
    <w:rsid w:val="00392745"/>
    <w:rsid w:val="00392B65"/>
    <w:rsid w:val="0039305B"/>
    <w:rsid w:val="00393295"/>
    <w:rsid w:val="00393456"/>
    <w:rsid w:val="00393862"/>
    <w:rsid w:val="00397F49"/>
    <w:rsid w:val="003A1010"/>
    <w:rsid w:val="003A2287"/>
    <w:rsid w:val="003A243A"/>
    <w:rsid w:val="003A26F2"/>
    <w:rsid w:val="003A3987"/>
    <w:rsid w:val="003A43BD"/>
    <w:rsid w:val="003A561E"/>
    <w:rsid w:val="003A5711"/>
    <w:rsid w:val="003A6AB4"/>
    <w:rsid w:val="003A6B05"/>
    <w:rsid w:val="003A6BDB"/>
    <w:rsid w:val="003B2603"/>
    <w:rsid w:val="003B3B16"/>
    <w:rsid w:val="003B4212"/>
    <w:rsid w:val="003B50A6"/>
    <w:rsid w:val="003B5E81"/>
    <w:rsid w:val="003B5FE1"/>
    <w:rsid w:val="003B6544"/>
    <w:rsid w:val="003B6E6E"/>
    <w:rsid w:val="003B74B5"/>
    <w:rsid w:val="003C06AD"/>
    <w:rsid w:val="003C1B1C"/>
    <w:rsid w:val="003C2D15"/>
    <w:rsid w:val="003C3146"/>
    <w:rsid w:val="003C4390"/>
    <w:rsid w:val="003C4985"/>
    <w:rsid w:val="003C4B64"/>
    <w:rsid w:val="003C6827"/>
    <w:rsid w:val="003C703D"/>
    <w:rsid w:val="003D1053"/>
    <w:rsid w:val="003D112A"/>
    <w:rsid w:val="003D12B5"/>
    <w:rsid w:val="003D1944"/>
    <w:rsid w:val="003D2104"/>
    <w:rsid w:val="003D2F2D"/>
    <w:rsid w:val="003D2FF0"/>
    <w:rsid w:val="003D34DA"/>
    <w:rsid w:val="003D35C0"/>
    <w:rsid w:val="003D4A5B"/>
    <w:rsid w:val="003D5145"/>
    <w:rsid w:val="003D5A12"/>
    <w:rsid w:val="003D6830"/>
    <w:rsid w:val="003E0BF9"/>
    <w:rsid w:val="003E0E49"/>
    <w:rsid w:val="003E1627"/>
    <w:rsid w:val="003E28AB"/>
    <w:rsid w:val="003E3D0B"/>
    <w:rsid w:val="003E559F"/>
    <w:rsid w:val="003E5D2F"/>
    <w:rsid w:val="003E6416"/>
    <w:rsid w:val="003E66AA"/>
    <w:rsid w:val="003E6E10"/>
    <w:rsid w:val="003E6F5A"/>
    <w:rsid w:val="003E7848"/>
    <w:rsid w:val="003F0777"/>
    <w:rsid w:val="003F10F1"/>
    <w:rsid w:val="003F1515"/>
    <w:rsid w:val="003F16E7"/>
    <w:rsid w:val="003F3902"/>
    <w:rsid w:val="003F3B25"/>
    <w:rsid w:val="003F3E12"/>
    <w:rsid w:val="003F402E"/>
    <w:rsid w:val="003F54F5"/>
    <w:rsid w:val="003F6354"/>
    <w:rsid w:val="003F6CC1"/>
    <w:rsid w:val="00400CBC"/>
    <w:rsid w:val="00400D06"/>
    <w:rsid w:val="00401C88"/>
    <w:rsid w:val="0040239B"/>
    <w:rsid w:val="00402FE1"/>
    <w:rsid w:val="004041A6"/>
    <w:rsid w:val="00405226"/>
    <w:rsid w:val="00405496"/>
    <w:rsid w:val="00405C75"/>
    <w:rsid w:val="00406CB9"/>
    <w:rsid w:val="00406D6A"/>
    <w:rsid w:val="00406DEF"/>
    <w:rsid w:val="00411585"/>
    <w:rsid w:val="00413311"/>
    <w:rsid w:val="0041352A"/>
    <w:rsid w:val="00413CED"/>
    <w:rsid w:val="00414379"/>
    <w:rsid w:val="00416222"/>
    <w:rsid w:val="00416BFD"/>
    <w:rsid w:val="0042007D"/>
    <w:rsid w:val="00420BEC"/>
    <w:rsid w:val="004216D6"/>
    <w:rsid w:val="004221FE"/>
    <w:rsid w:val="0042251D"/>
    <w:rsid w:val="00426FE5"/>
    <w:rsid w:val="004272A6"/>
    <w:rsid w:val="00427F98"/>
    <w:rsid w:val="0043119F"/>
    <w:rsid w:val="00431AE7"/>
    <w:rsid w:val="004326BB"/>
    <w:rsid w:val="00432D33"/>
    <w:rsid w:val="00432EC4"/>
    <w:rsid w:val="004330E4"/>
    <w:rsid w:val="00433CAA"/>
    <w:rsid w:val="00435047"/>
    <w:rsid w:val="00435F44"/>
    <w:rsid w:val="00437980"/>
    <w:rsid w:val="00437CF7"/>
    <w:rsid w:val="004401ED"/>
    <w:rsid w:val="00440843"/>
    <w:rsid w:val="004410A4"/>
    <w:rsid w:val="0044349C"/>
    <w:rsid w:val="00443FFD"/>
    <w:rsid w:val="00444B09"/>
    <w:rsid w:val="00445BB4"/>
    <w:rsid w:val="004513A5"/>
    <w:rsid w:val="00451EE6"/>
    <w:rsid w:val="00451F9E"/>
    <w:rsid w:val="00452585"/>
    <w:rsid w:val="00452895"/>
    <w:rsid w:val="00453319"/>
    <w:rsid w:val="004542C8"/>
    <w:rsid w:val="004549D1"/>
    <w:rsid w:val="00455F06"/>
    <w:rsid w:val="004563C7"/>
    <w:rsid w:val="00457099"/>
    <w:rsid w:val="0046070E"/>
    <w:rsid w:val="00460B90"/>
    <w:rsid w:val="00460E4C"/>
    <w:rsid w:val="00462343"/>
    <w:rsid w:val="00463FC3"/>
    <w:rsid w:val="00464A91"/>
    <w:rsid w:val="00465037"/>
    <w:rsid w:val="00465B8C"/>
    <w:rsid w:val="004671F2"/>
    <w:rsid w:val="00467F0A"/>
    <w:rsid w:val="00470AA2"/>
    <w:rsid w:val="00470BEE"/>
    <w:rsid w:val="00472258"/>
    <w:rsid w:val="0047352C"/>
    <w:rsid w:val="004735EB"/>
    <w:rsid w:val="00474787"/>
    <w:rsid w:val="0047544B"/>
    <w:rsid w:val="004766AE"/>
    <w:rsid w:val="0048081D"/>
    <w:rsid w:val="004811D4"/>
    <w:rsid w:val="004816BE"/>
    <w:rsid w:val="0048198D"/>
    <w:rsid w:val="00481C10"/>
    <w:rsid w:val="00481EDD"/>
    <w:rsid w:val="00482129"/>
    <w:rsid w:val="00482BF5"/>
    <w:rsid w:val="004830A8"/>
    <w:rsid w:val="004839EA"/>
    <w:rsid w:val="00483BA5"/>
    <w:rsid w:val="00484612"/>
    <w:rsid w:val="00485D8E"/>
    <w:rsid w:val="004860CD"/>
    <w:rsid w:val="0048614F"/>
    <w:rsid w:val="0048637D"/>
    <w:rsid w:val="00486CF6"/>
    <w:rsid w:val="00490530"/>
    <w:rsid w:val="00490A77"/>
    <w:rsid w:val="00491824"/>
    <w:rsid w:val="00491F19"/>
    <w:rsid w:val="004949AC"/>
    <w:rsid w:val="004949F6"/>
    <w:rsid w:val="00494A9B"/>
    <w:rsid w:val="004A0A75"/>
    <w:rsid w:val="004A3612"/>
    <w:rsid w:val="004A3D8A"/>
    <w:rsid w:val="004A3DDB"/>
    <w:rsid w:val="004A4700"/>
    <w:rsid w:val="004A4B25"/>
    <w:rsid w:val="004A4CEC"/>
    <w:rsid w:val="004A5DF6"/>
    <w:rsid w:val="004A618B"/>
    <w:rsid w:val="004A6FD0"/>
    <w:rsid w:val="004A711A"/>
    <w:rsid w:val="004A744C"/>
    <w:rsid w:val="004A7B19"/>
    <w:rsid w:val="004B2569"/>
    <w:rsid w:val="004B34FB"/>
    <w:rsid w:val="004B3CC4"/>
    <w:rsid w:val="004B448D"/>
    <w:rsid w:val="004B5339"/>
    <w:rsid w:val="004B6C19"/>
    <w:rsid w:val="004C3AAF"/>
    <w:rsid w:val="004C4FF1"/>
    <w:rsid w:val="004C51F5"/>
    <w:rsid w:val="004C5D7B"/>
    <w:rsid w:val="004C5E22"/>
    <w:rsid w:val="004C6BF0"/>
    <w:rsid w:val="004D0338"/>
    <w:rsid w:val="004D1C23"/>
    <w:rsid w:val="004D2649"/>
    <w:rsid w:val="004D31B0"/>
    <w:rsid w:val="004D34AD"/>
    <w:rsid w:val="004D38B9"/>
    <w:rsid w:val="004D38BB"/>
    <w:rsid w:val="004D4189"/>
    <w:rsid w:val="004D48CD"/>
    <w:rsid w:val="004D663A"/>
    <w:rsid w:val="004D678B"/>
    <w:rsid w:val="004D7A7E"/>
    <w:rsid w:val="004E013B"/>
    <w:rsid w:val="004E0906"/>
    <w:rsid w:val="004E11D0"/>
    <w:rsid w:val="004E1F3D"/>
    <w:rsid w:val="004E3362"/>
    <w:rsid w:val="004E36B0"/>
    <w:rsid w:val="004E3F39"/>
    <w:rsid w:val="004E536F"/>
    <w:rsid w:val="004E57D9"/>
    <w:rsid w:val="004E5E85"/>
    <w:rsid w:val="004E6B85"/>
    <w:rsid w:val="004E6E48"/>
    <w:rsid w:val="004F0288"/>
    <w:rsid w:val="004F0B47"/>
    <w:rsid w:val="004F2DE8"/>
    <w:rsid w:val="004F400E"/>
    <w:rsid w:val="004F4191"/>
    <w:rsid w:val="004F43AA"/>
    <w:rsid w:val="004F4657"/>
    <w:rsid w:val="004F6A18"/>
    <w:rsid w:val="004F71D6"/>
    <w:rsid w:val="004F764F"/>
    <w:rsid w:val="004F7E59"/>
    <w:rsid w:val="0050185C"/>
    <w:rsid w:val="005020E2"/>
    <w:rsid w:val="005060C3"/>
    <w:rsid w:val="005102A2"/>
    <w:rsid w:val="00510BAB"/>
    <w:rsid w:val="005128C5"/>
    <w:rsid w:val="005128F3"/>
    <w:rsid w:val="00514671"/>
    <w:rsid w:val="00514C29"/>
    <w:rsid w:val="0051607A"/>
    <w:rsid w:val="0051643E"/>
    <w:rsid w:val="0051652E"/>
    <w:rsid w:val="00517420"/>
    <w:rsid w:val="00517BBF"/>
    <w:rsid w:val="00520FFA"/>
    <w:rsid w:val="005212B1"/>
    <w:rsid w:val="0052179A"/>
    <w:rsid w:val="00521EBA"/>
    <w:rsid w:val="00522C77"/>
    <w:rsid w:val="00523D7C"/>
    <w:rsid w:val="0052439E"/>
    <w:rsid w:val="00526431"/>
    <w:rsid w:val="00526748"/>
    <w:rsid w:val="00526CD7"/>
    <w:rsid w:val="005302DA"/>
    <w:rsid w:val="005305DF"/>
    <w:rsid w:val="00532108"/>
    <w:rsid w:val="005335E4"/>
    <w:rsid w:val="005369B8"/>
    <w:rsid w:val="00536F5B"/>
    <w:rsid w:val="00537CE5"/>
    <w:rsid w:val="00537E77"/>
    <w:rsid w:val="00537F54"/>
    <w:rsid w:val="00540F1C"/>
    <w:rsid w:val="00542670"/>
    <w:rsid w:val="005429B9"/>
    <w:rsid w:val="00545908"/>
    <w:rsid w:val="00546A10"/>
    <w:rsid w:val="00550736"/>
    <w:rsid w:val="00550937"/>
    <w:rsid w:val="00551E41"/>
    <w:rsid w:val="00554DBD"/>
    <w:rsid w:val="00554F02"/>
    <w:rsid w:val="00560677"/>
    <w:rsid w:val="00561513"/>
    <w:rsid w:val="00561795"/>
    <w:rsid w:val="00562BA8"/>
    <w:rsid w:val="0056376A"/>
    <w:rsid w:val="00564552"/>
    <w:rsid w:val="00564F4A"/>
    <w:rsid w:val="00565E48"/>
    <w:rsid w:val="00566921"/>
    <w:rsid w:val="00566D9F"/>
    <w:rsid w:val="005671F0"/>
    <w:rsid w:val="0057050B"/>
    <w:rsid w:val="00570BA3"/>
    <w:rsid w:val="0057129A"/>
    <w:rsid w:val="005723B5"/>
    <w:rsid w:val="005750C4"/>
    <w:rsid w:val="005753DF"/>
    <w:rsid w:val="00575A6A"/>
    <w:rsid w:val="00576CB6"/>
    <w:rsid w:val="00577FAD"/>
    <w:rsid w:val="005812CA"/>
    <w:rsid w:val="00582010"/>
    <w:rsid w:val="0058219A"/>
    <w:rsid w:val="00585784"/>
    <w:rsid w:val="005868E5"/>
    <w:rsid w:val="00587462"/>
    <w:rsid w:val="005879CA"/>
    <w:rsid w:val="00587C8D"/>
    <w:rsid w:val="0059021A"/>
    <w:rsid w:val="00591EF2"/>
    <w:rsid w:val="00591F6F"/>
    <w:rsid w:val="00592198"/>
    <w:rsid w:val="00592ED5"/>
    <w:rsid w:val="0059320E"/>
    <w:rsid w:val="005941AB"/>
    <w:rsid w:val="00596270"/>
    <w:rsid w:val="0059657A"/>
    <w:rsid w:val="00597A69"/>
    <w:rsid w:val="005A0E1E"/>
    <w:rsid w:val="005A158B"/>
    <w:rsid w:val="005A2E6F"/>
    <w:rsid w:val="005A3510"/>
    <w:rsid w:val="005A3998"/>
    <w:rsid w:val="005A4381"/>
    <w:rsid w:val="005A50E5"/>
    <w:rsid w:val="005A57C2"/>
    <w:rsid w:val="005B0482"/>
    <w:rsid w:val="005B0F43"/>
    <w:rsid w:val="005B18B5"/>
    <w:rsid w:val="005B49E1"/>
    <w:rsid w:val="005B5643"/>
    <w:rsid w:val="005B6066"/>
    <w:rsid w:val="005B6D5F"/>
    <w:rsid w:val="005B6D83"/>
    <w:rsid w:val="005B70F0"/>
    <w:rsid w:val="005B72FA"/>
    <w:rsid w:val="005B7C20"/>
    <w:rsid w:val="005B7CD7"/>
    <w:rsid w:val="005C40D3"/>
    <w:rsid w:val="005C4545"/>
    <w:rsid w:val="005C4E5C"/>
    <w:rsid w:val="005C52A7"/>
    <w:rsid w:val="005C5913"/>
    <w:rsid w:val="005C7969"/>
    <w:rsid w:val="005C7E49"/>
    <w:rsid w:val="005D00EB"/>
    <w:rsid w:val="005D06E4"/>
    <w:rsid w:val="005D0E12"/>
    <w:rsid w:val="005D17D4"/>
    <w:rsid w:val="005D2983"/>
    <w:rsid w:val="005D2B5C"/>
    <w:rsid w:val="005D447B"/>
    <w:rsid w:val="005D4F41"/>
    <w:rsid w:val="005D590F"/>
    <w:rsid w:val="005D69B1"/>
    <w:rsid w:val="005E0F3C"/>
    <w:rsid w:val="005E37FA"/>
    <w:rsid w:val="005E6172"/>
    <w:rsid w:val="005E79B4"/>
    <w:rsid w:val="005F1102"/>
    <w:rsid w:val="005F187A"/>
    <w:rsid w:val="005F280A"/>
    <w:rsid w:val="005F40CD"/>
    <w:rsid w:val="005F434A"/>
    <w:rsid w:val="005F5EB1"/>
    <w:rsid w:val="005F63FE"/>
    <w:rsid w:val="005F707C"/>
    <w:rsid w:val="005F7734"/>
    <w:rsid w:val="005F7A24"/>
    <w:rsid w:val="00603438"/>
    <w:rsid w:val="00603673"/>
    <w:rsid w:val="00603AEC"/>
    <w:rsid w:val="00603CC2"/>
    <w:rsid w:val="00604743"/>
    <w:rsid w:val="00604E40"/>
    <w:rsid w:val="00606113"/>
    <w:rsid w:val="00606859"/>
    <w:rsid w:val="006108FD"/>
    <w:rsid w:val="00610C80"/>
    <w:rsid w:val="00611134"/>
    <w:rsid w:val="00613763"/>
    <w:rsid w:val="00614060"/>
    <w:rsid w:val="00614A17"/>
    <w:rsid w:val="00614D78"/>
    <w:rsid w:val="00615001"/>
    <w:rsid w:val="006152E3"/>
    <w:rsid w:val="006155DB"/>
    <w:rsid w:val="00616BBD"/>
    <w:rsid w:val="00617AA4"/>
    <w:rsid w:val="00617D6E"/>
    <w:rsid w:val="006200A8"/>
    <w:rsid w:val="00620526"/>
    <w:rsid w:val="00621602"/>
    <w:rsid w:val="00621669"/>
    <w:rsid w:val="0062201C"/>
    <w:rsid w:val="006227F6"/>
    <w:rsid w:val="00622964"/>
    <w:rsid w:val="00624F17"/>
    <w:rsid w:val="006251E6"/>
    <w:rsid w:val="00625864"/>
    <w:rsid w:val="0062592E"/>
    <w:rsid w:val="00626CD7"/>
    <w:rsid w:val="006276B7"/>
    <w:rsid w:val="00627AC0"/>
    <w:rsid w:val="00630652"/>
    <w:rsid w:val="00631A30"/>
    <w:rsid w:val="006323C6"/>
    <w:rsid w:val="00634466"/>
    <w:rsid w:val="00635517"/>
    <w:rsid w:val="0063603C"/>
    <w:rsid w:val="00640904"/>
    <w:rsid w:val="00640AAC"/>
    <w:rsid w:val="00640DBE"/>
    <w:rsid w:val="0064117F"/>
    <w:rsid w:val="00641428"/>
    <w:rsid w:val="00641B71"/>
    <w:rsid w:val="00643CC5"/>
    <w:rsid w:val="0064402F"/>
    <w:rsid w:val="00645E03"/>
    <w:rsid w:val="00646AEA"/>
    <w:rsid w:val="00650847"/>
    <w:rsid w:val="00651D8C"/>
    <w:rsid w:val="00652C8C"/>
    <w:rsid w:val="00653AF2"/>
    <w:rsid w:val="0065445B"/>
    <w:rsid w:val="00654781"/>
    <w:rsid w:val="00655674"/>
    <w:rsid w:val="00656020"/>
    <w:rsid w:val="00656A9A"/>
    <w:rsid w:val="00656F7D"/>
    <w:rsid w:val="006571CA"/>
    <w:rsid w:val="00657FEB"/>
    <w:rsid w:val="006600AE"/>
    <w:rsid w:val="006613C2"/>
    <w:rsid w:val="006617F2"/>
    <w:rsid w:val="006633E2"/>
    <w:rsid w:val="00663464"/>
    <w:rsid w:val="00663BBB"/>
    <w:rsid w:val="0066407C"/>
    <w:rsid w:val="0066432A"/>
    <w:rsid w:val="00664545"/>
    <w:rsid w:val="00664A3C"/>
    <w:rsid w:val="0066577C"/>
    <w:rsid w:val="00666226"/>
    <w:rsid w:val="00673BD9"/>
    <w:rsid w:val="006747F7"/>
    <w:rsid w:val="00674B5A"/>
    <w:rsid w:val="00674DB5"/>
    <w:rsid w:val="0067548D"/>
    <w:rsid w:val="00675895"/>
    <w:rsid w:val="0068089A"/>
    <w:rsid w:val="00680A6D"/>
    <w:rsid w:val="006818DA"/>
    <w:rsid w:val="00682BA0"/>
    <w:rsid w:val="00683440"/>
    <w:rsid w:val="0068495B"/>
    <w:rsid w:val="00686138"/>
    <w:rsid w:val="00687D46"/>
    <w:rsid w:val="00690FD3"/>
    <w:rsid w:val="0069302A"/>
    <w:rsid w:val="00693295"/>
    <w:rsid w:val="0069483A"/>
    <w:rsid w:val="00694D3C"/>
    <w:rsid w:val="00694EAF"/>
    <w:rsid w:val="006958C2"/>
    <w:rsid w:val="006960BB"/>
    <w:rsid w:val="0069748C"/>
    <w:rsid w:val="006A28E5"/>
    <w:rsid w:val="006A2942"/>
    <w:rsid w:val="006A2A32"/>
    <w:rsid w:val="006A2D0D"/>
    <w:rsid w:val="006A3962"/>
    <w:rsid w:val="006A3C87"/>
    <w:rsid w:val="006A5995"/>
    <w:rsid w:val="006A5FFB"/>
    <w:rsid w:val="006A6752"/>
    <w:rsid w:val="006B1196"/>
    <w:rsid w:val="006B5BCF"/>
    <w:rsid w:val="006B7C51"/>
    <w:rsid w:val="006C0244"/>
    <w:rsid w:val="006C033A"/>
    <w:rsid w:val="006C0E35"/>
    <w:rsid w:val="006C1B1A"/>
    <w:rsid w:val="006C22FD"/>
    <w:rsid w:val="006C33CB"/>
    <w:rsid w:val="006C4793"/>
    <w:rsid w:val="006C4876"/>
    <w:rsid w:val="006C61CA"/>
    <w:rsid w:val="006C69D7"/>
    <w:rsid w:val="006D0105"/>
    <w:rsid w:val="006D012E"/>
    <w:rsid w:val="006D0AC3"/>
    <w:rsid w:val="006D1347"/>
    <w:rsid w:val="006D198F"/>
    <w:rsid w:val="006D2836"/>
    <w:rsid w:val="006D68A4"/>
    <w:rsid w:val="006D759A"/>
    <w:rsid w:val="006E02CA"/>
    <w:rsid w:val="006E0555"/>
    <w:rsid w:val="006E1C00"/>
    <w:rsid w:val="006E1CDE"/>
    <w:rsid w:val="006E1E94"/>
    <w:rsid w:val="006E302D"/>
    <w:rsid w:val="006E342B"/>
    <w:rsid w:val="006E36CF"/>
    <w:rsid w:val="006E3A23"/>
    <w:rsid w:val="006E4BB4"/>
    <w:rsid w:val="006E4F64"/>
    <w:rsid w:val="006E54D4"/>
    <w:rsid w:val="006E55D1"/>
    <w:rsid w:val="006E606C"/>
    <w:rsid w:val="006E6DDC"/>
    <w:rsid w:val="006E76CA"/>
    <w:rsid w:val="006E77B8"/>
    <w:rsid w:val="006F09DA"/>
    <w:rsid w:val="006F0F7B"/>
    <w:rsid w:val="006F1226"/>
    <w:rsid w:val="006F33FA"/>
    <w:rsid w:val="006F46CE"/>
    <w:rsid w:val="006F6194"/>
    <w:rsid w:val="006F66D7"/>
    <w:rsid w:val="006F6C45"/>
    <w:rsid w:val="006F6F80"/>
    <w:rsid w:val="006F7172"/>
    <w:rsid w:val="006F78C5"/>
    <w:rsid w:val="00700394"/>
    <w:rsid w:val="00700C82"/>
    <w:rsid w:val="00700F27"/>
    <w:rsid w:val="00701599"/>
    <w:rsid w:val="00703419"/>
    <w:rsid w:val="00703A62"/>
    <w:rsid w:val="00703CDD"/>
    <w:rsid w:val="00703E15"/>
    <w:rsid w:val="00703FD5"/>
    <w:rsid w:val="00704906"/>
    <w:rsid w:val="00704B20"/>
    <w:rsid w:val="0070532D"/>
    <w:rsid w:val="00705964"/>
    <w:rsid w:val="00706028"/>
    <w:rsid w:val="007061AB"/>
    <w:rsid w:val="00706BD3"/>
    <w:rsid w:val="00706C0E"/>
    <w:rsid w:val="00707272"/>
    <w:rsid w:val="00707D42"/>
    <w:rsid w:val="00707EF8"/>
    <w:rsid w:val="00710E23"/>
    <w:rsid w:val="00711BD6"/>
    <w:rsid w:val="0071248F"/>
    <w:rsid w:val="00712568"/>
    <w:rsid w:val="00714765"/>
    <w:rsid w:val="007159B6"/>
    <w:rsid w:val="007174C1"/>
    <w:rsid w:val="00720FB9"/>
    <w:rsid w:val="00722A24"/>
    <w:rsid w:val="00723885"/>
    <w:rsid w:val="00723BA5"/>
    <w:rsid w:val="00723E2A"/>
    <w:rsid w:val="00726320"/>
    <w:rsid w:val="0072647A"/>
    <w:rsid w:val="007271E2"/>
    <w:rsid w:val="007301B8"/>
    <w:rsid w:val="00730753"/>
    <w:rsid w:val="00730A32"/>
    <w:rsid w:val="00731470"/>
    <w:rsid w:val="007319A2"/>
    <w:rsid w:val="00731A17"/>
    <w:rsid w:val="00731C5F"/>
    <w:rsid w:val="00731F2F"/>
    <w:rsid w:val="00733D12"/>
    <w:rsid w:val="00733E02"/>
    <w:rsid w:val="0073677A"/>
    <w:rsid w:val="007418DD"/>
    <w:rsid w:val="00741E28"/>
    <w:rsid w:val="00742520"/>
    <w:rsid w:val="007431B7"/>
    <w:rsid w:val="007446DA"/>
    <w:rsid w:val="00744D3A"/>
    <w:rsid w:val="00746C6D"/>
    <w:rsid w:val="0075085D"/>
    <w:rsid w:val="00751985"/>
    <w:rsid w:val="0075260E"/>
    <w:rsid w:val="007526FB"/>
    <w:rsid w:val="00753514"/>
    <w:rsid w:val="00753CC5"/>
    <w:rsid w:val="007541CB"/>
    <w:rsid w:val="00754346"/>
    <w:rsid w:val="00754B81"/>
    <w:rsid w:val="00755156"/>
    <w:rsid w:val="007565FC"/>
    <w:rsid w:val="007573D2"/>
    <w:rsid w:val="00760A26"/>
    <w:rsid w:val="007637C3"/>
    <w:rsid w:val="00763D8D"/>
    <w:rsid w:val="00763F0B"/>
    <w:rsid w:val="007645A1"/>
    <w:rsid w:val="00764F32"/>
    <w:rsid w:val="00765743"/>
    <w:rsid w:val="00771BBE"/>
    <w:rsid w:val="00771DBA"/>
    <w:rsid w:val="007721D5"/>
    <w:rsid w:val="00772A8F"/>
    <w:rsid w:val="00773A18"/>
    <w:rsid w:val="00774689"/>
    <w:rsid w:val="00777EF3"/>
    <w:rsid w:val="00780354"/>
    <w:rsid w:val="00780EAF"/>
    <w:rsid w:val="00780F68"/>
    <w:rsid w:val="007822D6"/>
    <w:rsid w:val="00782844"/>
    <w:rsid w:val="00783983"/>
    <w:rsid w:val="00784B3C"/>
    <w:rsid w:val="007854FB"/>
    <w:rsid w:val="00785671"/>
    <w:rsid w:val="00786B54"/>
    <w:rsid w:val="0079024C"/>
    <w:rsid w:val="00790E7D"/>
    <w:rsid w:val="00791030"/>
    <w:rsid w:val="007911AF"/>
    <w:rsid w:val="00791C0A"/>
    <w:rsid w:val="007927E5"/>
    <w:rsid w:val="00795893"/>
    <w:rsid w:val="00796264"/>
    <w:rsid w:val="00796558"/>
    <w:rsid w:val="007A0D31"/>
    <w:rsid w:val="007A1594"/>
    <w:rsid w:val="007A1C7C"/>
    <w:rsid w:val="007A2475"/>
    <w:rsid w:val="007A2BCD"/>
    <w:rsid w:val="007A38B7"/>
    <w:rsid w:val="007A3D48"/>
    <w:rsid w:val="007A4862"/>
    <w:rsid w:val="007A58C0"/>
    <w:rsid w:val="007A5BA5"/>
    <w:rsid w:val="007A6474"/>
    <w:rsid w:val="007A703D"/>
    <w:rsid w:val="007A7277"/>
    <w:rsid w:val="007B059E"/>
    <w:rsid w:val="007B064B"/>
    <w:rsid w:val="007B143A"/>
    <w:rsid w:val="007B2138"/>
    <w:rsid w:val="007B2B46"/>
    <w:rsid w:val="007B2D33"/>
    <w:rsid w:val="007B2D40"/>
    <w:rsid w:val="007B5289"/>
    <w:rsid w:val="007B5C5A"/>
    <w:rsid w:val="007B64E0"/>
    <w:rsid w:val="007B72C4"/>
    <w:rsid w:val="007C0131"/>
    <w:rsid w:val="007C092B"/>
    <w:rsid w:val="007C1BF6"/>
    <w:rsid w:val="007C2580"/>
    <w:rsid w:val="007C2CA2"/>
    <w:rsid w:val="007C38FA"/>
    <w:rsid w:val="007C3BD4"/>
    <w:rsid w:val="007C3CB2"/>
    <w:rsid w:val="007C4DBF"/>
    <w:rsid w:val="007C6D82"/>
    <w:rsid w:val="007C7A81"/>
    <w:rsid w:val="007C7E73"/>
    <w:rsid w:val="007D027A"/>
    <w:rsid w:val="007D051F"/>
    <w:rsid w:val="007D0BBA"/>
    <w:rsid w:val="007D1727"/>
    <w:rsid w:val="007D23D9"/>
    <w:rsid w:val="007D3332"/>
    <w:rsid w:val="007D333C"/>
    <w:rsid w:val="007D3F72"/>
    <w:rsid w:val="007D588D"/>
    <w:rsid w:val="007D5CE4"/>
    <w:rsid w:val="007D5F21"/>
    <w:rsid w:val="007D5F83"/>
    <w:rsid w:val="007D6583"/>
    <w:rsid w:val="007D7213"/>
    <w:rsid w:val="007D778F"/>
    <w:rsid w:val="007E0AAC"/>
    <w:rsid w:val="007E18FC"/>
    <w:rsid w:val="007E281D"/>
    <w:rsid w:val="007E290D"/>
    <w:rsid w:val="007E4724"/>
    <w:rsid w:val="007E56CC"/>
    <w:rsid w:val="007E5C52"/>
    <w:rsid w:val="007E68BF"/>
    <w:rsid w:val="007E70C4"/>
    <w:rsid w:val="007E726E"/>
    <w:rsid w:val="007F0634"/>
    <w:rsid w:val="007F0B94"/>
    <w:rsid w:val="007F10A1"/>
    <w:rsid w:val="007F1C66"/>
    <w:rsid w:val="007F26DD"/>
    <w:rsid w:val="007F2884"/>
    <w:rsid w:val="007F3515"/>
    <w:rsid w:val="007F4419"/>
    <w:rsid w:val="00801696"/>
    <w:rsid w:val="00803FFB"/>
    <w:rsid w:val="0080512A"/>
    <w:rsid w:val="008056A0"/>
    <w:rsid w:val="008058A0"/>
    <w:rsid w:val="008067F9"/>
    <w:rsid w:val="00807246"/>
    <w:rsid w:val="008116C9"/>
    <w:rsid w:val="00812AFF"/>
    <w:rsid w:val="00812BB6"/>
    <w:rsid w:val="00813F50"/>
    <w:rsid w:val="00814803"/>
    <w:rsid w:val="00816B49"/>
    <w:rsid w:val="00822129"/>
    <w:rsid w:val="00825EBD"/>
    <w:rsid w:val="00826FDA"/>
    <w:rsid w:val="00827322"/>
    <w:rsid w:val="00827E7F"/>
    <w:rsid w:val="00830F98"/>
    <w:rsid w:val="00832C5F"/>
    <w:rsid w:val="00833991"/>
    <w:rsid w:val="00834B6A"/>
    <w:rsid w:val="0083582E"/>
    <w:rsid w:val="00835C1C"/>
    <w:rsid w:val="008362ED"/>
    <w:rsid w:val="0083681E"/>
    <w:rsid w:val="008369B8"/>
    <w:rsid w:val="00837E6A"/>
    <w:rsid w:val="008429AF"/>
    <w:rsid w:val="008443E4"/>
    <w:rsid w:val="00844DAD"/>
    <w:rsid w:val="00844E5C"/>
    <w:rsid w:val="00846B79"/>
    <w:rsid w:val="0084721E"/>
    <w:rsid w:val="0085048D"/>
    <w:rsid w:val="00851B24"/>
    <w:rsid w:val="00851CB8"/>
    <w:rsid w:val="00851F54"/>
    <w:rsid w:val="00853FE2"/>
    <w:rsid w:val="00855FF4"/>
    <w:rsid w:val="00856115"/>
    <w:rsid w:val="00861906"/>
    <w:rsid w:val="00861BFE"/>
    <w:rsid w:val="008639D7"/>
    <w:rsid w:val="00863F2E"/>
    <w:rsid w:val="008652CA"/>
    <w:rsid w:val="00866544"/>
    <w:rsid w:val="0087193F"/>
    <w:rsid w:val="008735D5"/>
    <w:rsid w:val="008736BC"/>
    <w:rsid w:val="0087382A"/>
    <w:rsid w:val="00873D83"/>
    <w:rsid w:val="0087466F"/>
    <w:rsid w:val="00874B4B"/>
    <w:rsid w:val="0087555F"/>
    <w:rsid w:val="008765B2"/>
    <w:rsid w:val="00876F0F"/>
    <w:rsid w:val="00877854"/>
    <w:rsid w:val="008814E6"/>
    <w:rsid w:val="00882E11"/>
    <w:rsid w:val="0088340E"/>
    <w:rsid w:val="0088438B"/>
    <w:rsid w:val="00884635"/>
    <w:rsid w:val="00885598"/>
    <w:rsid w:val="00885EF1"/>
    <w:rsid w:val="0088652D"/>
    <w:rsid w:val="008876F7"/>
    <w:rsid w:val="00890F31"/>
    <w:rsid w:val="00892DD2"/>
    <w:rsid w:val="0089323F"/>
    <w:rsid w:val="00894AEB"/>
    <w:rsid w:val="00896267"/>
    <w:rsid w:val="00896F65"/>
    <w:rsid w:val="00897172"/>
    <w:rsid w:val="008A057B"/>
    <w:rsid w:val="008A096F"/>
    <w:rsid w:val="008A0A94"/>
    <w:rsid w:val="008A3471"/>
    <w:rsid w:val="008A37DE"/>
    <w:rsid w:val="008A4437"/>
    <w:rsid w:val="008A4E24"/>
    <w:rsid w:val="008A52AE"/>
    <w:rsid w:val="008A589C"/>
    <w:rsid w:val="008A5EF0"/>
    <w:rsid w:val="008A60E2"/>
    <w:rsid w:val="008A63FB"/>
    <w:rsid w:val="008A703B"/>
    <w:rsid w:val="008A7B0A"/>
    <w:rsid w:val="008B035B"/>
    <w:rsid w:val="008B3369"/>
    <w:rsid w:val="008B3483"/>
    <w:rsid w:val="008B37D7"/>
    <w:rsid w:val="008B4790"/>
    <w:rsid w:val="008B5CB6"/>
    <w:rsid w:val="008B5FDF"/>
    <w:rsid w:val="008B6DB1"/>
    <w:rsid w:val="008C134F"/>
    <w:rsid w:val="008C1413"/>
    <w:rsid w:val="008C32F7"/>
    <w:rsid w:val="008C3699"/>
    <w:rsid w:val="008C386B"/>
    <w:rsid w:val="008C5D1B"/>
    <w:rsid w:val="008C5DDD"/>
    <w:rsid w:val="008C60D4"/>
    <w:rsid w:val="008D007F"/>
    <w:rsid w:val="008D1196"/>
    <w:rsid w:val="008D1B98"/>
    <w:rsid w:val="008D2A15"/>
    <w:rsid w:val="008D591C"/>
    <w:rsid w:val="008D5ECA"/>
    <w:rsid w:val="008D6A78"/>
    <w:rsid w:val="008D6C00"/>
    <w:rsid w:val="008D7D2E"/>
    <w:rsid w:val="008E021D"/>
    <w:rsid w:val="008E077D"/>
    <w:rsid w:val="008E0BB9"/>
    <w:rsid w:val="008E0C7B"/>
    <w:rsid w:val="008E0FBB"/>
    <w:rsid w:val="008E2B4C"/>
    <w:rsid w:val="008E2BB1"/>
    <w:rsid w:val="008E3595"/>
    <w:rsid w:val="008E3EA9"/>
    <w:rsid w:val="008E5628"/>
    <w:rsid w:val="008E5FD6"/>
    <w:rsid w:val="008E70EF"/>
    <w:rsid w:val="008E7777"/>
    <w:rsid w:val="008F0F5E"/>
    <w:rsid w:val="008F169E"/>
    <w:rsid w:val="008F1F58"/>
    <w:rsid w:val="008F2F92"/>
    <w:rsid w:val="008F35A5"/>
    <w:rsid w:val="008F3B4C"/>
    <w:rsid w:val="008F3E7D"/>
    <w:rsid w:val="008F4983"/>
    <w:rsid w:val="008F57B0"/>
    <w:rsid w:val="008F6079"/>
    <w:rsid w:val="008F60A2"/>
    <w:rsid w:val="008F6EB3"/>
    <w:rsid w:val="008F7698"/>
    <w:rsid w:val="008F7EDF"/>
    <w:rsid w:val="00900057"/>
    <w:rsid w:val="00901077"/>
    <w:rsid w:val="00901D0E"/>
    <w:rsid w:val="009024C9"/>
    <w:rsid w:val="00902627"/>
    <w:rsid w:val="009034E6"/>
    <w:rsid w:val="00903B27"/>
    <w:rsid w:val="00903C2E"/>
    <w:rsid w:val="00905C8E"/>
    <w:rsid w:val="00906630"/>
    <w:rsid w:val="0090678C"/>
    <w:rsid w:val="009071D5"/>
    <w:rsid w:val="00907D5F"/>
    <w:rsid w:val="0091204F"/>
    <w:rsid w:val="00912CC4"/>
    <w:rsid w:val="0091351A"/>
    <w:rsid w:val="0091369F"/>
    <w:rsid w:val="00913E66"/>
    <w:rsid w:val="00914C1E"/>
    <w:rsid w:val="00915956"/>
    <w:rsid w:val="00920E07"/>
    <w:rsid w:val="0092106C"/>
    <w:rsid w:val="009215ED"/>
    <w:rsid w:val="0092364E"/>
    <w:rsid w:val="0092374D"/>
    <w:rsid w:val="00923BAA"/>
    <w:rsid w:val="00924970"/>
    <w:rsid w:val="00927173"/>
    <w:rsid w:val="00930FA3"/>
    <w:rsid w:val="00931171"/>
    <w:rsid w:val="009317C0"/>
    <w:rsid w:val="00931B5C"/>
    <w:rsid w:val="009326BF"/>
    <w:rsid w:val="0093787B"/>
    <w:rsid w:val="009415F0"/>
    <w:rsid w:val="00942659"/>
    <w:rsid w:val="00942AFA"/>
    <w:rsid w:val="00942C8E"/>
    <w:rsid w:val="00943ABC"/>
    <w:rsid w:val="00945962"/>
    <w:rsid w:val="00946116"/>
    <w:rsid w:val="00947396"/>
    <w:rsid w:val="0095111A"/>
    <w:rsid w:val="009529F5"/>
    <w:rsid w:val="00952B4F"/>
    <w:rsid w:val="00953F74"/>
    <w:rsid w:val="009578F0"/>
    <w:rsid w:val="009607A3"/>
    <w:rsid w:val="009607C1"/>
    <w:rsid w:val="00961330"/>
    <w:rsid w:val="00961BEE"/>
    <w:rsid w:val="00962193"/>
    <w:rsid w:val="00962B5A"/>
    <w:rsid w:val="00963095"/>
    <w:rsid w:val="00964F1C"/>
    <w:rsid w:val="00965869"/>
    <w:rsid w:val="009672A4"/>
    <w:rsid w:val="00967889"/>
    <w:rsid w:val="00967E9B"/>
    <w:rsid w:val="00971093"/>
    <w:rsid w:val="00973859"/>
    <w:rsid w:val="00974627"/>
    <w:rsid w:val="00974A70"/>
    <w:rsid w:val="00975CE2"/>
    <w:rsid w:val="009766E0"/>
    <w:rsid w:val="00977673"/>
    <w:rsid w:val="00980A5A"/>
    <w:rsid w:val="00982E9E"/>
    <w:rsid w:val="00983C33"/>
    <w:rsid w:val="00983E74"/>
    <w:rsid w:val="00983EB5"/>
    <w:rsid w:val="0098451B"/>
    <w:rsid w:val="00985C30"/>
    <w:rsid w:val="00985DFF"/>
    <w:rsid w:val="009900E6"/>
    <w:rsid w:val="009912B5"/>
    <w:rsid w:val="009914DC"/>
    <w:rsid w:val="009917C6"/>
    <w:rsid w:val="00992096"/>
    <w:rsid w:val="00993E30"/>
    <w:rsid w:val="009969D9"/>
    <w:rsid w:val="00997BBB"/>
    <w:rsid w:val="009A1863"/>
    <w:rsid w:val="009A3DA3"/>
    <w:rsid w:val="009A3DE0"/>
    <w:rsid w:val="009A4FBD"/>
    <w:rsid w:val="009B0E9E"/>
    <w:rsid w:val="009B1109"/>
    <w:rsid w:val="009B1D6E"/>
    <w:rsid w:val="009B2564"/>
    <w:rsid w:val="009B4A54"/>
    <w:rsid w:val="009B4C1C"/>
    <w:rsid w:val="009B7499"/>
    <w:rsid w:val="009B7AB6"/>
    <w:rsid w:val="009B7C10"/>
    <w:rsid w:val="009C009C"/>
    <w:rsid w:val="009C029E"/>
    <w:rsid w:val="009C0656"/>
    <w:rsid w:val="009C07AA"/>
    <w:rsid w:val="009C2DC5"/>
    <w:rsid w:val="009C395E"/>
    <w:rsid w:val="009C3ECB"/>
    <w:rsid w:val="009C55A3"/>
    <w:rsid w:val="009C5FAB"/>
    <w:rsid w:val="009C6BDC"/>
    <w:rsid w:val="009C6D8D"/>
    <w:rsid w:val="009D207C"/>
    <w:rsid w:val="009D25F6"/>
    <w:rsid w:val="009D2740"/>
    <w:rsid w:val="009D2F80"/>
    <w:rsid w:val="009D3119"/>
    <w:rsid w:val="009D3B4B"/>
    <w:rsid w:val="009D423F"/>
    <w:rsid w:val="009D4D5E"/>
    <w:rsid w:val="009D5331"/>
    <w:rsid w:val="009D7F8A"/>
    <w:rsid w:val="009E115F"/>
    <w:rsid w:val="009E16C7"/>
    <w:rsid w:val="009E3151"/>
    <w:rsid w:val="009E31C7"/>
    <w:rsid w:val="009E4779"/>
    <w:rsid w:val="009E5140"/>
    <w:rsid w:val="009E662A"/>
    <w:rsid w:val="009E66F6"/>
    <w:rsid w:val="009E7780"/>
    <w:rsid w:val="009E7A09"/>
    <w:rsid w:val="009F0463"/>
    <w:rsid w:val="009F0623"/>
    <w:rsid w:val="009F0910"/>
    <w:rsid w:val="009F1029"/>
    <w:rsid w:val="009F17BE"/>
    <w:rsid w:val="009F2679"/>
    <w:rsid w:val="009F404C"/>
    <w:rsid w:val="009F41F3"/>
    <w:rsid w:val="009F584F"/>
    <w:rsid w:val="009F70AD"/>
    <w:rsid w:val="009F7F02"/>
    <w:rsid w:val="00A000D9"/>
    <w:rsid w:val="00A00612"/>
    <w:rsid w:val="00A00AE2"/>
    <w:rsid w:val="00A00D32"/>
    <w:rsid w:val="00A01111"/>
    <w:rsid w:val="00A02D03"/>
    <w:rsid w:val="00A02E94"/>
    <w:rsid w:val="00A039A3"/>
    <w:rsid w:val="00A046A5"/>
    <w:rsid w:val="00A04E95"/>
    <w:rsid w:val="00A05675"/>
    <w:rsid w:val="00A057DC"/>
    <w:rsid w:val="00A0684F"/>
    <w:rsid w:val="00A0725B"/>
    <w:rsid w:val="00A07E73"/>
    <w:rsid w:val="00A10153"/>
    <w:rsid w:val="00A11EC9"/>
    <w:rsid w:val="00A120CC"/>
    <w:rsid w:val="00A121FB"/>
    <w:rsid w:val="00A12F69"/>
    <w:rsid w:val="00A13D87"/>
    <w:rsid w:val="00A15B55"/>
    <w:rsid w:val="00A1757C"/>
    <w:rsid w:val="00A17A74"/>
    <w:rsid w:val="00A21092"/>
    <w:rsid w:val="00A21597"/>
    <w:rsid w:val="00A22A04"/>
    <w:rsid w:val="00A23CC3"/>
    <w:rsid w:val="00A23FCD"/>
    <w:rsid w:val="00A24E49"/>
    <w:rsid w:val="00A25264"/>
    <w:rsid w:val="00A25F38"/>
    <w:rsid w:val="00A27303"/>
    <w:rsid w:val="00A27411"/>
    <w:rsid w:val="00A27C51"/>
    <w:rsid w:val="00A31322"/>
    <w:rsid w:val="00A33005"/>
    <w:rsid w:val="00A34C99"/>
    <w:rsid w:val="00A353F8"/>
    <w:rsid w:val="00A36910"/>
    <w:rsid w:val="00A370A6"/>
    <w:rsid w:val="00A375F1"/>
    <w:rsid w:val="00A4120A"/>
    <w:rsid w:val="00A41822"/>
    <w:rsid w:val="00A41AE2"/>
    <w:rsid w:val="00A41B24"/>
    <w:rsid w:val="00A41C20"/>
    <w:rsid w:val="00A42F50"/>
    <w:rsid w:val="00A43390"/>
    <w:rsid w:val="00A43696"/>
    <w:rsid w:val="00A43DC7"/>
    <w:rsid w:val="00A447D2"/>
    <w:rsid w:val="00A44D72"/>
    <w:rsid w:val="00A46066"/>
    <w:rsid w:val="00A46F24"/>
    <w:rsid w:val="00A50F84"/>
    <w:rsid w:val="00A5151C"/>
    <w:rsid w:val="00A523AA"/>
    <w:rsid w:val="00A53093"/>
    <w:rsid w:val="00A55137"/>
    <w:rsid w:val="00A554BE"/>
    <w:rsid w:val="00A559BD"/>
    <w:rsid w:val="00A55B54"/>
    <w:rsid w:val="00A55B7A"/>
    <w:rsid w:val="00A56D54"/>
    <w:rsid w:val="00A57436"/>
    <w:rsid w:val="00A60237"/>
    <w:rsid w:val="00A60411"/>
    <w:rsid w:val="00A605F9"/>
    <w:rsid w:val="00A60E45"/>
    <w:rsid w:val="00A61E23"/>
    <w:rsid w:val="00A638A6"/>
    <w:rsid w:val="00A63BA5"/>
    <w:rsid w:val="00A64EED"/>
    <w:rsid w:val="00A64FA2"/>
    <w:rsid w:val="00A66C29"/>
    <w:rsid w:val="00A6714F"/>
    <w:rsid w:val="00A67C5B"/>
    <w:rsid w:val="00A7047C"/>
    <w:rsid w:val="00A70770"/>
    <w:rsid w:val="00A70ABC"/>
    <w:rsid w:val="00A71567"/>
    <w:rsid w:val="00A7287F"/>
    <w:rsid w:val="00A72CCE"/>
    <w:rsid w:val="00A73767"/>
    <w:rsid w:val="00A73844"/>
    <w:rsid w:val="00A74712"/>
    <w:rsid w:val="00A74717"/>
    <w:rsid w:val="00A804D1"/>
    <w:rsid w:val="00A80D20"/>
    <w:rsid w:val="00A80DAD"/>
    <w:rsid w:val="00A81E87"/>
    <w:rsid w:val="00A83104"/>
    <w:rsid w:val="00A83F2E"/>
    <w:rsid w:val="00A8504E"/>
    <w:rsid w:val="00A86EA4"/>
    <w:rsid w:val="00A90F08"/>
    <w:rsid w:val="00A91968"/>
    <w:rsid w:val="00A92139"/>
    <w:rsid w:val="00A92941"/>
    <w:rsid w:val="00A939F6"/>
    <w:rsid w:val="00A93C83"/>
    <w:rsid w:val="00A9535F"/>
    <w:rsid w:val="00A958B8"/>
    <w:rsid w:val="00A95E98"/>
    <w:rsid w:val="00A9689A"/>
    <w:rsid w:val="00A96D78"/>
    <w:rsid w:val="00A97110"/>
    <w:rsid w:val="00A97EF6"/>
    <w:rsid w:val="00AA0389"/>
    <w:rsid w:val="00AA05DC"/>
    <w:rsid w:val="00AA2D96"/>
    <w:rsid w:val="00AA580E"/>
    <w:rsid w:val="00AA5A78"/>
    <w:rsid w:val="00AA7142"/>
    <w:rsid w:val="00AA7FDA"/>
    <w:rsid w:val="00AB0097"/>
    <w:rsid w:val="00AB0B37"/>
    <w:rsid w:val="00AB0EC4"/>
    <w:rsid w:val="00AB0EEC"/>
    <w:rsid w:val="00AB1A79"/>
    <w:rsid w:val="00AB1C09"/>
    <w:rsid w:val="00AB312A"/>
    <w:rsid w:val="00AB3A73"/>
    <w:rsid w:val="00AB3D2F"/>
    <w:rsid w:val="00AB5265"/>
    <w:rsid w:val="00AB5B2F"/>
    <w:rsid w:val="00AB611E"/>
    <w:rsid w:val="00AB6649"/>
    <w:rsid w:val="00AB69E3"/>
    <w:rsid w:val="00AB6C0C"/>
    <w:rsid w:val="00AB738C"/>
    <w:rsid w:val="00AC0440"/>
    <w:rsid w:val="00AC0A6D"/>
    <w:rsid w:val="00AC318C"/>
    <w:rsid w:val="00AC35DB"/>
    <w:rsid w:val="00AC3F10"/>
    <w:rsid w:val="00AC5633"/>
    <w:rsid w:val="00AC5A44"/>
    <w:rsid w:val="00AC5D5D"/>
    <w:rsid w:val="00AC66C5"/>
    <w:rsid w:val="00AC674B"/>
    <w:rsid w:val="00AC7752"/>
    <w:rsid w:val="00AD0E64"/>
    <w:rsid w:val="00AD11D7"/>
    <w:rsid w:val="00AD2308"/>
    <w:rsid w:val="00AD2F91"/>
    <w:rsid w:val="00AD3221"/>
    <w:rsid w:val="00AD3B4A"/>
    <w:rsid w:val="00AD40B3"/>
    <w:rsid w:val="00AD456C"/>
    <w:rsid w:val="00AD4854"/>
    <w:rsid w:val="00AD619D"/>
    <w:rsid w:val="00AD62B9"/>
    <w:rsid w:val="00AD660F"/>
    <w:rsid w:val="00AD6A9E"/>
    <w:rsid w:val="00AD6AB3"/>
    <w:rsid w:val="00AD6DA0"/>
    <w:rsid w:val="00AD712B"/>
    <w:rsid w:val="00AD7FB8"/>
    <w:rsid w:val="00AE0A63"/>
    <w:rsid w:val="00AE1D02"/>
    <w:rsid w:val="00AE2B1F"/>
    <w:rsid w:val="00AE37E3"/>
    <w:rsid w:val="00AE4EBF"/>
    <w:rsid w:val="00AE6CBF"/>
    <w:rsid w:val="00AF0B62"/>
    <w:rsid w:val="00AF1B89"/>
    <w:rsid w:val="00AF4B32"/>
    <w:rsid w:val="00AF4FF8"/>
    <w:rsid w:val="00AF6ED3"/>
    <w:rsid w:val="00B0032D"/>
    <w:rsid w:val="00B01826"/>
    <w:rsid w:val="00B020FB"/>
    <w:rsid w:val="00B021D6"/>
    <w:rsid w:val="00B02A20"/>
    <w:rsid w:val="00B0556F"/>
    <w:rsid w:val="00B05600"/>
    <w:rsid w:val="00B05E3A"/>
    <w:rsid w:val="00B063AB"/>
    <w:rsid w:val="00B06A9C"/>
    <w:rsid w:val="00B06B5A"/>
    <w:rsid w:val="00B0708E"/>
    <w:rsid w:val="00B07143"/>
    <w:rsid w:val="00B07B88"/>
    <w:rsid w:val="00B10C1D"/>
    <w:rsid w:val="00B11475"/>
    <w:rsid w:val="00B11A61"/>
    <w:rsid w:val="00B11B07"/>
    <w:rsid w:val="00B13ED2"/>
    <w:rsid w:val="00B14018"/>
    <w:rsid w:val="00B173BF"/>
    <w:rsid w:val="00B1775A"/>
    <w:rsid w:val="00B20005"/>
    <w:rsid w:val="00B23D23"/>
    <w:rsid w:val="00B2516C"/>
    <w:rsid w:val="00B26323"/>
    <w:rsid w:val="00B27384"/>
    <w:rsid w:val="00B300AD"/>
    <w:rsid w:val="00B301BB"/>
    <w:rsid w:val="00B304B3"/>
    <w:rsid w:val="00B30FF9"/>
    <w:rsid w:val="00B31DCA"/>
    <w:rsid w:val="00B327D2"/>
    <w:rsid w:val="00B345A8"/>
    <w:rsid w:val="00B34C0E"/>
    <w:rsid w:val="00B35B22"/>
    <w:rsid w:val="00B361F5"/>
    <w:rsid w:val="00B36265"/>
    <w:rsid w:val="00B41817"/>
    <w:rsid w:val="00B42E18"/>
    <w:rsid w:val="00B4358A"/>
    <w:rsid w:val="00B43C9B"/>
    <w:rsid w:val="00B442B1"/>
    <w:rsid w:val="00B4436C"/>
    <w:rsid w:val="00B446E4"/>
    <w:rsid w:val="00B44BDF"/>
    <w:rsid w:val="00B45B74"/>
    <w:rsid w:val="00B4673C"/>
    <w:rsid w:val="00B47C61"/>
    <w:rsid w:val="00B506A4"/>
    <w:rsid w:val="00B50EBB"/>
    <w:rsid w:val="00B513AB"/>
    <w:rsid w:val="00B52CCD"/>
    <w:rsid w:val="00B52D83"/>
    <w:rsid w:val="00B5337A"/>
    <w:rsid w:val="00B53412"/>
    <w:rsid w:val="00B5367D"/>
    <w:rsid w:val="00B54441"/>
    <w:rsid w:val="00B54DC6"/>
    <w:rsid w:val="00B554A6"/>
    <w:rsid w:val="00B55B49"/>
    <w:rsid w:val="00B55B57"/>
    <w:rsid w:val="00B56C18"/>
    <w:rsid w:val="00B57693"/>
    <w:rsid w:val="00B609A6"/>
    <w:rsid w:val="00B61B4E"/>
    <w:rsid w:val="00B625B1"/>
    <w:rsid w:val="00B639C9"/>
    <w:rsid w:val="00B651E6"/>
    <w:rsid w:val="00B65205"/>
    <w:rsid w:val="00B65D03"/>
    <w:rsid w:val="00B66A71"/>
    <w:rsid w:val="00B70DE9"/>
    <w:rsid w:val="00B7197B"/>
    <w:rsid w:val="00B7255B"/>
    <w:rsid w:val="00B72828"/>
    <w:rsid w:val="00B72FA1"/>
    <w:rsid w:val="00B73940"/>
    <w:rsid w:val="00B75505"/>
    <w:rsid w:val="00B755D6"/>
    <w:rsid w:val="00B778A8"/>
    <w:rsid w:val="00B80467"/>
    <w:rsid w:val="00B80AD5"/>
    <w:rsid w:val="00B81625"/>
    <w:rsid w:val="00B858B0"/>
    <w:rsid w:val="00B85958"/>
    <w:rsid w:val="00B86949"/>
    <w:rsid w:val="00B873B5"/>
    <w:rsid w:val="00B92768"/>
    <w:rsid w:val="00B93260"/>
    <w:rsid w:val="00B93CB7"/>
    <w:rsid w:val="00B95D01"/>
    <w:rsid w:val="00B95D12"/>
    <w:rsid w:val="00B972CB"/>
    <w:rsid w:val="00B977F8"/>
    <w:rsid w:val="00B97D84"/>
    <w:rsid w:val="00BA1D12"/>
    <w:rsid w:val="00BA3002"/>
    <w:rsid w:val="00BA40D9"/>
    <w:rsid w:val="00BA4BB6"/>
    <w:rsid w:val="00BA5A05"/>
    <w:rsid w:val="00BA64D8"/>
    <w:rsid w:val="00BA665F"/>
    <w:rsid w:val="00BA684A"/>
    <w:rsid w:val="00BB0BA8"/>
    <w:rsid w:val="00BB1B0B"/>
    <w:rsid w:val="00BB2925"/>
    <w:rsid w:val="00BB2FC7"/>
    <w:rsid w:val="00BB3DE3"/>
    <w:rsid w:val="00BB4368"/>
    <w:rsid w:val="00BB467B"/>
    <w:rsid w:val="00BB5F0A"/>
    <w:rsid w:val="00BB6206"/>
    <w:rsid w:val="00BB6808"/>
    <w:rsid w:val="00BB6DCA"/>
    <w:rsid w:val="00BC2A4F"/>
    <w:rsid w:val="00BC33EC"/>
    <w:rsid w:val="00BC3449"/>
    <w:rsid w:val="00BC4EAA"/>
    <w:rsid w:val="00BC5152"/>
    <w:rsid w:val="00BC66F9"/>
    <w:rsid w:val="00BC6725"/>
    <w:rsid w:val="00BC6820"/>
    <w:rsid w:val="00BC6C03"/>
    <w:rsid w:val="00BC6F02"/>
    <w:rsid w:val="00BC6F77"/>
    <w:rsid w:val="00BD03A5"/>
    <w:rsid w:val="00BD2B9A"/>
    <w:rsid w:val="00BD3D65"/>
    <w:rsid w:val="00BD4BC8"/>
    <w:rsid w:val="00BD6218"/>
    <w:rsid w:val="00BE1B34"/>
    <w:rsid w:val="00BE2CD8"/>
    <w:rsid w:val="00BE2E79"/>
    <w:rsid w:val="00BE36D4"/>
    <w:rsid w:val="00BE4057"/>
    <w:rsid w:val="00BF2641"/>
    <w:rsid w:val="00BF3E95"/>
    <w:rsid w:val="00BF43FA"/>
    <w:rsid w:val="00BF6465"/>
    <w:rsid w:val="00BF652B"/>
    <w:rsid w:val="00BF7284"/>
    <w:rsid w:val="00C00A83"/>
    <w:rsid w:val="00C045BB"/>
    <w:rsid w:val="00C06A3D"/>
    <w:rsid w:val="00C06CB9"/>
    <w:rsid w:val="00C10334"/>
    <w:rsid w:val="00C1193C"/>
    <w:rsid w:val="00C11A3F"/>
    <w:rsid w:val="00C12472"/>
    <w:rsid w:val="00C127E3"/>
    <w:rsid w:val="00C12993"/>
    <w:rsid w:val="00C14194"/>
    <w:rsid w:val="00C15286"/>
    <w:rsid w:val="00C1559D"/>
    <w:rsid w:val="00C1562E"/>
    <w:rsid w:val="00C15C09"/>
    <w:rsid w:val="00C15C47"/>
    <w:rsid w:val="00C164F1"/>
    <w:rsid w:val="00C16790"/>
    <w:rsid w:val="00C16D4E"/>
    <w:rsid w:val="00C1745D"/>
    <w:rsid w:val="00C17CE4"/>
    <w:rsid w:val="00C20CB4"/>
    <w:rsid w:val="00C20FD7"/>
    <w:rsid w:val="00C21C6A"/>
    <w:rsid w:val="00C226BA"/>
    <w:rsid w:val="00C23F6A"/>
    <w:rsid w:val="00C241CF"/>
    <w:rsid w:val="00C25D38"/>
    <w:rsid w:val="00C25D65"/>
    <w:rsid w:val="00C26DED"/>
    <w:rsid w:val="00C27A4F"/>
    <w:rsid w:val="00C3196D"/>
    <w:rsid w:val="00C31E63"/>
    <w:rsid w:val="00C3203F"/>
    <w:rsid w:val="00C322A8"/>
    <w:rsid w:val="00C338B8"/>
    <w:rsid w:val="00C33EBC"/>
    <w:rsid w:val="00C342E1"/>
    <w:rsid w:val="00C35BF3"/>
    <w:rsid w:val="00C40B0E"/>
    <w:rsid w:val="00C40CCE"/>
    <w:rsid w:val="00C41346"/>
    <w:rsid w:val="00C4210A"/>
    <w:rsid w:val="00C422C0"/>
    <w:rsid w:val="00C42A42"/>
    <w:rsid w:val="00C42DE1"/>
    <w:rsid w:val="00C4375A"/>
    <w:rsid w:val="00C43BD6"/>
    <w:rsid w:val="00C43DD0"/>
    <w:rsid w:val="00C45B16"/>
    <w:rsid w:val="00C45EBD"/>
    <w:rsid w:val="00C466DC"/>
    <w:rsid w:val="00C468DC"/>
    <w:rsid w:val="00C47B12"/>
    <w:rsid w:val="00C47C62"/>
    <w:rsid w:val="00C52349"/>
    <w:rsid w:val="00C52AB1"/>
    <w:rsid w:val="00C534CE"/>
    <w:rsid w:val="00C5415C"/>
    <w:rsid w:val="00C541D9"/>
    <w:rsid w:val="00C55076"/>
    <w:rsid w:val="00C550A6"/>
    <w:rsid w:val="00C551EB"/>
    <w:rsid w:val="00C55225"/>
    <w:rsid w:val="00C5522B"/>
    <w:rsid w:val="00C555AF"/>
    <w:rsid w:val="00C55FA0"/>
    <w:rsid w:val="00C56AB4"/>
    <w:rsid w:val="00C57A45"/>
    <w:rsid w:val="00C57D23"/>
    <w:rsid w:val="00C60050"/>
    <w:rsid w:val="00C60E5D"/>
    <w:rsid w:val="00C61757"/>
    <w:rsid w:val="00C61C93"/>
    <w:rsid w:val="00C62615"/>
    <w:rsid w:val="00C633A8"/>
    <w:rsid w:val="00C6370E"/>
    <w:rsid w:val="00C63735"/>
    <w:rsid w:val="00C638A3"/>
    <w:rsid w:val="00C63F3D"/>
    <w:rsid w:val="00C64168"/>
    <w:rsid w:val="00C645D0"/>
    <w:rsid w:val="00C64ED8"/>
    <w:rsid w:val="00C65119"/>
    <w:rsid w:val="00C66ED6"/>
    <w:rsid w:val="00C67DFA"/>
    <w:rsid w:val="00C7013A"/>
    <w:rsid w:val="00C71AC0"/>
    <w:rsid w:val="00C72787"/>
    <w:rsid w:val="00C7424C"/>
    <w:rsid w:val="00C74334"/>
    <w:rsid w:val="00C74A36"/>
    <w:rsid w:val="00C776B4"/>
    <w:rsid w:val="00C80468"/>
    <w:rsid w:val="00C81360"/>
    <w:rsid w:val="00C81645"/>
    <w:rsid w:val="00C82505"/>
    <w:rsid w:val="00C83288"/>
    <w:rsid w:val="00C83A49"/>
    <w:rsid w:val="00C8436C"/>
    <w:rsid w:val="00C846E1"/>
    <w:rsid w:val="00C84C32"/>
    <w:rsid w:val="00C863D7"/>
    <w:rsid w:val="00C90211"/>
    <w:rsid w:val="00C90783"/>
    <w:rsid w:val="00C907CE"/>
    <w:rsid w:val="00C92B67"/>
    <w:rsid w:val="00C937C2"/>
    <w:rsid w:val="00C93ABD"/>
    <w:rsid w:val="00C93AF5"/>
    <w:rsid w:val="00C93EE9"/>
    <w:rsid w:val="00C940D0"/>
    <w:rsid w:val="00C95464"/>
    <w:rsid w:val="00C96B35"/>
    <w:rsid w:val="00C96BCE"/>
    <w:rsid w:val="00C96EA8"/>
    <w:rsid w:val="00C97B37"/>
    <w:rsid w:val="00CA0E05"/>
    <w:rsid w:val="00CA1A11"/>
    <w:rsid w:val="00CA1F8D"/>
    <w:rsid w:val="00CA238B"/>
    <w:rsid w:val="00CA4623"/>
    <w:rsid w:val="00CA59B1"/>
    <w:rsid w:val="00CA5F83"/>
    <w:rsid w:val="00CA7A9C"/>
    <w:rsid w:val="00CB007D"/>
    <w:rsid w:val="00CB0544"/>
    <w:rsid w:val="00CB140F"/>
    <w:rsid w:val="00CB2443"/>
    <w:rsid w:val="00CB24F3"/>
    <w:rsid w:val="00CB2DF0"/>
    <w:rsid w:val="00CB420B"/>
    <w:rsid w:val="00CB4A9C"/>
    <w:rsid w:val="00CB5E75"/>
    <w:rsid w:val="00CB6399"/>
    <w:rsid w:val="00CB63E7"/>
    <w:rsid w:val="00CB6B8A"/>
    <w:rsid w:val="00CB712D"/>
    <w:rsid w:val="00CB7AED"/>
    <w:rsid w:val="00CC1977"/>
    <w:rsid w:val="00CC2185"/>
    <w:rsid w:val="00CC28DD"/>
    <w:rsid w:val="00CC2B23"/>
    <w:rsid w:val="00CC33EC"/>
    <w:rsid w:val="00CC7EBC"/>
    <w:rsid w:val="00CD2162"/>
    <w:rsid w:val="00CD271F"/>
    <w:rsid w:val="00CD2E86"/>
    <w:rsid w:val="00CD356E"/>
    <w:rsid w:val="00CD5E79"/>
    <w:rsid w:val="00CE0348"/>
    <w:rsid w:val="00CE0918"/>
    <w:rsid w:val="00CE1B79"/>
    <w:rsid w:val="00CE1FA4"/>
    <w:rsid w:val="00CE2C3A"/>
    <w:rsid w:val="00CE423E"/>
    <w:rsid w:val="00CE4E1E"/>
    <w:rsid w:val="00CE632D"/>
    <w:rsid w:val="00CE67AF"/>
    <w:rsid w:val="00CE725E"/>
    <w:rsid w:val="00CF0B0B"/>
    <w:rsid w:val="00CF216A"/>
    <w:rsid w:val="00CF5051"/>
    <w:rsid w:val="00CF61AC"/>
    <w:rsid w:val="00CF630B"/>
    <w:rsid w:val="00D009F5"/>
    <w:rsid w:val="00D02747"/>
    <w:rsid w:val="00D029A4"/>
    <w:rsid w:val="00D03FFF"/>
    <w:rsid w:val="00D0437B"/>
    <w:rsid w:val="00D048A9"/>
    <w:rsid w:val="00D10793"/>
    <w:rsid w:val="00D107B7"/>
    <w:rsid w:val="00D10F86"/>
    <w:rsid w:val="00D11093"/>
    <w:rsid w:val="00D1120B"/>
    <w:rsid w:val="00D11B8A"/>
    <w:rsid w:val="00D124D7"/>
    <w:rsid w:val="00D1615B"/>
    <w:rsid w:val="00D16EBE"/>
    <w:rsid w:val="00D175D4"/>
    <w:rsid w:val="00D17DC4"/>
    <w:rsid w:val="00D2147F"/>
    <w:rsid w:val="00D22695"/>
    <w:rsid w:val="00D2286A"/>
    <w:rsid w:val="00D23858"/>
    <w:rsid w:val="00D244AF"/>
    <w:rsid w:val="00D25926"/>
    <w:rsid w:val="00D266A0"/>
    <w:rsid w:val="00D26F5A"/>
    <w:rsid w:val="00D27175"/>
    <w:rsid w:val="00D27587"/>
    <w:rsid w:val="00D27D04"/>
    <w:rsid w:val="00D304CE"/>
    <w:rsid w:val="00D32626"/>
    <w:rsid w:val="00D33D96"/>
    <w:rsid w:val="00D34520"/>
    <w:rsid w:val="00D35671"/>
    <w:rsid w:val="00D36129"/>
    <w:rsid w:val="00D364E5"/>
    <w:rsid w:val="00D36A75"/>
    <w:rsid w:val="00D36B22"/>
    <w:rsid w:val="00D37658"/>
    <w:rsid w:val="00D41A1F"/>
    <w:rsid w:val="00D42666"/>
    <w:rsid w:val="00D42866"/>
    <w:rsid w:val="00D428E9"/>
    <w:rsid w:val="00D432F6"/>
    <w:rsid w:val="00D434B3"/>
    <w:rsid w:val="00D4598F"/>
    <w:rsid w:val="00D479CC"/>
    <w:rsid w:val="00D47CF4"/>
    <w:rsid w:val="00D51909"/>
    <w:rsid w:val="00D5212F"/>
    <w:rsid w:val="00D52D57"/>
    <w:rsid w:val="00D52EB8"/>
    <w:rsid w:val="00D53012"/>
    <w:rsid w:val="00D53DC8"/>
    <w:rsid w:val="00D543E3"/>
    <w:rsid w:val="00D557FA"/>
    <w:rsid w:val="00D5658B"/>
    <w:rsid w:val="00D56D8A"/>
    <w:rsid w:val="00D607CE"/>
    <w:rsid w:val="00D61785"/>
    <w:rsid w:val="00D6208B"/>
    <w:rsid w:val="00D6323D"/>
    <w:rsid w:val="00D65736"/>
    <w:rsid w:val="00D66D86"/>
    <w:rsid w:val="00D67916"/>
    <w:rsid w:val="00D70277"/>
    <w:rsid w:val="00D7082A"/>
    <w:rsid w:val="00D71142"/>
    <w:rsid w:val="00D72530"/>
    <w:rsid w:val="00D72A7A"/>
    <w:rsid w:val="00D72E0C"/>
    <w:rsid w:val="00D72FD0"/>
    <w:rsid w:val="00D74CBA"/>
    <w:rsid w:val="00D75E56"/>
    <w:rsid w:val="00D76498"/>
    <w:rsid w:val="00D76CC1"/>
    <w:rsid w:val="00D7737D"/>
    <w:rsid w:val="00D77C56"/>
    <w:rsid w:val="00D80FA8"/>
    <w:rsid w:val="00D83AFC"/>
    <w:rsid w:val="00D84603"/>
    <w:rsid w:val="00D86780"/>
    <w:rsid w:val="00D86E4E"/>
    <w:rsid w:val="00D878B0"/>
    <w:rsid w:val="00D87FF0"/>
    <w:rsid w:val="00D91165"/>
    <w:rsid w:val="00D93E80"/>
    <w:rsid w:val="00D94191"/>
    <w:rsid w:val="00D94439"/>
    <w:rsid w:val="00D96852"/>
    <w:rsid w:val="00DA1161"/>
    <w:rsid w:val="00DA15E3"/>
    <w:rsid w:val="00DA5977"/>
    <w:rsid w:val="00DA7AE9"/>
    <w:rsid w:val="00DB0EBE"/>
    <w:rsid w:val="00DB46AA"/>
    <w:rsid w:val="00DB4813"/>
    <w:rsid w:val="00DB55EE"/>
    <w:rsid w:val="00DB6228"/>
    <w:rsid w:val="00DB6801"/>
    <w:rsid w:val="00DB7484"/>
    <w:rsid w:val="00DC0034"/>
    <w:rsid w:val="00DC03A2"/>
    <w:rsid w:val="00DC2021"/>
    <w:rsid w:val="00DC22FE"/>
    <w:rsid w:val="00DC2354"/>
    <w:rsid w:val="00DC29AB"/>
    <w:rsid w:val="00DC4520"/>
    <w:rsid w:val="00DC4683"/>
    <w:rsid w:val="00DC49BB"/>
    <w:rsid w:val="00DC5F49"/>
    <w:rsid w:val="00DC77D8"/>
    <w:rsid w:val="00DC7BEC"/>
    <w:rsid w:val="00DD179C"/>
    <w:rsid w:val="00DD2119"/>
    <w:rsid w:val="00DD3554"/>
    <w:rsid w:val="00DD43BB"/>
    <w:rsid w:val="00DD6AAB"/>
    <w:rsid w:val="00DE01A3"/>
    <w:rsid w:val="00DE073C"/>
    <w:rsid w:val="00DE087E"/>
    <w:rsid w:val="00DE2844"/>
    <w:rsid w:val="00DE3AE3"/>
    <w:rsid w:val="00DE4365"/>
    <w:rsid w:val="00DE478B"/>
    <w:rsid w:val="00DE7081"/>
    <w:rsid w:val="00DE79D0"/>
    <w:rsid w:val="00DF2D73"/>
    <w:rsid w:val="00DF3BD8"/>
    <w:rsid w:val="00DF78E9"/>
    <w:rsid w:val="00E00ED7"/>
    <w:rsid w:val="00E01B46"/>
    <w:rsid w:val="00E02BD8"/>
    <w:rsid w:val="00E037A1"/>
    <w:rsid w:val="00E042A2"/>
    <w:rsid w:val="00E04456"/>
    <w:rsid w:val="00E044DD"/>
    <w:rsid w:val="00E04B58"/>
    <w:rsid w:val="00E05F95"/>
    <w:rsid w:val="00E06324"/>
    <w:rsid w:val="00E07455"/>
    <w:rsid w:val="00E0798F"/>
    <w:rsid w:val="00E1027C"/>
    <w:rsid w:val="00E103E8"/>
    <w:rsid w:val="00E109B2"/>
    <w:rsid w:val="00E1144E"/>
    <w:rsid w:val="00E11C47"/>
    <w:rsid w:val="00E129F8"/>
    <w:rsid w:val="00E12F0B"/>
    <w:rsid w:val="00E13742"/>
    <w:rsid w:val="00E13C07"/>
    <w:rsid w:val="00E1400B"/>
    <w:rsid w:val="00E170F7"/>
    <w:rsid w:val="00E17390"/>
    <w:rsid w:val="00E17B51"/>
    <w:rsid w:val="00E21228"/>
    <w:rsid w:val="00E21DC7"/>
    <w:rsid w:val="00E2249A"/>
    <w:rsid w:val="00E22B52"/>
    <w:rsid w:val="00E22B7C"/>
    <w:rsid w:val="00E2474A"/>
    <w:rsid w:val="00E271BE"/>
    <w:rsid w:val="00E27DF2"/>
    <w:rsid w:val="00E30858"/>
    <w:rsid w:val="00E30C0C"/>
    <w:rsid w:val="00E30C20"/>
    <w:rsid w:val="00E30E91"/>
    <w:rsid w:val="00E30EBB"/>
    <w:rsid w:val="00E31608"/>
    <w:rsid w:val="00E32663"/>
    <w:rsid w:val="00E33420"/>
    <w:rsid w:val="00E33D2F"/>
    <w:rsid w:val="00E348D7"/>
    <w:rsid w:val="00E34B2E"/>
    <w:rsid w:val="00E35E09"/>
    <w:rsid w:val="00E3625F"/>
    <w:rsid w:val="00E363D3"/>
    <w:rsid w:val="00E365AB"/>
    <w:rsid w:val="00E36BB0"/>
    <w:rsid w:val="00E41E7A"/>
    <w:rsid w:val="00E42FD5"/>
    <w:rsid w:val="00E43E6A"/>
    <w:rsid w:val="00E44CFA"/>
    <w:rsid w:val="00E454BB"/>
    <w:rsid w:val="00E467F0"/>
    <w:rsid w:val="00E503CA"/>
    <w:rsid w:val="00E50C81"/>
    <w:rsid w:val="00E55F10"/>
    <w:rsid w:val="00E57717"/>
    <w:rsid w:val="00E610C7"/>
    <w:rsid w:val="00E62663"/>
    <w:rsid w:val="00E63462"/>
    <w:rsid w:val="00E64456"/>
    <w:rsid w:val="00E66C39"/>
    <w:rsid w:val="00E67AC7"/>
    <w:rsid w:val="00E70CC7"/>
    <w:rsid w:val="00E71711"/>
    <w:rsid w:val="00E7212B"/>
    <w:rsid w:val="00E72260"/>
    <w:rsid w:val="00E727B4"/>
    <w:rsid w:val="00E76194"/>
    <w:rsid w:val="00E767B6"/>
    <w:rsid w:val="00E773A0"/>
    <w:rsid w:val="00E77F0E"/>
    <w:rsid w:val="00E80325"/>
    <w:rsid w:val="00E81CA6"/>
    <w:rsid w:val="00E82634"/>
    <w:rsid w:val="00E8449A"/>
    <w:rsid w:val="00E84775"/>
    <w:rsid w:val="00E84EC5"/>
    <w:rsid w:val="00E85235"/>
    <w:rsid w:val="00E8544D"/>
    <w:rsid w:val="00E8559C"/>
    <w:rsid w:val="00E85B28"/>
    <w:rsid w:val="00E87746"/>
    <w:rsid w:val="00E90D2D"/>
    <w:rsid w:val="00E90FC0"/>
    <w:rsid w:val="00E9493D"/>
    <w:rsid w:val="00E950EE"/>
    <w:rsid w:val="00E962BA"/>
    <w:rsid w:val="00EA2B09"/>
    <w:rsid w:val="00EA48FC"/>
    <w:rsid w:val="00EA545D"/>
    <w:rsid w:val="00EA5985"/>
    <w:rsid w:val="00EA6695"/>
    <w:rsid w:val="00EA69C3"/>
    <w:rsid w:val="00EA78BB"/>
    <w:rsid w:val="00EB0A77"/>
    <w:rsid w:val="00EB0D59"/>
    <w:rsid w:val="00EB2203"/>
    <w:rsid w:val="00EB283E"/>
    <w:rsid w:val="00EB3CEA"/>
    <w:rsid w:val="00EB3FD4"/>
    <w:rsid w:val="00EB42F8"/>
    <w:rsid w:val="00EB5501"/>
    <w:rsid w:val="00EB75FE"/>
    <w:rsid w:val="00EC031D"/>
    <w:rsid w:val="00EC0432"/>
    <w:rsid w:val="00EC0B18"/>
    <w:rsid w:val="00EC1D98"/>
    <w:rsid w:val="00EC1DA0"/>
    <w:rsid w:val="00EC2985"/>
    <w:rsid w:val="00EC366B"/>
    <w:rsid w:val="00EC3FF5"/>
    <w:rsid w:val="00EC537A"/>
    <w:rsid w:val="00EC5738"/>
    <w:rsid w:val="00EC5BA4"/>
    <w:rsid w:val="00EC5E31"/>
    <w:rsid w:val="00EC5FE3"/>
    <w:rsid w:val="00EC6007"/>
    <w:rsid w:val="00EC6398"/>
    <w:rsid w:val="00EC78EE"/>
    <w:rsid w:val="00ED0557"/>
    <w:rsid w:val="00ED063F"/>
    <w:rsid w:val="00ED39C3"/>
    <w:rsid w:val="00ED7CDD"/>
    <w:rsid w:val="00ED7FF2"/>
    <w:rsid w:val="00EE146F"/>
    <w:rsid w:val="00EE23D8"/>
    <w:rsid w:val="00EE5856"/>
    <w:rsid w:val="00EE73E4"/>
    <w:rsid w:val="00EE7A3C"/>
    <w:rsid w:val="00EE7F07"/>
    <w:rsid w:val="00EF0BEB"/>
    <w:rsid w:val="00EF18F6"/>
    <w:rsid w:val="00EF274A"/>
    <w:rsid w:val="00EF50EF"/>
    <w:rsid w:val="00EF522C"/>
    <w:rsid w:val="00EF684E"/>
    <w:rsid w:val="00EF6E58"/>
    <w:rsid w:val="00F00DC9"/>
    <w:rsid w:val="00F0160A"/>
    <w:rsid w:val="00F0184F"/>
    <w:rsid w:val="00F036EA"/>
    <w:rsid w:val="00F03A6F"/>
    <w:rsid w:val="00F03C84"/>
    <w:rsid w:val="00F040C4"/>
    <w:rsid w:val="00F05194"/>
    <w:rsid w:val="00F05987"/>
    <w:rsid w:val="00F06466"/>
    <w:rsid w:val="00F070C8"/>
    <w:rsid w:val="00F078B5"/>
    <w:rsid w:val="00F10B76"/>
    <w:rsid w:val="00F10D9B"/>
    <w:rsid w:val="00F112AE"/>
    <w:rsid w:val="00F11FEF"/>
    <w:rsid w:val="00F1214C"/>
    <w:rsid w:val="00F12E05"/>
    <w:rsid w:val="00F138A6"/>
    <w:rsid w:val="00F15CC9"/>
    <w:rsid w:val="00F15CE1"/>
    <w:rsid w:val="00F15F42"/>
    <w:rsid w:val="00F1642E"/>
    <w:rsid w:val="00F1677C"/>
    <w:rsid w:val="00F16B7D"/>
    <w:rsid w:val="00F17B52"/>
    <w:rsid w:val="00F218CC"/>
    <w:rsid w:val="00F22DE6"/>
    <w:rsid w:val="00F22E84"/>
    <w:rsid w:val="00F23955"/>
    <w:rsid w:val="00F23BFA"/>
    <w:rsid w:val="00F24F9C"/>
    <w:rsid w:val="00F27B64"/>
    <w:rsid w:val="00F30463"/>
    <w:rsid w:val="00F3271F"/>
    <w:rsid w:val="00F3397C"/>
    <w:rsid w:val="00F3432A"/>
    <w:rsid w:val="00F35063"/>
    <w:rsid w:val="00F35FE3"/>
    <w:rsid w:val="00F361CB"/>
    <w:rsid w:val="00F3751F"/>
    <w:rsid w:val="00F40744"/>
    <w:rsid w:val="00F407C7"/>
    <w:rsid w:val="00F42351"/>
    <w:rsid w:val="00F42744"/>
    <w:rsid w:val="00F43F4C"/>
    <w:rsid w:val="00F44BB8"/>
    <w:rsid w:val="00F45091"/>
    <w:rsid w:val="00F45D9E"/>
    <w:rsid w:val="00F50FEA"/>
    <w:rsid w:val="00F5128B"/>
    <w:rsid w:val="00F51A33"/>
    <w:rsid w:val="00F51BB3"/>
    <w:rsid w:val="00F5245B"/>
    <w:rsid w:val="00F52543"/>
    <w:rsid w:val="00F52C04"/>
    <w:rsid w:val="00F52FD4"/>
    <w:rsid w:val="00F53256"/>
    <w:rsid w:val="00F53823"/>
    <w:rsid w:val="00F53F06"/>
    <w:rsid w:val="00F5645E"/>
    <w:rsid w:val="00F56594"/>
    <w:rsid w:val="00F56C74"/>
    <w:rsid w:val="00F57048"/>
    <w:rsid w:val="00F57207"/>
    <w:rsid w:val="00F5747F"/>
    <w:rsid w:val="00F57FC7"/>
    <w:rsid w:val="00F603C9"/>
    <w:rsid w:val="00F606DB"/>
    <w:rsid w:val="00F609CA"/>
    <w:rsid w:val="00F612E0"/>
    <w:rsid w:val="00F61564"/>
    <w:rsid w:val="00F61B20"/>
    <w:rsid w:val="00F624B7"/>
    <w:rsid w:val="00F63A66"/>
    <w:rsid w:val="00F641A0"/>
    <w:rsid w:val="00F644D9"/>
    <w:rsid w:val="00F656A9"/>
    <w:rsid w:val="00F664D6"/>
    <w:rsid w:val="00F66DF8"/>
    <w:rsid w:val="00F66F84"/>
    <w:rsid w:val="00F6710A"/>
    <w:rsid w:val="00F67937"/>
    <w:rsid w:val="00F67ECF"/>
    <w:rsid w:val="00F67F02"/>
    <w:rsid w:val="00F70120"/>
    <w:rsid w:val="00F70ED8"/>
    <w:rsid w:val="00F711A5"/>
    <w:rsid w:val="00F7144D"/>
    <w:rsid w:val="00F71544"/>
    <w:rsid w:val="00F71A27"/>
    <w:rsid w:val="00F71B0F"/>
    <w:rsid w:val="00F72138"/>
    <w:rsid w:val="00F72439"/>
    <w:rsid w:val="00F729FD"/>
    <w:rsid w:val="00F72B36"/>
    <w:rsid w:val="00F731C3"/>
    <w:rsid w:val="00F737BC"/>
    <w:rsid w:val="00F73E58"/>
    <w:rsid w:val="00F74539"/>
    <w:rsid w:val="00F748F5"/>
    <w:rsid w:val="00F7519B"/>
    <w:rsid w:val="00F7577D"/>
    <w:rsid w:val="00F82853"/>
    <w:rsid w:val="00F82A43"/>
    <w:rsid w:val="00F82D19"/>
    <w:rsid w:val="00F837BF"/>
    <w:rsid w:val="00F842CC"/>
    <w:rsid w:val="00F869E7"/>
    <w:rsid w:val="00F86C2F"/>
    <w:rsid w:val="00F87E97"/>
    <w:rsid w:val="00F90444"/>
    <w:rsid w:val="00F908C4"/>
    <w:rsid w:val="00F91DCC"/>
    <w:rsid w:val="00F92A90"/>
    <w:rsid w:val="00F92F2E"/>
    <w:rsid w:val="00F94553"/>
    <w:rsid w:val="00F9496E"/>
    <w:rsid w:val="00F96741"/>
    <w:rsid w:val="00FA128B"/>
    <w:rsid w:val="00FA211A"/>
    <w:rsid w:val="00FA215F"/>
    <w:rsid w:val="00FA3CED"/>
    <w:rsid w:val="00FA5D32"/>
    <w:rsid w:val="00FA68EA"/>
    <w:rsid w:val="00FB2C3F"/>
    <w:rsid w:val="00FB4A99"/>
    <w:rsid w:val="00FB5172"/>
    <w:rsid w:val="00FB698D"/>
    <w:rsid w:val="00FB7510"/>
    <w:rsid w:val="00FC076E"/>
    <w:rsid w:val="00FC07AD"/>
    <w:rsid w:val="00FC09EA"/>
    <w:rsid w:val="00FC0A9A"/>
    <w:rsid w:val="00FC0C14"/>
    <w:rsid w:val="00FC0FA2"/>
    <w:rsid w:val="00FC11EF"/>
    <w:rsid w:val="00FC2168"/>
    <w:rsid w:val="00FC22C2"/>
    <w:rsid w:val="00FC24B4"/>
    <w:rsid w:val="00FC2B68"/>
    <w:rsid w:val="00FC30A6"/>
    <w:rsid w:val="00FC33E4"/>
    <w:rsid w:val="00FC3536"/>
    <w:rsid w:val="00FC49E1"/>
    <w:rsid w:val="00FC512A"/>
    <w:rsid w:val="00FD1537"/>
    <w:rsid w:val="00FD1C91"/>
    <w:rsid w:val="00FD23FB"/>
    <w:rsid w:val="00FD25CD"/>
    <w:rsid w:val="00FD2CF9"/>
    <w:rsid w:val="00FD348A"/>
    <w:rsid w:val="00FD4DFF"/>
    <w:rsid w:val="00FD5FD9"/>
    <w:rsid w:val="00FD7AFE"/>
    <w:rsid w:val="00FE0ABD"/>
    <w:rsid w:val="00FE12EB"/>
    <w:rsid w:val="00FE16FD"/>
    <w:rsid w:val="00FE1A58"/>
    <w:rsid w:val="00FE1A98"/>
    <w:rsid w:val="00FE3AFA"/>
    <w:rsid w:val="00FE4016"/>
    <w:rsid w:val="00FE6D8D"/>
    <w:rsid w:val="00FE79A3"/>
    <w:rsid w:val="00FF2983"/>
    <w:rsid w:val="00FF362B"/>
    <w:rsid w:val="00FF4340"/>
    <w:rsid w:val="00FF4658"/>
    <w:rsid w:val="00FF51DF"/>
    <w:rsid w:val="00FF604A"/>
    <w:rsid w:val="00FF783E"/>
    <w:rsid w:val="018A57D5"/>
    <w:rsid w:val="01F71600"/>
    <w:rsid w:val="027F2F56"/>
    <w:rsid w:val="037B5F69"/>
    <w:rsid w:val="03882505"/>
    <w:rsid w:val="07C95AB0"/>
    <w:rsid w:val="07D82798"/>
    <w:rsid w:val="08514B48"/>
    <w:rsid w:val="08AA78D8"/>
    <w:rsid w:val="0A5B12C7"/>
    <w:rsid w:val="0B807828"/>
    <w:rsid w:val="0CA90DCF"/>
    <w:rsid w:val="0D562B05"/>
    <w:rsid w:val="10134CDE"/>
    <w:rsid w:val="10865949"/>
    <w:rsid w:val="11825CB2"/>
    <w:rsid w:val="12F65690"/>
    <w:rsid w:val="134609A8"/>
    <w:rsid w:val="1531270B"/>
    <w:rsid w:val="17797B1C"/>
    <w:rsid w:val="188B3FAB"/>
    <w:rsid w:val="18934C0E"/>
    <w:rsid w:val="18AF26E3"/>
    <w:rsid w:val="198C1D89"/>
    <w:rsid w:val="19FE57DA"/>
    <w:rsid w:val="1A506FA7"/>
    <w:rsid w:val="1AFA049C"/>
    <w:rsid w:val="1CAF24B7"/>
    <w:rsid w:val="1EA46534"/>
    <w:rsid w:val="22C541B2"/>
    <w:rsid w:val="25AF1B51"/>
    <w:rsid w:val="26B4291F"/>
    <w:rsid w:val="2B1028CA"/>
    <w:rsid w:val="2EDF319D"/>
    <w:rsid w:val="320108EF"/>
    <w:rsid w:val="32D83E39"/>
    <w:rsid w:val="32E81BAA"/>
    <w:rsid w:val="335161E2"/>
    <w:rsid w:val="3378748A"/>
    <w:rsid w:val="340A1DD0"/>
    <w:rsid w:val="346B1933"/>
    <w:rsid w:val="34A65D47"/>
    <w:rsid w:val="35730A5C"/>
    <w:rsid w:val="35A65645"/>
    <w:rsid w:val="36513CE6"/>
    <w:rsid w:val="37023232"/>
    <w:rsid w:val="37E62B54"/>
    <w:rsid w:val="38F045DF"/>
    <w:rsid w:val="392712DD"/>
    <w:rsid w:val="39784967"/>
    <w:rsid w:val="3AB111F7"/>
    <w:rsid w:val="3DAF1313"/>
    <w:rsid w:val="3E2F7BFE"/>
    <w:rsid w:val="3EF20030"/>
    <w:rsid w:val="414A543A"/>
    <w:rsid w:val="415F2FAE"/>
    <w:rsid w:val="41B65345"/>
    <w:rsid w:val="43301EC1"/>
    <w:rsid w:val="446B68BB"/>
    <w:rsid w:val="44833882"/>
    <w:rsid w:val="46032B23"/>
    <w:rsid w:val="498126DD"/>
    <w:rsid w:val="4A433EF0"/>
    <w:rsid w:val="4CC72BB0"/>
    <w:rsid w:val="4CCF0A13"/>
    <w:rsid w:val="4DF9549F"/>
    <w:rsid w:val="4E3F657E"/>
    <w:rsid w:val="50964CC0"/>
    <w:rsid w:val="509F4FD4"/>
    <w:rsid w:val="50AA1041"/>
    <w:rsid w:val="524D6882"/>
    <w:rsid w:val="530779CE"/>
    <w:rsid w:val="553C4C77"/>
    <w:rsid w:val="55C64D29"/>
    <w:rsid w:val="56EB0E6F"/>
    <w:rsid w:val="56ED714A"/>
    <w:rsid w:val="5AB17058"/>
    <w:rsid w:val="5AEF3A72"/>
    <w:rsid w:val="5BF4040A"/>
    <w:rsid w:val="60E156E7"/>
    <w:rsid w:val="619A0C18"/>
    <w:rsid w:val="624276AA"/>
    <w:rsid w:val="63AF7350"/>
    <w:rsid w:val="67CD6568"/>
    <w:rsid w:val="6AC77D07"/>
    <w:rsid w:val="6ADA504D"/>
    <w:rsid w:val="6B7678FF"/>
    <w:rsid w:val="6B976BD8"/>
    <w:rsid w:val="6CB21617"/>
    <w:rsid w:val="6D2862E5"/>
    <w:rsid w:val="704362EC"/>
    <w:rsid w:val="70605BAD"/>
    <w:rsid w:val="70751FB0"/>
    <w:rsid w:val="71D12984"/>
    <w:rsid w:val="71E371E1"/>
    <w:rsid w:val="75885B33"/>
    <w:rsid w:val="76281A22"/>
    <w:rsid w:val="76CB76AC"/>
    <w:rsid w:val="76E9529A"/>
    <w:rsid w:val="78E37F63"/>
    <w:rsid w:val="78F35BE9"/>
    <w:rsid w:val="7A665A45"/>
    <w:rsid w:val="7A714D45"/>
    <w:rsid w:val="7D7245BB"/>
    <w:rsid w:val="7FDB2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7"/>
    <w:qFormat/>
    <w:uiPriority w:val="99"/>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unhideWhenUsed/>
    <w:qFormat/>
    <w:uiPriority w:val="99"/>
    <w:rPr>
      <w:rFonts w:ascii="宋体"/>
      <w:sz w:val="18"/>
      <w:szCs w:val="18"/>
    </w:rPr>
  </w:style>
  <w:style w:type="paragraph" w:styleId="6">
    <w:name w:val="annotation text"/>
    <w:basedOn w:val="1"/>
    <w:link w:val="29"/>
    <w:unhideWhenUsed/>
    <w:qFormat/>
    <w:uiPriority w:val="99"/>
    <w:pPr>
      <w:jc w:val="left"/>
    </w:pPr>
  </w:style>
  <w:style w:type="paragraph" w:styleId="7">
    <w:name w:val="Body Text"/>
    <w:basedOn w:val="1"/>
    <w:link w:val="37"/>
    <w:qFormat/>
    <w:uiPriority w:val="1"/>
    <w:pPr>
      <w:ind w:left="119"/>
      <w:jc w:val="left"/>
    </w:pPr>
    <w:rPr>
      <w:rFonts w:ascii="仿宋_GB2312" w:hAnsi="仿宋_GB2312" w:eastAsia="仿宋_GB2312" w:cstheme="minorBidi"/>
      <w:kern w:val="0"/>
      <w:szCs w:val="30"/>
      <w:lang w:eastAsia="en-US"/>
    </w:rPr>
  </w:style>
  <w:style w:type="paragraph" w:styleId="8">
    <w:name w:val="Body Text Indent"/>
    <w:basedOn w:val="1"/>
    <w:unhideWhenUsed/>
    <w:qFormat/>
    <w:uiPriority w:val="99"/>
    <w:pPr>
      <w:spacing w:after="120"/>
      <w:ind w:left="420" w:leftChars="200"/>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Plain Text"/>
    <w:basedOn w:val="1"/>
    <w:qFormat/>
    <w:uiPriority w:val="0"/>
    <w:rPr>
      <w:rFonts w:ascii="宋体" w:hAnsi="Courier New"/>
      <w:szCs w:val="20"/>
    </w:rPr>
  </w:style>
  <w:style w:type="paragraph" w:styleId="11">
    <w:name w:val="Balloon Text"/>
    <w:basedOn w:val="1"/>
    <w:link w:val="28"/>
    <w:unhideWhenUsed/>
    <w:qFormat/>
    <w:uiPriority w:val="99"/>
    <w:rPr>
      <w:sz w:val="18"/>
      <w:szCs w:val="18"/>
    </w:rPr>
  </w:style>
  <w:style w:type="paragraph" w:styleId="12">
    <w:name w:val="footer"/>
    <w:basedOn w:val="1"/>
    <w:link w:val="2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annotation subject"/>
    <w:basedOn w:val="6"/>
    <w:next w:val="6"/>
    <w:link w:val="30"/>
    <w:unhideWhenUsed/>
    <w:qFormat/>
    <w:uiPriority w:val="99"/>
    <w:rPr>
      <w:b/>
      <w:bCs/>
    </w:rPr>
  </w:style>
  <w:style w:type="paragraph" w:styleId="17">
    <w:name w:val="Body Text First Indent 2"/>
    <w:basedOn w:val="8"/>
    <w:unhideWhenUsed/>
    <w:qFormat/>
    <w:uiPriority w:val="0"/>
    <w:pPr>
      <w:ind w:firstLine="420" w:firstLineChars="200"/>
    </w:pPr>
    <w:rPr>
      <w:rFonts w:ascii="Calibri" w:hAnsi="Calibri" w:cs="宋体"/>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customStyle="1" w:styleId="24">
    <w:name w:val="页眉 字符"/>
    <w:basedOn w:val="20"/>
    <w:link w:val="13"/>
    <w:qFormat/>
    <w:uiPriority w:val="99"/>
    <w:rPr>
      <w:sz w:val="18"/>
      <w:szCs w:val="18"/>
    </w:rPr>
  </w:style>
  <w:style w:type="character" w:customStyle="1" w:styleId="25">
    <w:name w:val="页脚 字符"/>
    <w:basedOn w:val="20"/>
    <w:link w:val="12"/>
    <w:qFormat/>
    <w:uiPriority w:val="0"/>
    <w:rPr>
      <w:sz w:val="18"/>
      <w:szCs w:val="18"/>
    </w:rPr>
  </w:style>
  <w:style w:type="character" w:customStyle="1" w:styleId="26">
    <w:name w:val="标题 2 字符"/>
    <w:basedOn w:val="20"/>
    <w:link w:val="3"/>
    <w:qFormat/>
    <w:uiPriority w:val="99"/>
    <w:rPr>
      <w:rFonts w:ascii="Cambria" w:hAnsi="Cambria" w:eastAsia="宋体" w:cs="Times New Roman"/>
      <w:b/>
      <w:bCs/>
      <w:kern w:val="0"/>
      <w:sz w:val="32"/>
      <w:szCs w:val="32"/>
    </w:rPr>
  </w:style>
  <w:style w:type="character" w:customStyle="1" w:styleId="27">
    <w:name w:val="标题 3 字符"/>
    <w:basedOn w:val="20"/>
    <w:link w:val="4"/>
    <w:qFormat/>
    <w:uiPriority w:val="99"/>
    <w:rPr>
      <w:rFonts w:ascii="Times New Roman" w:hAnsi="Times New Roman" w:eastAsia="宋体" w:cs="Times New Roman"/>
      <w:b/>
      <w:bCs/>
      <w:kern w:val="0"/>
      <w:sz w:val="32"/>
      <w:szCs w:val="32"/>
    </w:rPr>
  </w:style>
  <w:style w:type="character" w:customStyle="1" w:styleId="28">
    <w:name w:val="批注框文本 字符"/>
    <w:basedOn w:val="20"/>
    <w:link w:val="11"/>
    <w:semiHidden/>
    <w:qFormat/>
    <w:uiPriority w:val="99"/>
    <w:rPr>
      <w:rFonts w:ascii="Times New Roman" w:hAnsi="Times New Roman" w:eastAsia="宋体" w:cs="Times New Roman"/>
      <w:sz w:val="18"/>
      <w:szCs w:val="18"/>
    </w:rPr>
  </w:style>
  <w:style w:type="character" w:customStyle="1" w:styleId="29">
    <w:name w:val="批注文字 字符"/>
    <w:basedOn w:val="20"/>
    <w:link w:val="6"/>
    <w:qFormat/>
    <w:uiPriority w:val="99"/>
    <w:rPr>
      <w:rFonts w:ascii="Times New Roman" w:hAnsi="Times New Roman" w:eastAsia="宋体" w:cs="Times New Roman"/>
      <w:szCs w:val="21"/>
    </w:rPr>
  </w:style>
  <w:style w:type="character" w:customStyle="1" w:styleId="30">
    <w:name w:val="批注主题 字符"/>
    <w:basedOn w:val="29"/>
    <w:link w:val="16"/>
    <w:semiHidden/>
    <w:qFormat/>
    <w:uiPriority w:val="99"/>
    <w:rPr>
      <w:rFonts w:ascii="Times New Roman" w:hAnsi="Times New Roman" w:eastAsia="宋体" w:cs="Times New Roman"/>
      <w:b/>
      <w:bCs/>
      <w:szCs w:val="21"/>
    </w:rPr>
  </w:style>
  <w:style w:type="character" w:customStyle="1" w:styleId="31">
    <w:name w:val="文档结构图 字符"/>
    <w:basedOn w:val="20"/>
    <w:link w:val="5"/>
    <w:semiHidden/>
    <w:qFormat/>
    <w:uiPriority w:val="99"/>
    <w:rPr>
      <w:rFonts w:ascii="宋体" w:hAnsi="Times New Roman" w:eastAsia="宋体" w:cs="Times New Roman"/>
      <w:sz w:val="18"/>
      <w:szCs w:val="18"/>
    </w:rPr>
  </w:style>
  <w:style w:type="character" w:customStyle="1" w:styleId="32">
    <w:name w:val="标题 1 字符"/>
    <w:basedOn w:val="20"/>
    <w:link w:val="2"/>
    <w:qFormat/>
    <w:uiPriority w:val="9"/>
    <w:rPr>
      <w:rFonts w:ascii="Times New Roman" w:hAnsi="Times New Roman" w:eastAsia="宋体" w:cs="Times New Roman"/>
      <w:b/>
      <w:bCs/>
      <w:kern w:val="44"/>
      <w:sz w:val="44"/>
      <w:szCs w:val="44"/>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5">
    <w:name w:val="页码 New New"/>
    <w:basedOn w:val="20"/>
    <w:qFormat/>
    <w:uiPriority w:val="0"/>
  </w:style>
  <w:style w:type="paragraph" w:customStyle="1" w:styleId="36">
    <w:name w:val="列表段落1"/>
    <w:basedOn w:val="1"/>
    <w:qFormat/>
    <w:uiPriority w:val="34"/>
    <w:pPr>
      <w:ind w:firstLine="420" w:firstLineChars="200"/>
    </w:pPr>
  </w:style>
  <w:style w:type="character" w:customStyle="1" w:styleId="37">
    <w:name w:val="正文文本 字符"/>
    <w:basedOn w:val="20"/>
    <w:link w:val="7"/>
    <w:qFormat/>
    <w:uiPriority w:val="1"/>
    <w:rPr>
      <w:rFonts w:ascii="仿宋_GB2312" w:hAnsi="仿宋_GB2312" w:eastAsia="仿宋_GB2312"/>
      <w:kern w:val="0"/>
      <w:sz w:val="30"/>
      <w:szCs w:val="30"/>
      <w:lang w:eastAsia="en-US"/>
    </w:rPr>
  </w:style>
  <w:style w:type="character" w:customStyle="1" w:styleId="38">
    <w:name w:val="未处理的提及1"/>
    <w:basedOn w:val="20"/>
    <w:unhideWhenUsed/>
    <w:qFormat/>
    <w:uiPriority w:val="99"/>
    <w:rPr>
      <w:color w:val="605E5C"/>
      <w:shd w:val="clear" w:color="auto" w:fill="E1DFDD"/>
    </w:rPr>
  </w:style>
  <w:style w:type="paragraph" w:customStyle="1" w:styleId="39">
    <w:name w:val="修订2"/>
    <w:hidden/>
    <w:semiHidden/>
    <w:qFormat/>
    <w:uiPriority w:val="99"/>
    <w:rPr>
      <w:rFonts w:ascii="仿宋" w:hAnsi="Times New Roman" w:eastAsia="仿宋" w:cs="Times New Roman"/>
      <w:kern w:val="30"/>
      <w:sz w:val="30"/>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ed26bfa8-2239-4ab5-bcb6-2ce516daf791</errorID>
      <errorWord>，</errorWord>
      <group>L1_Word</group>
      <groupName>字词问题</groupName>
      <ability>L2_Typo</ability>
      <abilityName>字词错误</abilityName>
      <candidateList>
        <item>，该</item>
      </candidateList>
      <explain/>
      <paraID>12DC94DB</paraID>
      <start>103</start>
      <end>104</end>
      <status>unmodified</status>
      <modifiedWord/>
      <trackRevisions>false</trackRevisions>
    </reviewItem>
    <reviewItem>
      <errorID>f756aab0-b4a3-4c5a-b8f3-69c5123bd241</errorID>
      <errorWord>昭通市</errorWord>
      <group>L1_AI</group>
      <groupName>深度校对</groupName>
      <ability>L2_AI_Punc</ability>
      <abilityName>标点纠错</abilityName>
      <candidateList>
        <item>，昭通市</item>
      </candidateList>
      <explain/>
      <paraID>12DC94DB</paraID>
      <start>210</start>
      <end>213</end>
      <status>unmodified</status>
      <modifiedWord/>
      <trackRevisions>false</trackRevisions>
    </reviewItem>
    <reviewItem>
      <errorID>2240bf72-8b03-460e-92cc-4f06824a120d</errorID>
      <errorWord>就关于</errorWord>
      <group>L1_AI</group>
      <groupName>深度校对</groupName>
      <ability>L2_AI_Grammar</ability>
      <abilityName>语法纠错</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12DC94DB</paraID>
      <start>221</start>
      <end>224</end>
      <status>unmodified</status>
      <modifiedWord/>
      <trackRevisions>false</trackRevisions>
    </reviewItem>
    <reviewItem>
      <errorID>4d60135f-cf6c-414e-bad7-2fa3017dd403</errorID>
      <errorWord>开展对</errorWord>
      <group>L1_AI</group>
      <groupName>深度校对</groupName>
      <ability>L2_AI_Grammar</ability>
      <abilityName>语法纠错</abilityName>
      <candidateList>
        <item>开展</item>
      </candidateList>
      <explain>〈动〉展览会开始展出：一年一度的春节花展明天～。</explain>
      <paraID>12DC94DB</paraID>
      <start>277</start>
      <end>280</end>
      <status>unmodified</status>
      <modifiedWord/>
      <trackRevisions>false</trackRevisions>
    </reviewItem>
    <reviewItem>
      <errorID>ca4292db-3304-4e4f-9211-c0d5e715dc85</errorID>
      <errorWord>-</errorWord>
      <group>L1_Format</group>
      <groupName>格式问题</groupName>
      <ability>L2_HalfPunc</ability>
      <abilityName>全半角检查</abilityName>
      <candidateList>
        <item>－</item>
      </candidateList>
      <explain>文本全半角错误。</explain>
      <paraID>12DC94DB</paraID>
      <start>302</start>
      <end>303</end>
      <status>unmodified</status>
      <modifiedWord/>
      <trackRevisions>false</trackRevisions>
    </reviewItem>
    <reviewItem>
      <errorID>3de9cf98-4c22-45dc-9b0f-c47bb08bcdf6</errorID>
      <errorWord>水土防治</errorWord>
      <group>L1_Word</group>
      <groupName>字词问题</groupName>
      <ability>L2_Typo</ability>
      <abilityName>字词错误</abilityName>
      <candidateList>
        <item>水土流失防治</item>
      </candidateList>
      <explain/>
      <paraID>12DC94DB</paraID>
      <start>321</start>
      <end>325</end>
      <status>unmodified</status>
      <modifiedWord/>
      <trackRevisions>false</trackRevisions>
    </reviewItem>
    <reviewItem>
      <errorID>0545b517-e641-405c-8c98-86fb2d8dc7fa</errorID>
      <errorWord>生态的</errorWord>
      <group>L1_Word</group>
      <groupName>字词问题</groupName>
      <ability>L2_Typo</ability>
      <abilityName>字词错误</abilityName>
      <candidateList>
        <item>生态</item>
      </candidateList>
      <explain/>
      <paraID>12DC94DB</paraID>
      <start>328</start>
      <end>331</end>
      <status>unmodified</status>
      <modifiedWord/>
      <trackRevisions>false</trackRevisions>
    </reviewItem>
    <reviewItem>
      <errorID>09826392-f6f1-48af-9359-f29e3dfc9465</errorID>
      <errorWord>集镇区及沿河村庄污水管网及污水处理设施建设、集镇区及沿河村庄垃圾收运系统完善、农业面源污染防治、河道内源治理等工程内容的实施</errorWord>
      <group>L1_AI</group>
      <groupName>深度校对</groupName>
      <ability>L2_AI_Grammar</ability>
      <abilityName>语法纠错</abilityName>
      <candidateList>
        <item>实施集镇区及沿河村庄污水管网及污水处理设施建设、集镇区及沿河村庄垃圾收运系统完善、农业面源污染防治、河道内源治理等工程内容</item>
      </candidateList>
      <explain/>
      <paraID>43002B4F</paraID>
      <start>68</start>
      <end>130</end>
      <status>unmodified</status>
      <modifiedWord/>
      <trackRevisions>false</trackRevisions>
    </reviewItem>
    <reviewItem>
      <errorID>c4483a83-771f-42b2-a177-c1b41e336133</errorID>
      <errorWord>污染</errorWord>
      <group>L1_AI</group>
      <groupName>深度校对</groupName>
      <ability>L2_AI_Grammar</ability>
      <abilityName>语法纠错</abilityName>
      <candidateList>
        <item>的污染</item>
      </candidateList>
      <explain/>
      <paraID>43002B4F</paraID>
      <start>146</start>
      <end>148</end>
      <status>unmodified</status>
      <modifiedWord/>
      <trackRevisions>false</trackRevisions>
    </reviewItem>
    <reviewItem>
      <errorID>a9c29471-ab98-430e-ab1b-0315866a7cf3</errorID>
      <errorWord>保证</errorWord>
      <group>L1_AI</group>
      <groupName>深度校对</groupName>
      <ability>L2_AI_Word</ability>
      <abilityName>字词纠错</abilityName>
      <candidateList>
        <item>确保</item>
      </candidateList>
      <explain>〈动〉确实地保持或保证：～交通畅通｜加强田间管理，～粮食丰收。</explain>
      <paraID>43002B4F</paraID>
      <start>151</start>
      <end>153</end>
      <status>unmodified</status>
      <modifiedWord/>
      <trackRevisions>false</trackRevisions>
    </reviewItem>
    <reviewItem>
      <errorID>6b515a58-3d71-4a3d-9f77-c9106a347e39</errorID>
      <errorWord>，项目</errorWord>
      <group>L1_AI</group>
      <groupName>深度校对</groupName>
      <ability>L2_AI_Grammar</ability>
      <abilityName>语法纠错</abilityName>
      <candidateList>
        <item>。</item>
      </candidateList>
      <explain/>
      <paraID>43002B4F</paraID>
      <start>164</start>
      <end>167</end>
      <status>unmodified</status>
      <modifiedWord/>
      <trackRevisions>false</trackRevisions>
    </reviewItem>
    <reviewItem>
      <errorID>3f4dd19d-de5e-492f-b33b-2a553eec49cd</errorID>
      <errorWord>：</errorWord>
      <group>L1_AI</group>
      <groupName>深度校对</groupName>
      <ability>L2_AI_Grammar</ability>
      <abilityName>语法纠错</abilityName>
      <candidateList>
        <item>，分别为</item>
      </candidateList>
      <explain/>
      <paraID>43002B4F</paraID>
      <start>186</start>
      <end>187</end>
      <status>unmodified</status>
      <modifiedWord/>
      <trackRevisions>false</trackRevisions>
    </reviewItem>
    <reviewItem>
      <errorID>e1f8dc8e-ad03-45fc-8898-46479eefc944</errorID>
      <errorWord>。</errorWord>
      <group>L1_AI</group>
      <groupName>深度校对</groupName>
      <ability>L2_AI_Punc</ability>
      <abilityName>标点纠错</abilityName>
      <candidateList>
        <item>；</item>
      </candidateList>
      <explain/>
      <paraID>43002B4F</paraID>
      <start>353</start>
      <end>354</end>
      <status>unmodified</status>
      <modifiedWord/>
      <trackRevisions>false</trackRevisions>
    </reviewItem>
    <reviewItem>
      <errorID>836b08a0-bd91-49a9-b713-d7d418d1bfe3</errorID>
      <errorWord>,</errorWord>
      <group>L1_Format</group>
      <groupName>格式问题</groupName>
      <ability>L2_HalfPunc</ability>
      <abilityName>全半角检查</abilityName>
      <candidateList>
        <item>，</item>
      </candidateList>
      <explain>文本全半角错误。</explain>
      <paraID>4A9A4900</paraID>
      <start>31</start>
      <end>32</end>
      <status>unmodified</status>
      <modifiedWord/>
      <trackRevisions>false</trackRevisions>
    </reviewItem>
    <reviewItem>
      <errorID>b7e63e8c-602e-4576-879e-55e4af356c85</errorID>
      <errorWord>：</errorWord>
      <group>L1_AI</group>
      <groupName>深度校对</groupName>
      <ability>L2_AI_Punc</ability>
      <abilityName>标点纠错</abilityName>
      <candidateList>
        <item>，</item>
      </candidateList>
      <explain/>
      <paraID>4A9A4900</paraID>
      <start>34</start>
      <end>35</end>
      <status>unmodified</status>
      <modifiedWord/>
      <trackRevisions>false</trackRevisions>
    </reviewItem>
    <reviewItem>
      <errorID>c1f92f42-961f-451f-bf3b-95770df1cbd8</errorID>
      <errorWord>债劵</errorWord>
      <group>L1_AI</group>
      <groupName>深度校对</groupName>
      <ability>L2_AI_Word</ability>
      <abilityName>字词纠错</abilityName>
      <candidateList>
        <item>债券</item>
      </candidateList>
      <explain>〈名〉❶公债券。❷企业、银行或股份公司发行的债权人领取本息的凭证。</explain>
      <paraID>4A9A4900</paraID>
      <start>54</start>
      <end>56</end>
      <status>unmodified</status>
      <modifiedWord/>
      <trackRevisions>false</trackRevisions>
    </reviewItem>
    <reviewItem>
      <errorID>3b88126d-0b25-49d5-b0e5-50e452609f67</errorID>
      <errorWord>100</errorWord>
      <group>L1_AI</group>
      <groupName>深度校对</groupName>
      <ability>L2_AI_Grammar</ability>
      <abilityName>语法纠错</abilityName>
      <candidateList>
        <item>为100</item>
      </candidateList>
      <explain/>
      <paraID>4A9A4900</paraID>
      <start>108</start>
      <end>111</end>
      <status>unmodified</status>
      <modifiedWord/>
      <trackRevisions>false</trackRevisions>
    </reviewItem>
    <reviewItem>
      <errorID>c758349c-f441-4330-b271-d354b4dfc3cd</errorID>
      <errorWord>《</errorWord>
      <group>L1_AI</group>
      <groupName>深度校对</groupName>
      <ability>L2_AI_Grammar</ability>
      <abilityName>语法纠错</abilityName>
      <candidateList>
        <item>根据《</item>
      </candidateList>
      <explain/>
      <paraID> 2624FAF</paraID>
      <start>0</start>
      <end>1</end>
      <status>unmodified</status>
      <modifiedWord/>
      <trackRevisions>false</trackRevisions>
    </reviewItem>
    <reviewItem>
      <errorID>80587d33-0831-46c8-ab0e-0c9e60af0317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2624FAF</paraID>
      <start>23</start>
      <end>26</end>
      <status>unmodified</status>
      <modifiedWord/>
      <trackRevisions>false</trackRevisions>
    </reviewItem>
    <reviewItem>
      <errorID>fda73a30-1e4b-4ba6-9df9-6b8b2c680fc6</errorID>
      <errorWord>,</errorWord>
      <group>L1_Format</group>
      <groupName>格式问题</groupName>
      <ability>L2_HalfPunc</ability>
      <abilityName>全半角检查</abilityName>
      <candidateList>
        <item>，</item>
      </candidateList>
      <explain>文本全半角错误。</explain>
      <paraID> 2624FAF</paraID>
      <start>56</start>
      <end>57</end>
      <status>unmodified</status>
      <modifiedWord/>
      <trackRevisions>false</trackRevisions>
    </reviewItem>
    <reviewItem>
      <errorID>9606cf86-4deb-4615-b921-85992df84757</errorID>
      <errorWord>,根据</errorWord>
      <group>L1_AI</group>
      <groupName>深度校对</groupName>
      <ability>L2_AI_Word</ability>
      <abilityName>字词纠错</abilityName>
      <candidateList>
        <item>。依据</item>
      </candidateList>
      <explain/>
      <paraID> 2624FAF</paraID>
      <start>82</start>
      <end>85</end>
      <status>unmodified</status>
      <modifiedWord/>
      <trackRevisions>false</trackRevisions>
    </reviewItem>
    <reviewItem>
      <errorID>5f77c8d0-c017-4501-8564-b3bdbb400714</errorID>
      <errorWord>,</errorWord>
      <group>L1_Format</group>
      <groupName>格式问题</groupName>
      <ability>L2_HalfPunc</ability>
      <abilityName>全半角检查</abilityName>
      <candidateList>
        <item>，</item>
      </candidateList>
      <explain>文本全半角错误。</explain>
      <paraID> 2624FAF</paraID>
      <start>110</start>
      <end>111</end>
      <status>unmodified</status>
      <modifiedWord/>
      <trackRevisions>false</trackRevisions>
    </reviewItem>
    <reviewItem>
      <errorID>c2c1f2f3-e672-4c64-8230-fb60a36e2cc5</errorID>
      <errorWord>根据</errorWord>
      <group>L1_AI</group>
      <groupName>深度校对</groupName>
      <ability>L2_AI_Grammar</ability>
      <abilityName>语法纠错</abilityName>
      <candidateList>
        <item>并按照</item>
      </candidateList>
      <explain/>
      <paraID> 2624FAF</paraID>
      <start>124</start>
      <end>126</end>
      <status>unmodified</status>
      <modifiedWord/>
      <trackRevisions>false</trackRevisions>
    </reviewItem>
    <reviewItem>
      <errorID>dd9f8631-65c9-445a-83d3-7e0049ede584</errorID>
      <errorWord>、</errorWord>
      <group>L1_AI</group>
      <groupName>深度校对</groupName>
      <ability>L2_AI_Grammar</ability>
      <abilityName>语法纠错</abilityName>
      <candidateList>
        <item>项目</item>
      </candidateList>
      <explain>〈名〉事物分成的门类：服务～｜体育～｜建设～。</explain>
      <paraID> 2624FAF</paraID>
      <start>145</start>
      <end>146</end>
      <status>unmodified</status>
      <modifiedWord/>
      <trackRevisions>false</trackRevisions>
    </reviewItem>
    <reviewItem>
      <errorID>21c13190-9264-41a7-8fda-925a22252f71</errorID>
      <errorWord>项目</errorWord>
      <group>L1_AI</group>
      <groupName>深度校对</groupName>
      <ability>L2_AI_Word</ability>
      <abilityName>字词纠错</abilityName>
      <candidateList>
        <item>工作</item>
      </candidateList>
      <explain>❶〈动〉从事体力或脑力劳动，也泛指机器、工具受人操纵而发挥生产作用：积极～｜开始～｜铲土机正在～。❷〈名〉职业：找～｜～没有贵贱之分。❸〈名〉业务；任务：～量｜宣传～｜工会～｜科学研究～。</explain>
      <paraID> 2624FAF</paraID>
      <start>148</start>
      <end>150</end>
      <status>unmodified</status>
      <modifiedWord/>
      <trackRevisions>false</trackRevisions>
    </reviewItem>
    <reviewItem>
      <errorID>fe1544a9-6518-4aae-90a8-72908d0a2f7b</errorID>
      <errorWord>专债</errorWord>
      <group>L1_AI</group>
      <groupName>深度校对</groupName>
      <ability>L2_AI_Grammar</ability>
      <abilityName>语法纠错</abilityName>
      <candidateList>
        <item>专项债券</item>
      </candidateList>
      <explain/>
      <paraID>39171F06</paraID>
      <start>16</start>
      <end>18</end>
      <status>unmodified</status>
      <modifiedWord/>
      <trackRevisions>false</trackRevisions>
    </reviewItem>
    <reviewItem>
      <errorID>d2eca135-ddaa-468c-9e7f-7b1f7928b2ce</errorID>
      <errorWord>看</errorWord>
      <group>L1_AI</group>
      <groupName>深度校对</groupName>
      <ability>L2_AI_Grammar</ability>
      <abilityName>语法纠错</abilityName>
      <candidateList>
        <item>来看</item>
      </candidateList>
      <explain/>
      <paraID>39171F06</paraID>
      <start>32</start>
      <end>33</end>
      <status>unmodified</status>
      <modifiedWord/>
      <trackRevisions>false</trackRevisions>
    </reviewItem>
    <reviewItem>
      <errorID>bb9b9906-e281-4804-9e4f-c9245b008533</errorID>
      <errorWord>总体已于2020年8月31日</errorWord>
      <group>L1_AI</group>
      <groupName>深度校对</groupName>
      <ability>L2_AI_Word</ability>
      <abilityName>字词纠错</abilityName>
      <candidateList>
        <item>已于2020年8月31日整体</item>
      </candidateList>
      <explain/>
      <paraID>39171F06</paraID>
      <start>36</start>
      <end>50</end>
      <status>unmodified</status>
      <modifiedWord/>
      <trackRevisions>false</trackRevisions>
    </reviewItem>
    <reviewItem>
      <errorID>cf3c3cce-c76d-48ce-9766-217ab1d7c31f</errorID>
      <errorWord>，</errorWord>
      <group>L1_AI</group>
      <groupName>深度校对</groupName>
      <ability>L2_AI_Punc</ability>
      <abilityName>标点纠错</abilityName>
      <candidateList>
        <item/>
      </candidateList>
      <explain/>
      <paraID>39171F06</paraID>
      <start>88</start>
      <end>89</end>
      <status>unmodified</status>
      <modifiedWord/>
      <trackRevisions>false</trackRevisions>
    </reviewItem>
    <reviewItem>
      <errorID>ea495808-ba49-4260-bafe-10c9bbe47c95</errorID>
      <errorWord>学校</errorWord>
      <group>L1_AI</group>
      <groupName>深度校对</groupName>
      <ability>L2_AI_Punc</ability>
      <abilityName>标点纠错</abilityName>
      <candidateList>
        <item>，学校</item>
      </candidateList>
      <explain/>
      <paraID>6099FBC6</paraID>
      <start>9</start>
      <end>11</end>
      <status>unmodified</status>
      <modifiedWord/>
      <trackRevisions>false</trackRevisions>
    </reviewItem>
    <reviewItem>
      <errorID>6b3d8d0b-6e37-4359-8aaf-2f110b727848</errorID>
      <errorWord>有：</errorWord>
      <group>L1_AI</group>
      <groupName>深度校对</groupName>
      <ability>L2_AI_Grammar</ability>
      <abilityName>语法纠错</abilityName>
      <candidateList>
        <item>了</item>
      </candidateList>
      <explain>（瞭）liǎo明白；懂得：～然｜～解｜明～｜～如指掌。</explain>
      <paraID>6099FBC6</paraID>
      <start>48</start>
      <end>50</end>
      <status>unmodified</status>
      <modifiedWord/>
      <trackRevisions>false</trackRevisions>
    </reviewItem>
    <reviewItem>
      <errorID>0a8998f1-976a-423f-b29a-504f2205e79a</errorID>
      <errorWord>，其中</errorWord>
      <group>L1_AI</group>
      <groupName>深度校对</groupName>
      <ability>L2_AI_Grammar</ability>
      <abilityName>语法纠错</abilityName>
      <candidateList>
        <item>。其中，</item>
      </candidateList>
      <explain/>
      <paraID>6099FBC6</paraID>
      <start>87</start>
      <end>90</end>
      <status>unmodified</status>
      <modifiedWord/>
      <trackRevisions>false</trackRevisions>
    </reviewItem>
    <reviewItem>
      <errorID>45b2697c-955c-4138-b136-38965166828e</errorID>
      <errorWord>、优化了</errorWord>
      <group>L1_AI</group>
      <groupName>深度校对</groupName>
      <ability>L2_AI_Grammar</ability>
      <abilityName>语法纠错</abilityName>
      <candidateList>
        <item>以及</item>
      </candidateList>
      <explain>〈连〉连接并列的词或词组（“以及”前面往往是主要的）：院子里种着大丽花、矢车菊、夹竹桃～其他的花木。</explain>
      <paraID>6099FBC6</paraID>
      <start>173</start>
      <end>177</end>
      <status>unmodified</status>
      <modifiedWord/>
      <trackRevisions>false</trackRevisions>
    </reviewItem>
    <reviewItem>
      <errorID>85b117ba-9c77-4bb0-81b1-0fd4ed6a1cd6</errorID>
      <errorWord>学校的</errorWord>
      <group>L1_AI</group>
      <groupName>深度校对</groupName>
      <ability>L2_AI_Grammar</ability>
      <abilityName>语法纠错</abilityName>
      <candidateList>
        <item>学校</item>
      </candidateList>
      <explain/>
      <paraID>6099FBC6</paraID>
      <start>177</start>
      <end>180</end>
      <status>unmodified</status>
      <modifiedWord/>
      <trackRevisions>false</trackRevisions>
    </reviewItem>
    <reviewItem>
      <errorID>5553f082-1e8e-419d-8f20-aae5b2ba0df7</errorID>
      <errorWord>等</errorWord>
      <group>L1_AI</group>
      <groupName>深度校对</groupName>
      <ability>L2_AI_Grammar</ability>
      <abilityName>语法纠错</abilityName>
      <candidateList>
        <item>优化等</item>
      </candidateList>
      <explain/>
      <paraID>6099FBC6</paraID>
      <start>186</start>
      <end>187</end>
      <status>unmodified</status>
      <modifiedWord/>
      <trackRevisions>false</trackRevisions>
    </reviewItem>
    <reviewItem>
      <errorID>39bbc538-2f45-4085-b5ad-357837e5f903</errorID>
      <errorWord>反映</errorWord>
      <group>L1_AI</group>
      <groupName>深度校对</groupName>
      <ability>L2_AI_Word</ability>
      <abilityName>字词纠错</abilityName>
      <candidateList>
        <item>反馈</item>
      </candidateList>
      <explain/>
      <paraID>6099FBC6</paraID>
      <start>192</start>
      <end>194</end>
      <status>unmodified</status>
      <modifiedWord/>
      <trackRevisions>false</trackRevisions>
    </reviewItem>
    <reviewItem>
      <errorID>b23291fa-e6be-4dc8-afc4-08c31d2c66ff</errorID>
      <errorWord>促进</errorWord>
      <group>L1_AI</group>
      <groupName>深度校对</groupName>
      <ability>L2_AI_Grammar</ability>
      <abilityName>语法纠错</abilityName>
      <candidateList>
        <item>上促进</item>
      </candidateList>
      <explain/>
      <paraID>6099FBC6</paraID>
      <start>213</start>
      <end>215</end>
      <status>unmodified</status>
      <modifiedWord/>
      <trackRevisions>false</trackRevisions>
    </reviewItem>
    <reviewItem>
      <errorID>d8638eda-b25e-46dc-bd8a-64afae828197</errorID>
      <errorWord>、</errorWord>
      <group>L1_AI</group>
      <groupName>深度校对</groupName>
      <ability>L2_AI_Punc</ability>
      <abilityName>标点纠错</abilityName>
      <candidateList>
        <item>，</item>
      </candidateList>
      <explain/>
      <paraID>6099FBC6</paraID>
      <start>267</start>
      <end>268</end>
      <status>unmodified</status>
      <modifiedWord/>
      <trackRevisions>false</trackRevisions>
    </reviewItem>
    <reviewItem>
      <errorID>03610804-fc2b-4bbf-9ed0-e7dfa1451292</errorID>
      <errorWord>及</errorWord>
      <group>L1_AI</group>
      <groupName>深度校对</groupName>
      <ability>L2_AI_Grammar</ability>
      <abilityName>语法纠错</abilityName>
      <candidateList>
        <item>以及</item>
      </candidateList>
      <explain>〈连〉连接并列的词或词组（“以及”前面往往是主要的）：院子里种着大丽花、矢车菊、夹竹桃～其他的花木。</explain>
      <paraID>6099FBC6</paraID>
      <start>275</start>
      <end>276</end>
      <status>unmodified</status>
      <modifiedWord/>
      <trackRevisions>false</trackRevisions>
    </reviewItem>
    <reviewItem>
      <errorID>f73adc62-8707-4d67-a9c7-83c45f51e8ae</errorID>
      <errorWord>的</errorWord>
      <group>L1_AI</group>
      <groupName>深度校对</groupName>
      <ability>L2_AI_Word</ability>
      <abilityName>字词纠错</abilityName>
      <candidateList>
        <item>等</item>
      </candidateList>
      <explain>〈助〉❶〈书〉用在人称代词或指人的名词后面，表示复数：我～｜彼～。❷表示列举未尽（可以叠用）：北京、天津～地｜纸张文具～～。❸列举后煞尾：长江、黄河、黑龙江、珠江～四大河流。</explain>
      <paraID>6099FBC6</paraID>
      <start>286</start>
      <end>287</end>
      <status>unmodified</status>
      <modifiedWord/>
      <trackRevisions>false</trackRevisions>
    </reviewItem>
    <reviewItem>
      <errorID>36276db1-3654-496d-95d9-695921c6613c</errorID>
      <errorWord>，</errorWord>
      <group>L1_AI</group>
      <groupName>深度校对</groupName>
      <ability>L2_AI_Punc</ability>
      <abilityName>标点纠错</abilityName>
      <candidateList>
        <item>。</item>
      </candidateList>
      <explain/>
      <paraID>1EBF3BC0</paraID>
      <start>11</start>
      <end>12</end>
      <status>unmodified</status>
      <modifiedWord/>
      <trackRevisions>false</trackRevisions>
    </reviewItem>
    <reviewItem>
      <errorID>99c54fe8-b037-49d6-8528-bbb967d1a0b0</errorID>
      <errorWord>组织</errorWord>
      <group>L1_AI</group>
      <groupName>深度校对</groupName>
      <ability>L2_AI_Punc</ability>
      <abilityName>标点纠错</abilityName>
      <candidateList>
        <item>，组织</item>
      </candidateList>
      <explain/>
      <paraID>1EBF3BC0</paraID>
      <start>18</start>
      <end>20</end>
      <status>unmodified</status>
      <modifiedWord/>
      <trackRevisions>false</trackRevisions>
    </reviewItem>
    <reviewItem>
      <errorID>40008af2-e858-418b-be01-5d57ff4782ee</errorID>
      <errorWord>是进行</errorWord>
      <group>L1_Grammar</group>
      <groupName>语法问题</groupName>
      <ability>L2_Order</ability>
      <abilityName>语序不当</abilityName>
      <candidateList>
        <item>是</item>
      </candidateList>
      <explain>句子可能没有遵循时空、逻辑顺序，或者介词、关联词等位置不当。</explain>
      <paraID>1EBF3BC0</paraID>
      <start>27</start>
      <end>30</end>
      <status>unmodified</status>
      <modifiedWord/>
      <trackRevisions>false</trackRevisions>
    </reviewItem>
    <reviewItem>
      <errorID>4ea67412-874c-41fd-9f52-a5b42a7b3696</errorID>
      <errorWord>暂定拟定</errorWord>
      <group>L1_AI</group>
      <groupName>深度校对</groupName>
      <ability>L2_AI_Grammar</ability>
      <abilityName>语法纠错</abilityName>
      <candidateList>
        <item>暂定</item>
      </candidateList>
      <explain/>
      <paraID>1EBF3BC0</paraID>
      <start>35</start>
      <end>39</end>
      <status>unmodified</status>
      <modifiedWord/>
      <trackRevisions>false</trackRevisions>
    </reviewItem>
    <reviewItem>
      <errorID>9b85163f-87ce-4a0e-a297-707d900c1b11</errorID>
      <errorWord>，</errorWord>
      <group>L1_AI</group>
      <groupName>深度校对</groupName>
      <ability>L2_AI_Grammar</ability>
      <abilityName>语法纠错</abilityName>
      <candidateList>
        <item>进行拟定；</item>
      </candidateList>
      <explain/>
      <paraID>1EBF3BC0</paraID>
      <start>50</start>
      <end>51</end>
      <status>unmodified</status>
      <modifiedWord/>
      <trackRevisions>false</trackRevisions>
    </reviewItem>
    <reviewItem>
      <errorID>c6ae2fc4-4603-4533-abd0-f9653cb32d80</errorID>
      <errorWord>进行了</errorWord>
      <group>L1_AI</group>
      <groupName>深度校对</groupName>
      <ability>L2_AI_Grammar</ability>
      <abilityName>语法纠错</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1EBF3BC0</paraID>
      <start>57</start>
      <end>60</end>
      <status>unmodified</status>
      <modifiedWord/>
      <trackRevisions>false</trackRevisions>
    </reviewItem>
    <reviewItem>
      <errorID>adb840e8-f413-4257-8066-05495ff5dcbe</errorID>
      <errorWord>预期</errorWord>
      <group>L1_AI</group>
      <groupName>深度校对</groupName>
      <ability>L2_AI_Grammar</ability>
      <abilityName>语法纠错</abilityName>
      <candidateList>
        <item>进行了预期</item>
      </candidateList>
      <explain/>
      <paraID>1EBF3BC0</paraID>
      <start>72</start>
      <end>74</end>
      <status>unmodified</status>
      <modifiedWord/>
      <trackRevisions>false</trackRevisions>
    </reviewItem>
    <reviewItem>
      <errorID>fddbc350-0f55-4d1b-905c-21c514ea433e</errorID>
      <errorWord>但就</errorWord>
      <group>L1_AI</group>
      <groupName>深度校对</groupName>
      <ability>L2_AI_Grammar</ability>
      <abilityName>语法纠错</abilityName>
      <candidateList>
        <item>但</item>
      </candidateList>
      <explain>❶〈副〉只；仅仅：～愿如此｜不求有功，～求无过｜辽阔的原野上，～见麦浪随风起伏。❷〈连〉但是：屋子小，～挺干净｜工作虽然忙，～一点也没放松学习。❸（Dàn）〈名〉姓。</explain>
      <paraID>1EBF3BC0</paraID>
      <start>75</start>
      <end>77</end>
      <status>unmodified</status>
      <modifiedWord/>
      <trackRevisions>false</trackRevisions>
    </reviewItem>
    <reviewItem>
      <errorID>458f2d44-e15a-46f9-87dd-c338822afe38</errorID>
      <errorWord>预计经</errorWord>
      <group>L1_AI</group>
      <groupName>深度校对</groupName>
      <ability>L2_AI_Grammar</ability>
      <abilityName>语法纠错</abilityName>
      <candidateList>
        <item>预计</item>
      </candidateList>
      <explain/>
      <paraID>1EBF3BC0</paraID>
      <start>83</start>
      <end>86</end>
      <status>unmodified</status>
      <modifiedWord/>
      <trackRevisions>false</trackRevisions>
    </reviewItem>
    <reviewItem>
      <errorID>d5c8ca67-aee1-4929-a845-74986f7787a5</errorID>
      <errorWord>经济效益</errorWord>
      <group>L1_Word</group>
      <groupName>字词问题</groupName>
      <ability>L2_Typo</ability>
      <abilityName>字词错误</abilityName>
      <candidateList>
        <item>济效益</item>
      </candidateList>
      <explain/>
      <paraID>1EBF3BC0</paraID>
      <start>86</start>
      <end>90</end>
      <status>unmodified</status>
      <modifiedWord/>
      <trackRevisions>false</trackRevisions>
    </reviewItem>
    <reviewItem>
      <errorID>0d1ff9a6-8d03-4dea-bd8c-f10199418e3b</errorID>
      <errorWord>-</errorWord>
      <group>L1_Format</group>
      <groupName>格式问题</groupName>
      <ability>L2_HalfPunc</ability>
      <abilityName>全半角检查</abilityName>
      <candidateList>
        <item>－</item>
      </candidateList>
      <explain>文本全半角错误。</explain>
      <paraID>1EBF3BC0</paraID>
      <start>92</start>
      <end>93</end>
      <status>unmodified</status>
      <modifiedWord/>
      <trackRevisions>false</trackRevisions>
    </reviewItem>
    <reviewItem>
      <errorID>c5dcaba1-b54d-437e-89da-6cb32dca3480</errorID>
      <errorWord>（3.5亿元）项目建成后</errorWord>
      <group>L1_AI</group>
      <groupName>深度校对</groupName>
      <ability>L2_AI_Word</ability>
      <abilityName>字词纠错</abilityName>
      <candidateList>
        <item>项目建成后（3.5亿元）</item>
      </candidateList>
      <explain/>
      <paraID>1EBF3BC0</paraID>
      <start>112</start>
      <end>124</end>
      <status>unmodified</status>
      <modifiedWord/>
      <trackRevisions>false</trackRevisions>
    </reviewItem>
    <reviewItem>
      <errorID>cb1142da-1953-45ad-a545-b7b13cf215b1</errorID>
      <errorWord>截止</errorWord>
      <group>L1_AI</group>
      <groupName>深度校对</groupName>
      <ability>L2_AI_Word</ability>
      <abilityName>字词纠错</abilityName>
      <candidateList>
        <item>截至</item>
      </candidateList>
      <explain>〈动〉截止到（某个时候）：报名日期～本月底。</explain>
      <paraID>1EBF3BC0</paraID>
      <start>125</start>
      <end>127</end>
      <status>unmodified</status>
      <modifiedWord/>
      <trackRevisions>false</trackRevisions>
    </reviewItem>
    <reviewItem>
      <errorID>83bdb0e9-3764-43e1-aaf9-ca4ed07edd10</errorID>
      <errorWord>资金投资、</errorWord>
      <group>L1_AI</group>
      <groupName>深度校对</groupName>
      <ability>L2_AI_Grammar</ability>
      <abilityName>语法纠错</abilityName>
      <candidateList>
        <item>资金</item>
      </candidateList>
      <explain/>
      <paraID>4C54B83D</paraID>
      <start>49</start>
      <end>54</end>
      <status>unmodified</status>
      <modifiedWord/>
      <trackRevisions>false</trackRevisions>
    </reviewItem>
    <reviewItem>
      <errorID>f7f4a000-4a3e-41b4-ab78-7af8a5bf994e</errorID>
      <errorWord>镇</errorWord>
      <group>L1_AI</group>
      <groupName>深度校对</groupName>
      <ability>L2_AI_Punc</ability>
      <abilityName>标点纠错</abilityName>
      <candidateList>
        <item>《镇</item>
      </candidateList>
      <explain/>
      <paraID>71D18059</paraID>
      <start>9</start>
      <end>10</end>
      <status>unmodified</status>
      <modifiedWord/>
      <trackRevisions>false</trackRevisions>
    </reviewItem>
    <reviewItem>
      <errorID>b7c28226-1949-4348-a933-705e590d1492</errorID>
      <errorWord>2015-</errorWord>
      <group>L1_AI</group>
      <groupName>深度校对</groupName>
      <ability>L2_AI_Punc</ability>
      <abilityName>标点纠错</abilityName>
      <candidateList>
        <item>〔2015〕</item>
      </candidateList>
      <explain/>
      <paraID>71D18059</paraID>
      <start>12</start>
      <end>17</end>
      <status>unmodified</status>
      <modifiedWord/>
      <trackRevisions>false</trackRevisions>
    </reviewItem>
    <reviewItem>
      <errorID>f3be86f6-f329-4b06-8825-cfcffc9b677e</errorID>
      <errorWord>镇雄县</errorWord>
      <group>L1_AI</group>
      <groupName>深度校对</groupName>
      <ability>L2_AI_Grammar</ability>
      <abilityName>语法纠错</abilityName>
      <candidateList>
        <item>号镇雄县</item>
      </candidateList>
      <explain/>
      <paraID>71D18059</paraID>
      <start>19</start>
      <end>22</end>
      <status>unmodified</status>
      <modifiedWord/>
      <trackRevisions>false</trackRevisions>
    </reviewItem>
    <reviewItem>
      <errorID>c4baefdf-9dd2-4fa5-b0da-dc86e3c3eeee</errorID>
      <errorWord>《</errorWord>
      <group>L1_AI</group>
      <groupName>深度校对</groupName>
      <ability>L2_AI_Punc</ability>
      <abilityName>标点纠错</abilityName>
      <candidateList>
        <item>〈</item>
      </candidateList>
      <explain/>
      <paraID>71D18059</paraID>
      <start>29</start>
      <end>30</end>
      <status>unmodified</status>
      <modifiedWord/>
      <trackRevisions>false</trackRevisions>
    </reviewItem>
    <reviewItem>
      <errorID>9d347087-ad6f-4437-8967-6e6378b9443a</errorID>
      <errorWord>》《</errorWord>
      <group>L1_AI</group>
      <groupName>深度校对</groupName>
      <ability>L2_AI_Punc</ability>
      <abilityName>标点纠错</abilityName>
      <candidateList>
        <item>〉〈</item>
      </candidateList>
      <explain/>
      <paraID>71D18059</paraID>
      <start>43</start>
      <end>45</end>
      <status>unmodified</status>
      <modifiedWord/>
      <trackRevisions>false</trackRevisions>
    </reviewItem>
    <reviewItem>
      <errorID>ad316d60-57f4-4522-8bd6-328e74e5976b</errorID>
      <errorWord>》</errorWord>
      <group>L1_AI</group>
      <groupName>深度校对</groupName>
      <ability>L2_AI_Grammar</ability>
      <abilityName>语法纠错</abilityName>
      <candidateList>
        <item>〉的通知》</item>
      </candidateList>
      <explain/>
      <paraID>71D18059</paraID>
      <start>65</start>
      <end>66</end>
      <status>unmodified</status>
      <modifiedWord/>
      <trackRevisions>false</trackRevisions>
    </reviewItem>
    <reviewItem>
      <errorID>4600cd9e-58e4-4a78-ab2f-56d3a09f86d8</errorID>
      <errorWord>工程</errorWord>
      <group>L1_AI</group>
      <groupName>深度校对</groupName>
      <ability>L2_AI_Grammar</ability>
      <abilityName>语法纠错</abilityName>
      <candidateList>
        <item>完成工程</item>
      </candidateList>
      <explain/>
      <paraID>24E0C17A</paraID>
      <start>24</start>
      <end>26</end>
      <status>unmodified</status>
      <modifiedWord/>
      <trackRevisions>false</trackRevisions>
    </reviewItem>
    <reviewItem>
      <errorID>888354b4-1812-42bf-bdce-ad31b309d5f0</errorID>
      <errorWord>工程施工</errorWord>
      <group>L1_AI</group>
      <groupName>深度校对</groupName>
      <ability>L2_AI_Grammar</ability>
      <abilityName>语法纠错</abilityName>
      <candidateList>
        <item>完成工程施工</item>
      </candidateList>
      <explain/>
      <paraID>24E0C17A</paraID>
      <start>57</start>
      <end>61</end>
      <status>unmodified</status>
      <modifiedWord/>
      <trackRevisions>false</trackRevisions>
    </reviewItem>
    <reviewItem>
      <errorID>5f060fcd-285a-4cb5-bf32-b0fc01e70f88</errorID>
      <errorWord>竣工</errorWord>
      <group>L1_AI</group>
      <groupName>深度校对</groupName>
      <ability>L2_AI_Grammar</ability>
      <abilityName>语法纠错</abilityName>
      <candidateList>
        <item>完成竣工</item>
      </candidateList>
      <explain/>
      <paraID>24E0C17A</paraID>
      <start>73</start>
      <end>75</end>
      <status>unmodified</status>
      <modifiedWord/>
      <trackRevisions>false</trackRevisions>
    </reviewItem>
    <reviewItem>
      <errorID>74645027-409c-4992-835a-fb76a26b5073</errorID>
      <errorWord>“工作计划进度”</errorWord>
      <group>L1_AI</group>
      <groupName>深度校对</groupName>
      <ability>L2_AI_Punc</ability>
      <abilityName>标点纠错</abilityName>
      <candidateList>
        <item>《工作计划进度》，</item>
      </candidateList>
      <explain/>
      <paraID>24E0C17A</paraID>
      <start>84</start>
      <end>92</end>
      <status>unmodified</status>
      <modifiedWord/>
      <trackRevisions>false</trackRevisions>
    </reviewItem>
    <reviewItem>
      <errorID>beafbdc5-c0da-444c-8449-0ba0dcc48ca1</errorID>
      <errorWord>期</errorWord>
      <group>L1_Word</group>
      <groupName>字词问题</groupName>
      <ability>L2_Typo</ability>
      <abilityName>字词错误</abilityName>
      <candidateList>
        <item>期为</item>
      </candidateList>
      <explain/>
      <paraID>24E0C17A</paraID>
      <start>156</start>
      <end>157</end>
      <status>unmodified</status>
      <modifiedWord/>
      <trackRevisions>false</trackRevisions>
    </reviewItem>
    <reviewItem>
      <errorID>057d7b2b-4b9e-442b-9b57-2aecb6c8644f</errorID>
      <errorWord> </errorWord>
      <group>L1_AI</group>
      <groupName>深度校对</groupName>
      <ability>L2_AI_Punc</ability>
      <abilityName>标点纠错</abilityName>
      <candidateList>
        <item/>
      </candidateList>
      <explain>此处空格冗余，建议删除。</explain>
      <paraID>39981098</paraID>
      <start>28</start>
      <end>29</end>
      <status>unmodified</status>
      <modifiedWord/>
      <trackRevisions>false</trackRevisions>
    </reviewItem>
    <reviewItem>
      <errorID>042f7049-a1da-48f0-91f9-71591f1b1113</errorID>
      <errorWord>5000</errorWord>
      <group>L1_AI</group>
      <groupName>深度校对</groupName>
      <ability>L2_AI_Grammar</ability>
      <abilityName>语法纠错</abilityName>
      <candidateList>
        <item>50000</item>
      </candidateList>
      <explain/>
      <paraID>39981098</paraID>
      <start>117</start>
      <end>121</end>
      <status>unmodified</status>
      <modifiedWord/>
      <trackRevisions>false</trackRevisions>
    </reviewItem>
    <reviewItem>
      <errorID>8dd7fd42-d463-4e31-9e51-a889851d779e</errorID>
      <errorWord>工作</errorWord>
      <group>L1_AI</group>
      <groupName>深度校对</groupName>
      <ability>L2_AI_Grammar</ability>
      <abilityName>语法纠错</abilityName>
      <candidateList>
        <item>和工作</item>
      </candidateList>
      <explain/>
      <paraID>33B90E51</paraID>
      <start>23</start>
      <end>25</end>
      <status>unmodified</status>
      <modifiedWord/>
      <trackRevisions>false</trackRevisions>
    </reviewItem>
    <reviewItem>
      <errorID>0c271815-b964-4029-bdc9-8c55a5dc2e2b</errorID>
      <errorWord>绩效考核</errorWord>
      <group>L1_AI</group>
      <groupName>深度校对</groupName>
      <ability>L2_AI_Grammar</ability>
      <abilityName>语法纠错</abilityName>
      <candidateList>
        <item>的绩效考核</item>
      </candidateList>
      <explain/>
      <paraID>33B90E51</paraID>
      <start>41</start>
      <end>45</end>
      <status>unmodified</status>
      <modifiedWord/>
      <trackRevisions>false</trackRevisions>
    </reviewItem>
    <reviewItem>
      <errorID>a727108e-d6e9-48aa-a59c-8dcc4691abe0</errorID>
      <errorWord>有效使用专项资金</errorWord>
      <group>L1_AI</group>
      <groupName>深度校对</groupName>
      <ability>L2_AI_Grammar</ability>
      <abilityName>语法纠错</abilityName>
      <candidateList>
        <item>专项资金的有效使用</item>
      </candidateList>
      <explain/>
      <paraID>33B90E51</paraID>
      <start>50</start>
      <end>58</end>
      <status>unmodified</status>
      <modifiedWord/>
      <trackRevisions>false</trackRevisions>
    </reviewItem>
    <reviewItem>
      <errorID>2fa0faa3-569c-45c9-bd59-3b8bcd1cdfce</errorID>
      <errorWord>充分考虑</errorWord>
      <group>L1_AI</group>
      <groupName>深度校对</groupName>
      <ability>L2_AI_Grammar</ability>
      <abilityName>语法纠错</abilityName>
      <candidateList>
        <item>应充分考虑</item>
      </candidateList>
      <explain/>
      <paraID>36EB7407</paraID>
      <start>2</start>
      <end>6</end>
      <status>unmodified</status>
      <modifiedWord/>
      <trackRevisions>false</trackRevisions>
    </reviewItem>
    <reviewItem>
      <errorID>26f092db-ebf8-41c6-8986-ad289c85e49a</errorID>
      <errorWord>项目的</errorWord>
      <group>L1_AI</group>
      <groupName>深度校对</groupName>
      <ability>L2_AI_Grammar</ability>
      <abilityName>语法纠错</abilityName>
      <candidateList>
        <item>项目</item>
      </candidateList>
      <explain>〈名〉事物分成的门类：服务～｜体育～｜建设～。</explain>
      <paraID>36EB7407</paraID>
      <start>6</start>
      <end>9</end>
      <status>unmodified</status>
      <modifiedWord/>
      <trackRevisions>false</trackRevisions>
    </reviewItem>
    <reviewItem>
      <errorID>3fdabbd9-f6ce-4c64-ac16-7ace1d65727a</errorID>
      <errorWord>实时</errorWord>
      <group>L1_AI</group>
      <groupName>深度校对</groupName>
      <ability>L2_AI_Word</ability>
      <abilityName>字词纠错</abilityName>
      <candidateList>
        <item>实地</item>
      </candidateList>
      <explain/>
      <paraID>36EB7407</paraID>
      <start>19</start>
      <end>21</end>
      <status>unmodified</status>
      <modifiedWord/>
      <trackRevisions>false</trackRevisions>
    </reviewItem>
    <reviewItem>
      <errorID>c0311bf7-ea27-4e2f-9ae1-138a26cdf6ae</errorID>
      <errorWord>及时、适时</errorWord>
      <group>L1_AI</group>
      <groupName>深度校对</groupName>
      <ability>L2_AI_Grammar</ability>
      <abilityName>语法纠错</abilityName>
      <candidateList>
        <item>及时</item>
      </candidateList>
      <explain>❶〈形〉正赶上时候；适合需要：～雨｜他来得很～。❷〈副〉不拖延；马上；立刻：有问题就～解决。</explain>
      <paraID>36EB7407</paraID>
      <start>43</start>
      <end>48</end>
      <status>unmodified</status>
      <modifiedWord/>
      <trackRevisions>false</trackRevisions>
    </reviewItem>
    <reviewItem>
      <errorID>e9a56b95-71a2-4723-98e1-c2a34eab839b</errorID>
      <errorWord>进展</errorWord>
      <group>L1_AI</group>
      <groupName>深度校对</groupName>
      <ability>L2_AI_Word</ability>
      <abilityName>字词纠错</abilityName>
      <candidateList>
        <item>推进</item>
      </candidateList>
      <explain>〈动〉❶推动工作，使前进：把学科的研究～到一个新阶段。❷（战线或作战的军队）向前进：主力正向前沿阵地～。</explain>
      <paraID>36EB7407</paraID>
      <start>78</start>
      <end>80</end>
      <status>unmodified</status>
      <modifiedWord/>
      <trackRevisions>false</trackRevisions>
    </reviewItem>
    <reviewItem>
      <errorID>9480604f-0642-424d-9178-dc0a2734b7fb</errorID>
      <errorWord>及</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2C94F732</paraID>
      <start>14</start>
      <end>15</end>
      <status>unmodified</status>
      <modifiedWord/>
      <trackRevisions>false</trackRevisions>
    </reviewItem>
    <reviewItem>
      <errorID>e1ec13e2-d40f-4531-a71e-c6c5216737e3</errorID>
      <errorWord>、</errorWord>
      <group>L1_AI</group>
      <groupName>深度校对</groupName>
      <ability>L2_AI_Word</ability>
      <abilityName>字词纠错</abilityName>
      <candidateList>
        <item>和</item>
      </candidateList>
      <explain>〈量〉用于洗东西换水的次数或一剂药煎的次数：衣裳已经洗了三～｜二～药。</explain>
      <paraID>2C94F732</paraID>
      <start>37</start>
      <end>38</end>
      <status>unmodified</status>
      <modifiedWord/>
      <trackRevisions>false</trackRevisions>
    </reviewItem>
    <reviewItem>
      <errorID>e9429737-3825-4a03-9834-3df728401eab</errorID>
      <errorWord>实施各</errorWord>
      <group>L1_AI</group>
      <groupName>深度校对</groupName>
      <ability>L2_AI_Word</ability>
      <abilityName>字词纠错</abilityName>
      <candidateList>
        <item>各实施</item>
      </candidateList>
      <explain/>
      <paraID>406754C8</paraID>
      <start>33</start>
      <end>36</end>
      <status>unmodified</status>
      <modifiedWord/>
      <trackRevisions>false</trackRevisions>
    </reviewItem>
    <reviewItem>
      <errorID>845345e5-51f1-470c-a0e1-1a5c1dbcfcb2</errorID>
      <errorWord>、</errorWord>
      <group>L1_AI</group>
      <groupName>深度校对</groupName>
      <ability>L2_AI_Grammar</ability>
      <abilityName>语法纠错</abilityName>
      <candidateList>
        <item>水平和</item>
      </candidateList>
      <explain/>
      <paraID>406754C8</paraID>
      <start>65</start>
      <end>66</end>
      <status>unmodified</status>
      <modifiedWord/>
      <trackRevisions>false</trackRevisions>
    </reviewItem>
    <reviewItem>
      <errorID>c66f58a8-263d-49e1-806f-d30148741cb4</errorID>
      <errorWord>特色的</errorWord>
      <group>L1_AI</group>
      <groupName>深度校对</groupName>
      <ability>L2_AI_Grammar</ability>
      <abilityName>语法纠错</abilityName>
      <candidateList>
        <item>特色</item>
      </candidateList>
      <explain>〈名〉事物所表现的独特的色彩、风格等：民族～｜艺术～｜他们的表演各有～。</explain>
      <paraID>406754C8</paraID>
      <start>113</start>
      <end>116</end>
      <status>unmodified</status>
      <modifiedWord/>
      <trackRevisions>false</trackRevisions>
    </reviewItem>
    <reviewItem>
      <errorID>44e23405-47fd-4530-b6d2-04c2cc9c980e</errorID>
      <errorWord>综合性的</errorWord>
      <group>L1_AI</group>
      <groupName>深度校对</groupName>
      <ability>L2_AI_Grammar</ability>
      <abilityName>语法纠错</abilityName>
      <candidateList>
        <item>综合性</item>
      </candidateList>
      <explain/>
      <paraID>406754C8</paraID>
      <start>128</start>
      <end>132</end>
      <status>unmodified</status>
      <modifiedWord/>
      <trackRevisions>false</trackRevisions>
    </reviewItem>
    <reviewItem>
      <errorID>aa613a3a-4152-4f1a-8bf7-677cd9db1940</errorID>
      <errorWord>技能型职业技术</errorWord>
      <group>L1_AI</group>
      <groupName>深度校对</groupName>
      <ability>L2_AI_Grammar</ability>
      <abilityName>语法纠错</abilityName>
      <candidateList>
        <item>技能型</item>
      </candidateList>
      <explain/>
      <paraID>406754C8</paraID>
      <start>185</start>
      <end>192</end>
      <status>unmodified</status>
      <modifiedWord/>
      <trackRevisions>false</trackRevisions>
    </reviewItem>
    <reviewItem>
      <errorID>b162879a-86e9-4a22-8883-e0300b5ccfcb</errorID>
      <errorWord>职能水平</errorWord>
      <group>L1_AI</group>
      <groupName>深度校对</groupName>
      <ability>L2_AI_Grammar</ability>
      <abilityName>语法纠错</abilityName>
      <candidateList>
        <item>职能</item>
      </candidateList>
      <explain>〈名〉人、事物、机构应有的作用；功能：货币的～｜政法部门是执行国家专政～的机关。</explain>
      <paraID>406754C8</paraID>
      <start>214</start>
      <end>218</end>
      <status>unmodified</status>
      <modifiedWord/>
      <trackRevisions>false</trackRevisions>
    </reviewItem>
    <reviewItem>
      <errorID>081d1097-7bf9-4825-8e74-5d4259ff7a70</errorID>
      <errorWord>足额、及时</errorWord>
      <group>L1_AI</group>
      <groupName>深度校对</groupName>
      <ability>L2_AI_Word</ability>
      <abilityName>字词纠错</abilityName>
      <candidateList>
        <item>及时、足额</item>
      </candidateList>
      <explain/>
      <paraID>5123EF73</paraID>
      <start>9</start>
      <end>14</end>
      <status>unmodified</status>
      <modifiedWord/>
      <trackRevisions>false</trackRevisions>
    </reviewItem>
    <reviewItem>
      <errorID>3dd7f2b1-3cc7-4d2d-91d0-02230ea12141</errorID>
      <errorWord>&lt;</errorWord>
      <group>L1_Format</group>
      <groupName>格式问题</groupName>
      <ability>L2_HalfPunc</ability>
      <abilityName>全半角检查</abilityName>
      <candidateList>
        <item>〈</item>
      </candidateList>
      <explain>文本全半角错误。</explain>
      <paraID>5C19595B</paraID>
      <start>27</start>
      <end>28</end>
      <status>unmodified</status>
      <modifiedWord/>
      <trackRevisions>false</trackRevisions>
    </reviewItem>
    <reviewItem>
      <errorID>f0895408-ce10-44df-a9ab-2590184daf51</errorID>
      <errorWord>&gt;的通知》</errorWord>
      <group>L1_Punc</group>
      <groupName>标点问题</groupName>
      <ability>L2_Punc</ability>
      <abilityName>标点符号检查</abilityName>
      <candidateList>
        <item>〉的通知》</item>
      </candidateList>
      <explain/>
      <paraID>5C19595B</paraID>
      <start>40</start>
      <end>45</end>
      <status>unmodified</status>
      <modifiedWord/>
      <trackRevisions>false</trackRevisions>
    </reviewItem>
    <reviewItem>
      <errorID>89ad3daa-30e3-4454-80cb-fa6fc01ab102</errorID>
      <errorWord>(</errorWord>
      <group>L1_Format</group>
      <groupName>格式问题</groupName>
      <ability>L2_HalfPunc</ability>
      <abilityName>全半角检查</abilityName>
      <candidateList>
        <item>（</item>
      </candidateList>
      <explain>文本全半角错误。</explain>
      <paraID>5C19595B</paraID>
      <start>45</start>
      <end>46</end>
      <status>unmodified</status>
      <modifiedWord/>
      <trackRevisions>false</trackRevisions>
    </reviewItem>
    <reviewItem>
      <errorID>6b408dcd-af65-4ba3-855e-86a5bdc38e1b</errorID>
      <errorWord>)</errorWord>
      <group>L1_Format</group>
      <groupName>格式问题</groupName>
      <ability>L2_HalfPunc</ability>
      <abilityName>全半角检查</abilityName>
      <candidateList>
        <item>）</item>
      </candidateList>
      <explain>文本全半角错误。</explain>
      <paraID>5C19595B</paraID>
      <start>57</start>
      <end>58</end>
      <status>unmodified</status>
      <modifiedWord/>
      <trackRevisions>false</trackRevisions>
    </reviewItem>
    <reviewItem>
      <errorID>9c55e73f-7233-4f07-aac4-0c482fe0899a</errorID>
      <errorWord>&lt;</errorWord>
      <group>L1_Format</group>
      <groupName>格式问题</groupName>
      <ability>L2_HalfPunc</ability>
      <abilityName>全半角检查</abilityName>
      <candidateList>
        <item>〈</item>
      </candidateList>
      <explain>文本全半角错误。</explain>
      <paraID>5C19595B</paraID>
      <start>115</start>
      <end>116</end>
      <status>unmodified</status>
      <modifiedWord/>
      <trackRevisions>false</trackRevisions>
    </reviewItem>
    <reviewItem>
      <errorID>cda82ce4-a4b0-4ea1-b02c-6235c7adccc3</errorID>
      <errorWord>&gt;的通知》</errorWord>
      <group>L1_Punc</group>
      <groupName>标点问题</groupName>
      <ability>L2_Punc</ability>
      <abilityName>标点符号检查</abilityName>
      <candidateList>
        <item>〉的通知》</item>
      </candidateList>
      <explain/>
      <paraID>5C19595B</paraID>
      <start>131</start>
      <end>136</end>
      <status>unmodified</status>
      <modifiedWord/>
      <trackRevisions>false</trackRevisions>
    </reviewItem>
    <reviewItem>
      <errorID>426e65da-7d47-46ff-9b09-2ec3407fabf4</errorID>
      <errorWord>。</errorWord>
      <group>L1_AI</group>
      <groupName>深度校对</groupName>
      <ability>L2_AI_Punc</ability>
      <abilityName>标点纠错</abilityName>
      <candidateList>
        <item>，</item>
      </candidateList>
      <explain/>
      <paraID>308B8262</paraID>
      <start>56</start>
      <end>57</end>
      <status>unmodified</status>
      <modifiedWord/>
      <trackRevisions>false</trackRevisions>
    </reviewItem>
    <reviewItem>
      <errorID>316d1964-e163-4d17-90d6-4c3967a405df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308B8262</paraID>
      <start>103</start>
      <end>106</end>
      <status>unmodified</status>
      <modifiedWord/>
      <trackRevisions>false</trackRevisions>
    </reviewItem>
    <reviewItem>
      <errorID>669ad748-0316-4a1b-abb6-f9e22630442b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308B8262</paraID>
      <start>128</start>
      <end>131</end>
      <status>unmodified</status>
      <modifiedWord/>
      <trackRevisions>false</trackRevisions>
    </reviewItem>
    <reviewItem>
      <errorID>8d69d69b-daff-4344-bbd2-ee57bfc737b4</errorID>
      <errorWord>,</errorWord>
      <group>L1_Format</group>
      <groupName>格式问题</groupName>
      <ability>L2_HalfPunc</ability>
      <abilityName>全半角检查</abilityName>
      <candidateList>
        <item>，</item>
      </candidateList>
      <explain>文本全半角错误。</explain>
      <paraID>5668981D</paraID>
      <start>31</start>
      <end>32</end>
      <status>unmodified</status>
      <modifiedWord/>
      <trackRevisions>false</trackRevisions>
    </reviewItem>
    <reviewItem>
      <errorID>56162d8e-7da2-47b3-a5ad-f1aa20c31708</errorID>
      <errorWord>债劵</errorWord>
      <group>L1_Word</group>
      <groupName>字词问题</groupName>
      <ability>L2_Typo</ability>
      <abilityName>字词错误</abilityName>
      <candidateList>
        <item>债券</item>
      </candidateList>
      <explain>〈名〉❶公债券。❷企业、银行或股份公司发行的债权人领取本息的凭证。</explain>
      <paraID>5668981D</paraID>
      <start>54</start>
      <end>56</end>
      <status>unmodified</status>
      <modifiedWord/>
      <trackRevisions>false</trackRevisions>
    </reviewItem>
    <reviewItem>
      <errorID>deb2dd73-7b38-4935-a23c-509679ade239</errorID>
      <errorWord>程</errorWord>
      <group>L1_Word</group>
      <groupName>字词问题</groupName>
      <ability>L2_Typo</ability>
      <abilityName>字词错误</abilityName>
      <candidateList>
        <item>程中</item>
      </candidateList>
      <explain/>
      <paraID>4660A2EC</paraID>
      <start>83</start>
      <end>84</end>
      <status>unmodified</status>
      <modifiedWord/>
      <trackRevisions>false</trackRevisions>
    </reviewItem>
    <reviewItem>
      <errorID>cbed8bf6-3235-4ba1-8058-29cc824dd19d</errorID>
      <errorWord>;</errorWord>
      <group>L1_Format</group>
      <groupName>格式问题</groupName>
      <ability>L2_HalfPunc</ability>
      <abilityName>全半角检查</abilityName>
      <candidateList>
        <item>；</item>
      </candidateList>
      <explain>文本全半角错误。</explain>
      <paraID> 8AE94FE</paraID>
      <start>50</start>
      <end>51</end>
      <status>unmodified</status>
      <modifiedWord/>
      <trackRevisions>false</trackRevisions>
    </reviewItem>
    <reviewItem>
      <errorID>86237340-974c-43f2-ae38-19e9380c57fe</errorID>
      <errorWord>昆明市镇雄县</errorWord>
      <group>L1_Knowledge</group>
      <groupName>知识性问题</groupName>
      <ability>L2_Location</ability>
      <abilityName>地名检查</abilityName>
      <candidateList>
        <item>昭通市镇雄县</item>
      </candidateList>
      <explain>地名表述错误。</explain>
      <paraID>7ECBBA98</paraID>
      <start>119</start>
      <end>125</end>
      <status>unmodified</status>
      <modifiedWord/>
      <trackRevisions>false</trackRevisions>
    </reviewItem>
    <reviewItem>
      <errorID>4c9fcada-1a78-4028-8b08-67a58faf6060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12E6B4E2</paraID>
      <start>78</start>
      <end>79</end>
      <status>unmodified</status>
      <modifiedWord/>
      <trackRevisions>false</trackRevisions>
    </reviewItem>
    <reviewItem>
      <errorID>e867d87f-f3e1-4b65-9562-949235f7f0e0</errorID>
      <errorWord>项目项目</errorWord>
      <group>L1_Word</group>
      <groupName>字词问题</groupName>
      <ability>L2_Typo</ability>
      <abilityName>字词错误</abilityName>
      <candidateList>
        <item>项目</item>
      </candidateList>
      <explain>〈名〉事物分成的门类：服务～｜体育～｜建设～。</explain>
      <paraID>2032579C</paraID>
      <start>26</start>
      <end>30</end>
      <status>unmodified</status>
      <modifiedWord/>
      <trackRevisions>false</trackRevisions>
    </reviewItem>
    <reviewItem>
      <errorID>275f3af0-3ed6-417a-b5a2-730dd65c1e11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2032579C</paraID>
      <start>48</start>
      <end>49</end>
      <status>unmodified</status>
      <modifiedWord/>
      <trackRevisions>false</trackRevisions>
    </reviewItem>
    <reviewItem>
      <errorID>7e1c4436-7baa-4560-9379-644ff2a3ad4c</errorID>
      <errorWord>晰</errorWord>
      <group>L1_Word</group>
      <groupName>字词问题</groupName>
      <ability>L2_Typo</ability>
      <abilityName>字词错误</abilityName>
      <candidateList>
        <item>晰地</item>
      </candidateList>
      <explain/>
      <paraID>5571FA98</paraID>
      <start>43</start>
      <end>44</end>
      <status>unmodified</status>
      <modifiedWord/>
      <trackRevisions>false</trackRevisions>
    </reviewItem>
    <reviewItem>
      <errorID>71b693a2-5a16-4f54-8b3d-2de05d185d92</errorID>
      <errorWord>标椎化</errorWord>
      <group>L1_Word</group>
      <groupName>字词问题</groupName>
      <ability>L2_Typo</ability>
      <abilityName>字词错误</abilityName>
      <candidateList>
        <item>标准化</item>
      </candidateList>
      <explain/>
      <paraID>538D7ECC</paraID>
      <start>75</start>
      <end>78</end>
      <status>unmodified</status>
      <modifiedWord/>
      <trackRevisions>false</trackRevisions>
    </reviewItem>
    <reviewItem>
      <errorID>cd1f78bc-9324-4d18-a9a5-5caf9fb334a3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492DB927</paraID>
      <start>93</start>
      <end>94</end>
      <status>unmodified</status>
      <modifiedWord/>
      <trackRevisions>false</trackRevisions>
    </reviewItem>
    <reviewItem>
      <errorID>723c401f-fb78-4e37-a575-37b7926769a9</errorID>
      <errorWord>“</errorWord>
      <group>L1_Punc</group>
      <groupName>标点问题</groupName>
      <ability>L2_Punc</ability>
      <abilityName>标点符号检查</abilityName>
      <candidateList/>
      <explain/>
      <paraID>2B68A004</paraID>
      <start>80</start>
      <end>81</end>
      <status>unmodified</status>
      <modifiedWord/>
      <trackRevisions>false</trackRevisions>
    </reviewItem>
    <reviewItem>
      <errorID>7b6b357c-79aa-4a20-a857-8527e189c175</errorID>
      <errorWord>足够</errorWord>
      <group>L1_Word</group>
      <groupName>字词问题</groupName>
      <ability>L2_Typo</ability>
      <abilityName>字词错误</abilityName>
      <candidateList>
        <item>够</item>
      </candidateList>
      <explain/>
      <paraID>52102E29</paraID>
      <start>46</start>
      <end>48</end>
      <status>unmodified</status>
      <modifiedWord/>
      <trackRevisions>false</trackRevisions>
    </reviewItem>
    <reviewItem>
      <errorID>dee78d5f-92e8-4e0b-8326-321b97d78e18</errorID>
      <errorWord>,</errorWord>
      <group>L1_Format</group>
      <groupName>格式问题</groupName>
      <ability>L2_HalfPunc</ability>
      <abilityName>全半角检查</abilityName>
      <candidateList>
        <item>，</item>
      </candidateList>
      <explain>文本全半角错误。</explain>
      <paraID>52102E29</paraID>
      <start>50</start>
      <end>51</end>
      <status>unmodified</status>
      <modifiedWord/>
      <trackRevisions>false</trackRevisions>
    </reviewItem>
    <reviewItem>
      <errorID>21b5b675-c856-4790-8e11-751090ad1ce2</errorID>
      <errorWord>推动作用推动作用</errorWord>
      <group>L1_Word</group>
      <groupName>字词问题</groupName>
      <ability>L2_Typo</ability>
      <abilityName>字词错误</abilityName>
      <candidateList>
        <item>推动作用</item>
      </candidateList>
      <explain/>
      <paraID>52102E29</paraID>
      <start>68</start>
      <end>76</end>
      <status>unmodified</status>
      <modifiedWord/>
      <trackRevisions>false</trackRevisions>
    </reviewItem>
    <reviewItem>
      <errorID>933c36a6-7334-44bf-b175-e259b3f1171d</errorID>
      <errorWord>,</errorWord>
      <group>L1_Format</group>
      <groupName>格式问题</groupName>
      <ability>L2_HalfPunc</ability>
      <abilityName>全半角检查</abilityName>
      <candidateList>
        <item>，</item>
      </candidateList>
      <explain>文本全半角错误。</explain>
      <paraID>75DDAB2C</paraID>
      <start>66</start>
      <end>67</end>
      <status>unmodified</status>
      <modifiedWord/>
      <trackRevisions>false</trackRevisions>
    </reviewItem>
    <reviewItem>
      <errorID>b0ad2976-38a7-4775-b292-060b889c82c4</errorID>
      <errorWord>;</errorWord>
      <group>L1_Format</group>
      <groupName>格式问题</groupName>
      <ability>L2_HalfPunc</ability>
      <abilityName>全半角检查</abilityName>
      <candidateList>
        <item>；</item>
      </candidateList>
      <explain>文本全半角错误。</explain>
      <paraID>1523AE7F</paraID>
      <start>42</start>
      <end>43</end>
      <status>unmodified</status>
      <modifiedWord/>
      <trackRevisions>false</trackRevisions>
    </reviewItem>
    <reviewItem>
      <errorID>a6c3b060-4e89-4d39-9ce7-6799ff337bfa</errorID>
      <errorWord>项目项目</errorWord>
      <group>L1_Word</group>
      <groupName>字词问题</groupName>
      <ability>L2_Typo</ability>
      <abilityName>字词错误</abilityName>
      <candidateList>
        <item>项目</item>
      </candidateList>
      <explain>〈名〉事物分成的门类：服务～｜体育～｜建设～。</explain>
      <paraID>4650FFD6</paraID>
      <start>6</start>
      <end>10</end>
      <status>unmodified</status>
      <modifiedWord/>
      <trackRevisions>false</trackRevisions>
    </reviewItem>
    <reviewItem>
      <errorID>0a264076-ebc3-45cd-b442-af7e73921c3f</errorID>
      <errorWord>准</errorWord>
      <group>L1_Word</group>
      <groupName>字词问题</groupName>
      <ability>L2_Typo</ability>
      <abilityName>字词错误</abilityName>
      <candidateList>
        <item>准化</item>
      </candidateList>
      <explain/>
      <paraID>51CAB3DC</paraID>
      <start>26</start>
      <end>27</end>
      <status>unmodified</status>
      <modifiedWord/>
      <trackRevisions>false</trackRevisions>
    </reviewItem>
    <reviewItem>
      <errorID>c22051ef-91ba-4cd7-9555-e4c2ac1e9701</errorID>
      <errorWord>可行性研究报批</errorWord>
      <group>L1_Knowledge</group>
      <groupName>知识性问题</groupName>
      <ability>L2_Term</ability>
      <abilityName>专业术语</abilityName>
      <candidateList>
        <item>可行性研究报告</item>
      </candidateList>
      <explain/>
      <paraID>6ECB87EA</paraID>
      <start>30</start>
      <end>37</end>
      <status>unmodified</status>
      <modifiedWord/>
      <trackRevisions>false</trackRevisions>
    </reviewItem>
    <reviewItem>
      <errorID>fa3b3306-f893-469e-b4c9-5890f8d59848</errorID>
      <errorWord>期</errorWord>
      <group>L1_Word</group>
      <groupName>字词问题</groupName>
      <ability>L2_Typo</ability>
      <abilityName>字词错误</abilityName>
      <candidateList>
        <item>期为</item>
      </candidateList>
      <explain/>
      <paraID>4939CEE8</paraID>
      <start>73</start>
      <end>74</end>
      <status>unmodified</status>
      <modifiedWord/>
      <trackRevisions>false</trackRevisions>
    </reviewItem>
    <reviewItem>
      <errorID>e1d04dc1-dc86-4440-ac84-600aeb68b8e0</errorID>
      <errorWord>截止</errorWord>
      <group>L1_Word</group>
      <groupName>字词问题</groupName>
      <ability>L2_Typo</ability>
      <abilityName>字词错误</abilityName>
      <candidateList>
        <item>截至</item>
      </candidateList>
      <explain>存在发音相同字词的误用。</explain>
      <paraID>2F08292A</paraID>
      <start>23</start>
      <end>25</end>
      <status>unmodified</status>
      <modifiedWord/>
      <trackRevisions>false</trackRevisions>
    </reviewItem>
    <reviewItem>
      <errorID>03e16c5e-c513-4e69-ac95-301c760b6a83</errorID>
      <errorWord>截止</errorWord>
      <group>L1_Word</group>
      <groupName>字词问题</groupName>
      <ability>L2_Typo</ability>
      <abilityName>字词错误</abilityName>
      <candidateList>
        <item>截至</item>
      </candidateList>
      <explain>存在发音相同字词的误用。</explain>
      <paraID>1294CA94</paraID>
      <start>24</start>
      <end>26</end>
      <status>unmodified</status>
      <modifiedWord/>
      <trackRevisions>false</trackRevisions>
    </reviewItem>
    <reviewItem>
      <errorID>fdb5779f-fa1c-48ad-b74e-93ed4ac34216</errorID>
      <errorWord>社会化</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629DAF5C</paraID>
      <start>2</start>
      <end>5</end>
      <status>unmodified</status>
      <modifiedWord/>
      <trackRevisions>false</trackRevisions>
    </reviewItem>
    <reviewItem>
      <errorID>103ea229-4c9a-410b-b777-cecf889c54ca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2BEFAF46</paraID>
      <start>9</start>
      <end>12</end>
      <status>unmodified</status>
      <modifiedWord/>
      <trackRevisions>false</trackRevisions>
    </reviewItem>
    <reviewItem>
      <errorID>9a22a559-dd2d-4bf3-a460-af0577400c50</errorID>
      <errorWord>【2016】384号</errorWord>
      <group>L1_Knowledge</group>
      <groupName>知识性问题</groupName>
      <ability>L2_Knowledge</ability>
      <abilityName>其他知识</abilityName>
      <candidateList>
        <item>〔2016〕384号</item>
      </candidateList>
      <explain>发文字号格式错误</explain>
      <paraID>4EF58C99</paraID>
      <start>89</start>
      <end>99</end>
      <status>unmodified</status>
      <modifiedWord/>
      <trackRevisions>false</trackRevisions>
    </reviewItem>
    <reviewItem>
      <errorID>1c901dbc-74c1-4e6a-acc5-7d364f16c0af</errorID>
      <errorWord>2017年年6月30日</errorWord>
      <group>L1_Knowledge</group>
      <groupName>知识性问题</groupName>
      <ability>L2_Time</ability>
      <abilityName>日期时间</abilityName>
      <candidateList/>
      <explain>汉字重复。</explain>
      <paraID>4EF58C99</paraID>
      <start>101</start>
      <end>112</end>
      <status>unmodified</status>
      <modifiedWord/>
      <trackRevisions>false</trackRevisions>
    </reviewItem>
    <reviewItem>
      <errorID>83aa4a98-8680-44c4-abfa-758184f77a67</errorID>
      <errorWord>【2016】384号</errorWord>
      <group>L1_Knowledge</group>
      <groupName>知识性问题</groupName>
      <ability>L2_Knowledge</ability>
      <abilityName>其他知识</abilityName>
      <candidateList>
        <item>〔2016〕384号</item>
      </candidateList>
      <explain>发文字号格式错误</explain>
      <paraID>4EF58C99</paraID>
      <start>200</start>
      <end>210</end>
      <status>unmodified</status>
      <modifiedWord/>
      <trackRevisions>false</trackRevisions>
    </reviewItem>
    <reviewItem>
      <errorID>32a8ac86-1181-4dbf-b339-3c3724ba41c4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77F966A7</paraID>
      <start>0</start>
      <end>2</end>
      <status>unmodified</status>
      <modifiedWord/>
      <trackRevisions>false</trackRevisions>
    </reviewItem>
    <reviewItem>
      <errorID>6980e5d4-212c-46a0-811a-f197a538040b</errorID>
      <errorWord>经济效益</errorWord>
      <group>L1_Word</group>
      <groupName>字词问题</groupName>
      <ability>L2_Typo</ability>
      <abilityName>字词错误</abilityName>
      <candidateList>
        <item>济效益</item>
      </candidateList>
      <explain/>
      <paraID>48259D61</paraID>
      <start>94</start>
      <end>98</end>
      <status>unmodified</status>
      <modifiedWord/>
      <trackRevisions>false</trackRevisions>
    </reviewItem>
    <reviewItem>
      <errorID>7a3b830e-e428-4797-b804-4475cf4ad532</errorID>
      <errorWord>-</errorWord>
      <group>L1_Format</group>
      <groupName>格式问题</groupName>
      <ability>L2_HalfPunc</ability>
      <abilityName>全半角检查</abilityName>
      <candidateList>
        <item>－</item>
      </candidateList>
      <explain>文本全半角错误。</explain>
      <paraID>48259D61</paraID>
      <start>100</start>
      <end>101</end>
      <status>unmodified</status>
      <modifiedWord/>
      <trackRevisions>false</trackRevisions>
    </reviewItem>
    <reviewItem>
      <errorID>a6b21b15-f15e-4f69-bf1f-744bd0f4b221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23EB7460</paraID>
      <start>0</start>
      <end>2</end>
      <status>unmodified</status>
      <modifiedWord/>
      <trackRevisions>false</trackRevisions>
    </reviewItem>
    <reviewItem>
      <errorID>3aa8a428-db2e-458c-ad5e-a9f938d12d6c</errorID>
      <errorWord>截止</errorWord>
      <group>L1_Word</group>
      <groupName>字词问题</groupName>
      <ability>L2_Typo</ability>
      <abilityName>字词错误</abilityName>
      <candidateList>
        <item>截至</item>
      </candidateList>
      <explain>存在发音相同字词的误用。</explain>
      <paraID>3E2AC73C</paraID>
      <start>110</start>
      <end>112</end>
      <status>unmodified</status>
      <modifiedWord/>
      <trackRevisions>false</trackRevisions>
    </reviewItem>
    <reviewItem>
      <errorID>ada1247e-2b47-41c7-a52d-b4f18f02387f</errorID>
      <errorWord>《</errorWord>
      <group>L1_Punc</group>
      <groupName>标点问题</groupName>
      <ability>L2_Punc</ability>
      <abilityName>标点符号检查</abilityName>
      <candidateList/>
      <explain/>
      <paraID>474D0A31</paraID>
      <start>62</start>
      <end>63</end>
      <status>unmodified</status>
      <modifiedWord/>
      <trackRevisions>false</trackRevisions>
    </reviewItem>
    <reviewItem>
      <errorID>7559904d-c6e7-4d7c-a98c-6f71fbe3c903</errorID>
      <errorWord>工作台帐</errorWord>
      <group>L1_Word</group>
      <groupName>字词问题</groupName>
      <ability>L2_Alias</ability>
      <abilityName>也作/曾用词</abilityName>
      <candidateList>
        <item>工作台账</item>
      </candidateList>
      <explain>词汇[工作台帐]为不规范表述或旧称，其规范书面表述为[工作台账]。</explain>
      <paraID> 6862641</paraID>
      <start>37</start>
      <end>41</end>
      <status>unmodified</status>
      <modifiedWord/>
      <trackRevisions>false</trackRevisions>
    </reviewItem>
    <reviewItem>
      <errorID>add1d922-0ee1-465d-b868-a06ef356ea60</errorID>
      <errorWord>,</errorWord>
      <group>L1_Format</group>
      <groupName>格式问题</groupName>
      <ability>L2_HalfPunc</ability>
      <abilityName>全半角检查</abilityName>
      <candidateList>
        <item>，</item>
      </candidateList>
      <explain>文本全半角错误。</explain>
      <paraID>6967A440</paraID>
      <start>27</start>
      <end>28</end>
      <status>unmodified</status>
      <modifiedWord/>
      <trackRevisions>false</trackRevisions>
    </reviewItem>
    <reviewItem>
      <errorID>b705d8d5-4fc0-4a3a-8770-e7ed0121f1f0</errorID>
      <errorWord>资金资金</errorWord>
      <group>L1_Word</group>
      <groupName>字词问题</groupName>
      <ability>L2_Typo</ability>
      <abilityName>字词错误</abilityName>
      <candidateList>
        <item>资金</item>
      </candidateList>
      <explain/>
      <paraID>6967A440</paraID>
      <start>64</start>
      <end>68</end>
      <status>unmodified</status>
      <modifiedWord/>
      <trackRevisions>false</trackRevisions>
    </reviewItem>
    <reviewItem>
      <errorID>3efa5075-6e28-4400-bc79-a205092daf70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6E64D225</paraID>
      <start>28</start>
      <end>29</end>
      <status>unmodified</status>
      <modifiedWord/>
      <trackRevisions>false</trackRevisions>
    </reviewItem>
    <reviewItem>
      <errorID>f164a215-f1f3-45ce-b9fc-b663547a8c06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66E38BE8</paraID>
      <start>0</start>
      <end>2</end>
      <status>unmodified</status>
      <modifiedWord/>
      <trackRevisions>false</trackRevisions>
    </reviewItem>
    <reviewItem>
      <errorID>87301d84-20a4-4ac0-935a-0fa305858e15</errorID>
      <errorWord>;</errorWord>
      <group>L1_Format</group>
      <groupName>格式问题</groupName>
      <ability>L2_HalfPunc</ability>
      <abilityName>全半角检查</abilityName>
      <candidateList>
        <item>；</item>
      </candidateList>
      <explain>文本全半角错误。</explain>
      <paraID>442D8322</paraID>
      <start>48</start>
      <end>49</end>
      <status>unmodified</status>
      <modifiedWord/>
      <trackRevisions>false</trackRevisions>
    </reviewItem>
    <reviewItem>
      <errorID>3907d00f-3d54-456f-b5b2-d2bfea277dca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697179F2</paraID>
      <start>0</start>
      <end>2</end>
      <status>unmodified</status>
      <modifiedWord/>
      <trackRevisions>false</trackRevisions>
    </reviewItem>
    <reviewItem>
      <errorID>bae57ece-40b3-4c1c-950e-065cf6f14e8f</errorID>
      <errorWord>》</errorWord>
      <group>L1_Word</group>
      <groupName>字词问题</groupName>
      <ability>L2_Typo</ability>
      <abilityName>字词错误</abilityName>
      <candidateList>
        <item>》等</item>
      </candidateList>
      <explain/>
      <paraID>43D87AAA</paraID>
      <start>211</start>
      <end>212</end>
      <status>unmodified</status>
      <modifiedWord/>
      <trackRevisions>false</trackRevisions>
    </reviewItem>
    <reviewItem>
      <errorID>2498d54e-a243-4f0f-9171-34be64ddb926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449F4F84</paraID>
      <start>0</start>
      <end>2</end>
      <status>unmodified</status>
      <modifiedWord/>
      <trackRevisions>false</trackRevisions>
    </reviewItem>
    <reviewItem>
      <errorID>3d8b28ad-62ce-40bc-b7ad-4a93d7942baf</errorID>
      <errorWord>期</errorWord>
      <group>L1_Word</group>
      <groupName>字词问题</groupName>
      <ability>L2_Typo</ability>
      <abilityName>字词错误</abilityName>
      <candidateList>
        <item>期为</item>
      </candidateList>
      <explain/>
      <paraID>4394B8B4</paraID>
      <start>136</start>
      <end>137</end>
      <status>unmodified</status>
      <modifiedWord/>
      <trackRevisions>false</trackRevisions>
    </reviewItem>
    <reviewItem>
      <errorID>5a60dbdd-9614-4960-aab6-dd75f9d3a629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765EC369</paraID>
      <start>22</start>
      <end>23</end>
      <status>unmodified</status>
      <modifiedWord/>
      <trackRevisions>false</trackRevisions>
    </reviewItem>
    <reviewItem>
      <errorID>1a3d53fd-d5f4-4b2c-a6e8-bd9b25040c29</errorID>
      <errorWord>截止</errorWord>
      <group>L1_Word</group>
      <groupName>字词问题</groupName>
      <ability>L2_Typo</ability>
      <abilityName>字词错误</abilityName>
      <candidateList>
        <item>截至</item>
      </candidateList>
      <explain>存在发音相同字词的误用。</explain>
      <paraID>7722175E</paraID>
      <start>30</start>
      <end>32</end>
      <status>unmodified</status>
      <modifiedWord/>
      <trackRevisions>false</trackRevisions>
    </reviewItem>
    <reviewItem>
      <errorID>247f31f3-12b9-4483-8c17-279efd13354c</errorID>
      <errorWord>截止</errorWord>
      <group>L1_Word</group>
      <groupName>字词问题</groupName>
      <ability>L2_Typo</ability>
      <abilityName>字词错误</abilityName>
      <candidateList>
        <item>截至</item>
      </candidateList>
      <explain>存在发音相同字词的误用。</explain>
      <paraID>6BC54CA1</paraID>
      <start>39</start>
      <end>41</end>
      <status>unmodified</status>
      <modifiedWord/>
      <trackRevisions>false</trackRevisions>
    </reviewItem>
    <reviewItem>
      <errorID>17f3d295-7e79-41c3-885a-ac24f6b3783c</errorID>
      <errorWord>祥尽</errorWord>
      <group>L1_Word</group>
      <groupName>字词问题</groupName>
      <ability>L2_Typo</ability>
      <abilityName>字词错误</abilityName>
      <candidateList>
        <item>详尽</item>
      </candidateList>
      <explain/>
      <paraID>203CC426</paraID>
      <start>25</start>
      <end>27</end>
      <status>unmodified</status>
      <modifiedWord/>
      <trackRevisions>false</trackRevisions>
    </reviewItem>
    <reviewItem>
      <errorID>a42b1d35-b9de-4c9f-bd9e-bd4c40f5ee89</errorID>
      <errorWord>-</errorWord>
      <group>L1_Format</group>
      <groupName>格式问题</groupName>
      <ability>L2_HalfPunc</ability>
      <abilityName>全半角检查</abilityName>
      <candidateList>
        <item>－</item>
      </candidateList>
      <explain>文本全半角错误。</explain>
      <paraID>203CC426</paraID>
      <start>43</start>
      <end>44</end>
      <status>unmodified</status>
      <modifiedWord/>
      <trackRevisions>false</trackRevisions>
    </reviewItem>
    <reviewItem>
      <errorID>b44b07da-f966-4910-966d-d27f40ee5206</errorID>
      <errorWord>入学率力</errorWord>
      <group>L1_Word</group>
      <groupName>字词问题</groupName>
      <ability>L2_Typo</ability>
      <abilityName>字词错误</abilityName>
      <candidateList>
        <item>入学率</item>
      </candidateList>
      <explain/>
      <paraID>203CC426</paraID>
      <start>50</start>
      <end>54</end>
      <status>unmodified</status>
      <modifiedWord/>
      <trackRevisions>false</trackRevisions>
    </reviewItem>
    <reviewItem>
      <errorID>1d4afae6-5d78-46ce-9450-138a0cd4d9cd</errorID>
      <errorWord>满意度</errorWord>
      <group>L1_Word</group>
      <groupName>字词问题</groupName>
      <ability>L2_Typo</ability>
      <abilityName>字词错误</abilityName>
      <candidateList>
        <item>满意</item>
      </candidateList>
      <explain/>
      <paraID>655306CE</paraID>
      <start>129</start>
      <end>132</end>
      <status>unmodified</status>
      <modifiedWord/>
      <trackRevisions>false</trackRevisions>
    </reviewItem>
    <reviewItem>
      <errorID>9f703207-3283-4339-8217-93f8f61196eb</errorID>
      <errorWord>经济效益</errorWord>
      <group>L1_Word</group>
      <groupName>字词问题</groupName>
      <ability>L2_Typo</ability>
      <abilityName>字词错误</abilityName>
      <candidateList>
        <item>济效益</item>
      </candidateList>
      <explain/>
      <paraID>7FCCD3DF</paraID>
      <start>86</start>
      <end>90</end>
      <status>unmodified</status>
      <modifiedWord/>
      <trackRevisions>false</trackRevisions>
    </reviewItem>
    <reviewItem>
      <errorID>84123fd4-27fe-4149-bb51-d0ab544e6252</errorID>
      <errorWord>-</errorWord>
      <group>L1_Format</group>
      <groupName>格式问题</groupName>
      <ability>L2_HalfPunc</ability>
      <abilityName>全半角检查</abilityName>
      <candidateList>
        <item>－</item>
      </candidateList>
      <explain>文本全半角错误。</explain>
      <paraID>7FCCD3DF</paraID>
      <start>92</start>
      <end>93</end>
      <status>unmodified</status>
      <modifiedWord/>
      <trackRevisions>false</trackRevisions>
    </reviewItem>
    <reviewItem>
      <errorID>ecdbe410-6886-427c-93cd-81e8fcce9697</errorID>
      <errorWord>截止</errorWord>
      <group>L1_Word</group>
      <groupName>字词问题</groupName>
      <ability>L2_Typo</ability>
      <abilityName>字词错误</abilityName>
      <candidateList>
        <item>截至</item>
      </candidateList>
      <explain>存在发音相同字词的误用。</explain>
      <paraID>7FCCD3DF</paraID>
      <start>125</start>
      <end>127</end>
      <status>unmodified</status>
      <modifiedWord/>
      <trackRevisions>false</trackRevisions>
    </reviewItem>
    <reviewItem>
      <errorID>139bbb22-5192-4994-927c-65d56f31d890</errorID>
      <errorWord>期</errorWord>
      <group>L1_Word</group>
      <groupName>字词问题</groupName>
      <ability>L2_Typo</ability>
      <abilityName>字词错误</abilityName>
      <candidateList>
        <item>期为</item>
      </candidateList>
      <explain/>
      <paraID>70ECEAAF</paraID>
      <start>156</start>
      <end>157</end>
      <status>unmodified</status>
      <modifiedWord/>
      <trackRevisions>false</trackRevisions>
    </reviewItem>
    <reviewItem>
      <errorID>5161f934-12f3-43dd-9e31-99b13d17f6ab</errorID>
      <errorWord>进展</errorWord>
      <group>L1_Word</group>
      <groupName>字词问题</groupName>
      <ability>L2_Typo</ability>
      <abilityName>字词错误</abilityName>
      <candidateList>
        <item>开展</item>
      </candidateList>
      <explain>〈动〉展览会开始展出：一年一度的春节花展明天～。</explain>
      <paraID>13CDC5DD</paraID>
      <start>78</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4C51A-009C-420E-BB3E-65E146B75D8C}">
  <ds:schemaRefs/>
</ds:datastoreItem>
</file>

<file path=customXml/itemProps3.xml><?xml version="1.0" encoding="utf-8"?>
<ds:datastoreItem xmlns:ds="http://schemas.openxmlformats.org/officeDocument/2006/customXml" ds:itemID="{E66F02DA-4B90-4738-856D-576251137ABC}">
  <ds:schemaRefs/>
</ds:datastoreItem>
</file>

<file path=docProps/app.xml><?xml version="1.0" encoding="utf-8"?>
<Properties xmlns="http://schemas.openxmlformats.org/officeDocument/2006/extended-properties" xmlns:vt="http://schemas.openxmlformats.org/officeDocument/2006/docPropsVTypes">
  <Template>Normal</Template>
  <Pages>35</Pages>
  <Words>9903</Words>
  <Characters>10662</Characters>
  <Lines>138</Lines>
  <Paragraphs>38</Paragraphs>
  <TotalTime>3</TotalTime>
  <ScaleCrop>false</ScaleCrop>
  <LinksUpToDate>false</LinksUpToDate>
  <CharactersWithSpaces>10841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2021-09-18T14:39:00Z</dcterms:created>
  <cp:lastPrinted>2018-11-15T09:21:00Z</cp:lastPrinted>
  <dcterms:modified xsi:type="dcterms:W3CDTF">2026-01-14T03:21:55Z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65EAA2AF6B054788BDEC1F4BC5FA6B58</vt:lpwstr>
  </property>
  <property fmtid="{D5CDD505-2E9C-101B-9397-08002B2CF9AE}" pid="4" name="KSOTemplateDocerSaveRecord">
    <vt:lpwstr>eyJoZGlkIjoiYjljNjlkMzA2OGQ1ODc0Y2U5YzExMDNlODZhOTc1ZmQiLCJ1c2VySWQiOiIzMDQ0MTM2NzYifQ==</vt:lpwstr>
  </property>
</Properties>
</file>