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Times New Roman" w:hAnsi="Times New Roman" w:eastAsia="方正小标宋简体" w:cs="Times New Roman"/>
          <w:snapToGrid w:val="0"/>
          <w:sz w:val="44"/>
          <w:szCs w:val="44"/>
        </w:rPr>
      </w:pPr>
      <w:bookmarkStart w:id="0" w:name="_GoBack"/>
      <w:r>
        <w:rPr>
          <w:rFonts w:hint="eastAsia" w:ascii="Times New Roman" w:hAnsi="Times New Roman" w:eastAsia="方正小标宋简体" w:cs="Times New Roman"/>
          <w:snapToGrid w:val="0"/>
          <w:sz w:val="44"/>
          <w:szCs w:val="44"/>
        </w:rPr>
        <w:t>昆明市生态环境局晋宁分局关于“</w:t>
      </w:r>
      <w:r>
        <w:rPr>
          <w:rFonts w:hint="eastAsia" w:ascii="Times New Roman" w:hAnsi="Times New Roman" w:eastAsia="方正小标宋简体" w:cs="Times New Roman"/>
          <w:snapToGrid w:val="0"/>
          <w:sz w:val="44"/>
          <w:szCs w:val="44"/>
          <w:lang w:val="en-US" w:eastAsia="zh-CN"/>
        </w:rPr>
        <w:t>废弃物鉴别和处理服务</w:t>
      </w:r>
      <w:r>
        <w:rPr>
          <w:rFonts w:hint="eastAsia" w:ascii="Times New Roman" w:hAnsi="Times New Roman" w:eastAsia="方正小标宋简体" w:cs="Times New Roman"/>
          <w:snapToGrid w:val="0"/>
          <w:sz w:val="44"/>
          <w:szCs w:val="44"/>
        </w:rPr>
        <w:t>”政府购买服务计划的公示</w:t>
      </w:r>
    </w:p>
    <w:bookmarkEnd w:id="0"/>
    <w:p>
      <w:pPr>
        <w:keepNext w:val="0"/>
        <w:keepLines w:val="0"/>
        <w:pageBreakBefore w:val="0"/>
        <w:widowControl w:val="0"/>
        <w:kinsoku/>
        <w:wordWrap/>
        <w:overflowPunct/>
        <w:topLinePunct w:val="0"/>
        <w:autoSpaceDE/>
        <w:autoSpaceDN/>
        <w:bidi w:val="0"/>
        <w:adjustRightInd w:val="0"/>
        <w:snapToGrid w:val="0"/>
        <w:spacing w:line="520" w:lineRule="exact"/>
        <w:ind w:firstLine="64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生态环境部门的相关标准、方法和技术规范，根据《昆明市晋宁区河（湖）长制工作问题交办督办单》中指出“2025年11月6日凌晨3点，巡查二街河发现大量不明来源黑水排入二街河”的情况，根据区环食药侦大队对该检查井周边监控排查，最终确定黑色水体来源为云南贝尔木业有限公司胶合板生产线。昆明市生态环境局晋宁分局生态环境监测站对云南贝尔木业有限公司胶合板生产线6吨锅炉配套湿式静电除尘循环水池内循环水进行取样监测，</w:t>
      </w:r>
      <w:r>
        <w:rPr>
          <w:rFonts w:hint="eastAsia" w:ascii="Times New Roman" w:hAnsi="Times New Roman" w:eastAsia="仿宋_GB2312" w:cs="Times New Roman"/>
          <w:sz w:val="32"/>
          <w:szCs w:val="32"/>
          <w:lang w:val="en-US" w:eastAsia="zh-CN"/>
        </w:rPr>
        <w:t>因来源于</w:t>
      </w:r>
      <w:r>
        <w:rPr>
          <w:rFonts w:hint="default" w:ascii="Times New Roman" w:hAnsi="Times New Roman" w:eastAsia="仿宋_GB2312" w:cs="Times New Roman"/>
          <w:sz w:val="32"/>
          <w:szCs w:val="32"/>
          <w:lang w:val="en-US" w:eastAsia="zh-CN"/>
        </w:rPr>
        <w:t>云南贝尔木业有限公司</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黑色水体</w:t>
      </w:r>
      <w:r>
        <w:rPr>
          <w:rFonts w:hint="eastAsia" w:ascii="Times New Roman" w:hAnsi="Times New Roman" w:eastAsia="仿宋_GB2312" w:cs="Times New Roman"/>
          <w:sz w:val="32"/>
          <w:szCs w:val="32"/>
          <w:lang w:val="en-US" w:eastAsia="zh-CN"/>
        </w:rPr>
        <w:t>为固液混合物，</w:t>
      </w:r>
      <w:r>
        <w:rPr>
          <w:rFonts w:hint="default" w:ascii="Times New Roman" w:hAnsi="Times New Roman" w:eastAsia="仿宋_GB2312" w:cs="Times New Roman"/>
          <w:sz w:val="32"/>
          <w:szCs w:val="32"/>
          <w:lang w:val="en-US" w:eastAsia="zh-CN"/>
        </w:rPr>
        <w:t>昆明市生态环境局晋宁分局生态环境监测站不具备土壤和水系沉积物相关项目分析资质</w:t>
      </w:r>
      <w:r>
        <w:rPr>
          <w:rFonts w:hint="eastAsia" w:ascii="Times New Roman" w:hAnsi="Times New Roman" w:eastAsia="仿宋_GB2312" w:cs="Times New Roman"/>
          <w:sz w:val="32"/>
          <w:szCs w:val="32"/>
          <w:lang w:val="en-US" w:eastAsia="zh-CN"/>
        </w:rPr>
        <w:t>，因此我局计划从</w:t>
      </w:r>
      <w:r>
        <w:rPr>
          <w:rFonts w:hint="eastAsia" w:ascii="Times New Roman" w:hAnsi="Times New Roman" w:eastAsia="仿宋_GB2312" w:cs="Times New Roman"/>
          <w:color w:val="auto"/>
          <w:sz w:val="32"/>
          <w:szCs w:val="32"/>
          <w:lang w:eastAsia="zh-CN"/>
        </w:rPr>
        <w:t>区级预算资金“</w:t>
      </w:r>
      <w:r>
        <w:rPr>
          <w:rFonts w:hint="eastAsia" w:ascii="Times New Roman" w:hAnsi="Times New Roman" w:eastAsia="仿宋_GB2312" w:cs="Times New Roman"/>
          <w:color w:val="auto"/>
          <w:sz w:val="32"/>
          <w:szCs w:val="32"/>
          <w:lang w:val="en-US" w:eastAsia="zh-CN"/>
        </w:rPr>
        <w:t>中央第三轮生态环境保护督察相关工作经费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000000"/>
          <w:sz w:val="32"/>
          <w:szCs w:val="32"/>
        </w:rPr>
        <w:t>中列</w:t>
      </w:r>
      <w:r>
        <w:rPr>
          <w:rFonts w:hint="default" w:ascii="Times New Roman" w:hAnsi="Times New Roman" w:eastAsia="仿宋_GB2312" w:cs="Times New Roman"/>
          <w:color w:val="auto"/>
          <w:sz w:val="32"/>
          <w:szCs w:val="32"/>
        </w:rPr>
        <w:t>支</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val="en-US" w:eastAsia="zh-CN"/>
        </w:rPr>
        <w:t>万元</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sz w:val="32"/>
          <w:szCs w:val="32"/>
          <w:lang w:val="en-US" w:eastAsia="zh-CN"/>
        </w:rPr>
        <w:t>委托</w:t>
      </w:r>
      <w:r>
        <w:rPr>
          <w:rFonts w:hint="default" w:ascii="Times New Roman" w:hAnsi="Times New Roman" w:eastAsia="仿宋_GB2312" w:cs="Times New Roman"/>
          <w:sz w:val="32"/>
          <w:szCs w:val="32"/>
          <w:lang w:val="en-US" w:eastAsia="zh-CN"/>
        </w:rPr>
        <w:t>具备土壤和水系沉积物相关项目分析资质</w:t>
      </w:r>
      <w:r>
        <w:rPr>
          <w:rFonts w:hint="eastAsia" w:ascii="Times New Roman" w:hAnsi="Times New Roman" w:eastAsia="仿宋_GB2312" w:cs="Times New Roman"/>
          <w:sz w:val="32"/>
          <w:szCs w:val="32"/>
          <w:lang w:val="en-US" w:eastAsia="zh-CN"/>
        </w:rPr>
        <w:t>的第三方监测公司按照《危险废物鉴别技术规范》（HJ298-2019）对云南贝尔木业有限公司胶合板生产线6t/h蒸汽锅炉配套湿式静电除尘循环池内沉淀物进行取样监测。</w:t>
      </w:r>
    </w:p>
    <w:p>
      <w:pPr>
        <w:pStyle w:val="2"/>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以上项目纳入政府购买服务，具体情况如下：</w:t>
      </w:r>
    </w:p>
    <w:tbl>
      <w:tblPr>
        <w:tblStyle w:val="5"/>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914"/>
        <w:gridCol w:w="1914"/>
        <w:gridCol w:w="1914"/>
        <w:gridCol w:w="1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914" w:type="dxa"/>
          </w:tcPr>
          <w:p>
            <w:pPr>
              <w:jc w:val="center"/>
              <w:rPr>
                <w:rFonts w:hint="default"/>
                <w:vertAlign w:val="baseline"/>
                <w:lang w:val="en-US" w:eastAsia="zh-CN"/>
              </w:rPr>
            </w:pPr>
            <w:r>
              <w:rPr>
                <w:rFonts w:hint="eastAsia" w:ascii="Times New Roman" w:hAnsi="Times New Roman" w:eastAsia="仿宋_GB2312" w:cs="Times New Roman"/>
                <w:bCs/>
                <w:color w:val="auto"/>
                <w:sz w:val="32"/>
                <w:szCs w:val="32"/>
                <w:lang w:val="en-US" w:eastAsia="zh-CN"/>
              </w:rPr>
              <w:t>项目名称</w:t>
            </w:r>
          </w:p>
        </w:tc>
        <w:tc>
          <w:tcPr>
            <w:tcW w:w="1914" w:type="dxa"/>
          </w:tcPr>
          <w:p>
            <w:pPr>
              <w:jc w:val="center"/>
              <w:rPr>
                <w:rFonts w:hint="default"/>
                <w:vertAlign w:val="baseline"/>
                <w:lang w:val="en-US" w:eastAsia="zh-CN"/>
              </w:rPr>
            </w:pPr>
            <w:r>
              <w:rPr>
                <w:rFonts w:hint="eastAsia" w:ascii="Times New Roman" w:hAnsi="Times New Roman" w:eastAsia="仿宋_GB2312" w:cs="Times New Roman"/>
                <w:bCs/>
                <w:color w:val="auto"/>
                <w:sz w:val="32"/>
                <w:szCs w:val="32"/>
                <w:lang w:val="en-US" w:eastAsia="zh-CN"/>
              </w:rPr>
              <w:t>数量</w:t>
            </w:r>
          </w:p>
        </w:tc>
        <w:tc>
          <w:tcPr>
            <w:tcW w:w="1914" w:type="dxa"/>
          </w:tcPr>
          <w:p>
            <w:pPr>
              <w:jc w:val="center"/>
              <w:rPr>
                <w:rFonts w:hint="default"/>
                <w:vertAlign w:val="baseline"/>
                <w:lang w:val="en-US" w:eastAsia="zh-CN"/>
              </w:rPr>
            </w:pPr>
            <w:r>
              <w:rPr>
                <w:rFonts w:hint="eastAsia" w:ascii="Times New Roman" w:hAnsi="Times New Roman" w:eastAsia="仿宋_GB2312" w:cs="Times New Roman"/>
                <w:bCs/>
                <w:color w:val="auto"/>
                <w:sz w:val="32"/>
                <w:szCs w:val="32"/>
                <w:lang w:val="en-US" w:eastAsia="zh-CN"/>
              </w:rPr>
              <w:t>单位</w:t>
            </w:r>
          </w:p>
        </w:tc>
        <w:tc>
          <w:tcPr>
            <w:tcW w:w="1914" w:type="dxa"/>
          </w:tcPr>
          <w:p>
            <w:pPr>
              <w:rPr>
                <w:rFonts w:hint="default"/>
                <w:vertAlign w:val="baseline"/>
                <w:lang w:val="en-US" w:eastAsia="zh-CN"/>
              </w:rPr>
            </w:pPr>
            <w:r>
              <w:rPr>
                <w:rFonts w:hint="eastAsia" w:ascii="Times New Roman" w:hAnsi="Times New Roman" w:eastAsia="仿宋_GB2312" w:cs="Times New Roman"/>
                <w:bCs/>
                <w:color w:val="auto"/>
                <w:sz w:val="32"/>
                <w:szCs w:val="32"/>
                <w:lang w:val="en-US" w:eastAsia="zh-CN"/>
              </w:rPr>
              <w:t>参考金额（万元）</w:t>
            </w:r>
          </w:p>
        </w:tc>
        <w:tc>
          <w:tcPr>
            <w:tcW w:w="1915" w:type="dxa"/>
          </w:tcPr>
          <w:p>
            <w:pPr>
              <w:jc w:val="center"/>
              <w:rPr>
                <w:rFonts w:hint="default"/>
                <w:vertAlign w:val="baseline"/>
                <w:lang w:val="en-US" w:eastAsia="zh-CN"/>
              </w:rPr>
            </w:pPr>
            <w:r>
              <w:rPr>
                <w:rFonts w:hint="eastAsia" w:ascii="Times New Roman" w:hAnsi="Times New Roman" w:eastAsia="仿宋_GB2312" w:cs="Times New Roman"/>
                <w:bCs/>
                <w:color w:val="auto"/>
                <w:sz w:val="32"/>
                <w:szCs w:val="3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trPr>
        <w:tc>
          <w:tcPr>
            <w:tcW w:w="1914" w:type="dxa"/>
          </w:tcPr>
          <w:p>
            <w:pPr>
              <w:rPr>
                <w:rFonts w:hint="default"/>
                <w:vertAlign w:val="baseline"/>
                <w:lang w:val="en-US" w:eastAsia="zh-CN"/>
              </w:rPr>
            </w:pPr>
            <w:r>
              <w:rPr>
                <w:rFonts w:hint="eastAsia" w:ascii="Times New Roman" w:hAnsi="Times New Roman" w:eastAsia="仿宋_GB2312" w:cs="Times New Roman"/>
                <w:bCs/>
                <w:color w:val="auto"/>
                <w:sz w:val="32"/>
                <w:szCs w:val="32"/>
                <w:lang w:val="en-US" w:eastAsia="zh-CN"/>
              </w:rPr>
              <w:t>废弃物鉴别和</w:t>
            </w:r>
            <w:r>
              <w:rPr>
                <w:rFonts w:hint="default" w:ascii="Times New Roman" w:hAnsi="Times New Roman" w:eastAsia="仿宋_GB2312" w:cs="Times New Roman"/>
                <w:bCs/>
                <w:color w:val="auto"/>
                <w:sz w:val="32"/>
                <w:szCs w:val="32"/>
                <w:lang w:val="en-US" w:eastAsia="zh-CN"/>
              </w:rPr>
              <w:t>处理服务</w:t>
            </w:r>
          </w:p>
        </w:tc>
        <w:tc>
          <w:tcPr>
            <w:tcW w:w="1914" w:type="dxa"/>
          </w:tcPr>
          <w:p>
            <w:pPr>
              <w:jc w:val="center"/>
              <w:rPr>
                <w:rFonts w:hint="default"/>
                <w:vertAlign w:val="baseline"/>
                <w:lang w:val="en-US" w:eastAsia="zh-CN"/>
              </w:rPr>
            </w:pPr>
            <w:r>
              <w:rPr>
                <w:rFonts w:hint="eastAsia" w:ascii="Times New Roman" w:hAnsi="Times New Roman" w:eastAsia="仿宋_GB2312" w:cs="Times New Roman"/>
                <w:bCs/>
                <w:color w:val="auto"/>
                <w:sz w:val="32"/>
                <w:szCs w:val="32"/>
                <w:lang w:val="en-US" w:eastAsia="zh-CN"/>
              </w:rPr>
              <w:t>1</w:t>
            </w:r>
          </w:p>
        </w:tc>
        <w:tc>
          <w:tcPr>
            <w:tcW w:w="1914" w:type="dxa"/>
          </w:tcPr>
          <w:p>
            <w:pPr>
              <w:jc w:val="center"/>
              <w:rPr>
                <w:rFonts w:hint="default"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项</w:t>
            </w:r>
          </w:p>
        </w:tc>
        <w:tc>
          <w:tcPr>
            <w:tcW w:w="1914" w:type="dxa"/>
          </w:tcPr>
          <w:p>
            <w:pPr>
              <w:jc w:val="center"/>
              <w:rPr>
                <w:rFonts w:hint="default"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1.2</w:t>
            </w:r>
          </w:p>
        </w:tc>
        <w:tc>
          <w:tcPr>
            <w:tcW w:w="1915" w:type="dxa"/>
          </w:tcPr>
          <w:p>
            <w:pPr>
              <w:jc w:val="center"/>
              <w:rPr>
                <w:rFonts w:hint="default"/>
                <w:vertAlign w:val="baseline"/>
                <w:lang w:val="en-US" w:eastAsia="zh-CN"/>
              </w:rPr>
            </w:pPr>
            <w:r>
              <w:rPr>
                <w:rFonts w:hint="eastAsia" w:ascii="Times New Roman" w:hAnsi="Times New Roman" w:eastAsia="仿宋_GB2312" w:cs="Times New Roman"/>
                <w:bCs/>
                <w:color w:val="auto"/>
                <w:sz w:val="32"/>
                <w:szCs w:val="32"/>
                <w:lang w:val="en-US" w:eastAsia="zh-CN"/>
              </w:rPr>
              <w:t>/</w:t>
            </w:r>
          </w:p>
        </w:tc>
      </w:tr>
    </w:tbl>
    <w:p>
      <w:pPr>
        <w:rPr>
          <w:rFonts w:hint="default"/>
          <w:lang w:val="en-US" w:eastAsia="zh-CN"/>
        </w:rPr>
      </w:pPr>
    </w:p>
    <w:p>
      <w:pPr>
        <w:pStyle w:val="2"/>
        <w:rPr>
          <w:rFonts w:hint="default"/>
        </w:rPr>
      </w:pP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附件：昆明市生态环境局晋宁分局“废弃物鉴别和处理服务”政府购买服务计划</w:t>
      </w:r>
    </w:p>
    <w:p>
      <w:pPr>
        <w:rPr>
          <w:rFonts w:hint="eastAsia" w:eastAsiaTheme="minorEastAsia"/>
          <w:lang w:eastAsia="zh-CN"/>
        </w:rPr>
      </w:pPr>
    </w:p>
    <w:sectPr>
      <w:pgSz w:w="11906" w:h="16838"/>
      <w:pgMar w:top="1417" w:right="1134"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492E3A"/>
    <w:rsid w:val="1A47022D"/>
    <w:rsid w:val="64492E3A"/>
    <w:rsid w:val="6C312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next w:val="1"/>
    <w:qFormat/>
    <w:uiPriority w:val="0"/>
    <w:pPr>
      <w:spacing w:line="480" w:lineRule="exact"/>
      <w:ind w:firstLine="425"/>
    </w:pPr>
    <w:rPr>
      <w:rFonts w:ascii="宋体" w:hAnsi="Courier New"/>
      <w:spacing w:val="16"/>
      <w:sz w:val="24"/>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昆明市晋宁区党政机关单位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2025-12-16T01:40:00Z</dcterms:created>
  <dc:creator>Administrator</dc:creator>
  <cp:lastModifiedBy>Administrator</cp:lastModifiedBy>
  <dcterms:modified xsi:type="dcterms:W3CDTF">2025-12-16T01:55:02Z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