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style1.xml" ContentType="application/vnd.ms-office.chartstyle+xml"/>
  <Override PartName="/word/charts/style2.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spacing w:line="560" w:lineRule="exact"/>
        <w:rPr>
          <w:rFonts w:hint="eastAsia" w:ascii="仿宋_GB2312" w:hAnsi="仿宋_GB2312" w:eastAsia="仿宋_GB2312" w:cs="仿宋_GB2312"/>
          <w:color w:val="auto"/>
          <w:sz w:val="32"/>
          <w:szCs w:val="32"/>
        </w:rPr>
      </w:pPr>
    </w:p>
    <w:p>
      <w:pPr>
        <w:keepNext w:val="0"/>
        <w:keepLines w:val="0"/>
        <w:pageBreakBefore w:val="0"/>
        <w:kinsoku/>
        <w:wordWrap/>
        <w:overflowPunct/>
        <w:topLinePunct w:val="0"/>
        <w:autoSpaceDE/>
        <w:autoSpaceDN/>
        <w:bidi w:val="0"/>
        <w:spacing w:line="560" w:lineRule="exact"/>
        <w:rPr>
          <w:rFonts w:hint="eastAsia" w:ascii="仿宋_GB2312" w:hAnsi="仿宋_GB2312" w:eastAsia="仿宋_GB2312" w:cs="仿宋_GB2312"/>
          <w:color w:val="auto"/>
          <w:sz w:val="32"/>
          <w:szCs w:val="32"/>
        </w:rPr>
      </w:pPr>
    </w:p>
    <w:p>
      <w:pPr>
        <w:keepNext w:val="0"/>
        <w:keepLines w:val="0"/>
        <w:pageBreakBefore w:val="0"/>
        <w:kinsoku/>
        <w:wordWrap/>
        <w:overflowPunct/>
        <w:topLinePunct w:val="0"/>
        <w:autoSpaceDE/>
        <w:autoSpaceDN/>
        <w:bidi w:val="0"/>
        <w:spacing w:line="560" w:lineRule="exact"/>
        <w:rPr>
          <w:rFonts w:hint="eastAsia" w:ascii="仿宋_GB2312" w:hAnsi="仿宋_GB2312" w:eastAsia="仿宋_GB2312" w:cs="仿宋_GB2312"/>
          <w:color w:val="auto"/>
          <w:sz w:val="32"/>
          <w:szCs w:val="32"/>
        </w:rPr>
      </w:pPr>
    </w:p>
    <w:p>
      <w:pPr>
        <w:bidi w:val="0"/>
        <w:spacing w:line="560" w:lineRule="exact"/>
        <w:jc w:val="center"/>
        <w:rPr>
          <w:rFonts w:hint="default" w:ascii="方正小标宋_GBK" w:hAnsi="方正小标宋_GBK" w:eastAsia="方正小标宋_GBK" w:cs="方正小标宋_GBK"/>
          <w:b w:val="0"/>
          <w:bCs w:val="0"/>
          <w:color w:val="auto"/>
          <w:sz w:val="44"/>
          <w:szCs w:val="44"/>
          <w:highlight w:val="none"/>
          <w:lang w:val="en-US" w:eastAsia="zh-CN"/>
        </w:rPr>
      </w:pPr>
      <w:r>
        <w:rPr>
          <w:rFonts w:hint="eastAsia" w:ascii="方正小标宋_GBK" w:hAnsi="方正小标宋_GBK" w:eastAsia="方正小标宋_GBK" w:cs="方正小标宋_GBK"/>
          <w:b w:val="0"/>
          <w:bCs w:val="0"/>
          <w:color w:val="auto"/>
          <w:sz w:val="44"/>
          <w:szCs w:val="44"/>
          <w:highlight w:val="none"/>
          <w:lang w:val="en-US" w:eastAsia="zh-CN"/>
        </w:rPr>
        <w:t>昆明市晋宁区“十五五”科技创新规划</w:t>
      </w:r>
    </w:p>
    <w:p>
      <w:pPr>
        <w:bidi w:val="0"/>
        <w:spacing w:line="560" w:lineRule="exact"/>
        <w:jc w:val="center"/>
        <w:rPr>
          <w:rFonts w:hint="eastAsia" w:ascii="仿宋_GB2312" w:hAnsi="仿宋_GB2312" w:eastAsia="仿宋_GB2312" w:cs="仿宋_GB2312"/>
          <w:b w:val="0"/>
          <w:bCs w:val="0"/>
          <w:color w:val="auto"/>
          <w:sz w:val="44"/>
          <w:szCs w:val="44"/>
          <w:highlight w:val="none"/>
          <w:lang w:val="en-US" w:eastAsia="zh-CN"/>
        </w:rPr>
      </w:pPr>
    </w:p>
    <w:p>
      <w:pPr>
        <w:bidi w:val="0"/>
        <w:spacing w:line="560" w:lineRule="exact"/>
        <w:jc w:val="center"/>
        <w:rPr>
          <w:rFonts w:hint="eastAsia" w:ascii="仿宋_GB2312" w:hAnsi="仿宋_GB2312" w:eastAsia="仿宋_GB2312" w:cs="仿宋_GB2312"/>
          <w:b w:val="0"/>
          <w:bCs w:val="0"/>
          <w:color w:val="auto"/>
          <w:sz w:val="44"/>
          <w:szCs w:val="44"/>
          <w:highlight w:val="none"/>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国标楷体" w:hAnsi="国标楷体" w:eastAsia="国标楷体" w:cs="国标楷体"/>
          <w:color w:val="000000"/>
          <w:sz w:val="44"/>
          <w:szCs w:val="44"/>
          <w:highlight w:val="none"/>
          <w:lang w:val="en-US" w:eastAsia="zh-CN"/>
        </w:rPr>
      </w:pPr>
      <w:r>
        <w:rPr>
          <w:rFonts w:hint="eastAsia" w:ascii="国标楷体" w:hAnsi="国标楷体" w:eastAsia="国标楷体" w:cs="国标楷体"/>
          <w:color w:val="000000"/>
          <w:sz w:val="44"/>
          <w:szCs w:val="44"/>
          <w:highlight w:val="none"/>
          <w:lang w:val="en-US" w:eastAsia="zh-CN"/>
        </w:rPr>
        <w:t>（征求意见稿）</w:t>
      </w:r>
    </w:p>
    <w:p>
      <w:pPr>
        <w:pStyle w:val="14"/>
        <w:jc w:val="center"/>
        <w:rPr>
          <w:rFonts w:hint="eastAsia" w:ascii="仿宋_GB2312" w:hAnsi="仿宋_GB2312" w:eastAsia="仿宋_GB2312" w:cs="仿宋_GB2312"/>
          <w:b w:val="0"/>
          <w:bCs w:val="0"/>
          <w:color w:val="auto"/>
          <w:sz w:val="44"/>
          <w:szCs w:val="44"/>
          <w:highlight w:val="none"/>
          <w:lang w:val="en-US" w:eastAsia="zh-CN"/>
        </w:rPr>
      </w:pPr>
    </w:p>
    <w:p>
      <w:pPr>
        <w:pStyle w:val="14"/>
        <w:jc w:val="center"/>
        <w:rPr>
          <w:rFonts w:hint="eastAsia" w:ascii="仿宋_GB2312" w:hAnsi="仿宋_GB2312" w:eastAsia="仿宋_GB2312" w:cs="仿宋_GB2312"/>
          <w:b w:val="0"/>
          <w:bCs w:val="0"/>
          <w:color w:val="auto"/>
          <w:sz w:val="44"/>
          <w:szCs w:val="44"/>
          <w:highlight w:val="none"/>
          <w:lang w:val="en-US" w:eastAsia="zh-CN"/>
        </w:rPr>
      </w:pPr>
    </w:p>
    <w:p>
      <w:pPr>
        <w:pStyle w:val="14"/>
        <w:jc w:val="center"/>
        <w:rPr>
          <w:rFonts w:hint="eastAsia" w:ascii="仿宋_GB2312" w:hAnsi="仿宋_GB2312" w:eastAsia="仿宋_GB2312" w:cs="仿宋_GB2312"/>
          <w:b w:val="0"/>
          <w:bCs w:val="0"/>
          <w:color w:val="auto"/>
          <w:sz w:val="44"/>
          <w:szCs w:val="44"/>
          <w:highlight w:val="none"/>
          <w:lang w:val="en-US" w:eastAsia="zh-CN"/>
        </w:rPr>
      </w:pPr>
    </w:p>
    <w:p>
      <w:pPr>
        <w:pStyle w:val="14"/>
        <w:jc w:val="center"/>
        <w:rPr>
          <w:rFonts w:hint="eastAsia" w:ascii="仿宋_GB2312" w:hAnsi="仿宋_GB2312" w:eastAsia="仿宋_GB2312" w:cs="仿宋_GB2312"/>
          <w:b w:val="0"/>
          <w:bCs w:val="0"/>
          <w:color w:val="auto"/>
          <w:sz w:val="44"/>
          <w:szCs w:val="44"/>
          <w:highlight w:val="none"/>
          <w:lang w:val="en-US" w:eastAsia="zh-CN"/>
        </w:rPr>
      </w:pPr>
    </w:p>
    <w:p>
      <w:pPr>
        <w:pStyle w:val="14"/>
        <w:jc w:val="center"/>
        <w:rPr>
          <w:rFonts w:hint="eastAsia" w:ascii="仿宋_GB2312" w:hAnsi="仿宋_GB2312" w:eastAsia="仿宋_GB2312" w:cs="仿宋_GB2312"/>
          <w:b w:val="0"/>
          <w:bCs w:val="0"/>
          <w:color w:val="auto"/>
          <w:sz w:val="44"/>
          <w:szCs w:val="44"/>
          <w:highlight w:val="none"/>
          <w:lang w:val="en-US" w:eastAsia="zh-CN"/>
        </w:rPr>
      </w:pPr>
    </w:p>
    <w:p>
      <w:pPr>
        <w:pStyle w:val="14"/>
        <w:jc w:val="center"/>
        <w:rPr>
          <w:rFonts w:hint="eastAsia" w:ascii="仿宋_GB2312" w:hAnsi="仿宋_GB2312" w:eastAsia="仿宋_GB2312" w:cs="仿宋_GB2312"/>
          <w:b w:val="0"/>
          <w:bCs w:val="0"/>
          <w:color w:val="auto"/>
          <w:sz w:val="44"/>
          <w:szCs w:val="44"/>
          <w:highlight w:val="none"/>
          <w:lang w:val="en-US" w:eastAsia="zh-CN"/>
        </w:rPr>
      </w:pPr>
    </w:p>
    <w:p>
      <w:pPr>
        <w:pStyle w:val="14"/>
        <w:jc w:val="center"/>
        <w:rPr>
          <w:rFonts w:hint="eastAsia" w:ascii="仿宋_GB2312" w:hAnsi="仿宋_GB2312" w:eastAsia="仿宋_GB2312" w:cs="仿宋_GB2312"/>
          <w:b w:val="0"/>
          <w:bCs w:val="0"/>
          <w:color w:val="auto"/>
          <w:sz w:val="44"/>
          <w:szCs w:val="44"/>
          <w:highlight w:val="none"/>
          <w:lang w:val="en-US" w:eastAsia="zh-CN"/>
        </w:rPr>
      </w:pPr>
    </w:p>
    <w:p>
      <w:pPr>
        <w:pStyle w:val="14"/>
        <w:jc w:val="center"/>
        <w:rPr>
          <w:rFonts w:hint="eastAsia" w:ascii="仿宋_GB2312" w:hAnsi="仿宋_GB2312" w:eastAsia="仿宋_GB2312" w:cs="仿宋_GB2312"/>
          <w:b w:val="0"/>
          <w:bCs w:val="0"/>
          <w:color w:val="auto"/>
          <w:sz w:val="44"/>
          <w:szCs w:val="44"/>
          <w:highlight w:val="none"/>
          <w:lang w:val="en-US" w:eastAsia="zh-CN"/>
        </w:rPr>
      </w:pPr>
      <w:bookmarkStart w:id="27" w:name="_GoBack"/>
      <w:bookmarkEnd w:id="27"/>
    </w:p>
    <w:p>
      <w:pPr>
        <w:pStyle w:val="14"/>
        <w:jc w:val="center"/>
        <w:rPr>
          <w:rFonts w:hint="eastAsia"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b w:val="0"/>
          <w:bCs w:val="0"/>
          <w:color w:val="auto"/>
          <w:sz w:val="32"/>
          <w:szCs w:val="32"/>
          <w:highlight w:val="none"/>
          <w:lang w:val="en-US" w:eastAsia="zh-CN"/>
        </w:rPr>
        <w:t>昆明市晋宁区工业和科学技术信息化局</w:t>
      </w:r>
    </w:p>
    <w:p>
      <w:pPr>
        <w:keepNext w:val="0"/>
        <w:keepLines w:val="0"/>
        <w:pageBreakBefore w:val="0"/>
        <w:widowControl w:val="0"/>
        <w:shd w:val="clear" w:fill="FFFFFF" w:themeFill="background1"/>
        <w:kinsoku/>
        <w:wordWrap/>
        <w:overflowPunct/>
        <w:topLinePunct w:val="0"/>
        <w:autoSpaceDE/>
        <w:autoSpaceDN/>
        <w:bidi w:val="0"/>
        <w:adjustRightInd w:val="0"/>
        <w:snapToGrid w:val="0"/>
        <w:spacing w:line="360" w:lineRule="auto"/>
        <w:jc w:val="center"/>
        <w:textAlignment w:val="auto"/>
        <w:outlineLvl w:val="9"/>
        <w:rPr>
          <w:rFonts w:hint="eastAsia" w:ascii="仿宋_GB2312" w:hAnsi="仿宋_GB2312" w:eastAsia="仿宋_GB2312" w:cs="仿宋_GB2312"/>
          <w:b w:val="0"/>
          <w:color w:val="auto"/>
          <w:sz w:val="32"/>
          <w:szCs w:val="32"/>
          <w:highlight w:val="none"/>
          <w:lang w:val="en-US" w:eastAsia="zh-CN" w:bidi="ar-SA"/>
        </w:rPr>
      </w:pPr>
      <w:r>
        <w:rPr>
          <w:rFonts w:hint="eastAsia" w:ascii="仿宋_GB2312" w:hAnsi="仿宋_GB2312" w:eastAsia="仿宋_GB2312" w:cs="仿宋_GB2312"/>
          <w:b w:val="0"/>
          <w:color w:val="auto"/>
          <w:sz w:val="32"/>
          <w:szCs w:val="32"/>
          <w:highlight w:val="none"/>
          <w:lang w:val="en-US" w:eastAsia="zh-CN" w:bidi="ar-SA"/>
        </w:rPr>
        <w:t>中城科泽工程设计集团有限责任公司</w:t>
      </w:r>
    </w:p>
    <w:p>
      <w:pPr>
        <w:keepNext w:val="0"/>
        <w:keepLines w:val="0"/>
        <w:pageBreakBefore w:val="0"/>
        <w:widowControl/>
        <w:kinsoku/>
        <w:wordWrap/>
        <w:overflowPunct/>
        <w:topLinePunct w:val="0"/>
        <w:autoSpaceDE/>
        <w:autoSpaceDN/>
        <w:bidi w:val="0"/>
        <w:adjustRightInd w:val="0"/>
        <w:snapToGrid w:val="0"/>
        <w:spacing w:line="560" w:lineRule="exact"/>
        <w:jc w:val="center"/>
        <w:rPr>
          <w:rFonts w:hint="eastAsia" w:ascii="仿宋_GB2312" w:hAnsi="仿宋_GB2312" w:eastAsia="仿宋_GB2312" w:cs="仿宋_GB2312"/>
          <w:b w:val="0"/>
          <w:color w:val="auto"/>
          <w:sz w:val="32"/>
          <w:szCs w:val="32"/>
          <w:highlight w:val="none"/>
          <w:lang w:val="en-US" w:eastAsia="zh-CN" w:bidi="ar-SA"/>
        </w:rPr>
        <w:sectPr>
          <w:pgSz w:w="11906" w:h="16838"/>
          <w:pgMar w:top="1440" w:right="1474" w:bottom="1440" w:left="1587" w:header="851" w:footer="992" w:gutter="0"/>
          <w:pgNumType w:fmt="upperRoman"/>
          <w:cols w:space="425" w:num="1"/>
          <w:docGrid w:type="lines" w:linePitch="312" w:charSpace="0"/>
        </w:sectPr>
      </w:pPr>
      <w:r>
        <w:rPr>
          <w:rFonts w:hint="eastAsia" w:ascii="仿宋_GB2312" w:hAnsi="仿宋_GB2312" w:eastAsia="仿宋_GB2312" w:cs="仿宋_GB2312"/>
          <w:color w:val="000000"/>
          <w:sz w:val="32"/>
          <w:szCs w:val="32"/>
          <w:highlight w:val="none"/>
          <w:lang w:val="en-US" w:eastAsia="zh-CN"/>
        </w:rPr>
        <w:t>二〇二五年十</w:t>
      </w:r>
      <w:r>
        <w:rPr>
          <w:rFonts w:hint="eastAsia" w:ascii="仿宋_GB2312" w:hAnsi="仿宋_GB2312" w:eastAsia="仿宋_GB2312" w:cs="仿宋_GB2312"/>
          <w:b w:val="0"/>
          <w:color w:val="auto"/>
          <w:sz w:val="32"/>
          <w:szCs w:val="32"/>
          <w:highlight w:val="none"/>
          <w:lang w:val="en-US" w:eastAsia="zh-CN" w:bidi="ar-SA"/>
        </w:rPr>
        <w:t>月</w:t>
      </w:r>
    </w:p>
    <w:p>
      <w:pPr>
        <w:keepNext w:val="0"/>
        <w:keepLines w:val="0"/>
        <w:pageBreakBefore w:val="0"/>
        <w:widowControl/>
        <w:kinsoku/>
        <w:wordWrap/>
        <w:overflowPunct/>
        <w:topLinePunct w:val="0"/>
        <w:autoSpaceDE/>
        <w:autoSpaceDN/>
        <w:bidi w:val="0"/>
        <w:adjustRightInd w:val="0"/>
        <w:snapToGrid/>
        <w:spacing w:line="560" w:lineRule="exact"/>
        <w:jc w:val="center"/>
        <w:rPr>
          <w:rFonts w:hint="eastAsia" w:ascii="国标黑体" w:hAnsi="国标黑体" w:eastAsia="国标黑体" w:cs="国标黑体"/>
          <w:color w:val="auto"/>
          <w:kern w:val="0"/>
          <w:sz w:val="48"/>
          <w:szCs w:val="48"/>
          <w:highlight w:val="none"/>
          <w:lang w:val="en-US" w:eastAsia="zh-CN" w:bidi="ar"/>
        </w:rPr>
      </w:pPr>
      <w:r>
        <w:rPr>
          <w:rFonts w:hint="eastAsia" w:ascii="国标黑体" w:hAnsi="国标黑体" w:eastAsia="国标黑体" w:cs="国标黑体"/>
          <w:color w:val="auto"/>
          <w:kern w:val="0"/>
          <w:sz w:val="48"/>
          <w:szCs w:val="48"/>
          <w:highlight w:val="none"/>
          <w:lang w:val="en-US" w:eastAsia="zh-CN" w:bidi="ar"/>
        </w:rPr>
        <w:t>前 言</w:t>
      </w:r>
    </w:p>
    <w:p>
      <w:pPr>
        <w:keepNext w:val="0"/>
        <w:keepLines w:val="0"/>
        <w:pageBreakBefore w:val="0"/>
        <w:widowControl/>
        <w:kinsoku/>
        <w:wordWrap/>
        <w:overflowPunct/>
        <w:topLinePunct w:val="0"/>
        <w:autoSpaceDE/>
        <w:autoSpaceDN/>
        <w:bidi w:val="0"/>
        <w:adjustRightInd w:val="0"/>
        <w:snapToGrid/>
        <w:spacing w:line="560" w:lineRule="exact"/>
        <w:ind w:firstLine="640" w:firstLineChars="200"/>
        <w:jc w:val="left"/>
        <w:rPr>
          <w:rFonts w:hint="eastAsia" w:ascii="仿宋_GB2312" w:hAnsi="仿宋_GB2312" w:eastAsia="仿宋_GB2312" w:cs="仿宋_GB2312"/>
          <w:color w:val="auto"/>
          <w:kern w:val="0"/>
          <w:sz w:val="32"/>
          <w:szCs w:val="32"/>
          <w:highlight w:val="none"/>
          <w:lang w:val="en-US" w:eastAsia="zh-CN" w:bidi="ar"/>
        </w:rPr>
      </w:pPr>
      <w:r>
        <w:rPr>
          <w:rFonts w:hint="eastAsia" w:ascii="仿宋_GB2312" w:hAnsi="仿宋_GB2312" w:eastAsia="仿宋_GB2312" w:cs="仿宋_GB2312"/>
          <w:color w:val="auto"/>
          <w:kern w:val="0"/>
          <w:sz w:val="32"/>
          <w:szCs w:val="32"/>
          <w:highlight w:val="none"/>
          <w:lang w:val="en-US" w:eastAsia="zh-CN" w:bidi="ar"/>
        </w:rPr>
        <w:t>“十五五”时期是我国全面建设社会主义现代化国家、向第二个百年奋斗目标进军的关键时期，也是晋宁区深度融入国家发展战略，实现经济社会高质量跨越发展的攻坚阶段。在这一承上启下的重要历史节点，科学编制并有效实施“十五五”科技创新规划，对于晋宁区突破发展瓶颈、提升核心竞争力、构建现代化产业体系具有深远而重大的意义。这不仅是积极顺应全球科技革命和产业变革趋势的必然选择，更是晋宁区立足自身资源禀赋与产业基础，实现可持续发展的内在需求。</w:t>
      </w:r>
    </w:p>
    <w:p>
      <w:pPr>
        <w:keepNext w:val="0"/>
        <w:keepLines w:val="0"/>
        <w:pageBreakBefore w:val="0"/>
        <w:widowControl/>
        <w:kinsoku/>
        <w:wordWrap/>
        <w:overflowPunct/>
        <w:topLinePunct w:val="0"/>
        <w:autoSpaceDE/>
        <w:autoSpaceDN/>
        <w:bidi w:val="0"/>
        <w:adjustRightInd w:val="0"/>
        <w:snapToGrid/>
        <w:spacing w:line="560" w:lineRule="exact"/>
        <w:ind w:firstLine="640" w:firstLineChars="200"/>
        <w:jc w:val="left"/>
        <w:rPr>
          <w:rFonts w:hint="eastAsia" w:ascii="仿宋_GB2312" w:hAnsi="仿宋_GB2312" w:eastAsia="仿宋_GB2312" w:cs="仿宋_GB2312"/>
          <w:color w:val="auto"/>
          <w:kern w:val="0"/>
          <w:sz w:val="32"/>
          <w:szCs w:val="32"/>
          <w:highlight w:val="none"/>
          <w:lang w:val="en-US" w:eastAsia="zh-CN" w:bidi="ar"/>
        </w:rPr>
      </w:pPr>
      <w:r>
        <w:rPr>
          <w:rFonts w:hint="eastAsia" w:ascii="仿宋_GB2312" w:hAnsi="仿宋_GB2312" w:eastAsia="仿宋_GB2312" w:cs="仿宋_GB2312"/>
          <w:color w:val="auto"/>
          <w:kern w:val="0"/>
          <w:sz w:val="32"/>
          <w:szCs w:val="32"/>
          <w:highlight w:val="none"/>
          <w:lang w:val="en-US" w:eastAsia="zh-CN" w:bidi="ar"/>
        </w:rPr>
        <w:t>本规划以习近平新时代中国特色社会主义思想为根本遵循，全面贯彻党的二十大及二十届历次全会精神，深入落实习近平总书记考察云南重要讲话精神，紧密围绕市委、市政府，区委、区政府的决策部署，立足晋宁“十四五”期间的发展成果与现状，全面总结过往科技创新成就与不足，精准把握区域科技创新发展需求，明确提出“十五五”期间科技创新的总体要求、发展目标、重点任务、关键领域以及保障措施。“十五五”期间晋宁区将以创新驱动为核心，以深化科技体制改革为动力，以提升自主创新能力为主线，着力推动科技与经济深度融合，促进产业转型升级，培育壮大新动能，全力构建具有晋宁特色的区域创新体系。通过实施本规划，晋宁区旨在充分发挥科技创新在推动经济社会发展中的支撑引领作用，为建设创新型晋宁、实现社会主义现代化目标奠定坚实基础。</w:t>
      </w:r>
    </w:p>
    <w:p>
      <w:pPr>
        <w:keepNext w:val="0"/>
        <w:keepLines w:val="0"/>
        <w:pageBreakBefore w:val="0"/>
        <w:widowControl/>
        <w:kinsoku/>
        <w:wordWrap/>
        <w:overflowPunct/>
        <w:topLinePunct w:val="0"/>
        <w:autoSpaceDE/>
        <w:autoSpaceDN/>
        <w:bidi w:val="0"/>
        <w:adjustRightInd w:val="0"/>
        <w:snapToGrid/>
        <w:spacing w:line="560" w:lineRule="exact"/>
        <w:ind w:firstLine="640" w:firstLineChars="200"/>
        <w:jc w:val="left"/>
        <w:rPr>
          <w:rFonts w:hint="eastAsia" w:ascii="仿宋_GB2312" w:hAnsi="仿宋_GB2312" w:eastAsia="仿宋_GB2312" w:cs="仿宋_GB2312"/>
          <w:color w:val="auto"/>
          <w:kern w:val="0"/>
          <w:sz w:val="32"/>
          <w:szCs w:val="32"/>
          <w:highlight w:val="none"/>
          <w:lang w:bidi="ar"/>
        </w:rPr>
      </w:pPr>
      <w:r>
        <w:rPr>
          <w:rFonts w:hint="eastAsia" w:ascii="仿宋_GB2312" w:hAnsi="仿宋_GB2312" w:eastAsia="仿宋_GB2312" w:cs="仿宋_GB2312"/>
          <w:color w:val="auto"/>
          <w:kern w:val="0"/>
          <w:sz w:val="32"/>
          <w:szCs w:val="32"/>
          <w:highlight w:val="none"/>
          <w:lang w:val="en-US" w:eastAsia="zh-CN" w:bidi="ar"/>
        </w:rPr>
        <w:t>本规划实施期限为2026—2030年，将作为晋宁区未来五年科技创新工作的行动指南与重要依据，引领全区上下凝心聚力、开拓创新，奋力谱写晋宁科技创新发展的新篇章。</w:t>
      </w:r>
    </w:p>
    <w:sdt>
      <w:sdtPr>
        <w:rPr>
          <w:rFonts w:ascii="宋体" w:hAnsi="宋体" w:eastAsia="仿宋_GB2312" w:cstheme="minorBidi"/>
          <w:bCs/>
          <w:color w:val="auto"/>
          <w:kern w:val="2"/>
          <w:sz w:val="44"/>
          <w:szCs w:val="24"/>
          <w:lang w:val="en-US" w:eastAsia="zh-CN" w:bidi="ar-SA"/>
        </w:rPr>
        <w:id w:val="147475019"/>
        <w15:color w:val="DBDBDB"/>
        <w:docPartObj>
          <w:docPartGallery w:val="Table of Contents"/>
          <w:docPartUnique/>
        </w:docPartObj>
      </w:sdtPr>
      <w:sdtEndPr>
        <w:rPr>
          <w:rFonts w:hint="eastAsia" w:ascii="仿宋_GB2312" w:hAnsi="仿宋_GB2312" w:eastAsia="仿宋_GB2312" w:cs="仿宋_GB2312"/>
          <w:bCs/>
          <w:color w:val="auto"/>
          <w:kern w:val="2"/>
          <w:sz w:val="24"/>
          <w:szCs w:val="32"/>
          <w:lang w:val="en-US" w:eastAsia="zh-CN" w:bidi="ar-SA"/>
        </w:rPr>
      </w:sdtEndPr>
      <w:sdtContent>
        <w:p>
          <w:pPr>
            <w:spacing w:before="0" w:beforeLines="0" w:after="0" w:afterLines="0" w:line="240" w:lineRule="auto"/>
            <w:ind w:left="0" w:leftChars="0" w:right="0" w:rightChars="0" w:firstLine="0" w:firstLineChars="0"/>
            <w:jc w:val="center"/>
            <w:rPr>
              <w:rFonts w:ascii="宋体" w:hAnsi="宋体" w:eastAsia="仿宋_GB2312" w:cstheme="minorBidi"/>
              <w:bCs/>
              <w:color w:val="auto"/>
              <w:kern w:val="2"/>
              <w:sz w:val="44"/>
              <w:szCs w:val="24"/>
              <w:lang w:val="en-US" w:eastAsia="zh-CN" w:bidi="ar-SA"/>
            </w:rPr>
            <w:sectPr>
              <w:footerReference r:id="rId3" w:type="default"/>
              <w:pgSz w:w="11906" w:h="16838"/>
              <w:pgMar w:top="1440" w:right="1474" w:bottom="1440" w:left="1587" w:header="851" w:footer="992" w:gutter="0"/>
              <w:pgNumType w:fmt="upperRoman" w:start="1"/>
              <w:cols w:space="425" w:num="1"/>
              <w:docGrid w:type="lines" w:linePitch="312" w:charSpace="0"/>
            </w:sectPr>
          </w:pPr>
        </w:p>
        <w:p>
          <w:pPr>
            <w:spacing w:before="0" w:beforeLines="0" w:after="0" w:afterLines="0" w:line="240" w:lineRule="auto"/>
            <w:ind w:left="0" w:leftChars="0" w:right="0" w:rightChars="0" w:firstLine="0" w:firstLineChars="0"/>
            <w:jc w:val="center"/>
            <w:rPr>
              <w:rFonts w:eastAsia="宋体"/>
              <w:b/>
              <w:bCs/>
              <w:color w:val="auto"/>
              <w:sz w:val="32"/>
            </w:rPr>
          </w:pPr>
          <w:r>
            <w:rPr>
              <w:rFonts w:ascii="宋体" w:hAnsi="宋体" w:eastAsia="宋体"/>
              <w:b/>
              <w:bCs/>
              <w:color w:val="auto"/>
              <w:sz w:val="32"/>
              <w:szCs w:val="21"/>
            </w:rPr>
            <w:t>目录</w:t>
          </w:r>
        </w:p>
        <w:p>
          <w:pPr>
            <w:pStyle w:val="15"/>
            <w:tabs>
              <w:tab w:val="right" w:leader="dot" w:pos="8845"/>
            </w:tabs>
            <w:ind w:firstLine="640" w:firstLineChars="200"/>
            <w:rPr>
              <w:rFonts w:eastAsia="仿宋_GB2312"/>
              <w:b/>
              <w:color w:val="auto"/>
              <w:sz w:val="32"/>
            </w:rPr>
          </w:pPr>
          <w:r>
            <w:rPr>
              <w:rFonts w:hint="eastAsia" w:ascii="仿宋_GB2312" w:hAnsi="仿宋_GB2312" w:eastAsia="仿宋_GB2312" w:cs="仿宋_GB2312"/>
              <w:color w:val="auto"/>
              <w:kern w:val="2"/>
              <w:sz w:val="32"/>
              <w:szCs w:val="32"/>
              <w:lang w:val="en-US" w:eastAsia="zh-CN" w:bidi="ar-SA"/>
            </w:rPr>
            <w:fldChar w:fldCharType="begin"/>
          </w:r>
          <w:r>
            <w:rPr>
              <w:rFonts w:hint="eastAsia" w:ascii="仿宋_GB2312" w:hAnsi="仿宋_GB2312" w:eastAsia="仿宋_GB2312" w:cs="仿宋_GB2312"/>
              <w:color w:val="auto"/>
              <w:kern w:val="2"/>
              <w:sz w:val="32"/>
              <w:szCs w:val="32"/>
              <w:lang w:val="en-US" w:eastAsia="zh-CN" w:bidi="ar-SA"/>
            </w:rPr>
            <w:instrText xml:space="preserve">TOC \o "1-3" \h \u </w:instrText>
          </w:r>
          <w:r>
            <w:rPr>
              <w:rFonts w:hint="eastAsia" w:ascii="仿宋_GB2312" w:hAnsi="仿宋_GB2312" w:eastAsia="仿宋_GB2312" w:cs="仿宋_GB2312"/>
              <w:color w:val="auto"/>
              <w:kern w:val="2"/>
              <w:sz w:val="32"/>
              <w:szCs w:val="32"/>
              <w:lang w:val="en-US" w:eastAsia="zh-CN" w:bidi="ar-SA"/>
            </w:rPr>
            <w:fldChar w:fldCharType="separate"/>
          </w:r>
          <w:r>
            <w:rPr>
              <w:rFonts w:hint="default" w:ascii="Times New Roman" w:hAnsi="Times New Roman" w:eastAsia="黑体" w:cs="Times New Roman"/>
              <w:b/>
              <w:bCs w:val="0"/>
              <w:color w:val="auto"/>
              <w:kern w:val="2"/>
              <w:sz w:val="28"/>
              <w:szCs w:val="32"/>
              <w:lang w:val="en-US" w:eastAsia="zh-CN" w:bidi="ar-SA"/>
            </w:rPr>
            <w:fldChar w:fldCharType="begin"/>
          </w:r>
          <w:r>
            <w:rPr>
              <w:rFonts w:hint="default" w:ascii="Times New Roman" w:hAnsi="Times New Roman" w:eastAsia="黑体" w:cs="Times New Roman"/>
              <w:b/>
              <w:bCs w:val="0"/>
              <w:color w:val="auto"/>
              <w:kern w:val="2"/>
              <w:sz w:val="28"/>
              <w:szCs w:val="32"/>
              <w:lang w:val="en-US" w:eastAsia="zh-CN" w:bidi="ar-SA"/>
            </w:rPr>
            <w:instrText xml:space="preserve"> HYPERLINK \l _Toc18525 </w:instrText>
          </w:r>
          <w:r>
            <w:rPr>
              <w:rFonts w:hint="default" w:ascii="Times New Roman" w:hAnsi="Times New Roman" w:eastAsia="黑体" w:cs="Times New Roman"/>
              <w:b/>
              <w:bCs w:val="0"/>
              <w:color w:val="auto"/>
              <w:kern w:val="2"/>
              <w:sz w:val="28"/>
              <w:szCs w:val="32"/>
              <w:lang w:val="en-US" w:eastAsia="zh-CN" w:bidi="ar-SA"/>
            </w:rPr>
            <w:fldChar w:fldCharType="separate"/>
          </w:r>
          <w:r>
            <w:rPr>
              <w:rFonts w:hint="default" w:ascii="Times New Roman" w:hAnsi="Times New Roman" w:eastAsia="黑体" w:cs="Times New Roman"/>
              <w:b/>
              <w:bCs w:val="0"/>
              <w:color w:val="auto"/>
              <w:kern w:val="2"/>
              <w:sz w:val="28"/>
              <w:szCs w:val="32"/>
              <w:lang w:val="en-US" w:eastAsia="zh-CN" w:bidi="ar-SA"/>
            </w:rPr>
            <w:t xml:space="preserve">一、 </w:t>
          </w:r>
          <w:r>
            <w:rPr>
              <w:rFonts w:hint="default" w:ascii="Times New Roman" w:hAnsi="Times New Roman" w:eastAsia="黑体" w:cs="Times New Roman"/>
              <w:b/>
              <w:bCs w:val="0"/>
              <w:color w:val="auto"/>
              <w:kern w:val="2"/>
              <w:sz w:val="28"/>
              <w:szCs w:val="32"/>
              <w:highlight w:val="none"/>
              <w:lang w:val="en-US" w:eastAsia="zh-CN" w:bidi="ar-SA"/>
            </w:rPr>
            <w:t>发展基础</w:t>
          </w:r>
          <w:r>
            <w:rPr>
              <w:rFonts w:ascii="Times New Roman" w:hAnsi="Times New Roman" w:eastAsia="黑体" w:cs="Times New Roman"/>
              <w:b/>
              <w:bCs w:val="0"/>
              <w:color w:val="auto"/>
              <w:sz w:val="28"/>
              <w:szCs w:val="32"/>
            </w:rPr>
            <w:tab/>
          </w:r>
          <w:r>
            <w:rPr>
              <w:rFonts w:ascii="Times New Roman" w:hAnsi="Times New Roman" w:eastAsia="黑体" w:cs="Times New Roman"/>
              <w:b/>
              <w:bCs w:val="0"/>
              <w:color w:val="auto"/>
              <w:sz w:val="28"/>
              <w:szCs w:val="32"/>
            </w:rPr>
            <w:fldChar w:fldCharType="begin"/>
          </w:r>
          <w:r>
            <w:rPr>
              <w:rFonts w:ascii="Times New Roman" w:hAnsi="Times New Roman" w:eastAsia="黑体" w:cs="Times New Roman"/>
              <w:b/>
              <w:bCs w:val="0"/>
              <w:color w:val="auto"/>
              <w:sz w:val="28"/>
              <w:szCs w:val="32"/>
            </w:rPr>
            <w:instrText xml:space="preserve"> PAGEREF _Toc18525 \h </w:instrText>
          </w:r>
          <w:r>
            <w:rPr>
              <w:rFonts w:ascii="Times New Roman" w:hAnsi="Times New Roman" w:eastAsia="黑体" w:cs="Times New Roman"/>
              <w:b/>
              <w:bCs w:val="0"/>
              <w:color w:val="auto"/>
              <w:sz w:val="28"/>
              <w:szCs w:val="32"/>
            </w:rPr>
            <w:fldChar w:fldCharType="separate"/>
          </w:r>
          <w:r>
            <w:rPr>
              <w:rFonts w:ascii="Times New Roman" w:hAnsi="Times New Roman" w:eastAsia="黑体" w:cs="Times New Roman"/>
              <w:b/>
              <w:bCs w:val="0"/>
              <w:color w:val="auto"/>
              <w:sz w:val="28"/>
              <w:szCs w:val="32"/>
            </w:rPr>
            <w:t>- 1 -</w:t>
          </w:r>
          <w:r>
            <w:rPr>
              <w:rFonts w:ascii="Times New Roman" w:hAnsi="Times New Roman" w:eastAsia="黑体" w:cs="Times New Roman"/>
              <w:b/>
              <w:bCs w:val="0"/>
              <w:color w:val="auto"/>
              <w:sz w:val="28"/>
              <w:szCs w:val="32"/>
            </w:rPr>
            <w:fldChar w:fldCharType="end"/>
          </w:r>
          <w:r>
            <w:rPr>
              <w:rFonts w:hint="default" w:ascii="Times New Roman" w:hAnsi="Times New Roman" w:eastAsia="黑体" w:cs="Times New Roman"/>
              <w:b/>
              <w:bCs w:val="0"/>
              <w:color w:val="auto"/>
              <w:kern w:val="2"/>
              <w:sz w:val="28"/>
              <w:szCs w:val="32"/>
              <w:lang w:val="en-US" w:eastAsia="zh-CN" w:bidi="ar-SA"/>
            </w:rPr>
            <w:fldChar w:fldCharType="end"/>
          </w:r>
        </w:p>
        <w:p>
          <w:pPr>
            <w:pStyle w:val="11"/>
            <w:tabs>
              <w:tab w:val="right" w:leader="dot" w:pos="8845"/>
            </w:tabs>
            <w:rPr>
              <w:rFonts w:eastAsia="仿宋_GB2312"/>
              <w:color w:val="auto"/>
              <w:sz w:val="28"/>
            </w:rPr>
          </w:pPr>
          <w:r>
            <w:rPr>
              <w:rFonts w:hint="eastAsia" w:ascii="仿宋_GB2312" w:hAnsi="仿宋_GB2312" w:eastAsia="仿宋_GB2312" w:cs="仿宋_GB2312"/>
              <w:color w:val="auto"/>
              <w:kern w:val="2"/>
              <w:sz w:val="28"/>
              <w:szCs w:val="32"/>
              <w:lang w:val="en-US" w:eastAsia="zh-CN" w:bidi="ar-SA"/>
            </w:rPr>
            <w:fldChar w:fldCharType="begin"/>
          </w:r>
          <w:r>
            <w:rPr>
              <w:rFonts w:hint="eastAsia" w:ascii="仿宋_GB2312" w:hAnsi="仿宋_GB2312" w:eastAsia="仿宋_GB2312" w:cs="仿宋_GB2312"/>
              <w:color w:val="auto"/>
              <w:kern w:val="2"/>
              <w:sz w:val="28"/>
              <w:szCs w:val="32"/>
              <w:lang w:val="en-US" w:eastAsia="zh-CN" w:bidi="ar-SA"/>
            </w:rPr>
            <w:instrText xml:space="preserve"> HYPERLINK \l _Toc4961 </w:instrText>
          </w:r>
          <w:r>
            <w:rPr>
              <w:rFonts w:hint="eastAsia" w:ascii="仿宋_GB2312" w:hAnsi="仿宋_GB2312" w:eastAsia="仿宋_GB2312" w:cs="仿宋_GB2312"/>
              <w:color w:val="auto"/>
              <w:kern w:val="2"/>
              <w:sz w:val="28"/>
              <w:szCs w:val="32"/>
              <w:lang w:val="en-US" w:eastAsia="zh-CN" w:bidi="ar-SA"/>
            </w:rPr>
            <w:fldChar w:fldCharType="separate"/>
          </w:r>
          <w:r>
            <w:rPr>
              <w:rFonts w:hint="eastAsia" w:ascii="黑体" w:hAnsi="黑体" w:eastAsia="仿宋_GB2312" w:cs="黑体"/>
              <w:color w:val="auto"/>
              <w:kern w:val="2"/>
              <w:sz w:val="28"/>
              <w:szCs w:val="32"/>
              <w:lang w:val="en-US" w:eastAsia="zh-CN" w:bidi="ar-SA"/>
            </w:rPr>
            <w:t xml:space="preserve">（一） </w:t>
          </w:r>
          <w:r>
            <w:rPr>
              <w:rFonts w:hint="eastAsia" w:ascii="黑体" w:hAnsi="黑体" w:eastAsia="仿宋_GB2312" w:cs="黑体"/>
              <w:color w:val="auto"/>
              <w:kern w:val="2"/>
              <w:sz w:val="28"/>
              <w:szCs w:val="32"/>
              <w:highlight w:val="none"/>
              <w:lang w:val="en-US" w:eastAsia="zh-CN" w:bidi="ar-SA"/>
            </w:rPr>
            <w:t>取得成效</w:t>
          </w:r>
          <w:r>
            <w:rPr>
              <w:rFonts w:eastAsia="仿宋_GB2312"/>
              <w:color w:val="auto"/>
              <w:sz w:val="28"/>
            </w:rPr>
            <w:tab/>
          </w:r>
          <w:r>
            <w:rPr>
              <w:rFonts w:eastAsia="仿宋_GB2312"/>
              <w:color w:val="auto"/>
              <w:sz w:val="28"/>
            </w:rPr>
            <w:fldChar w:fldCharType="begin"/>
          </w:r>
          <w:r>
            <w:rPr>
              <w:rFonts w:eastAsia="仿宋_GB2312"/>
              <w:color w:val="auto"/>
              <w:sz w:val="28"/>
            </w:rPr>
            <w:instrText xml:space="preserve"> PAGEREF _Toc4961 \h </w:instrText>
          </w:r>
          <w:r>
            <w:rPr>
              <w:rFonts w:eastAsia="仿宋_GB2312"/>
              <w:color w:val="auto"/>
              <w:sz w:val="28"/>
            </w:rPr>
            <w:fldChar w:fldCharType="separate"/>
          </w:r>
          <w:r>
            <w:rPr>
              <w:rFonts w:eastAsia="仿宋_GB2312"/>
              <w:color w:val="auto"/>
              <w:sz w:val="28"/>
            </w:rPr>
            <w:t>- 1 -</w:t>
          </w:r>
          <w:r>
            <w:rPr>
              <w:rFonts w:eastAsia="仿宋_GB2312"/>
              <w:color w:val="auto"/>
              <w:sz w:val="28"/>
            </w:rPr>
            <w:fldChar w:fldCharType="end"/>
          </w:r>
          <w:r>
            <w:rPr>
              <w:rFonts w:hint="eastAsia" w:ascii="仿宋_GB2312" w:hAnsi="仿宋_GB2312" w:eastAsia="仿宋_GB2312" w:cs="仿宋_GB2312"/>
              <w:color w:val="auto"/>
              <w:kern w:val="2"/>
              <w:sz w:val="28"/>
              <w:szCs w:val="32"/>
              <w:lang w:val="en-US" w:eastAsia="zh-CN" w:bidi="ar-SA"/>
            </w:rPr>
            <w:fldChar w:fldCharType="end"/>
          </w:r>
        </w:p>
        <w:p>
          <w:pPr>
            <w:pStyle w:val="11"/>
            <w:tabs>
              <w:tab w:val="right" w:leader="dot" w:pos="8845"/>
            </w:tabs>
            <w:rPr>
              <w:rFonts w:eastAsia="仿宋_GB2312"/>
              <w:color w:val="auto"/>
              <w:sz w:val="28"/>
            </w:rPr>
          </w:pPr>
          <w:r>
            <w:rPr>
              <w:rFonts w:hint="eastAsia" w:ascii="仿宋_GB2312" w:hAnsi="仿宋_GB2312" w:eastAsia="仿宋_GB2312" w:cs="仿宋_GB2312"/>
              <w:color w:val="auto"/>
              <w:kern w:val="2"/>
              <w:sz w:val="28"/>
              <w:szCs w:val="32"/>
              <w:lang w:val="en-US" w:eastAsia="zh-CN" w:bidi="ar-SA"/>
            </w:rPr>
            <w:fldChar w:fldCharType="begin"/>
          </w:r>
          <w:r>
            <w:rPr>
              <w:rFonts w:hint="eastAsia" w:ascii="仿宋_GB2312" w:hAnsi="仿宋_GB2312" w:eastAsia="仿宋_GB2312" w:cs="仿宋_GB2312"/>
              <w:color w:val="auto"/>
              <w:kern w:val="2"/>
              <w:sz w:val="28"/>
              <w:szCs w:val="32"/>
              <w:lang w:val="en-US" w:eastAsia="zh-CN" w:bidi="ar-SA"/>
            </w:rPr>
            <w:instrText xml:space="preserve"> HYPERLINK \l _Toc8488 </w:instrText>
          </w:r>
          <w:r>
            <w:rPr>
              <w:rFonts w:hint="eastAsia" w:ascii="仿宋_GB2312" w:hAnsi="仿宋_GB2312" w:eastAsia="仿宋_GB2312" w:cs="仿宋_GB2312"/>
              <w:color w:val="auto"/>
              <w:kern w:val="2"/>
              <w:sz w:val="28"/>
              <w:szCs w:val="32"/>
              <w:lang w:val="en-US" w:eastAsia="zh-CN" w:bidi="ar-SA"/>
            </w:rPr>
            <w:fldChar w:fldCharType="separate"/>
          </w:r>
          <w:r>
            <w:rPr>
              <w:rFonts w:hint="eastAsia" w:ascii="黑体" w:hAnsi="黑体" w:eastAsia="仿宋_GB2312" w:cs="黑体"/>
              <w:color w:val="auto"/>
              <w:kern w:val="2"/>
              <w:sz w:val="28"/>
              <w:szCs w:val="32"/>
              <w:lang w:val="en-US" w:eastAsia="zh-CN" w:bidi="ar-SA"/>
            </w:rPr>
            <w:t xml:space="preserve">（二） </w:t>
          </w:r>
          <w:r>
            <w:rPr>
              <w:rFonts w:hint="eastAsia" w:ascii="黑体" w:hAnsi="黑体" w:eastAsia="仿宋_GB2312" w:cs="黑体"/>
              <w:color w:val="auto"/>
              <w:kern w:val="2"/>
              <w:sz w:val="28"/>
              <w:szCs w:val="32"/>
              <w:highlight w:val="none"/>
              <w:lang w:val="en-US" w:eastAsia="zh-CN" w:bidi="ar-SA"/>
            </w:rPr>
            <w:t>存在问题</w:t>
          </w:r>
          <w:r>
            <w:rPr>
              <w:rFonts w:eastAsia="仿宋_GB2312"/>
              <w:color w:val="auto"/>
              <w:sz w:val="28"/>
            </w:rPr>
            <w:tab/>
          </w:r>
          <w:r>
            <w:rPr>
              <w:rFonts w:eastAsia="仿宋_GB2312"/>
              <w:color w:val="auto"/>
              <w:sz w:val="28"/>
            </w:rPr>
            <w:fldChar w:fldCharType="begin"/>
          </w:r>
          <w:r>
            <w:rPr>
              <w:rFonts w:eastAsia="仿宋_GB2312"/>
              <w:color w:val="auto"/>
              <w:sz w:val="28"/>
            </w:rPr>
            <w:instrText xml:space="preserve"> PAGEREF _Toc8488 \h </w:instrText>
          </w:r>
          <w:r>
            <w:rPr>
              <w:rFonts w:eastAsia="仿宋_GB2312"/>
              <w:color w:val="auto"/>
              <w:sz w:val="28"/>
            </w:rPr>
            <w:fldChar w:fldCharType="separate"/>
          </w:r>
          <w:r>
            <w:rPr>
              <w:rFonts w:eastAsia="仿宋_GB2312"/>
              <w:color w:val="auto"/>
              <w:sz w:val="28"/>
            </w:rPr>
            <w:t>- 8 -</w:t>
          </w:r>
          <w:r>
            <w:rPr>
              <w:rFonts w:eastAsia="仿宋_GB2312"/>
              <w:color w:val="auto"/>
              <w:sz w:val="28"/>
            </w:rPr>
            <w:fldChar w:fldCharType="end"/>
          </w:r>
          <w:r>
            <w:rPr>
              <w:rFonts w:hint="eastAsia" w:ascii="仿宋_GB2312" w:hAnsi="仿宋_GB2312" w:eastAsia="仿宋_GB2312" w:cs="仿宋_GB2312"/>
              <w:color w:val="auto"/>
              <w:kern w:val="2"/>
              <w:sz w:val="28"/>
              <w:szCs w:val="32"/>
              <w:lang w:val="en-US" w:eastAsia="zh-CN" w:bidi="ar-SA"/>
            </w:rPr>
            <w:fldChar w:fldCharType="end"/>
          </w:r>
        </w:p>
        <w:p>
          <w:pPr>
            <w:pStyle w:val="15"/>
            <w:tabs>
              <w:tab w:val="right" w:leader="dot" w:pos="8845"/>
            </w:tabs>
            <w:ind w:firstLine="562" w:firstLineChars="200"/>
            <w:rPr>
              <w:rFonts w:eastAsia="仿宋_GB2312"/>
              <w:color w:val="auto"/>
              <w:sz w:val="28"/>
            </w:rPr>
          </w:pPr>
          <w:r>
            <w:rPr>
              <w:rFonts w:hint="eastAsia" w:ascii="仿宋_GB2312" w:hAnsi="仿宋_GB2312" w:eastAsia="黑体" w:cs="仿宋_GB2312"/>
              <w:b/>
              <w:color w:val="auto"/>
              <w:kern w:val="2"/>
              <w:sz w:val="28"/>
              <w:szCs w:val="32"/>
              <w:lang w:val="en-US" w:eastAsia="zh-CN" w:bidi="ar-SA"/>
            </w:rPr>
            <w:fldChar w:fldCharType="begin"/>
          </w:r>
          <w:r>
            <w:rPr>
              <w:rFonts w:hint="eastAsia" w:ascii="仿宋_GB2312" w:hAnsi="仿宋_GB2312" w:eastAsia="黑体" w:cs="仿宋_GB2312"/>
              <w:b/>
              <w:color w:val="auto"/>
              <w:kern w:val="2"/>
              <w:sz w:val="28"/>
              <w:szCs w:val="32"/>
              <w:lang w:val="en-US" w:eastAsia="zh-CN" w:bidi="ar-SA"/>
            </w:rPr>
            <w:instrText xml:space="preserve"> HYPERLINK \l _Toc20175 </w:instrText>
          </w:r>
          <w:r>
            <w:rPr>
              <w:rFonts w:hint="eastAsia" w:ascii="仿宋_GB2312" w:hAnsi="仿宋_GB2312" w:eastAsia="黑体" w:cs="仿宋_GB2312"/>
              <w:b/>
              <w:color w:val="auto"/>
              <w:kern w:val="2"/>
              <w:sz w:val="28"/>
              <w:szCs w:val="32"/>
              <w:lang w:val="en-US" w:eastAsia="zh-CN" w:bidi="ar-SA"/>
            </w:rPr>
            <w:fldChar w:fldCharType="separate"/>
          </w:r>
          <w:r>
            <w:rPr>
              <w:rFonts w:hint="eastAsia" w:ascii="黑体" w:hAnsi="黑体" w:eastAsia="黑体" w:cs="黑体"/>
              <w:b/>
              <w:bCs w:val="0"/>
              <w:color w:val="auto"/>
              <w:kern w:val="44"/>
              <w:sz w:val="28"/>
              <w:szCs w:val="32"/>
              <w:lang w:val="en-US" w:eastAsia="zh-CN" w:bidi="ar-SA"/>
            </w:rPr>
            <w:t xml:space="preserve">二、 </w:t>
          </w:r>
          <w:r>
            <w:rPr>
              <w:rFonts w:hint="eastAsia" w:ascii="黑体" w:hAnsi="黑体" w:eastAsia="黑体" w:cs="黑体"/>
              <w:b/>
              <w:bCs w:val="0"/>
              <w:color w:val="auto"/>
              <w:kern w:val="44"/>
              <w:sz w:val="28"/>
              <w:szCs w:val="32"/>
              <w:highlight w:val="none"/>
              <w:lang w:val="en-US" w:eastAsia="zh-CN" w:bidi="ar-SA"/>
            </w:rPr>
            <w:t>面临形势</w:t>
          </w:r>
          <w:r>
            <w:rPr>
              <w:rFonts w:eastAsia="黑体"/>
              <w:b/>
              <w:color w:val="auto"/>
              <w:sz w:val="28"/>
            </w:rPr>
            <w:tab/>
          </w:r>
          <w:r>
            <w:rPr>
              <w:rFonts w:eastAsia="黑体"/>
              <w:b/>
              <w:color w:val="auto"/>
              <w:sz w:val="28"/>
            </w:rPr>
            <w:fldChar w:fldCharType="begin"/>
          </w:r>
          <w:r>
            <w:rPr>
              <w:rFonts w:eastAsia="黑体"/>
              <w:b/>
              <w:color w:val="auto"/>
              <w:sz w:val="28"/>
            </w:rPr>
            <w:instrText xml:space="preserve"> PAGEREF _Toc20175 \h </w:instrText>
          </w:r>
          <w:r>
            <w:rPr>
              <w:rFonts w:eastAsia="黑体"/>
              <w:b/>
              <w:color w:val="auto"/>
              <w:sz w:val="28"/>
            </w:rPr>
            <w:fldChar w:fldCharType="separate"/>
          </w:r>
          <w:r>
            <w:rPr>
              <w:rFonts w:eastAsia="黑体"/>
              <w:b/>
              <w:color w:val="auto"/>
              <w:sz w:val="28"/>
            </w:rPr>
            <w:t>- 11 -</w:t>
          </w:r>
          <w:r>
            <w:rPr>
              <w:rFonts w:eastAsia="黑体"/>
              <w:b/>
              <w:color w:val="auto"/>
              <w:sz w:val="28"/>
            </w:rPr>
            <w:fldChar w:fldCharType="end"/>
          </w:r>
          <w:r>
            <w:rPr>
              <w:rFonts w:hint="eastAsia" w:ascii="仿宋_GB2312" w:hAnsi="仿宋_GB2312" w:eastAsia="黑体" w:cs="仿宋_GB2312"/>
              <w:b/>
              <w:color w:val="auto"/>
              <w:kern w:val="2"/>
              <w:sz w:val="28"/>
              <w:szCs w:val="32"/>
              <w:lang w:val="en-US" w:eastAsia="zh-CN" w:bidi="ar-SA"/>
            </w:rPr>
            <w:fldChar w:fldCharType="end"/>
          </w:r>
        </w:p>
        <w:p>
          <w:pPr>
            <w:pStyle w:val="11"/>
            <w:tabs>
              <w:tab w:val="right" w:leader="dot" w:pos="8845"/>
            </w:tabs>
            <w:rPr>
              <w:rFonts w:eastAsia="仿宋_GB2312"/>
              <w:color w:val="auto"/>
              <w:sz w:val="28"/>
            </w:rPr>
          </w:pPr>
          <w:r>
            <w:rPr>
              <w:rFonts w:hint="eastAsia" w:ascii="仿宋_GB2312" w:hAnsi="仿宋_GB2312" w:eastAsia="仿宋_GB2312" w:cs="仿宋_GB2312"/>
              <w:color w:val="auto"/>
              <w:kern w:val="2"/>
              <w:sz w:val="28"/>
              <w:szCs w:val="32"/>
              <w:lang w:val="en-US" w:eastAsia="zh-CN" w:bidi="ar-SA"/>
            </w:rPr>
            <w:fldChar w:fldCharType="begin"/>
          </w:r>
          <w:r>
            <w:rPr>
              <w:rFonts w:hint="eastAsia" w:ascii="仿宋_GB2312" w:hAnsi="仿宋_GB2312" w:eastAsia="仿宋_GB2312" w:cs="仿宋_GB2312"/>
              <w:color w:val="auto"/>
              <w:kern w:val="2"/>
              <w:sz w:val="28"/>
              <w:szCs w:val="32"/>
              <w:lang w:val="en-US" w:eastAsia="zh-CN" w:bidi="ar-SA"/>
            </w:rPr>
            <w:instrText xml:space="preserve"> HYPERLINK \l _Toc5789 </w:instrText>
          </w:r>
          <w:r>
            <w:rPr>
              <w:rFonts w:hint="eastAsia" w:ascii="仿宋_GB2312" w:hAnsi="仿宋_GB2312" w:eastAsia="仿宋_GB2312" w:cs="仿宋_GB2312"/>
              <w:color w:val="auto"/>
              <w:kern w:val="2"/>
              <w:sz w:val="28"/>
              <w:szCs w:val="32"/>
              <w:lang w:val="en-US" w:eastAsia="zh-CN" w:bidi="ar-SA"/>
            </w:rPr>
            <w:fldChar w:fldCharType="separate"/>
          </w:r>
          <w:r>
            <w:rPr>
              <w:rFonts w:hint="eastAsia" w:ascii="黑体" w:hAnsi="黑体" w:eastAsia="仿宋_GB2312" w:cs="黑体"/>
              <w:color w:val="auto"/>
              <w:kern w:val="2"/>
              <w:sz w:val="28"/>
              <w:szCs w:val="32"/>
              <w:lang w:val="en-US" w:eastAsia="zh-CN" w:bidi="ar-SA"/>
            </w:rPr>
            <w:t xml:space="preserve">（一） </w:t>
          </w:r>
          <w:r>
            <w:rPr>
              <w:rFonts w:hint="eastAsia" w:ascii="黑体" w:hAnsi="黑体" w:eastAsia="仿宋_GB2312" w:cs="黑体"/>
              <w:color w:val="auto"/>
              <w:kern w:val="2"/>
              <w:sz w:val="28"/>
              <w:szCs w:val="32"/>
              <w:highlight w:val="none"/>
              <w:lang w:val="en-US" w:eastAsia="zh-CN" w:bidi="ar-SA"/>
            </w:rPr>
            <w:t>面临的机遇</w:t>
          </w:r>
          <w:r>
            <w:rPr>
              <w:rFonts w:eastAsia="仿宋_GB2312"/>
              <w:color w:val="auto"/>
              <w:sz w:val="28"/>
            </w:rPr>
            <w:tab/>
          </w:r>
          <w:r>
            <w:rPr>
              <w:rFonts w:eastAsia="仿宋_GB2312"/>
              <w:color w:val="auto"/>
              <w:sz w:val="28"/>
            </w:rPr>
            <w:fldChar w:fldCharType="begin"/>
          </w:r>
          <w:r>
            <w:rPr>
              <w:rFonts w:eastAsia="仿宋_GB2312"/>
              <w:color w:val="auto"/>
              <w:sz w:val="28"/>
            </w:rPr>
            <w:instrText xml:space="preserve"> PAGEREF _Toc5789 \h </w:instrText>
          </w:r>
          <w:r>
            <w:rPr>
              <w:rFonts w:eastAsia="仿宋_GB2312"/>
              <w:color w:val="auto"/>
              <w:sz w:val="28"/>
            </w:rPr>
            <w:fldChar w:fldCharType="separate"/>
          </w:r>
          <w:r>
            <w:rPr>
              <w:rFonts w:eastAsia="仿宋_GB2312"/>
              <w:color w:val="auto"/>
              <w:sz w:val="28"/>
            </w:rPr>
            <w:t>- 11 -</w:t>
          </w:r>
          <w:r>
            <w:rPr>
              <w:rFonts w:eastAsia="仿宋_GB2312"/>
              <w:color w:val="auto"/>
              <w:sz w:val="28"/>
            </w:rPr>
            <w:fldChar w:fldCharType="end"/>
          </w:r>
          <w:r>
            <w:rPr>
              <w:rFonts w:hint="eastAsia" w:ascii="仿宋_GB2312" w:hAnsi="仿宋_GB2312" w:eastAsia="仿宋_GB2312" w:cs="仿宋_GB2312"/>
              <w:color w:val="auto"/>
              <w:kern w:val="2"/>
              <w:sz w:val="28"/>
              <w:szCs w:val="32"/>
              <w:lang w:val="en-US" w:eastAsia="zh-CN" w:bidi="ar-SA"/>
            </w:rPr>
            <w:fldChar w:fldCharType="end"/>
          </w:r>
        </w:p>
        <w:p>
          <w:pPr>
            <w:pStyle w:val="11"/>
            <w:tabs>
              <w:tab w:val="right" w:leader="dot" w:pos="8845"/>
            </w:tabs>
            <w:rPr>
              <w:rFonts w:eastAsia="仿宋_GB2312"/>
              <w:color w:val="auto"/>
              <w:sz w:val="28"/>
            </w:rPr>
          </w:pPr>
          <w:r>
            <w:rPr>
              <w:rFonts w:hint="eastAsia" w:ascii="仿宋_GB2312" w:hAnsi="仿宋_GB2312" w:eastAsia="仿宋_GB2312" w:cs="仿宋_GB2312"/>
              <w:color w:val="auto"/>
              <w:kern w:val="2"/>
              <w:sz w:val="28"/>
              <w:szCs w:val="32"/>
              <w:lang w:val="en-US" w:eastAsia="zh-CN" w:bidi="ar-SA"/>
            </w:rPr>
            <w:fldChar w:fldCharType="begin"/>
          </w:r>
          <w:r>
            <w:rPr>
              <w:rFonts w:hint="eastAsia" w:ascii="仿宋_GB2312" w:hAnsi="仿宋_GB2312" w:eastAsia="仿宋_GB2312" w:cs="仿宋_GB2312"/>
              <w:color w:val="auto"/>
              <w:kern w:val="2"/>
              <w:sz w:val="28"/>
              <w:szCs w:val="32"/>
              <w:lang w:val="en-US" w:eastAsia="zh-CN" w:bidi="ar-SA"/>
            </w:rPr>
            <w:instrText xml:space="preserve"> HYPERLINK \l _Toc3034 </w:instrText>
          </w:r>
          <w:r>
            <w:rPr>
              <w:rFonts w:hint="eastAsia" w:ascii="仿宋_GB2312" w:hAnsi="仿宋_GB2312" w:eastAsia="仿宋_GB2312" w:cs="仿宋_GB2312"/>
              <w:color w:val="auto"/>
              <w:kern w:val="2"/>
              <w:sz w:val="28"/>
              <w:szCs w:val="32"/>
              <w:lang w:val="en-US" w:eastAsia="zh-CN" w:bidi="ar-SA"/>
            </w:rPr>
            <w:fldChar w:fldCharType="separate"/>
          </w:r>
          <w:r>
            <w:rPr>
              <w:rFonts w:hint="eastAsia" w:ascii="黑体" w:hAnsi="黑体" w:eastAsia="仿宋_GB2312" w:cs="黑体"/>
              <w:color w:val="auto"/>
              <w:kern w:val="2"/>
              <w:sz w:val="28"/>
              <w:szCs w:val="32"/>
              <w:lang w:val="en-US" w:eastAsia="zh-CN" w:bidi="ar-SA"/>
            </w:rPr>
            <w:t xml:space="preserve">（二） </w:t>
          </w:r>
          <w:r>
            <w:rPr>
              <w:rFonts w:hint="eastAsia" w:ascii="黑体" w:hAnsi="黑体" w:eastAsia="仿宋_GB2312" w:cs="黑体"/>
              <w:color w:val="auto"/>
              <w:kern w:val="2"/>
              <w:sz w:val="28"/>
              <w:szCs w:val="32"/>
              <w:highlight w:val="none"/>
              <w:lang w:val="en-US" w:eastAsia="zh-CN" w:bidi="ar-SA"/>
            </w:rPr>
            <w:t>面对的挑战</w:t>
          </w:r>
          <w:r>
            <w:rPr>
              <w:rFonts w:eastAsia="仿宋_GB2312"/>
              <w:color w:val="auto"/>
              <w:sz w:val="28"/>
            </w:rPr>
            <w:tab/>
          </w:r>
          <w:r>
            <w:rPr>
              <w:rFonts w:eastAsia="仿宋_GB2312"/>
              <w:color w:val="auto"/>
              <w:sz w:val="28"/>
            </w:rPr>
            <w:fldChar w:fldCharType="begin"/>
          </w:r>
          <w:r>
            <w:rPr>
              <w:rFonts w:eastAsia="仿宋_GB2312"/>
              <w:color w:val="auto"/>
              <w:sz w:val="28"/>
            </w:rPr>
            <w:instrText xml:space="preserve"> PAGEREF _Toc3034 \h </w:instrText>
          </w:r>
          <w:r>
            <w:rPr>
              <w:rFonts w:eastAsia="仿宋_GB2312"/>
              <w:color w:val="auto"/>
              <w:sz w:val="28"/>
            </w:rPr>
            <w:fldChar w:fldCharType="separate"/>
          </w:r>
          <w:r>
            <w:rPr>
              <w:rFonts w:eastAsia="仿宋_GB2312"/>
              <w:color w:val="auto"/>
              <w:sz w:val="28"/>
            </w:rPr>
            <w:t>- 14 -</w:t>
          </w:r>
          <w:r>
            <w:rPr>
              <w:rFonts w:eastAsia="仿宋_GB2312"/>
              <w:color w:val="auto"/>
              <w:sz w:val="28"/>
            </w:rPr>
            <w:fldChar w:fldCharType="end"/>
          </w:r>
          <w:r>
            <w:rPr>
              <w:rFonts w:hint="eastAsia" w:ascii="仿宋_GB2312" w:hAnsi="仿宋_GB2312" w:eastAsia="仿宋_GB2312" w:cs="仿宋_GB2312"/>
              <w:color w:val="auto"/>
              <w:kern w:val="2"/>
              <w:sz w:val="28"/>
              <w:szCs w:val="32"/>
              <w:lang w:val="en-US" w:eastAsia="zh-CN" w:bidi="ar-SA"/>
            </w:rPr>
            <w:fldChar w:fldCharType="end"/>
          </w:r>
        </w:p>
        <w:p>
          <w:pPr>
            <w:pStyle w:val="15"/>
            <w:tabs>
              <w:tab w:val="right" w:leader="dot" w:pos="8845"/>
            </w:tabs>
            <w:ind w:firstLine="562" w:firstLineChars="200"/>
            <w:rPr>
              <w:rFonts w:eastAsia="黑体"/>
              <w:color w:val="auto"/>
              <w:sz w:val="28"/>
            </w:rPr>
          </w:pPr>
          <w:r>
            <w:rPr>
              <w:rFonts w:hint="eastAsia" w:ascii="仿宋_GB2312" w:hAnsi="仿宋_GB2312" w:eastAsia="黑体" w:cs="仿宋_GB2312"/>
              <w:b/>
              <w:color w:val="auto"/>
              <w:kern w:val="2"/>
              <w:sz w:val="28"/>
              <w:szCs w:val="32"/>
              <w:lang w:val="en-US" w:eastAsia="zh-CN" w:bidi="ar-SA"/>
            </w:rPr>
            <w:fldChar w:fldCharType="begin"/>
          </w:r>
          <w:r>
            <w:rPr>
              <w:rFonts w:hint="eastAsia" w:ascii="仿宋_GB2312" w:hAnsi="仿宋_GB2312" w:eastAsia="黑体" w:cs="仿宋_GB2312"/>
              <w:b/>
              <w:color w:val="auto"/>
              <w:kern w:val="2"/>
              <w:sz w:val="28"/>
              <w:szCs w:val="32"/>
              <w:lang w:val="en-US" w:eastAsia="zh-CN" w:bidi="ar-SA"/>
            </w:rPr>
            <w:instrText xml:space="preserve"> HYPERLINK \l _Toc18781 </w:instrText>
          </w:r>
          <w:r>
            <w:rPr>
              <w:rFonts w:hint="eastAsia" w:ascii="仿宋_GB2312" w:hAnsi="仿宋_GB2312" w:eastAsia="黑体" w:cs="仿宋_GB2312"/>
              <w:b/>
              <w:color w:val="auto"/>
              <w:kern w:val="2"/>
              <w:sz w:val="28"/>
              <w:szCs w:val="32"/>
              <w:lang w:val="en-US" w:eastAsia="zh-CN" w:bidi="ar-SA"/>
            </w:rPr>
            <w:fldChar w:fldCharType="separate"/>
          </w:r>
          <w:r>
            <w:rPr>
              <w:rFonts w:hint="eastAsia" w:ascii="黑体" w:hAnsi="黑体" w:eastAsia="黑体" w:cs="黑体"/>
              <w:b/>
              <w:bCs w:val="0"/>
              <w:color w:val="auto"/>
              <w:kern w:val="44"/>
              <w:sz w:val="28"/>
              <w:szCs w:val="32"/>
              <w:lang w:val="en-US" w:eastAsia="zh-CN" w:bidi="ar-SA"/>
            </w:rPr>
            <w:t xml:space="preserve">三、 </w:t>
          </w:r>
          <w:r>
            <w:rPr>
              <w:rFonts w:hint="eastAsia" w:ascii="黑体" w:hAnsi="黑体" w:eastAsia="黑体" w:cs="黑体"/>
              <w:b/>
              <w:bCs w:val="0"/>
              <w:color w:val="auto"/>
              <w:kern w:val="44"/>
              <w:sz w:val="28"/>
              <w:szCs w:val="32"/>
              <w:highlight w:val="none"/>
              <w:lang w:val="en-US" w:eastAsia="zh-CN" w:bidi="ar-SA"/>
            </w:rPr>
            <w:t>总体要求</w:t>
          </w:r>
          <w:r>
            <w:rPr>
              <w:rFonts w:eastAsia="黑体"/>
              <w:b/>
              <w:color w:val="auto"/>
              <w:sz w:val="28"/>
            </w:rPr>
            <w:tab/>
          </w:r>
          <w:r>
            <w:rPr>
              <w:rFonts w:eastAsia="黑体"/>
              <w:b/>
              <w:color w:val="auto"/>
              <w:sz w:val="28"/>
            </w:rPr>
            <w:fldChar w:fldCharType="begin"/>
          </w:r>
          <w:r>
            <w:rPr>
              <w:rFonts w:eastAsia="黑体"/>
              <w:b/>
              <w:color w:val="auto"/>
              <w:sz w:val="28"/>
            </w:rPr>
            <w:instrText xml:space="preserve"> PAGEREF _Toc18781 \h </w:instrText>
          </w:r>
          <w:r>
            <w:rPr>
              <w:rFonts w:eastAsia="黑体"/>
              <w:b/>
              <w:color w:val="auto"/>
              <w:sz w:val="28"/>
            </w:rPr>
            <w:fldChar w:fldCharType="separate"/>
          </w:r>
          <w:r>
            <w:rPr>
              <w:rFonts w:eastAsia="黑体"/>
              <w:b/>
              <w:color w:val="auto"/>
              <w:sz w:val="28"/>
            </w:rPr>
            <w:t>- 17 -</w:t>
          </w:r>
          <w:r>
            <w:rPr>
              <w:rFonts w:eastAsia="黑体"/>
              <w:b/>
              <w:color w:val="auto"/>
              <w:sz w:val="28"/>
            </w:rPr>
            <w:fldChar w:fldCharType="end"/>
          </w:r>
          <w:r>
            <w:rPr>
              <w:rFonts w:hint="eastAsia" w:ascii="仿宋_GB2312" w:hAnsi="仿宋_GB2312" w:eastAsia="黑体" w:cs="仿宋_GB2312"/>
              <w:b/>
              <w:color w:val="auto"/>
              <w:kern w:val="2"/>
              <w:sz w:val="28"/>
              <w:szCs w:val="32"/>
              <w:lang w:val="en-US" w:eastAsia="zh-CN" w:bidi="ar-SA"/>
            </w:rPr>
            <w:fldChar w:fldCharType="end"/>
          </w:r>
        </w:p>
        <w:p>
          <w:pPr>
            <w:pStyle w:val="11"/>
            <w:tabs>
              <w:tab w:val="right" w:leader="dot" w:pos="8845"/>
            </w:tabs>
            <w:rPr>
              <w:rFonts w:eastAsia="仿宋_GB2312"/>
              <w:color w:val="auto"/>
              <w:sz w:val="28"/>
            </w:rPr>
          </w:pPr>
          <w:r>
            <w:rPr>
              <w:rFonts w:hint="eastAsia" w:ascii="仿宋_GB2312" w:hAnsi="仿宋_GB2312" w:eastAsia="仿宋_GB2312" w:cs="仿宋_GB2312"/>
              <w:color w:val="auto"/>
              <w:kern w:val="2"/>
              <w:sz w:val="28"/>
              <w:szCs w:val="32"/>
              <w:lang w:val="en-US" w:eastAsia="zh-CN" w:bidi="ar-SA"/>
            </w:rPr>
            <w:fldChar w:fldCharType="begin"/>
          </w:r>
          <w:r>
            <w:rPr>
              <w:rFonts w:hint="eastAsia" w:ascii="仿宋_GB2312" w:hAnsi="仿宋_GB2312" w:eastAsia="仿宋_GB2312" w:cs="仿宋_GB2312"/>
              <w:color w:val="auto"/>
              <w:kern w:val="2"/>
              <w:sz w:val="28"/>
              <w:szCs w:val="32"/>
              <w:lang w:val="en-US" w:eastAsia="zh-CN" w:bidi="ar-SA"/>
            </w:rPr>
            <w:instrText xml:space="preserve"> HYPERLINK \l _Toc28561 </w:instrText>
          </w:r>
          <w:r>
            <w:rPr>
              <w:rFonts w:hint="eastAsia" w:ascii="仿宋_GB2312" w:hAnsi="仿宋_GB2312" w:eastAsia="仿宋_GB2312" w:cs="仿宋_GB2312"/>
              <w:color w:val="auto"/>
              <w:kern w:val="2"/>
              <w:sz w:val="28"/>
              <w:szCs w:val="32"/>
              <w:lang w:val="en-US" w:eastAsia="zh-CN" w:bidi="ar-SA"/>
            </w:rPr>
            <w:fldChar w:fldCharType="separate"/>
          </w:r>
          <w:r>
            <w:rPr>
              <w:rFonts w:hint="eastAsia" w:ascii="黑体" w:hAnsi="黑体" w:eastAsia="仿宋_GB2312" w:cs="黑体"/>
              <w:color w:val="auto"/>
              <w:kern w:val="2"/>
              <w:sz w:val="28"/>
              <w:szCs w:val="32"/>
              <w:lang w:val="en-US" w:eastAsia="zh-CN" w:bidi="ar-SA"/>
            </w:rPr>
            <w:t xml:space="preserve">（一） </w:t>
          </w:r>
          <w:r>
            <w:rPr>
              <w:rFonts w:hint="eastAsia" w:ascii="黑体" w:hAnsi="黑体" w:eastAsia="仿宋_GB2312" w:cs="黑体"/>
              <w:color w:val="auto"/>
              <w:kern w:val="2"/>
              <w:sz w:val="28"/>
              <w:szCs w:val="32"/>
              <w:highlight w:val="none"/>
              <w:lang w:val="en-US" w:eastAsia="zh-CN" w:bidi="ar-SA"/>
            </w:rPr>
            <w:t>指导思想</w:t>
          </w:r>
          <w:r>
            <w:rPr>
              <w:rFonts w:eastAsia="仿宋_GB2312"/>
              <w:color w:val="auto"/>
              <w:sz w:val="28"/>
            </w:rPr>
            <w:tab/>
          </w:r>
          <w:r>
            <w:rPr>
              <w:rFonts w:eastAsia="仿宋_GB2312"/>
              <w:color w:val="auto"/>
              <w:sz w:val="28"/>
            </w:rPr>
            <w:fldChar w:fldCharType="begin"/>
          </w:r>
          <w:r>
            <w:rPr>
              <w:rFonts w:eastAsia="仿宋_GB2312"/>
              <w:color w:val="auto"/>
              <w:sz w:val="28"/>
            </w:rPr>
            <w:instrText xml:space="preserve"> PAGEREF _Toc28561 \h </w:instrText>
          </w:r>
          <w:r>
            <w:rPr>
              <w:rFonts w:eastAsia="仿宋_GB2312"/>
              <w:color w:val="auto"/>
              <w:sz w:val="28"/>
            </w:rPr>
            <w:fldChar w:fldCharType="separate"/>
          </w:r>
          <w:r>
            <w:rPr>
              <w:rFonts w:eastAsia="仿宋_GB2312"/>
              <w:color w:val="auto"/>
              <w:sz w:val="28"/>
            </w:rPr>
            <w:t>- 17 -</w:t>
          </w:r>
          <w:r>
            <w:rPr>
              <w:rFonts w:eastAsia="仿宋_GB2312"/>
              <w:color w:val="auto"/>
              <w:sz w:val="28"/>
            </w:rPr>
            <w:fldChar w:fldCharType="end"/>
          </w:r>
          <w:r>
            <w:rPr>
              <w:rFonts w:hint="eastAsia" w:ascii="仿宋_GB2312" w:hAnsi="仿宋_GB2312" w:eastAsia="仿宋_GB2312" w:cs="仿宋_GB2312"/>
              <w:color w:val="auto"/>
              <w:kern w:val="2"/>
              <w:sz w:val="28"/>
              <w:szCs w:val="32"/>
              <w:lang w:val="en-US" w:eastAsia="zh-CN" w:bidi="ar-SA"/>
            </w:rPr>
            <w:fldChar w:fldCharType="end"/>
          </w:r>
        </w:p>
        <w:p>
          <w:pPr>
            <w:pStyle w:val="11"/>
            <w:tabs>
              <w:tab w:val="right" w:leader="dot" w:pos="8845"/>
            </w:tabs>
            <w:rPr>
              <w:rFonts w:eastAsia="仿宋_GB2312"/>
              <w:color w:val="auto"/>
              <w:sz w:val="28"/>
            </w:rPr>
          </w:pPr>
          <w:r>
            <w:rPr>
              <w:rFonts w:hint="eastAsia" w:ascii="仿宋_GB2312" w:hAnsi="仿宋_GB2312" w:eastAsia="仿宋_GB2312" w:cs="仿宋_GB2312"/>
              <w:color w:val="auto"/>
              <w:kern w:val="2"/>
              <w:sz w:val="28"/>
              <w:szCs w:val="32"/>
              <w:lang w:val="en-US" w:eastAsia="zh-CN" w:bidi="ar-SA"/>
            </w:rPr>
            <w:fldChar w:fldCharType="begin"/>
          </w:r>
          <w:r>
            <w:rPr>
              <w:rFonts w:hint="eastAsia" w:ascii="仿宋_GB2312" w:hAnsi="仿宋_GB2312" w:eastAsia="仿宋_GB2312" w:cs="仿宋_GB2312"/>
              <w:color w:val="auto"/>
              <w:kern w:val="2"/>
              <w:sz w:val="28"/>
              <w:szCs w:val="32"/>
              <w:lang w:val="en-US" w:eastAsia="zh-CN" w:bidi="ar-SA"/>
            </w:rPr>
            <w:instrText xml:space="preserve"> HYPERLINK \l _Toc32104 </w:instrText>
          </w:r>
          <w:r>
            <w:rPr>
              <w:rFonts w:hint="eastAsia" w:ascii="仿宋_GB2312" w:hAnsi="仿宋_GB2312" w:eastAsia="仿宋_GB2312" w:cs="仿宋_GB2312"/>
              <w:color w:val="auto"/>
              <w:kern w:val="2"/>
              <w:sz w:val="28"/>
              <w:szCs w:val="32"/>
              <w:lang w:val="en-US" w:eastAsia="zh-CN" w:bidi="ar-SA"/>
            </w:rPr>
            <w:fldChar w:fldCharType="separate"/>
          </w:r>
          <w:r>
            <w:rPr>
              <w:rFonts w:hint="eastAsia" w:ascii="黑体" w:hAnsi="黑体" w:eastAsia="仿宋_GB2312" w:cs="黑体"/>
              <w:color w:val="auto"/>
              <w:kern w:val="2"/>
              <w:sz w:val="28"/>
              <w:szCs w:val="32"/>
              <w:lang w:val="en-US" w:eastAsia="zh-CN" w:bidi="ar-SA"/>
            </w:rPr>
            <w:t xml:space="preserve">（二） </w:t>
          </w:r>
          <w:r>
            <w:rPr>
              <w:rFonts w:hint="eastAsia" w:ascii="黑体" w:hAnsi="黑体" w:eastAsia="仿宋_GB2312" w:cs="黑体"/>
              <w:color w:val="auto"/>
              <w:kern w:val="2"/>
              <w:sz w:val="28"/>
              <w:szCs w:val="32"/>
              <w:highlight w:val="none"/>
              <w:lang w:val="en-US" w:eastAsia="zh-CN" w:bidi="ar-SA"/>
            </w:rPr>
            <w:t>基本原则</w:t>
          </w:r>
          <w:r>
            <w:rPr>
              <w:rFonts w:eastAsia="仿宋_GB2312"/>
              <w:color w:val="auto"/>
              <w:sz w:val="28"/>
            </w:rPr>
            <w:tab/>
          </w:r>
          <w:r>
            <w:rPr>
              <w:rFonts w:eastAsia="仿宋_GB2312"/>
              <w:color w:val="auto"/>
              <w:sz w:val="28"/>
            </w:rPr>
            <w:fldChar w:fldCharType="begin"/>
          </w:r>
          <w:r>
            <w:rPr>
              <w:rFonts w:eastAsia="仿宋_GB2312"/>
              <w:color w:val="auto"/>
              <w:sz w:val="28"/>
            </w:rPr>
            <w:instrText xml:space="preserve"> PAGEREF _Toc32104 \h </w:instrText>
          </w:r>
          <w:r>
            <w:rPr>
              <w:rFonts w:eastAsia="仿宋_GB2312"/>
              <w:color w:val="auto"/>
              <w:sz w:val="28"/>
            </w:rPr>
            <w:fldChar w:fldCharType="separate"/>
          </w:r>
          <w:r>
            <w:rPr>
              <w:rFonts w:eastAsia="仿宋_GB2312"/>
              <w:color w:val="auto"/>
              <w:sz w:val="28"/>
            </w:rPr>
            <w:t>- 18 -</w:t>
          </w:r>
          <w:r>
            <w:rPr>
              <w:rFonts w:eastAsia="仿宋_GB2312"/>
              <w:color w:val="auto"/>
              <w:sz w:val="28"/>
            </w:rPr>
            <w:fldChar w:fldCharType="end"/>
          </w:r>
          <w:r>
            <w:rPr>
              <w:rFonts w:hint="eastAsia" w:ascii="仿宋_GB2312" w:hAnsi="仿宋_GB2312" w:eastAsia="仿宋_GB2312" w:cs="仿宋_GB2312"/>
              <w:color w:val="auto"/>
              <w:kern w:val="2"/>
              <w:sz w:val="28"/>
              <w:szCs w:val="32"/>
              <w:lang w:val="en-US" w:eastAsia="zh-CN" w:bidi="ar-SA"/>
            </w:rPr>
            <w:fldChar w:fldCharType="end"/>
          </w:r>
        </w:p>
        <w:p>
          <w:pPr>
            <w:pStyle w:val="11"/>
            <w:tabs>
              <w:tab w:val="right" w:leader="dot" w:pos="8845"/>
            </w:tabs>
            <w:rPr>
              <w:rFonts w:eastAsia="仿宋_GB2312"/>
              <w:color w:val="auto"/>
              <w:sz w:val="28"/>
            </w:rPr>
          </w:pPr>
          <w:r>
            <w:rPr>
              <w:rFonts w:hint="eastAsia" w:ascii="仿宋_GB2312" w:hAnsi="仿宋_GB2312" w:eastAsia="仿宋_GB2312" w:cs="仿宋_GB2312"/>
              <w:color w:val="auto"/>
              <w:kern w:val="2"/>
              <w:sz w:val="28"/>
              <w:szCs w:val="32"/>
              <w:lang w:val="en-US" w:eastAsia="zh-CN" w:bidi="ar-SA"/>
            </w:rPr>
            <w:fldChar w:fldCharType="begin"/>
          </w:r>
          <w:r>
            <w:rPr>
              <w:rFonts w:hint="eastAsia" w:ascii="仿宋_GB2312" w:hAnsi="仿宋_GB2312" w:eastAsia="仿宋_GB2312" w:cs="仿宋_GB2312"/>
              <w:color w:val="auto"/>
              <w:kern w:val="2"/>
              <w:sz w:val="28"/>
              <w:szCs w:val="32"/>
              <w:lang w:val="en-US" w:eastAsia="zh-CN" w:bidi="ar-SA"/>
            </w:rPr>
            <w:instrText xml:space="preserve"> HYPERLINK \l _Toc15486 </w:instrText>
          </w:r>
          <w:r>
            <w:rPr>
              <w:rFonts w:hint="eastAsia" w:ascii="仿宋_GB2312" w:hAnsi="仿宋_GB2312" w:eastAsia="仿宋_GB2312" w:cs="仿宋_GB2312"/>
              <w:color w:val="auto"/>
              <w:kern w:val="2"/>
              <w:sz w:val="28"/>
              <w:szCs w:val="32"/>
              <w:lang w:val="en-US" w:eastAsia="zh-CN" w:bidi="ar-SA"/>
            </w:rPr>
            <w:fldChar w:fldCharType="separate"/>
          </w:r>
          <w:r>
            <w:rPr>
              <w:rFonts w:hint="eastAsia" w:ascii="黑体" w:hAnsi="黑体" w:eastAsia="仿宋_GB2312" w:cs="黑体"/>
              <w:color w:val="auto"/>
              <w:kern w:val="2"/>
              <w:sz w:val="28"/>
              <w:szCs w:val="32"/>
              <w:lang w:val="en-US" w:eastAsia="zh-CN" w:bidi="ar-SA"/>
            </w:rPr>
            <w:t xml:space="preserve">（三） </w:t>
          </w:r>
          <w:r>
            <w:rPr>
              <w:rFonts w:hint="eastAsia" w:ascii="黑体" w:hAnsi="黑体" w:eastAsia="仿宋_GB2312" w:cs="黑体"/>
              <w:color w:val="auto"/>
              <w:kern w:val="2"/>
              <w:sz w:val="28"/>
              <w:szCs w:val="32"/>
              <w:highlight w:val="none"/>
              <w:lang w:val="en-US" w:eastAsia="zh-CN" w:bidi="ar-SA"/>
            </w:rPr>
            <w:t>发展定位</w:t>
          </w:r>
          <w:r>
            <w:rPr>
              <w:rFonts w:eastAsia="仿宋_GB2312"/>
              <w:color w:val="auto"/>
              <w:sz w:val="28"/>
            </w:rPr>
            <w:tab/>
          </w:r>
          <w:r>
            <w:rPr>
              <w:rFonts w:eastAsia="仿宋_GB2312"/>
              <w:color w:val="auto"/>
              <w:sz w:val="28"/>
            </w:rPr>
            <w:fldChar w:fldCharType="begin"/>
          </w:r>
          <w:r>
            <w:rPr>
              <w:rFonts w:eastAsia="仿宋_GB2312"/>
              <w:color w:val="auto"/>
              <w:sz w:val="28"/>
            </w:rPr>
            <w:instrText xml:space="preserve"> PAGEREF _Toc15486 \h </w:instrText>
          </w:r>
          <w:r>
            <w:rPr>
              <w:rFonts w:eastAsia="仿宋_GB2312"/>
              <w:color w:val="auto"/>
              <w:sz w:val="28"/>
            </w:rPr>
            <w:fldChar w:fldCharType="separate"/>
          </w:r>
          <w:r>
            <w:rPr>
              <w:rFonts w:eastAsia="仿宋_GB2312"/>
              <w:color w:val="auto"/>
              <w:sz w:val="28"/>
            </w:rPr>
            <w:t>- 19 -</w:t>
          </w:r>
          <w:r>
            <w:rPr>
              <w:rFonts w:eastAsia="仿宋_GB2312"/>
              <w:color w:val="auto"/>
              <w:sz w:val="28"/>
            </w:rPr>
            <w:fldChar w:fldCharType="end"/>
          </w:r>
          <w:r>
            <w:rPr>
              <w:rFonts w:hint="eastAsia" w:ascii="仿宋_GB2312" w:hAnsi="仿宋_GB2312" w:eastAsia="仿宋_GB2312" w:cs="仿宋_GB2312"/>
              <w:color w:val="auto"/>
              <w:kern w:val="2"/>
              <w:sz w:val="28"/>
              <w:szCs w:val="32"/>
              <w:lang w:val="en-US" w:eastAsia="zh-CN" w:bidi="ar-SA"/>
            </w:rPr>
            <w:fldChar w:fldCharType="end"/>
          </w:r>
        </w:p>
        <w:p>
          <w:pPr>
            <w:pStyle w:val="11"/>
            <w:tabs>
              <w:tab w:val="right" w:leader="dot" w:pos="8845"/>
            </w:tabs>
            <w:rPr>
              <w:rFonts w:eastAsia="仿宋_GB2312"/>
              <w:color w:val="auto"/>
              <w:sz w:val="28"/>
            </w:rPr>
          </w:pPr>
          <w:r>
            <w:rPr>
              <w:rFonts w:hint="eastAsia" w:ascii="仿宋_GB2312" w:hAnsi="仿宋_GB2312" w:eastAsia="仿宋_GB2312" w:cs="仿宋_GB2312"/>
              <w:color w:val="auto"/>
              <w:kern w:val="2"/>
              <w:sz w:val="28"/>
              <w:szCs w:val="32"/>
              <w:lang w:val="en-US" w:eastAsia="zh-CN" w:bidi="ar-SA"/>
            </w:rPr>
            <w:fldChar w:fldCharType="begin"/>
          </w:r>
          <w:r>
            <w:rPr>
              <w:rFonts w:hint="eastAsia" w:ascii="仿宋_GB2312" w:hAnsi="仿宋_GB2312" w:eastAsia="仿宋_GB2312" w:cs="仿宋_GB2312"/>
              <w:color w:val="auto"/>
              <w:kern w:val="2"/>
              <w:sz w:val="28"/>
              <w:szCs w:val="32"/>
              <w:lang w:val="en-US" w:eastAsia="zh-CN" w:bidi="ar-SA"/>
            </w:rPr>
            <w:instrText xml:space="preserve"> HYPERLINK \l _Toc18332 </w:instrText>
          </w:r>
          <w:r>
            <w:rPr>
              <w:rFonts w:hint="eastAsia" w:ascii="仿宋_GB2312" w:hAnsi="仿宋_GB2312" w:eastAsia="仿宋_GB2312" w:cs="仿宋_GB2312"/>
              <w:color w:val="auto"/>
              <w:kern w:val="2"/>
              <w:sz w:val="28"/>
              <w:szCs w:val="32"/>
              <w:lang w:val="en-US" w:eastAsia="zh-CN" w:bidi="ar-SA"/>
            </w:rPr>
            <w:fldChar w:fldCharType="separate"/>
          </w:r>
          <w:r>
            <w:rPr>
              <w:rFonts w:hint="eastAsia" w:ascii="黑体" w:hAnsi="黑体" w:eastAsia="仿宋_GB2312" w:cs="黑体"/>
              <w:color w:val="auto"/>
              <w:kern w:val="2"/>
              <w:sz w:val="28"/>
              <w:szCs w:val="32"/>
              <w:lang w:val="en-US" w:eastAsia="zh-CN" w:bidi="ar-SA"/>
            </w:rPr>
            <w:t xml:space="preserve">（四） </w:t>
          </w:r>
          <w:r>
            <w:rPr>
              <w:rFonts w:hint="eastAsia" w:ascii="黑体" w:hAnsi="黑体" w:eastAsia="仿宋_GB2312" w:cs="黑体"/>
              <w:color w:val="auto"/>
              <w:kern w:val="2"/>
              <w:sz w:val="28"/>
              <w:szCs w:val="32"/>
              <w:highlight w:val="none"/>
              <w:lang w:val="en-US" w:eastAsia="zh-CN" w:bidi="ar-SA"/>
            </w:rPr>
            <w:t>发展目标</w:t>
          </w:r>
          <w:r>
            <w:rPr>
              <w:rFonts w:eastAsia="仿宋_GB2312"/>
              <w:color w:val="auto"/>
              <w:sz w:val="28"/>
            </w:rPr>
            <w:tab/>
          </w:r>
          <w:r>
            <w:rPr>
              <w:rFonts w:eastAsia="仿宋_GB2312"/>
              <w:color w:val="auto"/>
              <w:sz w:val="28"/>
            </w:rPr>
            <w:fldChar w:fldCharType="begin"/>
          </w:r>
          <w:r>
            <w:rPr>
              <w:rFonts w:eastAsia="仿宋_GB2312"/>
              <w:color w:val="auto"/>
              <w:sz w:val="28"/>
            </w:rPr>
            <w:instrText xml:space="preserve"> PAGEREF _Toc18332 \h </w:instrText>
          </w:r>
          <w:r>
            <w:rPr>
              <w:rFonts w:eastAsia="仿宋_GB2312"/>
              <w:color w:val="auto"/>
              <w:sz w:val="28"/>
            </w:rPr>
            <w:fldChar w:fldCharType="separate"/>
          </w:r>
          <w:r>
            <w:rPr>
              <w:rFonts w:eastAsia="仿宋_GB2312"/>
              <w:color w:val="auto"/>
              <w:sz w:val="28"/>
            </w:rPr>
            <w:t>- 20 -</w:t>
          </w:r>
          <w:r>
            <w:rPr>
              <w:rFonts w:eastAsia="仿宋_GB2312"/>
              <w:color w:val="auto"/>
              <w:sz w:val="28"/>
            </w:rPr>
            <w:fldChar w:fldCharType="end"/>
          </w:r>
          <w:r>
            <w:rPr>
              <w:rFonts w:hint="eastAsia" w:ascii="仿宋_GB2312" w:hAnsi="仿宋_GB2312" w:eastAsia="仿宋_GB2312" w:cs="仿宋_GB2312"/>
              <w:color w:val="auto"/>
              <w:kern w:val="2"/>
              <w:sz w:val="28"/>
              <w:szCs w:val="32"/>
              <w:lang w:val="en-US" w:eastAsia="zh-CN" w:bidi="ar-SA"/>
            </w:rPr>
            <w:fldChar w:fldCharType="end"/>
          </w:r>
        </w:p>
        <w:p>
          <w:pPr>
            <w:pStyle w:val="15"/>
            <w:tabs>
              <w:tab w:val="right" w:leader="dot" w:pos="8845"/>
            </w:tabs>
            <w:ind w:firstLine="562" w:firstLineChars="200"/>
            <w:rPr>
              <w:rFonts w:eastAsia="黑体"/>
              <w:color w:val="auto"/>
              <w:sz w:val="28"/>
            </w:rPr>
          </w:pPr>
          <w:r>
            <w:rPr>
              <w:rFonts w:hint="eastAsia" w:ascii="仿宋_GB2312" w:hAnsi="仿宋_GB2312" w:eastAsia="黑体" w:cs="仿宋_GB2312"/>
              <w:b/>
              <w:color w:val="auto"/>
              <w:kern w:val="2"/>
              <w:sz w:val="28"/>
              <w:szCs w:val="32"/>
              <w:lang w:val="en-US" w:eastAsia="zh-CN" w:bidi="ar-SA"/>
            </w:rPr>
            <w:fldChar w:fldCharType="begin"/>
          </w:r>
          <w:r>
            <w:rPr>
              <w:rFonts w:hint="eastAsia" w:ascii="仿宋_GB2312" w:hAnsi="仿宋_GB2312" w:eastAsia="黑体" w:cs="仿宋_GB2312"/>
              <w:b/>
              <w:color w:val="auto"/>
              <w:kern w:val="2"/>
              <w:sz w:val="28"/>
              <w:szCs w:val="32"/>
              <w:lang w:val="en-US" w:eastAsia="zh-CN" w:bidi="ar-SA"/>
            </w:rPr>
            <w:instrText xml:space="preserve"> HYPERLINK \l _Toc1684 </w:instrText>
          </w:r>
          <w:r>
            <w:rPr>
              <w:rFonts w:hint="eastAsia" w:ascii="仿宋_GB2312" w:hAnsi="仿宋_GB2312" w:eastAsia="黑体" w:cs="仿宋_GB2312"/>
              <w:b/>
              <w:color w:val="auto"/>
              <w:kern w:val="2"/>
              <w:sz w:val="28"/>
              <w:szCs w:val="32"/>
              <w:lang w:val="en-US" w:eastAsia="zh-CN" w:bidi="ar-SA"/>
            </w:rPr>
            <w:fldChar w:fldCharType="separate"/>
          </w:r>
          <w:r>
            <w:rPr>
              <w:rFonts w:hint="eastAsia" w:ascii="黑体" w:hAnsi="黑体" w:eastAsia="黑体" w:cs="黑体"/>
              <w:b/>
              <w:bCs w:val="0"/>
              <w:color w:val="auto"/>
              <w:kern w:val="44"/>
              <w:sz w:val="28"/>
              <w:szCs w:val="32"/>
              <w:lang w:val="en-US" w:eastAsia="zh-CN" w:bidi="ar-SA"/>
            </w:rPr>
            <w:t xml:space="preserve">四、 </w:t>
          </w:r>
          <w:r>
            <w:rPr>
              <w:rFonts w:hint="eastAsia" w:ascii="黑体" w:hAnsi="黑体" w:eastAsia="黑体" w:cs="黑体"/>
              <w:b/>
              <w:bCs w:val="0"/>
              <w:color w:val="auto"/>
              <w:kern w:val="44"/>
              <w:sz w:val="28"/>
              <w:szCs w:val="32"/>
              <w:highlight w:val="none"/>
              <w:lang w:val="en-US" w:eastAsia="zh-CN" w:bidi="ar-SA"/>
            </w:rPr>
            <w:t>主要任务</w:t>
          </w:r>
          <w:r>
            <w:rPr>
              <w:rFonts w:eastAsia="黑体"/>
              <w:b/>
              <w:color w:val="auto"/>
              <w:sz w:val="28"/>
            </w:rPr>
            <w:tab/>
          </w:r>
          <w:r>
            <w:rPr>
              <w:rFonts w:eastAsia="黑体"/>
              <w:b/>
              <w:color w:val="auto"/>
              <w:sz w:val="28"/>
            </w:rPr>
            <w:fldChar w:fldCharType="begin"/>
          </w:r>
          <w:r>
            <w:rPr>
              <w:rFonts w:eastAsia="黑体"/>
              <w:b/>
              <w:color w:val="auto"/>
              <w:sz w:val="28"/>
            </w:rPr>
            <w:instrText xml:space="preserve"> PAGEREF _Toc1684 \h </w:instrText>
          </w:r>
          <w:r>
            <w:rPr>
              <w:rFonts w:eastAsia="黑体"/>
              <w:b/>
              <w:color w:val="auto"/>
              <w:sz w:val="28"/>
            </w:rPr>
            <w:fldChar w:fldCharType="separate"/>
          </w:r>
          <w:r>
            <w:rPr>
              <w:rFonts w:eastAsia="黑体"/>
              <w:b/>
              <w:color w:val="auto"/>
              <w:sz w:val="28"/>
            </w:rPr>
            <w:t>- 22 -</w:t>
          </w:r>
          <w:r>
            <w:rPr>
              <w:rFonts w:eastAsia="黑体"/>
              <w:b/>
              <w:color w:val="auto"/>
              <w:sz w:val="28"/>
            </w:rPr>
            <w:fldChar w:fldCharType="end"/>
          </w:r>
          <w:r>
            <w:rPr>
              <w:rFonts w:hint="eastAsia" w:ascii="仿宋_GB2312" w:hAnsi="仿宋_GB2312" w:eastAsia="黑体" w:cs="仿宋_GB2312"/>
              <w:b/>
              <w:color w:val="auto"/>
              <w:kern w:val="2"/>
              <w:sz w:val="28"/>
              <w:szCs w:val="32"/>
              <w:lang w:val="en-US" w:eastAsia="zh-CN" w:bidi="ar-SA"/>
            </w:rPr>
            <w:fldChar w:fldCharType="end"/>
          </w:r>
        </w:p>
        <w:p>
          <w:pPr>
            <w:pStyle w:val="11"/>
            <w:tabs>
              <w:tab w:val="right" w:leader="dot" w:pos="8845"/>
            </w:tabs>
            <w:rPr>
              <w:rFonts w:eastAsia="仿宋_GB2312"/>
              <w:color w:val="auto"/>
              <w:sz w:val="28"/>
            </w:rPr>
          </w:pPr>
          <w:r>
            <w:rPr>
              <w:rFonts w:hint="eastAsia" w:ascii="仿宋_GB2312" w:hAnsi="仿宋_GB2312" w:eastAsia="仿宋_GB2312" w:cs="仿宋_GB2312"/>
              <w:color w:val="auto"/>
              <w:kern w:val="2"/>
              <w:sz w:val="28"/>
              <w:szCs w:val="32"/>
              <w:lang w:val="en-US" w:eastAsia="zh-CN" w:bidi="ar-SA"/>
            </w:rPr>
            <w:fldChar w:fldCharType="begin"/>
          </w:r>
          <w:r>
            <w:rPr>
              <w:rFonts w:hint="eastAsia" w:ascii="仿宋_GB2312" w:hAnsi="仿宋_GB2312" w:eastAsia="仿宋_GB2312" w:cs="仿宋_GB2312"/>
              <w:color w:val="auto"/>
              <w:kern w:val="2"/>
              <w:sz w:val="28"/>
              <w:szCs w:val="32"/>
              <w:lang w:val="en-US" w:eastAsia="zh-CN" w:bidi="ar-SA"/>
            </w:rPr>
            <w:instrText xml:space="preserve"> HYPERLINK \l _Toc15464 </w:instrText>
          </w:r>
          <w:r>
            <w:rPr>
              <w:rFonts w:hint="eastAsia" w:ascii="仿宋_GB2312" w:hAnsi="仿宋_GB2312" w:eastAsia="仿宋_GB2312" w:cs="仿宋_GB2312"/>
              <w:color w:val="auto"/>
              <w:kern w:val="2"/>
              <w:sz w:val="28"/>
              <w:szCs w:val="32"/>
              <w:lang w:val="en-US" w:eastAsia="zh-CN" w:bidi="ar-SA"/>
            </w:rPr>
            <w:fldChar w:fldCharType="separate"/>
          </w:r>
          <w:r>
            <w:rPr>
              <w:rFonts w:hint="eastAsia" w:ascii="黑体" w:hAnsi="黑体" w:eastAsia="仿宋_GB2312" w:cs="黑体"/>
              <w:color w:val="auto"/>
              <w:kern w:val="2"/>
              <w:sz w:val="28"/>
              <w:szCs w:val="32"/>
              <w:lang w:val="en-US" w:eastAsia="zh-CN" w:bidi="ar-SA"/>
            </w:rPr>
            <w:t xml:space="preserve">（一） </w:t>
          </w:r>
          <w:r>
            <w:rPr>
              <w:rFonts w:hint="eastAsia" w:ascii="黑体" w:hAnsi="黑体" w:eastAsia="仿宋_GB2312" w:cs="黑体"/>
              <w:color w:val="auto"/>
              <w:kern w:val="2"/>
              <w:sz w:val="28"/>
              <w:szCs w:val="32"/>
              <w:highlight w:val="none"/>
              <w:lang w:val="en-US" w:eastAsia="zh-CN" w:bidi="ar-SA"/>
            </w:rPr>
            <w:t>强科技平台提创新能力</w:t>
          </w:r>
          <w:r>
            <w:rPr>
              <w:rFonts w:eastAsia="仿宋_GB2312"/>
              <w:color w:val="auto"/>
              <w:sz w:val="28"/>
            </w:rPr>
            <w:tab/>
          </w:r>
          <w:r>
            <w:rPr>
              <w:rFonts w:eastAsia="仿宋_GB2312"/>
              <w:color w:val="auto"/>
              <w:sz w:val="28"/>
            </w:rPr>
            <w:fldChar w:fldCharType="begin"/>
          </w:r>
          <w:r>
            <w:rPr>
              <w:rFonts w:eastAsia="仿宋_GB2312"/>
              <w:color w:val="auto"/>
              <w:sz w:val="28"/>
            </w:rPr>
            <w:instrText xml:space="preserve"> PAGEREF _Toc15464 \h </w:instrText>
          </w:r>
          <w:r>
            <w:rPr>
              <w:rFonts w:eastAsia="仿宋_GB2312"/>
              <w:color w:val="auto"/>
              <w:sz w:val="28"/>
            </w:rPr>
            <w:fldChar w:fldCharType="separate"/>
          </w:r>
          <w:r>
            <w:rPr>
              <w:rFonts w:eastAsia="仿宋_GB2312"/>
              <w:color w:val="auto"/>
              <w:sz w:val="28"/>
            </w:rPr>
            <w:t>- 22 -</w:t>
          </w:r>
          <w:r>
            <w:rPr>
              <w:rFonts w:eastAsia="仿宋_GB2312"/>
              <w:color w:val="auto"/>
              <w:sz w:val="28"/>
            </w:rPr>
            <w:fldChar w:fldCharType="end"/>
          </w:r>
          <w:r>
            <w:rPr>
              <w:rFonts w:hint="eastAsia" w:ascii="仿宋_GB2312" w:hAnsi="仿宋_GB2312" w:eastAsia="仿宋_GB2312" w:cs="仿宋_GB2312"/>
              <w:color w:val="auto"/>
              <w:kern w:val="2"/>
              <w:sz w:val="28"/>
              <w:szCs w:val="32"/>
              <w:lang w:val="en-US" w:eastAsia="zh-CN" w:bidi="ar-SA"/>
            </w:rPr>
            <w:fldChar w:fldCharType="end"/>
          </w:r>
        </w:p>
        <w:p>
          <w:pPr>
            <w:pStyle w:val="11"/>
            <w:tabs>
              <w:tab w:val="right" w:leader="dot" w:pos="8845"/>
            </w:tabs>
            <w:rPr>
              <w:rFonts w:eastAsia="仿宋_GB2312"/>
              <w:color w:val="auto"/>
              <w:sz w:val="28"/>
            </w:rPr>
          </w:pPr>
          <w:r>
            <w:rPr>
              <w:rFonts w:hint="eastAsia" w:ascii="仿宋_GB2312" w:hAnsi="仿宋_GB2312" w:eastAsia="仿宋_GB2312" w:cs="仿宋_GB2312"/>
              <w:color w:val="auto"/>
              <w:kern w:val="2"/>
              <w:sz w:val="28"/>
              <w:szCs w:val="32"/>
              <w:lang w:val="en-US" w:eastAsia="zh-CN" w:bidi="ar-SA"/>
            </w:rPr>
            <w:fldChar w:fldCharType="begin"/>
          </w:r>
          <w:r>
            <w:rPr>
              <w:rFonts w:hint="eastAsia" w:ascii="仿宋_GB2312" w:hAnsi="仿宋_GB2312" w:eastAsia="仿宋_GB2312" w:cs="仿宋_GB2312"/>
              <w:color w:val="auto"/>
              <w:kern w:val="2"/>
              <w:sz w:val="28"/>
              <w:szCs w:val="32"/>
              <w:lang w:val="en-US" w:eastAsia="zh-CN" w:bidi="ar-SA"/>
            </w:rPr>
            <w:instrText xml:space="preserve"> HYPERLINK \l _Toc18342 </w:instrText>
          </w:r>
          <w:r>
            <w:rPr>
              <w:rFonts w:hint="eastAsia" w:ascii="仿宋_GB2312" w:hAnsi="仿宋_GB2312" w:eastAsia="仿宋_GB2312" w:cs="仿宋_GB2312"/>
              <w:color w:val="auto"/>
              <w:kern w:val="2"/>
              <w:sz w:val="28"/>
              <w:szCs w:val="32"/>
              <w:lang w:val="en-US" w:eastAsia="zh-CN" w:bidi="ar-SA"/>
            </w:rPr>
            <w:fldChar w:fldCharType="separate"/>
          </w:r>
          <w:r>
            <w:rPr>
              <w:rFonts w:hint="eastAsia" w:ascii="黑体" w:hAnsi="黑体" w:eastAsia="仿宋_GB2312" w:cs="黑体"/>
              <w:color w:val="auto"/>
              <w:kern w:val="2"/>
              <w:sz w:val="28"/>
              <w:szCs w:val="32"/>
              <w:lang w:val="en-US" w:eastAsia="zh-CN" w:bidi="ar-SA"/>
            </w:rPr>
            <w:t xml:space="preserve">（二） </w:t>
          </w:r>
          <w:r>
            <w:rPr>
              <w:rFonts w:hint="eastAsia" w:ascii="黑体" w:hAnsi="黑体" w:eastAsia="仿宋_GB2312" w:cs="黑体"/>
              <w:color w:val="auto"/>
              <w:kern w:val="2"/>
              <w:sz w:val="28"/>
              <w:szCs w:val="32"/>
              <w:highlight w:val="none"/>
              <w:lang w:val="en-US" w:eastAsia="zh-CN" w:bidi="ar-SA"/>
            </w:rPr>
            <w:t>加快高新技术产业发展</w:t>
          </w:r>
          <w:r>
            <w:rPr>
              <w:rFonts w:eastAsia="仿宋_GB2312"/>
              <w:color w:val="auto"/>
              <w:sz w:val="28"/>
            </w:rPr>
            <w:tab/>
          </w:r>
          <w:r>
            <w:rPr>
              <w:rFonts w:eastAsia="仿宋_GB2312"/>
              <w:color w:val="auto"/>
              <w:sz w:val="28"/>
            </w:rPr>
            <w:fldChar w:fldCharType="begin"/>
          </w:r>
          <w:r>
            <w:rPr>
              <w:rFonts w:eastAsia="仿宋_GB2312"/>
              <w:color w:val="auto"/>
              <w:sz w:val="28"/>
            </w:rPr>
            <w:instrText xml:space="preserve"> PAGEREF _Toc18342 \h </w:instrText>
          </w:r>
          <w:r>
            <w:rPr>
              <w:rFonts w:eastAsia="仿宋_GB2312"/>
              <w:color w:val="auto"/>
              <w:sz w:val="28"/>
            </w:rPr>
            <w:fldChar w:fldCharType="separate"/>
          </w:r>
          <w:r>
            <w:rPr>
              <w:rFonts w:eastAsia="仿宋_GB2312"/>
              <w:color w:val="auto"/>
              <w:sz w:val="28"/>
            </w:rPr>
            <w:t>- 24 -</w:t>
          </w:r>
          <w:r>
            <w:rPr>
              <w:rFonts w:eastAsia="仿宋_GB2312"/>
              <w:color w:val="auto"/>
              <w:sz w:val="28"/>
            </w:rPr>
            <w:fldChar w:fldCharType="end"/>
          </w:r>
          <w:r>
            <w:rPr>
              <w:rFonts w:hint="eastAsia" w:ascii="仿宋_GB2312" w:hAnsi="仿宋_GB2312" w:eastAsia="仿宋_GB2312" w:cs="仿宋_GB2312"/>
              <w:color w:val="auto"/>
              <w:kern w:val="2"/>
              <w:sz w:val="28"/>
              <w:szCs w:val="32"/>
              <w:lang w:val="en-US" w:eastAsia="zh-CN" w:bidi="ar-SA"/>
            </w:rPr>
            <w:fldChar w:fldCharType="end"/>
          </w:r>
        </w:p>
        <w:p>
          <w:pPr>
            <w:pStyle w:val="11"/>
            <w:tabs>
              <w:tab w:val="right" w:leader="dot" w:pos="8845"/>
            </w:tabs>
            <w:rPr>
              <w:rFonts w:eastAsia="仿宋_GB2312"/>
              <w:color w:val="auto"/>
              <w:sz w:val="28"/>
            </w:rPr>
          </w:pPr>
          <w:r>
            <w:rPr>
              <w:rFonts w:hint="eastAsia" w:ascii="仿宋_GB2312" w:hAnsi="仿宋_GB2312" w:eastAsia="仿宋_GB2312" w:cs="仿宋_GB2312"/>
              <w:color w:val="auto"/>
              <w:kern w:val="2"/>
              <w:sz w:val="28"/>
              <w:szCs w:val="32"/>
              <w:lang w:val="en-US" w:eastAsia="zh-CN" w:bidi="ar-SA"/>
            </w:rPr>
            <w:fldChar w:fldCharType="begin"/>
          </w:r>
          <w:r>
            <w:rPr>
              <w:rFonts w:hint="eastAsia" w:ascii="仿宋_GB2312" w:hAnsi="仿宋_GB2312" w:eastAsia="仿宋_GB2312" w:cs="仿宋_GB2312"/>
              <w:color w:val="auto"/>
              <w:kern w:val="2"/>
              <w:sz w:val="28"/>
              <w:szCs w:val="32"/>
              <w:lang w:val="en-US" w:eastAsia="zh-CN" w:bidi="ar-SA"/>
            </w:rPr>
            <w:instrText xml:space="preserve"> HYPERLINK \l _Toc20715 </w:instrText>
          </w:r>
          <w:r>
            <w:rPr>
              <w:rFonts w:hint="eastAsia" w:ascii="仿宋_GB2312" w:hAnsi="仿宋_GB2312" w:eastAsia="仿宋_GB2312" w:cs="仿宋_GB2312"/>
              <w:color w:val="auto"/>
              <w:kern w:val="2"/>
              <w:sz w:val="28"/>
              <w:szCs w:val="32"/>
              <w:lang w:val="en-US" w:eastAsia="zh-CN" w:bidi="ar-SA"/>
            </w:rPr>
            <w:fldChar w:fldCharType="separate"/>
          </w:r>
          <w:r>
            <w:rPr>
              <w:rFonts w:hint="eastAsia" w:ascii="黑体" w:hAnsi="黑体" w:eastAsia="仿宋_GB2312" w:cs="黑体"/>
              <w:color w:val="auto"/>
              <w:kern w:val="2"/>
              <w:sz w:val="28"/>
              <w:szCs w:val="32"/>
              <w:lang w:val="en-US" w:eastAsia="zh-CN" w:bidi="ar-SA"/>
            </w:rPr>
            <w:t xml:space="preserve">（三） </w:t>
          </w:r>
          <w:r>
            <w:rPr>
              <w:rFonts w:hint="eastAsia" w:ascii="黑体" w:hAnsi="黑体" w:eastAsia="仿宋_GB2312" w:cs="黑体"/>
              <w:color w:val="auto"/>
              <w:kern w:val="2"/>
              <w:sz w:val="28"/>
              <w:szCs w:val="32"/>
              <w:highlight w:val="none"/>
              <w:lang w:val="en-US" w:eastAsia="zh-CN" w:bidi="ar-SA"/>
            </w:rPr>
            <w:t>创新驱动现代基础设施</w:t>
          </w:r>
          <w:r>
            <w:rPr>
              <w:rFonts w:eastAsia="仿宋_GB2312"/>
              <w:color w:val="auto"/>
              <w:sz w:val="28"/>
            </w:rPr>
            <w:tab/>
          </w:r>
          <w:r>
            <w:rPr>
              <w:rFonts w:eastAsia="仿宋_GB2312"/>
              <w:color w:val="auto"/>
              <w:sz w:val="28"/>
            </w:rPr>
            <w:fldChar w:fldCharType="begin"/>
          </w:r>
          <w:r>
            <w:rPr>
              <w:rFonts w:eastAsia="仿宋_GB2312"/>
              <w:color w:val="auto"/>
              <w:sz w:val="28"/>
            </w:rPr>
            <w:instrText xml:space="preserve"> PAGEREF _Toc20715 \h </w:instrText>
          </w:r>
          <w:r>
            <w:rPr>
              <w:rFonts w:eastAsia="仿宋_GB2312"/>
              <w:color w:val="auto"/>
              <w:sz w:val="28"/>
            </w:rPr>
            <w:fldChar w:fldCharType="separate"/>
          </w:r>
          <w:r>
            <w:rPr>
              <w:rFonts w:eastAsia="仿宋_GB2312"/>
              <w:color w:val="auto"/>
              <w:sz w:val="28"/>
            </w:rPr>
            <w:t>- 35 -</w:t>
          </w:r>
          <w:r>
            <w:rPr>
              <w:rFonts w:eastAsia="仿宋_GB2312"/>
              <w:color w:val="auto"/>
              <w:sz w:val="28"/>
            </w:rPr>
            <w:fldChar w:fldCharType="end"/>
          </w:r>
          <w:r>
            <w:rPr>
              <w:rFonts w:hint="eastAsia" w:ascii="仿宋_GB2312" w:hAnsi="仿宋_GB2312" w:eastAsia="仿宋_GB2312" w:cs="仿宋_GB2312"/>
              <w:color w:val="auto"/>
              <w:kern w:val="2"/>
              <w:sz w:val="28"/>
              <w:szCs w:val="32"/>
              <w:lang w:val="en-US" w:eastAsia="zh-CN" w:bidi="ar-SA"/>
            </w:rPr>
            <w:fldChar w:fldCharType="end"/>
          </w:r>
        </w:p>
        <w:p>
          <w:pPr>
            <w:pStyle w:val="11"/>
            <w:tabs>
              <w:tab w:val="right" w:leader="dot" w:pos="8845"/>
            </w:tabs>
            <w:rPr>
              <w:rFonts w:eastAsia="仿宋_GB2312"/>
              <w:color w:val="auto"/>
              <w:sz w:val="28"/>
            </w:rPr>
          </w:pPr>
          <w:r>
            <w:rPr>
              <w:rFonts w:hint="eastAsia" w:ascii="仿宋_GB2312" w:hAnsi="仿宋_GB2312" w:eastAsia="仿宋_GB2312" w:cs="仿宋_GB2312"/>
              <w:color w:val="auto"/>
              <w:kern w:val="2"/>
              <w:sz w:val="28"/>
              <w:szCs w:val="32"/>
              <w:lang w:val="en-US" w:eastAsia="zh-CN" w:bidi="ar-SA"/>
            </w:rPr>
            <w:fldChar w:fldCharType="begin"/>
          </w:r>
          <w:r>
            <w:rPr>
              <w:rFonts w:hint="eastAsia" w:ascii="仿宋_GB2312" w:hAnsi="仿宋_GB2312" w:eastAsia="仿宋_GB2312" w:cs="仿宋_GB2312"/>
              <w:color w:val="auto"/>
              <w:kern w:val="2"/>
              <w:sz w:val="28"/>
              <w:szCs w:val="32"/>
              <w:lang w:val="en-US" w:eastAsia="zh-CN" w:bidi="ar-SA"/>
            </w:rPr>
            <w:instrText xml:space="preserve"> HYPERLINK \l _Toc24717 </w:instrText>
          </w:r>
          <w:r>
            <w:rPr>
              <w:rFonts w:hint="eastAsia" w:ascii="仿宋_GB2312" w:hAnsi="仿宋_GB2312" w:eastAsia="仿宋_GB2312" w:cs="仿宋_GB2312"/>
              <w:color w:val="auto"/>
              <w:kern w:val="2"/>
              <w:sz w:val="28"/>
              <w:szCs w:val="32"/>
              <w:lang w:val="en-US" w:eastAsia="zh-CN" w:bidi="ar-SA"/>
            </w:rPr>
            <w:fldChar w:fldCharType="separate"/>
          </w:r>
          <w:r>
            <w:rPr>
              <w:rFonts w:hint="eastAsia" w:ascii="黑体" w:hAnsi="黑体" w:eastAsia="仿宋_GB2312" w:cs="黑体"/>
              <w:color w:val="auto"/>
              <w:kern w:val="2"/>
              <w:sz w:val="28"/>
              <w:szCs w:val="32"/>
              <w:lang w:val="en-US" w:eastAsia="zh-CN" w:bidi="ar-SA"/>
            </w:rPr>
            <w:t xml:space="preserve">（四） </w:t>
          </w:r>
          <w:r>
            <w:rPr>
              <w:rFonts w:hint="eastAsia" w:ascii="黑体" w:hAnsi="黑体" w:eastAsia="仿宋_GB2312" w:cs="黑体"/>
              <w:color w:val="auto"/>
              <w:kern w:val="2"/>
              <w:sz w:val="28"/>
              <w:szCs w:val="32"/>
              <w:highlight w:val="none"/>
              <w:lang w:val="en-US" w:eastAsia="zh-CN" w:bidi="ar-SA"/>
            </w:rPr>
            <w:t>强化科技赋能民生福祉</w:t>
          </w:r>
          <w:r>
            <w:rPr>
              <w:rFonts w:eastAsia="仿宋_GB2312"/>
              <w:color w:val="auto"/>
              <w:sz w:val="28"/>
            </w:rPr>
            <w:tab/>
          </w:r>
          <w:r>
            <w:rPr>
              <w:rFonts w:eastAsia="仿宋_GB2312"/>
              <w:color w:val="auto"/>
              <w:sz w:val="28"/>
            </w:rPr>
            <w:fldChar w:fldCharType="begin"/>
          </w:r>
          <w:r>
            <w:rPr>
              <w:rFonts w:eastAsia="仿宋_GB2312"/>
              <w:color w:val="auto"/>
              <w:sz w:val="28"/>
            </w:rPr>
            <w:instrText xml:space="preserve"> PAGEREF _Toc24717 \h </w:instrText>
          </w:r>
          <w:r>
            <w:rPr>
              <w:rFonts w:eastAsia="仿宋_GB2312"/>
              <w:color w:val="auto"/>
              <w:sz w:val="28"/>
            </w:rPr>
            <w:fldChar w:fldCharType="separate"/>
          </w:r>
          <w:r>
            <w:rPr>
              <w:rFonts w:eastAsia="仿宋_GB2312"/>
              <w:color w:val="auto"/>
              <w:sz w:val="28"/>
            </w:rPr>
            <w:t>- 37 -</w:t>
          </w:r>
          <w:r>
            <w:rPr>
              <w:rFonts w:eastAsia="仿宋_GB2312"/>
              <w:color w:val="auto"/>
              <w:sz w:val="28"/>
            </w:rPr>
            <w:fldChar w:fldCharType="end"/>
          </w:r>
          <w:r>
            <w:rPr>
              <w:rFonts w:hint="eastAsia" w:ascii="仿宋_GB2312" w:hAnsi="仿宋_GB2312" w:eastAsia="仿宋_GB2312" w:cs="仿宋_GB2312"/>
              <w:color w:val="auto"/>
              <w:kern w:val="2"/>
              <w:sz w:val="28"/>
              <w:szCs w:val="32"/>
              <w:lang w:val="en-US" w:eastAsia="zh-CN" w:bidi="ar-SA"/>
            </w:rPr>
            <w:fldChar w:fldCharType="end"/>
          </w:r>
        </w:p>
        <w:p>
          <w:pPr>
            <w:pStyle w:val="11"/>
            <w:tabs>
              <w:tab w:val="right" w:leader="dot" w:pos="8845"/>
            </w:tabs>
            <w:rPr>
              <w:rFonts w:eastAsia="仿宋_GB2312"/>
              <w:color w:val="auto"/>
              <w:sz w:val="28"/>
            </w:rPr>
          </w:pPr>
          <w:r>
            <w:rPr>
              <w:rFonts w:hint="eastAsia" w:ascii="仿宋_GB2312" w:hAnsi="仿宋_GB2312" w:eastAsia="仿宋_GB2312" w:cs="仿宋_GB2312"/>
              <w:color w:val="auto"/>
              <w:kern w:val="2"/>
              <w:sz w:val="28"/>
              <w:szCs w:val="32"/>
              <w:lang w:val="en-US" w:eastAsia="zh-CN" w:bidi="ar-SA"/>
            </w:rPr>
            <w:fldChar w:fldCharType="begin"/>
          </w:r>
          <w:r>
            <w:rPr>
              <w:rFonts w:hint="eastAsia" w:ascii="仿宋_GB2312" w:hAnsi="仿宋_GB2312" w:eastAsia="仿宋_GB2312" w:cs="仿宋_GB2312"/>
              <w:color w:val="auto"/>
              <w:kern w:val="2"/>
              <w:sz w:val="28"/>
              <w:szCs w:val="32"/>
              <w:lang w:val="en-US" w:eastAsia="zh-CN" w:bidi="ar-SA"/>
            </w:rPr>
            <w:instrText xml:space="preserve"> HYPERLINK \l _Toc27146 </w:instrText>
          </w:r>
          <w:r>
            <w:rPr>
              <w:rFonts w:hint="eastAsia" w:ascii="仿宋_GB2312" w:hAnsi="仿宋_GB2312" w:eastAsia="仿宋_GB2312" w:cs="仿宋_GB2312"/>
              <w:color w:val="auto"/>
              <w:kern w:val="2"/>
              <w:sz w:val="28"/>
              <w:szCs w:val="32"/>
              <w:lang w:val="en-US" w:eastAsia="zh-CN" w:bidi="ar-SA"/>
            </w:rPr>
            <w:fldChar w:fldCharType="separate"/>
          </w:r>
          <w:r>
            <w:rPr>
              <w:rFonts w:hint="eastAsia" w:ascii="黑体" w:hAnsi="黑体" w:eastAsia="仿宋_GB2312" w:cs="黑体"/>
              <w:color w:val="auto"/>
              <w:kern w:val="2"/>
              <w:sz w:val="28"/>
              <w:szCs w:val="32"/>
              <w:lang w:val="en-US" w:eastAsia="zh-CN" w:bidi="ar-SA"/>
            </w:rPr>
            <w:t xml:space="preserve">（五） </w:t>
          </w:r>
          <w:r>
            <w:rPr>
              <w:rFonts w:hint="eastAsia" w:ascii="黑体" w:hAnsi="黑体" w:eastAsia="仿宋_GB2312" w:cs="黑体"/>
              <w:color w:val="auto"/>
              <w:kern w:val="2"/>
              <w:sz w:val="28"/>
              <w:szCs w:val="32"/>
              <w:highlight w:val="none"/>
              <w:lang w:val="en-US" w:eastAsia="zh-CN" w:bidi="ar-SA"/>
            </w:rPr>
            <w:t>赋能生态保护创新体系</w:t>
          </w:r>
          <w:r>
            <w:rPr>
              <w:rFonts w:eastAsia="仿宋_GB2312"/>
              <w:color w:val="auto"/>
              <w:sz w:val="28"/>
            </w:rPr>
            <w:tab/>
          </w:r>
          <w:r>
            <w:rPr>
              <w:rFonts w:eastAsia="仿宋_GB2312"/>
              <w:color w:val="auto"/>
              <w:sz w:val="28"/>
            </w:rPr>
            <w:fldChar w:fldCharType="begin"/>
          </w:r>
          <w:r>
            <w:rPr>
              <w:rFonts w:eastAsia="仿宋_GB2312"/>
              <w:color w:val="auto"/>
              <w:sz w:val="28"/>
            </w:rPr>
            <w:instrText xml:space="preserve"> PAGEREF _Toc27146 \h </w:instrText>
          </w:r>
          <w:r>
            <w:rPr>
              <w:rFonts w:eastAsia="仿宋_GB2312"/>
              <w:color w:val="auto"/>
              <w:sz w:val="28"/>
            </w:rPr>
            <w:fldChar w:fldCharType="separate"/>
          </w:r>
          <w:r>
            <w:rPr>
              <w:rFonts w:eastAsia="仿宋_GB2312"/>
              <w:color w:val="auto"/>
              <w:sz w:val="28"/>
            </w:rPr>
            <w:t>- 42 -</w:t>
          </w:r>
          <w:r>
            <w:rPr>
              <w:rFonts w:eastAsia="仿宋_GB2312"/>
              <w:color w:val="auto"/>
              <w:sz w:val="28"/>
            </w:rPr>
            <w:fldChar w:fldCharType="end"/>
          </w:r>
          <w:r>
            <w:rPr>
              <w:rFonts w:hint="eastAsia" w:ascii="仿宋_GB2312" w:hAnsi="仿宋_GB2312" w:eastAsia="仿宋_GB2312" w:cs="仿宋_GB2312"/>
              <w:color w:val="auto"/>
              <w:kern w:val="2"/>
              <w:sz w:val="28"/>
              <w:szCs w:val="32"/>
              <w:lang w:val="en-US" w:eastAsia="zh-CN" w:bidi="ar-SA"/>
            </w:rPr>
            <w:fldChar w:fldCharType="end"/>
          </w:r>
        </w:p>
        <w:p>
          <w:pPr>
            <w:pStyle w:val="11"/>
            <w:tabs>
              <w:tab w:val="right" w:leader="dot" w:pos="8845"/>
            </w:tabs>
            <w:rPr>
              <w:rFonts w:eastAsia="仿宋_GB2312"/>
              <w:color w:val="auto"/>
              <w:sz w:val="28"/>
            </w:rPr>
          </w:pPr>
          <w:r>
            <w:rPr>
              <w:rFonts w:hint="eastAsia" w:ascii="仿宋_GB2312" w:hAnsi="仿宋_GB2312" w:eastAsia="仿宋_GB2312" w:cs="仿宋_GB2312"/>
              <w:color w:val="auto"/>
              <w:kern w:val="2"/>
              <w:sz w:val="28"/>
              <w:szCs w:val="32"/>
              <w:lang w:val="en-US" w:eastAsia="zh-CN" w:bidi="ar-SA"/>
            </w:rPr>
            <w:fldChar w:fldCharType="begin"/>
          </w:r>
          <w:r>
            <w:rPr>
              <w:rFonts w:hint="eastAsia" w:ascii="仿宋_GB2312" w:hAnsi="仿宋_GB2312" w:eastAsia="仿宋_GB2312" w:cs="仿宋_GB2312"/>
              <w:color w:val="auto"/>
              <w:kern w:val="2"/>
              <w:sz w:val="28"/>
              <w:szCs w:val="32"/>
              <w:lang w:val="en-US" w:eastAsia="zh-CN" w:bidi="ar-SA"/>
            </w:rPr>
            <w:instrText xml:space="preserve"> HYPERLINK \l _Toc13400 </w:instrText>
          </w:r>
          <w:r>
            <w:rPr>
              <w:rFonts w:hint="eastAsia" w:ascii="仿宋_GB2312" w:hAnsi="仿宋_GB2312" w:eastAsia="仿宋_GB2312" w:cs="仿宋_GB2312"/>
              <w:color w:val="auto"/>
              <w:kern w:val="2"/>
              <w:sz w:val="28"/>
              <w:szCs w:val="32"/>
              <w:lang w:val="en-US" w:eastAsia="zh-CN" w:bidi="ar-SA"/>
            </w:rPr>
            <w:fldChar w:fldCharType="separate"/>
          </w:r>
          <w:r>
            <w:rPr>
              <w:rFonts w:hint="eastAsia" w:ascii="黑体" w:hAnsi="黑体" w:eastAsia="仿宋_GB2312" w:cs="黑体"/>
              <w:color w:val="auto"/>
              <w:kern w:val="2"/>
              <w:sz w:val="28"/>
              <w:szCs w:val="32"/>
              <w:lang w:val="en-US" w:eastAsia="zh-CN" w:bidi="ar-SA"/>
            </w:rPr>
            <w:t xml:space="preserve">（六） </w:t>
          </w:r>
          <w:r>
            <w:rPr>
              <w:rFonts w:hint="eastAsia" w:ascii="黑体" w:hAnsi="黑体" w:eastAsia="仿宋_GB2312" w:cs="黑体"/>
              <w:color w:val="auto"/>
              <w:kern w:val="2"/>
              <w:sz w:val="28"/>
              <w:szCs w:val="32"/>
              <w:highlight w:val="none"/>
              <w:lang w:val="en-US" w:eastAsia="zh-CN" w:bidi="ar-SA"/>
            </w:rPr>
            <w:t>加速科技成果转移转化</w:t>
          </w:r>
          <w:r>
            <w:rPr>
              <w:rFonts w:eastAsia="仿宋_GB2312"/>
              <w:color w:val="auto"/>
              <w:sz w:val="28"/>
            </w:rPr>
            <w:tab/>
          </w:r>
          <w:r>
            <w:rPr>
              <w:rFonts w:eastAsia="仿宋_GB2312"/>
              <w:color w:val="auto"/>
              <w:sz w:val="28"/>
            </w:rPr>
            <w:fldChar w:fldCharType="begin"/>
          </w:r>
          <w:r>
            <w:rPr>
              <w:rFonts w:eastAsia="仿宋_GB2312"/>
              <w:color w:val="auto"/>
              <w:sz w:val="28"/>
            </w:rPr>
            <w:instrText xml:space="preserve"> PAGEREF _Toc13400 \h </w:instrText>
          </w:r>
          <w:r>
            <w:rPr>
              <w:rFonts w:eastAsia="仿宋_GB2312"/>
              <w:color w:val="auto"/>
              <w:sz w:val="28"/>
            </w:rPr>
            <w:fldChar w:fldCharType="separate"/>
          </w:r>
          <w:r>
            <w:rPr>
              <w:rFonts w:eastAsia="仿宋_GB2312"/>
              <w:color w:val="auto"/>
              <w:sz w:val="28"/>
            </w:rPr>
            <w:t>- 43 -</w:t>
          </w:r>
          <w:r>
            <w:rPr>
              <w:rFonts w:eastAsia="仿宋_GB2312"/>
              <w:color w:val="auto"/>
              <w:sz w:val="28"/>
            </w:rPr>
            <w:fldChar w:fldCharType="end"/>
          </w:r>
          <w:r>
            <w:rPr>
              <w:rFonts w:hint="eastAsia" w:ascii="仿宋_GB2312" w:hAnsi="仿宋_GB2312" w:eastAsia="仿宋_GB2312" w:cs="仿宋_GB2312"/>
              <w:color w:val="auto"/>
              <w:kern w:val="2"/>
              <w:sz w:val="28"/>
              <w:szCs w:val="32"/>
              <w:lang w:val="en-US" w:eastAsia="zh-CN" w:bidi="ar-SA"/>
            </w:rPr>
            <w:fldChar w:fldCharType="end"/>
          </w:r>
        </w:p>
        <w:p>
          <w:pPr>
            <w:pStyle w:val="11"/>
            <w:tabs>
              <w:tab w:val="right" w:leader="dot" w:pos="8845"/>
            </w:tabs>
            <w:rPr>
              <w:rFonts w:eastAsia="仿宋_GB2312"/>
              <w:color w:val="auto"/>
              <w:sz w:val="28"/>
            </w:rPr>
          </w:pPr>
          <w:r>
            <w:rPr>
              <w:rFonts w:hint="eastAsia" w:ascii="仿宋_GB2312" w:hAnsi="仿宋_GB2312" w:eastAsia="仿宋_GB2312" w:cs="仿宋_GB2312"/>
              <w:color w:val="auto"/>
              <w:kern w:val="2"/>
              <w:sz w:val="28"/>
              <w:szCs w:val="32"/>
              <w:lang w:val="en-US" w:eastAsia="zh-CN" w:bidi="ar-SA"/>
            </w:rPr>
            <w:fldChar w:fldCharType="begin"/>
          </w:r>
          <w:r>
            <w:rPr>
              <w:rFonts w:hint="eastAsia" w:ascii="仿宋_GB2312" w:hAnsi="仿宋_GB2312" w:eastAsia="仿宋_GB2312" w:cs="仿宋_GB2312"/>
              <w:color w:val="auto"/>
              <w:kern w:val="2"/>
              <w:sz w:val="28"/>
              <w:szCs w:val="32"/>
              <w:lang w:val="en-US" w:eastAsia="zh-CN" w:bidi="ar-SA"/>
            </w:rPr>
            <w:instrText xml:space="preserve"> HYPERLINK \l _Toc12620 </w:instrText>
          </w:r>
          <w:r>
            <w:rPr>
              <w:rFonts w:hint="eastAsia" w:ascii="仿宋_GB2312" w:hAnsi="仿宋_GB2312" w:eastAsia="仿宋_GB2312" w:cs="仿宋_GB2312"/>
              <w:color w:val="auto"/>
              <w:kern w:val="2"/>
              <w:sz w:val="28"/>
              <w:szCs w:val="32"/>
              <w:lang w:val="en-US" w:eastAsia="zh-CN" w:bidi="ar-SA"/>
            </w:rPr>
            <w:fldChar w:fldCharType="separate"/>
          </w:r>
          <w:r>
            <w:rPr>
              <w:rFonts w:hint="eastAsia" w:ascii="黑体" w:hAnsi="黑体" w:eastAsia="仿宋_GB2312" w:cs="黑体"/>
              <w:color w:val="auto"/>
              <w:kern w:val="2"/>
              <w:sz w:val="28"/>
              <w:szCs w:val="32"/>
              <w:lang w:val="en-US" w:eastAsia="zh-CN" w:bidi="ar-SA"/>
            </w:rPr>
            <w:t xml:space="preserve">（七） </w:t>
          </w:r>
          <w:r>
            <w:rPr>
              <w:rFonts w:hint="eastAsia" w:ascii="黑体" w:hAnsi="黑体" w:eastAsia="仿宋_GB2312" w:cs="黑体"/>
              <w:color w:val="auto"/>
              <w:kern w:val="2"/>
              <w:sz w:val="28"/>
              <w:szCs w:val="32"/>
              <w:highlight w:val="none"/>
              <w:lang w:val="en-US" w:eastAsia="zh-CN" w:bidi="ar-SA"/>
            </w:rPr>
            <w:t>加大创新人才培引力度</w:t>
          </w:r>
          <w:r>
            <w:rPr>
              <w:rFonts w:eastAsia="仿宋_GB2312"/>
              <w:color w:val="auto"/>
              <w:sz w:val="28"/>
            </w:rPr>
            <w:tab/>
          </w:r>
          <w:r>
            <w:rPr>
              <w:rFonts w:eastAsia="仿宋_GB2312"/>
              <w:color w:val="auto"/>
              <w:sz w:val="28"/>
            </w:rPr>
            <w:fldChar w:fldCharType="begin"/>
          </w:r>
          <w:r>
            <w:rPr>
              <w:rFonts w:eastAsia="仿宋_GB2312"/>
              <w:color w:val="auto"/>
              <w:sz w:val="28"/>
            </w:rPr>
            <w:instrText xml:space="preserve"> PAGEREF _Toc12620 \h </w:instrText>
          </w:r>
          <w:r>
            <w:rPr>
              <w:rFonts w:eastAsia="仿宋_GB2312"/>
              <w:color w:val="auto"/>
              <w:sz w:val="28"/>
            </w:rPr>
            <w:fldChar w:fldCharType="separate"/>
          </w:r>
          <w:r>
            <w:rPr>
              <w:rFonts w:eastAsia="仿宋_GB2312"/>
              <w:color w:val="auto"/>
              <w:sz w:val="28"/>
            </w:rPr>
            <w:t>- 45 -</w:t>
          </w:r>
          <w:r>
            <w:rPr>
              <w:rFonts w:eastAsia="仿宋_GB2312"/>
              <w:color w:val="auto"/>
              <w:sz w:val="28"/>
            </w:rPr>
            <w:fldChar w:fldCharType="end"/>
          </w:r>
          <w:r>
            <w:rPr>
              <w:rFonts w:hint="eastAsia" w:ascii="仿宋_GB2312" w:hAnsi="仿宋_GB2312" w:eastAsia="仿宋_GB2312" w:cs="仿宋_GB2312"/>
              <w:color w:val="auto"/>
              <w:kern w:val="2"/>
              <w:sz w:val="28"/>
              <w:szCs w:val="32"/>
              <w:lang w:val="en-US" w:eastAsia="zh-CN" w:bidi="ar-SA"/>
            </w:rPr>
            <w:fldChar w:fldCharType="end"/>
          </w:r>
        </w:p>
        <w:p>
          <w:pPr>
            <w:pStyle w:val="11"/>
            <w:tabs>
              <w:tab w:val="right" w:leader="dot" w:pos="8845"/>
            </w:tabs>
            <w:rPr>
              <w:rFonts w:eastAsia="仿宋_GB2312"/>
              <w:color w:val="auto"/>
              <w:sz w:val="28"/>
            </w:rPr>
          </w:pPr>
          <w:r>
            <w:rPr>
              <w:rFonts w:hint="eastAsia" w:ascii="仿宋_GB2312" w:hAnsi="仿宋_GB2312" w:eastAsia="仿宋_GB2312" w:cs="仿宋_GB2312"/>
              <w:color w:val="auto"/>
              <w:kern w:val="2"/>
              <w:sz w:val="28"/>
              <w:szCs w:val="32"/>
              <w:lang w:val="en-US" w:eastAsia="zh-CN" w:bidi="ar-SA"/>
            </w:rPr>
            <w:fldChar w:fldCharType="begin"/>
          </w:r>
          <w:r>
            <w:rPr>
              <w:rFonts w:hint="eastAsia" w:ascii="仿宋_GB2312" w:hAnsi="仿宋_GB2312" w:eastAsia="仿宋_GB2312" w:cs="仿宋_GB2312"/>
              <w:color w:val="auto"/>
              <w:kern w:val="2"/>
              <w:sz w:val="28"/>
              <w:szCs w:val="32"/>
              <w:lang w:val="en-US" w:eastAsia="zh-CN" w:bidi="ar-SA"/>
            </w:rPr>
            <w:instrText xml:space="preserve"> HYPERLINK \l _Toc13897 </w:instrText>
          </w:r>
          <w:r>
            <w:rPr>
              <w:rFonts w:hint="eastAsia" w:ascii="仿宋_GB2312" w:hAnsi="仿宋_GB2312" w:eastAsia="仿宋_GB2312" w:cs="仿宋_GB2312"/>
              <w:color w:val="auto"/>
              <w:kern w:val="2"/>
              <w:sz w:val="28"/>
              <w:szCs w:val="32"/>
              <w:lang w:val="en-US" w:eastAsia="zh-CN" w:bidi="ar-SA"/>
            </w:rPr>
            <w:fldChar w:fldCharType="separate"/>
          </w:r>
          <w:r>
            <w:rPr>
              <w:rFonts w:hint="eastAsia" w:ascii="黑体" w:hAnsi="黑体" w:eastAsia="仿宋_GB2312" w:cs="黑体"/>
              <w:color w:val="auto"/>
              <w:kern w:val="2"/>
              <w:sz w:val="28"/>
              <w:szCs w:val="32"/>
              <w:lang w:val="en-US" w:eastAsia="zh-CN" w:bidi="ar-SA"/>
            </w:rPr>
            <w:t xml:space="preserve">（八） </w:t>
          </w:r>
          <w:r>
            <w:rPr>
              <w:rFonts w:hint="eastAsia" w:ascii="黑体" w:hAnsi="黑体" w:eastAsia="仿宋_GB2312" w:cs="黑体"/>
              <w:color w:val="auto"/>
              <w:kern w:val="2"/>
              <w:sz w:val="28"/>
              <w:szCs w:val="32"/>
              <w:highlight w:val="none"/>
              <w:lang w:val="en-US" w:eastAsia="zh-CN" w:bidi="ar-SA"/>
            </w:rPr>
            <w:t>完善知识产权保护体系</w:t>
          </w:r>
          <w:r>
            <w:rPr>
              <w:rFonts w:eastAsia="仿宋_GB2312"/>
              <w:color w:val="auto"/>
              <w:sz w:val="28"/>
            </w:rPr>
            <w:tab/>
          </w:r>
          <w:r>
            <w:rPr>
              <w:rFonts w:eastAsia="仿宋_GB2312"/>
              <w:color w:val="auto"/>
              <w:sz w:val="28"/>
            </w:rPr>
            <w:fldChar w:fldCharType="begin"/>
          </w:r>
          <w:r>
            <w:rPr>
              <w:rFonts w:eastAsia="仿宋_GB2312"/>
              <w:color w:val="auto"/>
              <w:sz w:val="28"/>
            </w:rPr>
            <w:instrText xml:space="preserve"> PAGEREF _Toc13897 \h </w:instrText>
          </w:r>
          <w:r>
            <w:rPr>
              <w:rFonts w:eastAsia="仿宋_GB2312"/>
              <w:color w:val="auto"/>
              <w:sz w:val="28"/>
            </w:rPr>
            <w:fldChar w:fldCharType="separate"/>
          </w:r>
          <w:r>
            <w:rPr>
              <w:rFonts w:eastAsia="仿宋_GB2312"/>
              <w:color w:val="auto"/>
              <w:sz w:val="28"/>
            </w:rPr>
            <w:t>- 47 -</w:t>
          </w:r>
          <w:r>
            <w:rPr>
              <w:rFonts w:eastAsia="仿宋_GB2312"/>
              <w:color w:val="auto"/>
              <w:sz w:val="28"/>
            </w:rPr>
            <w:fldChar w:fldCharType="end"/>
          </w:r>
          <w:r>
            <w:rPr>
              <w:rFonts w:hint="eastAsia" w:ascii="仿宋_GB2312" w:hAnsi="仿宋_GB2312" w:eastAsia="仿宋_GB2312" w:cs="仿宋_GB2312"/>
              <w:color w:val="auto"/>
              <w:kern w:val="2"/>
              <w:sz w:val="28"/>
              <w:szCs w:val="32"/>
              <w:lang w:val="en-US" w:eastAsia="zh-CN" w:bidi="ar-SA"/>
            </w:rPr>
            <w:fldChar w:fldCharType="end"/>
          </w:r>
        </w:p>
        <w:p>
          <w:pPr>
            <w:pStyle w:val="11"/>
            <w:tabs>
              <w:tab w:val="right" w:leader="dot" w:pos="8845"/>
            </w:tabs>
            <w:rPr>
              <w:rFonts w:eastAsia="仿宋_GB2312"/>
              <w:color w:val="auto"/>
              <w:sz w:val="28"/>
            </w:rPr>
          </w:pPr>
          <w:r>
            <w:rPr>
              <w:rFonts w:hint="eastAsia" w:ascii="仿宋_GB2312" w:hAnsi="仿宋_GB2312" w:eastAsia="仿宋_GB2312" w:cs="仿宋_GB2312"/>
              <w:color w:val="auto"/>
              <w:kern w:val="2"/>
              <w:sz w:val="28"/>
              <w:szCs w:val="32"/>
              <w:lang w:val="en-US" w:eastAsia="zh-CN" w:bidi="ar-SA"/>
            </w:rPr>
            <w:fldChar w:fldCharType="begin"/>
          </w:r>
          <w:r>
            <w:rPr>
              <w:rFonts w:hint="eastAsia" w:ascii="仿宋_GB2312" w:hAnsi="仿宋_GB2312" w:eastAsia="仿宋_GB2312" w:cs="仿宋_GB2312"/>
              <w:color w:val="auto"/>
              <w:kern w:val="2"/>
              <w:sz w:val="28"/>
              <w:szCs w:val="32"/>
              <w:lang w:val="en-US" w:eastAsia="zh-CN" w:bidi="ar-SA"/>
            </w:rPr>
            <w:instrText xml:space="preserve"> HYPERLINK \l _Toc17784 </w:instrText>
          </w:r>
          <w:r>
            <w:rPr>
              <w:rFonts w:hint="eastAsia" w:ascii="仿宋_GB2312" w:hAnsi="仿宋_GB2312" w:eastAsia="仿宋_GB2312" w:cs="仿宋_GB2312"/>
              <w:color w:val="auto"/>
              <w:kern w:val="2"/>
              <w:sz w:val="28"/>
              <w:szCs w:val="32"/>
              <w:lang w:val="en-US" w:eastAsia="zh-CN" w:bidi="ar-SA"/>
            </w:rPr>
            <w:fldChar w:fldCharType="separate"/>
          </w:r>
          <w:r>
            <w:rPr>
              <w:rFonts w:hint="eastAsia" w:ascii="黑体" w:hAnsi="黑体" w:eastAsia="仿宋_GB2312" w:cs="黑体"/>
              <w:color w:val="auto"/>
              <w:kern w:val="2"/>
              <w:sz w:val="28"/>
              <w:szCs w:val="32"/>
              <w:lang w:val="en-US" w:eastAsia="zh-CN" w:bidi="ar-SA"/>
            </w:rPr>
            <w:t xml:space="preserve">（九） </w:t>
          </w:r>
          <w:r>
            <w:rPr>
              <w:rFonts w:hint="eastAsia" w:ascii="黑体" w:hAnsi="黑体" w:eastAsia="仿宋_GB2312" w:cs="黑体"/>
              <w:color w:val="auto"/>
              <w:kern w:val="2"/>
              <w:sz w:val="28"/>
              <w:szCs w:val="32"/>
              <w:highlight w:val="none"/>
              <w:lang w:val="en-US" w:eastAsia="zh-CN" w:bidi="ar-SA"/>
            </w:rPr>
            <w:t>营造良好科学文化氛围</w:t>
          </w:r>
          <w:r>
            <w:rPr>
              <w:rFonts w:eastAsia="仿宋_GB2312"/>
              <w:color w:val="auto"/>
              <w:sz w:val="28"/>
            </w:rPr>
            <w:tab/>
          </w:r>
          <w:r>
            <w:rPr>
              <w:rFonts w:eastAsia="仿宋_GB2312"/>
              <w:color w:val="auto"/>
              <w:sz w:val="28"/>
            </w:rPr>
            <w:fldChar w:fldCharType="begin"/>
          </w:r>
          <w:r>
            <w:rPr>
              <w:rFonts w:eastAsia="仿宋_GB2312"/>
              <w:color w:val="auto"/>
              <w:sz w:val="28"/>
            </w:rPr>
            <w:instrText xml:space="preserve"> PAGEREF _Toc17784 \h </w:instrText>
          </w:r>
          <w:r>
            <w:rPr>
              <w:rFonts w:eastAsia="仿宋_GB2312"/>
              <w:color w:val="auto"/>
              <w:sz w:val="28"/>
            </w:rPr>
            <w:fldChar w:fldCharType="separate"/>
          </w:r>
          <w:r>
            <w:rPr>
              <w:rFonts w:eastAsia="仿宋_GB2312"/>
              <w:color w:val="auto"/>
              <w:sz w:val="28"/>
            </w:rPr>
            <w:t>- 48 -</w:t>
          </w:r>
          <w:r>
            <w:rPr>
              <w:rFonts w:eastAsia="仿宋_GB2312"/>
              <w:color w:val="auto"/>
              <w:sz w:val="28"/>
            </w:rPr>
            <w:fldChar w:fldCharType="end"/>
          </w:r>
          <w:r>
            <w:rPr>
              <w:rFonts w:hint="eastAsia" w:ascii="仿宋_GB2312" w:hAnsi="仿宋_GB2312" w:eastAsia="仿宋_GB2312" w:cs="仿宋_GB2312"/>
              <w:color w:val="auto"/>
              <w:kern w:val="2"/>
              <w:sz w:val="28"/>
              <w:szCs w:val="32"/>
              <w:lang w:val="en-US" w:eastAsia="zh-CN" w:bidi="ar-SA"/>
            </w:rPr>
            <w:fldChar w:fldCharType="end"/>
          </w:r>
        </w:p>
        <w:p>
          <w:pPr>
            <w:pStyle w:val="11"/>
            <w:tabs>
              <w:tab w:val="right" w:leader="dot" w:pos="8845"/>
            </w:tabs>
            <w:rPr>
              <w:rFonts w:eastAsia="仿宋_GB2312"/>
              <w:color w:val="auto"/>
              <w:sz w:val="32"/>
            </w:rPr>
          </w:pPr>
          <w:r>
            <w:rPr>
              <w:rFonts w:hint="eastAsia" w:ascii="仿宋_GB2312" w:hAnsi="仿宋_GB2312" w:eastAsia="仿宋_GB2312" w:cs="仿宋_GB2312"/>
              <w:color w:val="auto"/>
              <w:kern w:val="2"/>
              <w:sz w:val="28"/>
              <w:szCs w:val="32"/>
              <w:lang w:val="en-US" w:eastAsia="zh-CN" w:bidi="ar-SA"/>
            </w:rPr>
            <w:fldChar w:fldCharType="begin"/>
          </w:r>
          <w:r>
            <w:rPr>
              <w:rFonts w:hint="eastAsia" w:ascii="仿宋_GB2312" w:hAnsi="仿宋_GB2312" w:eastAsia="仿宋_GB2312" w:cs="仿宋_GB2312"/>
              <w:color w:val="auto"/>
              <w:kern w:val="2"/>
              <w:sz w:val="28"/>
              <w:szCs w:val="32"/>
              <w:lang w:val="en-US" w:eastAsia="zh-CN" w:bidi="ar-SA"/>
            </w:rPr>
            <w:instrText xml:space="preserve"> HYPERLINK \l _Toc18537 </w:instrText>
          </w:r>
          <w:r>
            <w:rPr>
              <w:rFonts w:hint="eastAsia" w:ascii="仿宋_GB2312" w:hAnsi="仿宋_GB2312" w:eastAsia="仿宋_GB2312" w:cs="仿宋_GB2312"/>
              <w:color w:val="auto"/>
              <w:kern w:val="2"/>
              <w:sz w:val="28"/>
              <w:szCs w:val="32"/>
              <w:lang w:val="en-US" w:eastAsia="zh-CN" w:bidi="ar-SA"/>
            </w:rPr>
            <w:fldChar w:fldCharType="separate"/>
          </w:r>
          <w:r>
            <w:rPr>
              <w:rFonts w:hint="eastAsia" w:ascii="黑体" w:hAnsi="黑体" w:eastAsia="仿宋_GB2312" w:cs="黑体"/>
              <w:color w:val="auto"/>
              <w:kern w:val="2"/>
              <w:sz w:val="28"/>
              <w:szCs w:val="32"/>
              <w:lang w:val="en-US" w:eastAsia="zh-CN" w:bidi="ar-SA"/>
            </w:rPr>
            <w:t xml:space="preserve">（十） </w:t>
          </w:r>
          <w:r>
            <w:rPr>
              <w:rFonts w:hint="eastAsia" w:ascii="黑体" w:hAnsi="黑体" w:eastAsia="仿宋_GB2312" w:cs="黑体"/>
              <w:color w:val="auto"/>
              <w:kern w:val="2"/>
              <w:sz w:val="28"/>
              <w:szCs w:val="32"/>
              <w:highlight w:val="none"/>
              <w:lang w:val="en-US" w:eastAsia="zh-CN" w:bidi="ar-SA"/>
            </w:rPr>
            <w:t>持续深化科技体制改革</w:t>
          </w:r>
          <w:r>
            <w:rPr>
              <w:rFonts w:eastAsia="仿宋_GB2312"/>
              <w:color w:val="auto"/>
              <w:sz w:val="28"/>
            </w:rPr>
            <w:tab/>
          </w:r>
          <w:r>
            <w:rPr>
              <w:rFonts w:eastAsia="仿宋_GB2312"/>
              <w:color w:val="auto"/>
              <w:sz w:val="28"/>
            </w:rPr>
            <w:fldChar w:fldCharType="begin"/>
          </w:r>
          <w:r>
            <w:rPr>
              <w:rFonts w:eastAsia="仿宋_GB2312"/>
              <w:color w:val="auto"/>
              <w:sz w:val="28"/>
            </w:rPr>
            <w:instrText xml:space="preserve"> PAGEREF _Toc18537 \h </w:instrText>
          </w:r>
          <w:r>
            <w:rPr>
              <w:rFonts w:eastAsia="仿宋_GB2312"/>
              <w:color w:val="auto"/>
              <w:sz w:val="28"/>
            </w:rPr>
            <w:fldChar w:fldCharType="separate"/>
          </w:r>
          <w:r>
            <w:rPr>
              <w:rFonts w:eastAsia="仿宋_GB2312"/>
              <w:color w:val="auto"/>
              <w:sz w:val="28"/>
            </w:rPr>
            <w:t>- 49 -</w:t>
          </w:r>
          <w:r>
            <w:rPr>
              <w:rFonts w:eastAsia="仿宋_GB2312"/>
              <w:color w:val="auto"/>
              <w:sz w:val="28"/>
            </w:rPr>
            <w:fldChar w:fldCharType="end"/>
          </w:r>
          <w:r>
            <w:rPr>
              <w:rFonts w:hint="eastAsia" w:ascii="仿宋_GB2312" w:hAnsi="仿宋_GB2312" w:eastAsia="仿宋_GB2312" w:cs="仿宋_GB2312"/>
              <w:color w:val="auto"/>
              <w:kern w:val="2"/>
              <w:sz w:val="28"/>
              <w:szCs w:val="32"/>
              <w:lang w:val="en-US" w:eastAsia="zh-CN" w:bidi="ar-SA"/>
            </w:rPr>
            <w:fldChar w:fldCharType="end"/>
          </w:r>
        </w:p>
        <w:p>
          <w:pPr>
            <w:pStyle w:val="15"/>
            <w:tabs>
              <w:tab w:val="right" w:leader="dot" w:pos="8845"/>
            </w:tabs>
            <w:ind w:firstLine="562" w:firstLineChars="200"/>
            <w:rPr>
              <w:rFonts w:eastAsia="黑体"/>
              <w:color w:val="auto"/>
              <w:sz w:val="28"/>
            </w:rPr>
          </w:pPr>
          <w:r>
            <w:rPr>
              <w:rFonts w:hint="eastAsia" w:ascii="仿宋_GB2312" w:hAnsi="仿宋_GB2312" w:eastAsia="黑体" w:cs="仿宋_GB2312"/>
              <w:b/>
              <w:color w:val="auto"/>
              <w:kern w:val="2"/>
              <w:sz w:val="28"/>
              <w:szCs w:val="32"/>
              <w:lang w:val="en-US" w:eastAsia="zh-CN" w:bidi="ar-SA"/>
            </w:rPr>
            <w:fldChar w:fldCharType="begin"/>
          </w:r>
          <w:r>
            <w:rPr>
              <w:rFonts w:hint="eastAsia" w:ascii="仿宋_GB2312" w:hAnsi="仿宋_GB2312" w:eastAsia="黑体" w:cs="仿宋_GB2312"/>
              <w:b/>
              <w:color w:val="auto"/>
              <w:kern w:val="2"/>
              <w:sz w:val="28"/>
              <w:szCs w:val="32"/>
              <w:lang w:val="en-US" w:eastAsia="zh-CN" w:bidi="ar-SA"/>
            </w:rPr>
            <w:instrText xml:space="preserve"> HYPERLINK \l _Toc19788 </w:instrText>
          </w:r>
          <w:r>
            <w:rPr>
              <w:rFonts w:hint="eastAsia" w:ascii="仿宋_GB2312" w:hAnsi="仿宋_GB2312" w:eastAsia="黑体" w:cs="仿宋_GB2312"/>
              <w:b/>
              <w:color w:val="auto"/>
              <w:kern w:val="2"/>
              <w:sz w:val="28"/>
              <w:szCs w:val="32"/>
              <w:lang w:val="en-US" w:eastAsia="zh-CN" w:bidi="ar-SA"/>
            </w:rPr>
            <w:fldChar w:fldCharType="separate"/>
          </w:r>
          <w:r>
            <w:rPr>
              <w:rFonts w:hint="eastAsia" w:ascii="黑体" w:hAnsi="黑体" w:eastAsia="黑体" w:cs="黑体"/>
              <w:b/>
              <w:bCs w:val="0"/>
              <w:color w:val="auto"/>
              <w:kern w:val="44"/>
              <w:sz w:val="28"/>
              <w:szCs w:val="32"/>
              <w:lang w:val="en-US" w:eastAsia="zh-CN" w:bidi="ar-SA"/>
            </w:rPr>
            <w:t xml:space="preserve">五、 </w:t>
          </w:r>
          <w:r>
            <w:rPr>
              <w:rFonts w:hint="eastAsia" w:ascii="黑体" w:hAnsi="黑体" w:eastAsia="黑体" w:cs="黑体"/>
              <w:b/>
              <w:bCs w:val="0"/>
              <w:color w:val="auto"/>
              <w:kern w:val="44"/>
              <w:sz w:val="28"/>
              <w:szCs w:val="32"/>
              <w:highlight w:val="none"/>
              <w:lang w:val="en-US" w:eastAsia="zh-CN" w:bidi="ar-SA"/>
            </w:rPr>
            <w:t>保障措施</w:t>
          </w:r>
          <w:r>
            <w:rPr>
              <w:rFonts w:eastAsia="黑体"/>
              <w:b/>
              <w:color w:val="auto"/>
              <w:sz w:val="28"/>
            </w:rPr>
            <w:tab/>
          </w:r>
          <w:r>
            <w:rPr>
              <w:rFonts w:eastAsia="黑体"/>
              <w:b/>
              <w:color w:val="auto"/>
              <w:sz w:val="28"/>
            </w:rPr>
            <w:fldChar w:fldCharType="begin"/>
          </w:r>
          <w:r>
            <w:rPr>
              <w:rFonts w:eastAsia="黑体"/>
              <w:b/>
              <w:color w:val="auto"/>
              <w:sz w:val="28"/>
            </w:rPr>
            <w:instrText xml:space="preserve"> PAGEREF _Toc19788 \h </w:instrText>
          </w:r>
          <w:r>
            <w:rPr>
              <w:rFonts w:eastAsia="黑体"/>
              <w:b/>
              <w:color w:val="auto"/>
              <w:sz w:val="28"/>
            </w:rPr>
            <w:fldChar w:fldCharType="separate"/>
          </w:r>
          <w:r>
            <w:rPr>
              <w:rFonts w:eastAsia="黑体"/>
              <w:b/>
              <w:color w:val="auto"/>
              <w:sz w:val="28"/>
            </w:rPr>
            <w:t>- 50 -</w:t>
          </w:r>
          <w:r>
            <w:rPr>
              <w:rFonts w:eastAsia="黑体"/>
              <w:b/>
              <w:color w:val="auto"/>
              <w:sz w:val="28"/>
            </w:rPr>
            <w:fldChar w:fldCharType="end"/>
          </w:r>
          <w:r>
            <w:rPr>
              <w:rFonts w:hint="eastAsia" w:ascii="仿宋_GB2312" w:hAnsi="仿宋_GB2312" w:eastAsia="黑体" w:cs="仿宋_GB2312"/>
              <w:b/>
              <w:color w:val="auto"/>
              <w:kern w:val="2"/>
              <w:sz w:val="28"/>
              <w:szCs w:val="32"/>
              <w:lang w:val="en-US" w:eastAsia="zh-CN" w:bidi="ar-SA"/>
            </w:rPr>
            <w:fldChar w:fldCharType="end"/>
          </w:r>
        </w:p>
        <w:p>
          <w:pPr>
            <w:pStyle w:val="11"/>
            <w:tabs>
              <w:tab w:val="right" w:leader="dot" w:pos="8845"/>
            </w:tabs>
            <w:rPr>
              <w:rFonts w:eastAsia="仿宋_GB2312"/>
              <w:color w:val="auto"/>
              <w:sz w:val="28"/>
            </w:rPr>
          </w:pPr>
          <w:r>
            <w:rPr>
              <w:rFonts w:hint="eastAsia" w:ascii="仿宋_GB2312" w:hAnsi="仿宋_GB2312" w:eastAsia="仿宋_GB2312" w:cs="仿宋_GB2312"/>
              <w:color w:val="auto"/>
              <w:kern w:val="2"/>
              <w:sz w:val="28"/>
              <w:szCs w:val="32"/>
              <w:lang w:val="en-US" w:eastAsia="zh-CN" w:bidi="ar-SA"/>
            </w:rPr>
            <w:fldChar w:fldCharType="begin"/>
          </w:r>
          <w:r>
            <w:rPr>
              <w:rFonts w:hint="eastAsia" w:ascii="仿宋_GB2312" w:hAnsi="仿宋_GB2312" w:eastAsia="仿宋_GB2312" w:cs="仿宋_GB2312"/>
              <w:color w:val="auto"/>
              <w:kern w:val="2"/>
              <w:sz w:val="28"/>
              <w:szCs w:val="32"/>
              <w:lang w:val="en-US" w:eastAsia="zh-CN" w:bidi="ar-SA"/>
            </w:rPr>
            <w:instrText xml:space="preserve"> HYPERLINK \l _Toc30705 </w:instrText>
          </w:r>
          <w:r>
            <w:rPr>
              <w:rFonts w:hint="eastAsia" w:ascii="仿宋_GB2312" w:hAnsi="仿宋_GB2312" w:eastAsia="仿宋_GB2312" w:cs="仿宋_GB2312"/>
              <w:color w:val="auto"/>
              <w:kern w:val="2"/>
              <w:sz w:val="28"/>
              <w:szCs w:val="32"/>
              <w:lang w:val="en-US" w:eastAsia="zh-CN" w:bidi="ar-SA"/>
            </w:rPr>
            <w:fldChar w:fldCharType="separate"/>
          </w:r>
          <w:r>
            <w:rPr>
              <w:rFonts w:hint="eastAsia" w:ascii="黑体" w:hAnsi="黑体" w:eastAsia="仿宋_GB2312" w:cs="黑体"/>
              <w:color w:val="auto"/>
              <w:kern w:val="2"/>
              <w:sz w:val="28"/>
              <w:szCs w:val="32"/>
              <w:lang w:val="en-US" w:eastAsia="zh-CN" w:bidi="ar-SA"/>
            </w:rPr>
            <w:t xml:space="preserve">（一） </w:t>
          </w:r>
          <w:r>
            <w:rPr>
              <w:rFonts w:hint="eastAsia" w:ascii="黑体" w:hAnsi="黑体" w:eastAsia="仿宋_GB2312" w:cs="黑体"/>
              <w:color w:val="auto"/>
              <w:kern w:val="2"/>
              <w:sz w:val="28"/>
              <w:szCs w:val="32"/>
              <w:highlight w:val="none"/>
              <w:lang w:val="en-US" w:eastAsia="zh-CN" w:bidi="ar-SA"/>
            </w:rPr>
            <w:t>强化组织领导工作</w:t>
          </w:r>
          <w:r>
            <w:rPr>
              <w:rFonts w:eastAsia="仿宋_GB2312"/>
              <w:color w:val="auto"/>
              <w:sz w:val="28"/>
            </w:rPr>
            <w:tab/>
          </w:r>
          <w:r>
            <w:rPr>
              <w:rFonts w:eastAsia="仿宋_GB2312"/>
              <w:color w:val="auto"/>
              <w:sz w:val="28"/>
            </w:rPr>
            <w:fldChar w:fldCharType="begin"/>
          </w:r>
          <w:r>
            <w:rPr>
              <w:rFonts w:eastAsia="仿宋_GB2312"/>
              <w:color w:val="auto"/>
              <w:sz w:val="28"/>
            </w:rPr>
            <w:instrText xml:space="preserve"> PAGEREF _Toc30705 \h </w:instrText>
          </w:r>
          <w:r>
            <w:rPr>
              <w:rFonts w:eastAsia="仿宋_GB2312"/>
              <w:color w:val="auto"/>
              <w:sz w:val="28"/>
            </w:rPr>
            <w:fldChar w:fldCharType="separate"/>
          </w:r>
          <w:r>
            <w:rPr>
              <w:rFonts w:eastAsia="仿宋_GB2312"/>
              <w:color w:val="auto"/>
              <w:sz w:val="28"/>
            </w:rPr>
            <w:t>- 50 -</w:t>
          </w:r>
          <w:r>
            <w:rPr>
              <w:rFonts w:eastAsia="仿宋_GB2312"/>
              <w:color w:val="auto"/>
              <w:sz w:val="28"/>
            </w:rPr>
            <w:fldChar w:fldCharType="end"/>
          </w:r>
          <w:r>
            <w:rPr>
              <w:rFonts w:hint="eastAsia" w:ascii="仿宋_GB2312" w:hAnsi="仿宋_GB2312" w:eastAsia="仿宋_GB2312" w:cs="仿宋_GB2312"/>
              <w:color w:val="auto"/>
              <w:kern w:val="2"/>
              <w:sz w:val="28"/>
              <w:szCs w:val="32"/>
              <w:lang w:val="en-US" w:eastAsia="zh-CN" w:bidi="ar-SA"/>
            </w:rPr>
            <w:fldChar w:fldCharType="end"/>
          </w:r>
        </w:p>
        <w:p>
          <w:pPr>
            <w:pStyle w:val="11"/>
            <w:tabs>
              <w:tab w:val="right" w:leader="dot" w:pos="8845"/>
            </w:tabs>
            <w:rPr>
              <w:rFonts w:eastAsia="仿宋_GB2312"/>
              <w:color w:val="auto"/>
              <w:sz w:val="28"/>
            </w:rPr>
          </w:pPr>
          <w:r>
            <w:rPr>
              <w:rFonts w:hint="eastAsia" w:ascii="仿宋_GB2312" w:hAnsi="仿宋_GB2312" w:eastAsia="仿宋_GB2312" w:cs="仿宋_GB2312"/>
              <w:color w:val="auto"/>
              <w:kern w:val="2"/>
              <w:sz w:val="28"/>
              <w:szCs w:val="32"/>
              <w:lang w:val="en-US" w:eastAsia="zh-CN" w:bidi="ar-SA"/>
            </w:rPr>
            <w:fldChar w:fldCharType="begin"/>
          </w:r>
          <w:r>
            <w:rPr>
              <w:rFonts w:hint="eastAsia" w:ascii="仿宋_GB2312" w:hAnsi="仿宋_GB2312" w:eastAsia="仿宋_GB2312" w:cs="仿宋_GB2312"/>
              <w:color w:val="auto"/>
              <w:kern w:val="2"/>
              <w:sz w:val="28"/>
              <w:szCs w:val="32"/>
              <w:lang w:val="en-US" w:eastAsia="zh-CN" w:bidi="ar-SA"/>
            </w:rPr>
            <w:instrText xml:space="preserve"> HYPERLINK \l _Toc25800 </w:instrText>
          </w:r>
          <w:r>
            <w:rPr>
              <w:rFonts w:hint="eastAsia" w:ascii="仿宋_GB2312" w:hAnsi="仿宋_GB2312" w:eastAsia="仿宋_GB2312" w:cs="仿宋_GB2312"/>
              <w:color w:val="auto"/>
              <w:kern w:val="2"/>
              <w:sz w:val="28"/>
              <w:szCs w:val="32"/>
              <w:lang w:val="en-US" w:eastAsia="zh-CN" w:bidi="ar-SA"/>
            </w:rPr>
            <w:fldChar w:fldCharType="separate"/>
          </w:r>
          <w:r>
            <w:rPr>
              <w:rFonts w:hint="eastAsia" w:ascii="黑体" w:hAnsi="黑体" w:eastAsia="仿宋_GB2312" w:cs="黑体"/>
              <w:color w:val="auto"/>
              <w:kern w:val="2"/>
              <w:sz w:val="28"/>
              <w:szCs w:val="32"/>
              <w:lang w:val="en-US" w:eastAsia="zh-CN" w:bidi="ar-SA"/>
            </w:rPr>
            <w:t xml:space="preserve">（二） </w:t>
          </w:r>
          <w:r>
            <w:rPr>
              <w:rFonts w:hint="eastAsia" w:ascii="黑体" w:hAnsi="黑体" w:eastAsia="仿宋_GB2312" w:cs="黑体"/>
              <w:color w:val="auto"/>
              <w:kern w:val="2"/>
              <w:sz w:val="28"/>
              <w:szCs w:val="32"/>
              <w:highlight w:val="none"/>
              <w:lang w:val="en-US" w:eastAsia="zh-CN" w:bidi="ar-SA"/>
            </w:rPr>
            <w:t>强化创新政策保障</w:t>
          </w:r>
          <w:r>
            <w:rPr>
              <w:rFonts w:eastAsia="仿宋_GB2312"/>
              <w:color w:val="auto"/>
              <w:sz w:val="28"/>
            </w:rPr>
            <w:tab/>
          </w:r>
          <w:r>
            <w:rPr>
              <w:rFonts w:eastAsia="仿宋_GB2312"/>
              <w:color w:val="auto"/>
              <w:sz w:val="28"/>
            </w:rPr>
            <w:fldChar w:fldCharType="begin"/>
          </w:r>
          <w:r>
            <w:rPr>
              <w:rFonts w:eastAsia="仿宋_GB2312"/>
              <w:color w:val="auto"/>
              <w:sz w:val="28"/>
            </w:rPr>
            <w:instrText xml:space="preserve"> PAGEREF _Toc25800 \h </w:instrText>
          </w:r>
          <w:r>
            <w:rPr>
              <w:rFonts w:eastAsia="仿宋_GB2312"/>
              <w:color w:val="auto"/>
              <w:sz w:val="28"/>
            </w:rPr>
            <w:fldChar w:fldCharType="separate"/>
          </w:r>
          <w:r>
            <w:rPr>
              <w:rFonts w:eastAsia="仿宋_GB2312"/>
              <w:color w:val="auto"/>
              <w:sz w:val="28"/>
            </w:rPr>
            <w:t>- 50 -</w:t>
          </w:r>
          <w:r>
            <w:rPr>
              <w:rFonts w:eastAsia="仿宋_GB2312"/>
              <w:color w:val="auto"/>
              <w:sz w:val="28"/>
            </w:rPr>
            <w:fldChar w:fldCharType="end"/>
          </w:r>
          <w:r>
            <w:rPr>
              <w:rFonts w:hint="eastAsia" w:ascii="仿宋_GB2312" w:hAnsi="仿宋_GB2312" w:eastAsia="仿宋_GB2312" w:cs="仿宋_GB2312"/>
              <w:color w:val="auto"/>
              <w:kern w:val="2"/>
              <w:sz w:val="28"/>
              <w:szCs w:val="32"/>
              <w:lang w:val="en-US" w:eastAsia="zh-CN" w:bidi="ar-SA"/>
            </w:rPr>
            <w:fldChar w:fldCharType="end"/>
          </w:r>
        </w:p>
        <w:p>
          <w:pPr>
            <w:pStyle w:val="11"/>
            <w:tabs>
              <w:tab w:val="right" w:leader="dot" w:pos="8845"/>
            </w:tabs>
            <w:rPr>
              <w:rFonts w:eastAsia="仿宋_GB2312"/>
              <w:color w:val="auto"/>
              <w:sz w:val="28"/>
            </w:rPr>
          </w:pPr>
          <w:r>
            <w:rPr>
              <w:rFonts w:hint="eastAsia" w:ascii="仿宋_GB2312" w:hAnsi="仿宋_GB2312" w:eastAsia="仿宋_GB2312" w:cs="仿宋_GB2312"/>
              <w:color w:val="auto"/>
              <w:kern w:val="2"/>
              <w:sz w:val="28"/>
              <w:szCs w:val="32"/>
              <w:lang w:val="en-US" w:eastAsia="zh-CN" w:bidi="ar-SA"/>
            </w:rPr>
            <w:fldChar w:fldCharType="begin"/>
          </w:r>
          <w:r>
            <w:rPr>
              <w:rFonts w:hint="eastAsia" w:ascii="仿宋_GB2312" w:hAnsi="仿宋_GB2312" w:eastAsia="仿宋_GB2312" w:cs="仿宋_GB2312"/>
              <w:color w:val="auto"/>
              <w:kern w:val="2"/>
              <w:sz w:val="28"/>
              <w:szCs w:val="32"/>
              <w:lang w:val="en-US" w:eastAsia="zh-CN" w:bidi="ar-SA"/>
            </w:rPr>
            <w:instrText xml:space="preserve"> HYPERLINK \l _Toc19940 </w:instrText>
          </w:r>
          <w:r>
            <w:rPr>
              <w:rFonts w:hint="eastAsia" w:ascii="仿宋_GB2312" w:hAnsi="仿宋_GB2312" w:eastAsia="仿宋_GB2312" w:cs="仿宋_GB2312"/>
              <w:color w:val="auto"/>
              <w:kern w:val="2"/>
              <w:sz w:val="28"/>
              <w:szCs w:val="32"/>
              <w:lang w:val="en-US" w:eastAsia="zh-CN" w:bidi="ar-SA"/>
            </w:rPr>
            <w:fldChar w:fldCharType="separate"/>
          </w:r>
          <w:r>
            <w:rPr>
              <w:rFonts w:hint="eastAsia" w:ascii="黑体" w:hAnsi="黑体" w:eastAsia="仿宋_GB2312" w:cs="黑体"/>
              <w:color w:val="auto"/>
              <w:kern w:val="2"/>
              <w:sz w:val="28"/>
              <w:szCs w:val="32"/>
              <w:lang w:val="en-US" w:eastAsia="zh-CN" w:bidi="ar-SA"/>
            </w:rPr>
            <w:t xml:space="preserve">（三） </w:t>
          </w:r>
          <w:r>
            <w:rPr>
              <w:rFonts w:hint="eastAsia" w:ascii="黑体" w:hAnsi="黑体" w:eastAsia="仿宋_GB2312" w:cs="黑体"/>
              <w:color w:val="auto"/>
              <w:kern w:val="2"/>
              <w:sz w:val="28"/>
              <w:szCs w:val="32"/>
              <w:highlight w:val="none"/>
              <w:lang w:val="en-US" w:eastAsia="zh-CN" w:bidi="ar-SA"/>
            </w:rPr>
            <w:t>强化规划督查考核</w:t>
          </w:r>
          <w:r>
            <w:rPr>
              <w:rFonts w:eastAsia="仿宋_GB2312"/>
              <w:color w:val="auto"/>
              <w:sz w:val="28"/>
            </w:rPr>
            <w:tab/>
          </w:r>
          <w:r>
            <w:rPr>
              <w:rFonts w:eastAsia="仿宋_GB2312"/>
              <w:color w:val="auto"/>
              <w:sz w:val="28"/>
            </w:rPr>
            <w:fldChar w:fldCharType="begin"/>
          </w:r>
          <w:r>
            <w:rPr>
              <w:rFonts w:eastAsia="仿宋_GB2312"/>
              <w:color w:val="auto"/>
              <w:sz w:val="28"/>
            </w:rPr>
            <w:instrText xml:space="preserve"> PAGEREF _Toc19940 \h </w:instrText>
          </w:r>
          <w:r>
            <w:rPr>
              <w:rFonts w:eastAsia="仿宋_GB2312"/>
              <w:color w:val="auto"/>
              <w:sz w:val="28"/>
            </w:rPr>
            <w:fldChar w:fldCharType="separate"/>
          </w:r>
          <w:r>
            <w:rPr>
              <w:rFonts w:eastAsia="仿宋_GB2312"/>
              <w:color w:val="auto"/>
              <w:sz w:val="28"/>
            </w:rPr>
            <w:t>- 51 -</w:t>
          </w:r>
          <w:r>
            <w:rPr>
              <w:rFonts w:eastAsia="仿宋_GB2312"/>
              <w:color w:val="auto"/>
              <w:sz w:val="28"/>
            </w:rPr>
            <w:fldChar w:fldCharType="end"/>
          </w:r>
          <w:r>
            <w:rPr>
              <w:rFonts w:hint="eastAsia" w:ascii="仿宋_GB2312" w:hAnsi="仿宋_GB2312" w:eastAsia="仿宋_GB2312" w:cs="仿宋_GB2312"/>
              <w:color w:val="auto"/>
              <w:kern w:val="2"/>
              <w:sz w:val="28"/>
              <w:szCs w:val="32"/>
              <w:lang w:val="en-US" w:eastAsia="zh-CN" w:bidi="ar-SA"/>
            </w:rPr>
            <w:fldChar w:fldCharType="end"/>
          </w:r>
        </w:p>
        <w:p>
          <w:pPr>
            <w:pStyle w:val="11"/>
            <w:tabs>
              <w:tab w:val="right" w:leader="dot" w:pos="8845"/>
            </w:tabs>
            <w:rPr>
              <w:color w:val="auto"/>
              <w:sz w:val="28"/>
            </w:rPr>
          </w:pPr>
          <w:r>
            <w:rPr>
              <w:rFonts w:hint="eastAsia" w:ascii="仿宋_GB2312" w:hAnsi="仿宋_GB2312" w:eastAsia="仿宋_GB2312" w:cs="仿宋_GB2312"/>
              <w:color w:val="auto"/>
              <w:kern w:val="2"/>
              <w:sz w:val="28"/>
              <w:szCs w:val="32"/>
              <w:lang w:val="en-US" w:eastAsia="zh-CN" w:bidi="ar-SA"/>
            </w:rPr>
            <w:fldChar w:fldCharType="begin"/>
          </w:r>
          <w:r>
            <w:rPr>
              <w:rFonts w:hint="eastAsia" w:ascii="仿宋_GB2312" w:hAnsi="仿宋_GB2312" w:eastAsia="仿宋_GB2312" w:cs="仿宋_GB2312"/>
              <w:color w:val="auto"/>
              <w:kern w:val="2"/>
              <w:sz w:val="28"/>
              <w:szCs w:val="32"/>
              <w:lang w:val="en-US" w:eastAsia="zh-CN" w:bidi="ar-SA"/>
            </w:rPr>
            <w:instrText xml:space="preserve"> HYPERLINK \l _Toc25049 </w:instrText>
          </w:r>
          <w:r>
            <w:rPr>
              <w:rFonts w:hint="eastAsia" w:ascii="仿宋_GB2312" w:hAnsi="仿宋_GB2312" w:eastAsia="仿宋_GB2312" w:cs="仿宋_GB2312"/>
              <w:color w:val="auto"/>
              <w:kern w:val="2"/>
              <w:sz w:val="28"/>
              <w:szCs w:val="32"/>
              <w:lang w:val="en-US" w:eastAsia="zh-CN" w:bidi="ar-SA"/>
            </w:rPr>
            <w:fldChar w:fldCharType="separate"/>
          </w:r>
          <w:r>
            <w:rPr>
              <w:rFonts w:hint="eastAsia" w:ascii="黑体" w:hAnsi="黑体" w:eastAsia="仿宋_GB2312" w:cs="黑体"/>
              <w:color w:val="auto"/>
              <w:kern w:val="2"/>
              <w:sz w:val="28"/>
              <w:szCs w:val="32"/>
              <w:lang w:val="en-US" w:eastAsia="zh-CN" w:bidi="ar-SA"/>
            </w:rPr>
            <w:t xml:space="preserve">（四） </w:t>
          </w:r>
          <w:r>
            <w:rPr>
              <w:rFonts w:hint="eastAsia" w:ascii="黑体" w:hAnsi="黑体" w:eastAsia="仿宋_GB2312" w:cs="黑体"/>
              <w:color w:val="auto"/>
              <w:kern w:val="2"/>
              <w:sz w:val="28"/>
              <w:szCs w:val="32"/>
              <w:highlight w:val="none"/>
              <w:lang w:val="en-US" w:eastAsia="zh-CN" w:bidi="ar-SA"/>
            </w:rPr>
            <w:t>强化保障措施落实</w:t>
          </w:r>
          <w:r>
            <w:rPr>
              <w:rFonts w:eastAsia="仿宋_GB2312"/>
              <w:color w:val="auto"/>
              <w:sz w:val="28"/>
            </w:rPr>
            <w:tab/>
          </w:r>
          <w:r>
            <w:rPr>
              <w:rFonts w:eastAsia="仿宋_GB2312"/>
              <w:color w:val="auto"/>
              <w:sz w:val="28"/>
            </w:rPr>
            <w:fldChar w:fldCharType="begin"/>
          </w:r>
          <w:r>
            <w:rPr>
              <w:rFonts w:eastAsia="仿宋_GB2312"/>
              <w:color w:val="auto"/>
              <w:sz w:val="28"/>
            </w:rPr>
            <w:instrText xml:space="preserve"> PAGEREF _Toc25049 \h </w:instrText>
          </w:r>
          <w:r>
            <w:rPr>
              <w:rFonts w:eastAsia="仿宋_GB2312"/>
              <w:color w:val="auto"/>
              <w:sz w:val="28"/>
            </w:rPr>
            <w:fldChar w:fldCharType="separate"/>
          </w:r>
          <w:r>
            <w:rPr>
              <w:rFonts w:eastAsia="仿宋_GB2312"/>
              <w:color w:val="auto"/>
              <w:sz w:val="28"/>
            </w:rPr>
            <w:t>- 51 -</w:t>
          </w:r>
          <w:r>
            <w:rPr>
              <w:rFonts w:eastAsia="仿宋_GB2312"/>
              <w:color w:val="auto"/>
              <w:sz w:val="28"/>
            </w:rPr>
            <w:fldChar w:fldCharType="end"/>
          </w:r>
          <w:r>
            <w:rPr>
              <w:rFonts w:hint="eastAsia" w:ascii="仿宋_GB2312" w:hAnsi="仿宋_GB2312" w:eastAsia="仿宋_GB2312" w:cs="仿宋_GB2312"/>
              <w:color w:val="auto"/>
              <w:kern w:val="2"/>
              <w:sz w:val="28"/>
              <w:szCs w:val="32"/>
              <w:lang w:val="en-US" w:eastAsia="zh-CN" w:bidi="ar-SA"/>
            </w:rPr>
            <w:fldChar w:fldCharType="end"/>
          </w:r>
        </w:p>
        <w:p>
          <w:pPr>
            <w:rPr>
              <w:rFonts w:hint="eastAsia" w:ascii="仿宋_GB2312" w:hAnsi="仿宋_GB2312" w:eastAsia="仿宋_GB2312" w:cs="仿宋_GB2312"/>
              <w:color w:val="auto"/>
              <w:kern w:val="2"/>
              <w:sz w:val="21"/>
              <w:szCs w:val="32"/>
              <w:lang w:val="en-US" w:eastAsia="zh-CN" w:bidi="ar-SA"/>
            </w:rPr>
            <w:sectPr>
              <w:footerReference r:id="rId4" w:type="default"/>
              <w:pgSz w:w="11906" w:h="16838"/>
              <w:pgMar w:top="1440" w:right="1474" w:bottom="1440" w:left="1587" w:header="851" w:footer="992" w:gutter="0"/>
              <w:pgNumType w:fmt="upperRoman" w:start="1"/>
              <w:cols w:space="425" w:num="1"/>
              <w:docGrid w:type="lines" w:linePitch="312" w:charSpace="0"/>
            </w:sectPr>
          </w:pPr>
          <w:r>
            <w:rPr>
              <w:rFonts w:hint="eastAsia" w:ascii="仿宋_GB2312" w:hAnsi="仿宋_GB2312" w:eastAsia="仿宋_GB2312" w:cs="仿宋_GB2312"/>
              <w:color w:val="auto"/>
              <w:kern w:val="2"/>
              <w:sz w:val="32"/>
              <w:szCs w:val="32"/>
              <w:lang w:val="en-US" w:eastAsia="zh-CN" w:bidi="ar-SA"/>
            </w:rPr>
            <w:fldChar w:fldCharType="end"/>
          </w:r>
        </w:p>
      </w:sdtContent>
    </w:sdt>
    <w:p>
      <w:pPr>
        <w:keepNext w:val="0"/>
        <w:keepLines w:val="0"/>
        <w:pageBreakBefore w:val="0"/>
        <w:widowControl w:val="0"/>
        <w:numPr>
          <w:ilvl w:val="0"/>
          <w:numId w:val="0"/>
        </w:numPr>
        <w:kinsoku/>
        <w:wordWrap/>
        <w:overflowPunct/>
        <w:topLinePunct w:val="0"/>
        <w:autoSpaceDE/>
        <w:autoSpaceDN/>
        <w:bidi w:val="0"/>
        <w:adjustRightInd/>
        <w:snapToGrid/>
        <w:spacing w:line="560" w:lineRule="exact"/>
        <w:textAlignment w:val="auto"/>
        <w:outlineLvl w:val="1"/>
        <w:rPr>
          <w:rFonts w:hint="eastAsia" w:ascii="黑体" w:hAnsi="黑体" w:eastAsia="黑体" w:cs="黑体"/>
          <w:b/>
          <w:bCs w:val="0"/>
          <w:color w:val="auto"/>
          <w:kern w:val="44"/>
          <w:sz w:val="32"/>
          <w:szCs w:val="32"/>
          <w:highlight w:val="none"/>
          <w:lang w:val="en-US" w:eastAsia="zh-CN" w:bidi="ar-SA"/>
        </w:rPr>
      </w:pPr>
      <w:bookmarkStart w:id="0" w:name="_Toc18525"/>
      <w:r>
        <w:rPr>
          <w:rFonts w:hint="eastAsia" w:ascii="黑体" w:hAnsi="黑体" w:eastAsia="黑体" w:cs="黑体"/>
          <w:b/>
          <w:bCs w:val="0"/>
          <w:color w:val="auto"/>
          <w:kern w:val="44"/>
          <w:sz w:val="32"/>
          <w:szCs w:val="32"/>
          <w:highlight w:val="none"/>
          <w:lang w:val="en-US" w:eastAsia="zh-CN" w:bidi="ar-SA"/>
        </w:rPr>
        <w:t xml:space="preserve">    一、发展基础</w:t>
      </w:r>
      <w:bookmarkEnd w:id="0"/>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textAlignment w:val="auto"/>
        <w:outlineLvl w:val="2"/>
        <w:rPr>
          <w:rFonts w:hint="eastAsia" w:ascii="黑体" w:hAnsi="黑体" w:eastAsia="黑体" w:cs="黑体"/>
          <w:b/>
          <w:color w:val="auto"/>
          <w:kern w:val="2"/>
          <w:sz w:val="32"/>
          <w:szCs w:val="32"/>
          <w:highlight w:val="none"/>
          <w:lang w:val="en-US" w:eastAsia="zh-CN" w:bidi="ar-SA"/>
        </w:rPr>
      </w:pPr>
      <w:bookmarkStart w:id="1" w:name="_Toc4961"/>
      <w:r>
        <w:rPr>
          <w:rFonts w:hint="eastAsia" w:ascii="黑体" w:hAnsi="黑体" w:eastAsia="黑体" w:cs="黑体"/>
          <w:b/>
          <w:color w:val="auto"/>
          <w:kern w:val="2"/>
          <w:sz w:val="32"/>
          <w:szCs w:val="32"/>
          <w:highlight w:val="none"/>
          <w:lang w:val="en-US" w:eastAsia="zh-CN" w:bidi="ar-SA"/>
        </w:rPr>
        <w:t xml:space="preserve">    （一）取得成效</w:t>
      </w:r>
      <w:bookmarkEnd w:id="1"/>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“十四五”期间，在区人大积极履职的监督下，在区委、区政府的领导下，在区政协的支持下，全区紧紧围绕经济社会高质量发展目标，坚定落实昆明市科技</w:t>
      </w:r>
      <w:r>
        <w:rPr>
          <w:rFonts w:hint="eastAsia" w:ascii="仿宋_GB2312" w:hAnsi="仿宋_GB2312" w:eastAsia="仿宋_GB2312" w:cs="仿宋_GB2312"/>
          <w:color w:val="auto"/>
          <w:sz w:val="32"/>
          <w:szCs w:val="32"/>
          <w:highlight w:val="none"/>
          <w:lang w:val="en-US" w:eastAsia="zh-CN"/>
        </w:rPr>
        <w:t>创新发展相关要求，科技创新事</w:t>
      </w:r>
      <w:r>
        <w:rPr>
          <w:rFonts w:hint="eastAsia" w:ascii="仿宋_GB2312" w:hAnsi="仿宋_GB2312" w:eastAsia="仿宋_GB2312" w:cs="仿宋_GB2312"/>
          <w:color w:val="auto"/>
          <w:sz w:val="32"/>
          <w:szCs w:val="32"/>
          <w:lang w:val="en-US" w:eastAsia="zh-CN"/>
        </w:rPr>
        <w:t>业发展取得突破。</w:t>
      </w:r>
    </w:p>
    <w:p>
      <w:pPr>
        <w:numPr>
          <w:ilvl w:val="0"/>
          <w:numId w:val="1"/>
        </w:numPr>
        <w:bidi w:val="0"/>
        <w:snapToGrid/>
        <w:spacing w:line="560" w:lineRule="exact"/>
        <w:ind w:left="0" w:leftChars="0" w:firstLine="642" w:firstLineChars="200"/>
        <w:outlineLvl w:val="3"/>
        <w:rPr>
          <w:rFonts w:hint="eastAsia" w:eastAsia="仿宋_GB2312" w:asciiTheme="minorAscii" w:hAnsiTheme="minorAscii"/>
          <w:b/>
          <w:bCs/>
          <w:color w:val="auto"/>
          <w:sz w:val="32"/>
          <w:highlight w:val="none"/>
          <w:lang w:val="en-US" w:eastAsia="zh-CN"/>
        </w:rPr>
      </w:pPr>
      <w:r>
        <w:rPr>
          <w:rFonts w:hint="eastAsia" w:eastAsia="仿宋_GB2312" w:asciiTheme="minorAscii" w:hAnsiTheme="minorAscii"/>
          <w:b/>
          <w:bCs/>
          <w:color w:val="auto"/>
          <w:sz w:val="32"/>
          <w:highlight w:val="none"/>
          <w:lang w:val="en-US" w:eastAsia="zh-CN"/>
        </w:rPr>
        <w:t>科技创新投入持续增长</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研发经费（R&amp;D）投入力度持续加大。“十四五”期间，全区深入实施创新驱动发展战略，科技创新支撑体系建设成效显著。2021年完成R&amp;D投入下返数1.31亿元，较上年0.93亿元增幅40.8%；2022年完成R&amp;D投入下返数1.32亿元，</w:t>
      </w:r>
      <w:r>
        <w:rPr>
          <w:rFonts w:hint="eastAsia" w:ascii="仿宋_GB2312" w:hAnsi="仿宋" w:eastAsia="仿宋_GB2312"/>
          <w:color w:val="auto"/>
          <w:sz w:val="32"/>
          <w:szCs w:val="32"/>
          <w:lang w:val="en-US" w:eastAsia="zh-CN"/>
        </w:rPr>
        <w:t>较上年1.31亿元增</w:t>
      </w:r>
      <w:r>
        <w:rPr>
          <w:rFonts w:hint="eastAsia" w:ascii="仿宋_GB2312" w:hAnsi="仿宋_GB2312" w:eastAsia="仿宋_GB2312" w:cs="仿宋_GB2312"/>
          <w:color w:val="auto"/>
          <w:sz w:val="32"/>
          <w:szCs w:val="32"/>
          <w:highlight w:val="none"/>
          <w:lang w:val="en-US" w:eastAsia="zh-CN"/>
        </w:rPr>
        <w:t>幅</w:t>
      </w:r>
      <w:r>
        <w:rPr>
          <w:rFonts w:hint="eastAsia" w:ascii="仿宋_GB2312" w:hAnsi="仿宋" w:eastAsia="仿宋_GB2312"/>
          <w:color w:val="auto"/>
          <w:sz w:val="32"/>
          <w:szCs w:val="32"/>
          <w:lang w:val="en-US" w:eastAsia="zh-CN"/>
        </w:rPr>
        <w:t>0.76%</w:t>
      </w:r>
      <w:r>
        <w:rPr>
          <w:rFonts w:hint="eastAsia" w:ascii="仿宋_GB2312" w:hAnsi="仿宋_GB2312" w:eastAsia="仿宋_GB2312" w:cs="仿宋_GB2312"/>
          <w:color w:val="auto"/>
          <w:sz w:val="32"/>
          <w:szCs w:val="32"/>
          <w:highlight w:val="none"/>
          <w:lang w:val="en-US" w:eastAsia="zh-CN"/>
        </w:rPr>
        <w:t>；2023年完成R&amp;D投入下返数1.5亿元，</w:t>
      </w:r>
      <w:r>
        <w:rPr>
          <w:rFonts w:hint="eastAsia" w:ascii="仿宋_GB2312" w:hAnsi="仿宋" w:eastAsia="仿宋_GB2312"/>
          <w:color w:val="auto"/>
          <w:sz w:val="32"/>
          <w:szCs w:val="32"/>
          <w:lang w:val="en-US" w:eastAsia="zh-CN"/>
        </w:rPr>
        <w:t>较上年1.32亿元增</w:t>
      </w:r>
      <w:r>
        <w:rPr>
          <w:rFonts w:hint="eastAsia" w:ascii="仿宋_GB2312" w:hAnsi="仿宋_GB2312" w:eastAsia="仿宋_GB2312" w:cs="仿宋_GB2312"/>
          <w:color w:val="auto"/>
          <w:sz w:val="32"/>
          <w:szCs w:val="32"/>
          <w:highlight w:val="none"/>
          <w:lang w:val="en-US" w:eastAsia="zh-CN"/>
        </w:rPr>
        <w:t>幅</w:t>
      </w:r>
      <w:r>
        <w:rPr>
          <w:rFonts w:hint="eastAsia" w:ascii="仿宋_GB2312" w:hAnsi="仿宋" w:eastAsia="仿宋_GB2312"/>
          <w:color w:val="auto"/>
          <w:sz w:val="32"/>
          <w:szCs w:val="32"/>
          <w:lang w:val="en-US" w:eastAsia="zh-CN"/>
        </w:rPr>
        <w:t>13.6%</w:t>
      </w:r>
      <w:r>
        <w:rPr>
          <w:rFonts w:hint="eastAsia" w:ascii="仿宋_GB2312" w:hAnsi="仿宋_GB2312" w:eastAsia="仿宋_GB2312" w:cs="仿宋_GB2312"/>
          <w:color w:val="auto"/>
          <w:sz w:val="32"/>
          <w:szCs w:val="32"/>
          <w:highlight w:val="none"/>
          <w:lang w:val="en-US" w:eastAsia="zh-CN"/>
        </w:rPr>
        <w:t>。“十四五”期间，持续增长的R&amp;D投入，为全区科技创新发展奠定了坚实基础，有效提升了区域整体创新能力，有力推动了产业转型升级，为经济高质量发展提供了强劲动能，为实现区域经济社会的可持续发展提供科技支撑。</w:t>
      </w:r>
    </w:p>
    <w:p>
      <w:pPr>
        <w:numPr>
          <w:ilvl w:val="0"/>
          <w:numId w:val="1"/>
        </w:numPr>
        <w:bidi w:val="0"/>
        <w:snapToGrid/>
        <w:spacing w:line="560" w:lineRule="exact"/>
        <w:ind w:left="0" w:leftChars="0" w:firstLine="642" w:firstLineChars="200"/>
        <w:outlineLvl w:val="3"/>
        <w:rPr>
          <w:rFonts w:hint="eastAsia" w:eastAsia="仿宋_GB2312" w:asciiTheme="minorAscii" w:hAnsiTheme="minorAscii"/>
          <w:b/>
          <w:bCs/>
          <w:color w:val="auto"/>
          <w:sz w:val="32"/>
          <w:highlight w:val="none"/>
          <w:lang w:val="en-US" w:eastAsia="zh-CN"/>
        </w:rPr>
      </w:pPr>
      <w:r>
        <w:rPr>
          <w:rFonts w:hint="eastAsia" w:eastAsia="仿宋_GB2312" w:asciiTheme="minorAscii" w:hAnsiTheme="minorAscii"/>
          <w:b/>
          <w:bCs/>
          <w:color w:val="auto"/>
          <w:sz w:val="32"/>
          <w:highlight w:val="none"/>
          <w:lang w:val="en-US" w:eastAsia="zh-CN"/>
        </w:rPr>
        <w:t>科技创新主体显著增加</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outlineLvl w:val="9"/>
        <w:rPr>
          <w:color w:val="auto"/>
        </w:rPr>
      </w:pPr>
      <w:r>
        <w:rPr>
          <w:rFonts w:hint="eastAsia" w:ascii="仿宋_GB2312" w:hAnsi="仿宋_GB2312" w:eastAsia="仿宋_GB2312" w:cs="仿宋_GB2312"/>
          <w:color w:val="auto"/>
          <w:sz w:val="32"/>
          <w:szCs w:val="32"/>
          <w:lang w:val="en-US" w:eastAsia="zh-CN"/>
        </w:rPr>
        <w:t>国家高新技术企业认定工作硕果累累。“十四五”期间，全区紧紧抓住推进创新型城市建设的契机，全力推动高新技术企业培育认定与发展工作。国家高新技术企业总数持续攀升，申报量、认定量、净增数、认定通过率等指标不断刷新纪录，且多次超额完成市级目标任务，展现出强劲的发展势头与活力。</w:t>
      </w:r>
      <w:r>
        <w:rPr>
          <w:rFonts w:hint="eastAsia" w:ascii="仿宋_GB2312" w:hAnsi="仿宋_GB2312" w:eastAsia="仿宋_GB2312" w:cs="仿宋_GB2312"/>
          <w:color w:val="auto"/>
          <w:sz w:val="32"/>
          <w:szCs w:val="32"/>
          <w:highlight w:val="none"/>
          <w:lang w:val="en-US" w:eastAsia="zh-CN"/>
        </w:rPr>
        <w:t>截至</w:t>
      </w:r>
      <w:r>
        <w:rPr>
          <w:rFonts w:hint="eastAsia" w:ascii="仿宋_GB2312" w:hAnsi="仿宋_GB2312" w:eastAsia="仿宋_GB2312" w:cs="仿宋_GB2312"/>
          <w:color w:val="auto"/>
          <w:sz w:val="32"/>
          <w:szCs w:val="32"/>
          <w:lang w:val="en-US" w:eastAsia="zh-CN"/>
        </w:rPr>
        <w:t>2024年，全区高新技术企业数量跃升至60户，为区域创新驱动发展注入了源源不断的活力与动力，成为推动晋宁区经济社会高质量发展的关键引擎。</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420" w:firstLineChars="200"/>
        <w:jc w:val="both"/>
        <w:textAlignment w:val="auto"/>
        <w:outlineLvl w:val="9"/>
        <w:rPr>
          <w:color w:val="auto"/>
        </w:rPr>
      </w:pPr>
      <w:r>
        <w:rPr>
          <w:color w:val="auto"/>
        </w:rPr>
        <w:drawing>
          <wp:inline distT="0" distB="0" distL="114300" distR="114300">
            <wp:extent cx="4826635" cy="1847215"/>
            <wp:effectExtent l="5080" t="5080" r="6985" b="14605"/>
            <wp:docPr id="8"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pPr>
        <w:pStyle w:val="6"/>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560" w:firstLineChars="200"/>
        <w:jc w:val="center"/>
        <w:textAlignment w:val="auto"/>
        <w:outlineLvl w:val="9"/>
        <w:rPr>
          <w:rFonts w:hint="eastAsia" w:ascii="仿宋_GB2312" w:hAnsi="仿宋_GB2312" w:eastAsia="仿宋_GB2312" w:cs="仿宋_GB2312"/>
          <w:b w:val="0"/>
          <w:bCs w:val="0"/>
          <w:color w:val="auto"/>
          <w:sz w:val="28"/>
          <w:szCs w:val="28"/>
          <w:lang w:eastAsia="zh-CN"/>
        </w:rPr>
      </w:pPr>
      <w:r>
        <w:rPr>
          <w:rFonts w:hint="eastAsia" w:ascii="仿宋_GB2312" w:hAnsi="仿宋_GB2312" w:eastAsia="仿宋_GB2312" w:cs="仿宋_GB2312"/>
          <w:b w:val="0"/>
          <w:bCs w:val="0"/>
          <w:color w:val="auto"/>
          <w:sz w:val="28"/>
          <w:szCs w:val="28"/>
        </w:rPr>
        <w:t>图</w:t>
      </w:r>
      <w:r>
        <w:rPr>
          <w:rFonts w:hint="eastAsia" w:ascii="仿宋_GB2312" w:hAnsi="仿宋_GB2312" w:eastAsia="仿宋_GB2312" w:cs="仿宋_GB2312"/>
          <w:b w:val="0"/>
          <w:bCs w:val="0"/>
          <w:color w:val="auto"/>
          <w:sz w:val="28"/>
          <w:szCs w:val="28"/>
        </w:rPr>
        <w:fldChar w:fldCharType="begin"/>
      </w:r>
      <w:r>
        <w:rPr>
          <w:rFonts w:hint="eastAsia" w:ascii="仿宋_GB2312" w:hAnsi="仿宋_GB2312" w:eastAsia="仿宋_GB2312" w:cs="仿宋_GB2312"/>
          <w:b w:val="0"/>
          <w:bCs w:val="0"/>
          <w:color w:val="auto"/>
          <w:sz w:val="28"/>
          <w:szCs w:val="28"/>
        </w:rPr>
        <w:instrText xml:space="preserve"> SEQ 图 \* ARABIC </w:instrText>
      </w:r>
      <w:r>
        <w:rPr>
          <w:rFonts w:hint="eastAsia" w:ascii="仿宋_GB2312" w:hAnsi="仿宋_GB2312" w:eastAsia="仿宋_GB2312" w:cs="仿宋_GB2312"/>
          <w:b w:val="0"/>
          <w:bCs w:val="0"/>
          <w:color w:val="auto"/>
          <w:sz w:val="28"/>
          <w:szCs w:val="28"/>
        </w:rPr>
        <w:fldChar w:fldCharType="separate"/>
      </w:r>
      <w:r>
        <w:rPr>
          <w:rFonts w:hint="eastAsia" w:ascii="仿宋_GB2312" w:hAnsi="仿宋_GB2312" w:eastAsia="仿宋_GB2312" w:cs="仿宋_GB2312"/>
          <w:b w:val="0"/>
          <w:bCs w:val="0"/>
          <w:color w:val="auto"/>
          <w:sz w:val="28"/>
          <w:szCs w:val="28"/>
        </w:rPr>
        <w:t>1</w:t>
      </w:r>
      <w:r>
        <w:rPr>
          <w:rFonts w:hint="eastAsia" w:ascii="仿宋_GB2312" w:hAnsi="仿宋_GB2312" w:eastAsia="仿宋_GB2312" w:cs="仿宋_GB2312"/>
          <w:b w:val="0"/>
          <w:bCs w:val="0"/>
          <w:color w:val="auto"/>
          <w:sz w:val="28"/>
          <w:szCs w:val="28"/>
        </w:rPr>
        <w:fldChar w:fldCharType="end"/>
      </w:r>
      <w:r>
        <w:rPr>
          <w:rFonts w:hint="eastAsia" w:ascii="仿宋_GB2312" w:hAnsi="仿宋_GB2312" w:eastAsia="仿宋_GB2312" w:cs="仿宋_GB2312"/>
          <w:b w:val="0"/>
          <w:bCs w:val="0"/>
          <w:color w:val="auto"/>
          <w:sz w:val="28"/>
          <w:szCs w:val="28"/>
          <w:lang w:val="en-US" w:eastAsia="zh-CN"/>
        </w:rPr>
        <w:t xml:space="preserve">  </w:t>
      </w:r>
      <w:r>
        <w:rPr>
          <w:rFonts w:hint="eastAsia" w:ascii="仿宋_GB2312" w:hAnsi="仿宋_GB2312" w:eastAsia="仿宋_GB2312" w:cs="仿宋_GB2312"/>
          <w:b w:val="0"/>
          <w:bCs w:val="0"/>
          <w:color w:val="auto"/>
          <w:sz w:val="28"/>
          <w:szCs w:val="28"/>
          <w:lang w:eastAsia="zh-CN"/>
        </w:rPr>
        <w:t>晋宁区国家高新技术企业数量增长图</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20" w:firstLineChars="200"/>
        <w:jc w:val="both"/>
        <w:textAlignment w:val="auto"/>
        <w:outlineLvl w:val="9"/>
        <w:rPr>
          <w:rFonts w:hint="eastAsia" w:ascii="仿宋_GB2312" w:hAnsi="仿宋_GB2312" w:eastAsia="仿宋_GB2312" w:cs="仿宋_GB2312"/>
          <w:color w:val="auto"/>
          <w:sz w:val="32"/>
          <w:szCs w:val="32"/>
          <w:lang w:val="en-US" w:eastAsia="zh-CN"/>
        </w:rPr>
      </w:pPr>
      <w:r>
        <w:rPr>
          <w:rFonts w:hint="eastAsia"/>
          <w:color w:val="auto"/>
          <w:lang w:val="en-US" w:eastAsia="zh-CN"/>
        </w:rPr>
        <w:t xml:space="preserve">  </w:t>
      </w:r>
      <w:r>
        <w:rPr>
          <w:rFonts w:hint="eastAsia" w:ascii="仿宋_GB2312" w:hAnsi="仿宋_GB2312" w:eastAsia="仿宋_GB2312" w:cs="仿宋_GB2312"/>
          <w:color w:val="auto"/>
          <w:sz w:val="32"/>
          <w:szCs w:val="32"/>
          <w:lang w:val="en-US" w:eastAsia="zh-CN"/>
        </w:rPr>
        <w:t>科技型中小企业培育工作成绩斐然。全区持续强化政策引导与服务保障，推动企业创新能力稳步提升。“十四五”期间国家及省级科技型中小企业入库备案数据呈现良好增长态势。2021年，10家企业入库国家科技型中小企业，4家企业备案认定为云南省科技型中小企业；2022年，21家企业入库国家科技型中小企业、15家企业备案认定为云南省科技型中小企业；2023年，14家企业入库国家科技型中小企业，8家企业备案认定为云南省科技型中小企业；2024年，10家企业入库国家科技型中小企业，16家企业备案认定为云南省科技型中小企业。科技型中小企业培育规模稳步扩大、企业梯队逐步完善，充分彰显了全区企业创新培育工作的扎实成效与显著成果。</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outlineLvl w:val="9"/>
        <w:rPr>
          <w:rFonts w:hint="eastAsia"/>
          <w:color w:val="auto"/>
          <w:lang w:val="en-US" w:eastAsia="zh-CN"/>
        </w:rPr>
      </w:pPr>
      <w:r>
        <w:rPr>
          <w:rFonts w:hint="eastAsia" w:ascii="仿宋_GB2312" w:hAnsi="仿宋_GB2312" w:eastAsia="仿宋_GB2312" w:cs="仿宋_GB2312"/>
          <w:color w:val="auto"/>
          <w:sz w:val="32"/>
          <w:szCs w:val="32"/>
          <w:lang w:val="en-US" w:eastAsia="zh-CN"/>
        </w:rPr>
        <w:t>云南省高新技术企业培育库建设工作成效显著。“十四五”期间，全区云南省高新技术企业培育库入库企业数量持续递增，从2021年的10家增长至2024年的20家，年均增长率达26%，累计入库企业达62户。彰显企业创新主体活力的不断释放，体现科技企业培育机制的科学性与有效性，为构建完善的高新技术企业发展梯队奠定了坚实基础。</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lang w:val="en-US" w:eastAsia="zh-CN"/>
        </w:rPr>
        <w:t>“专、精、特、新”中小企业转型工作质效双优。截至2024年10月，全区国家级专精特新“小巨人”2户、专精特新中小企业31户、创新型中小企业47户、新三板挂牌企业3户，股权交易市场挂牌企业4户。企业科技创新能力的渐进提升态势，全区产业结构优化升级取得阶段性成效。</w:t>
      </w:r>
      <w:r>
        <w:rPr>
          <w:rFonts w:hint="eastAsia" w:ascii="仿宋_GB2312" w:hAnsi="仿宋_GB2312" w:eastAsia="仿宋_GB2312" w:cs="仿宋_GB2312"/>
          <w:color w:val="auto"/>
          <w:sz w:val="32"/>
          <w:szCs w:val="32"/>
          <w:highlight w:val="none"/>
          <w:lang w:val="en-US" w:eastAsia="zh-CN"/>
        </w:rPr>
        <w:t>积极培育中小企业数字化转型。2024年推荐29家企业作为中小企业数字化转型试点，28家企业通过前期遴选，多家企业获市级专项补助资金支持，益海嘉里（昆明）食品工业有限公司和全波红外科技有限公司</w:t>
      </w:r>
      <w:r>
        <w:rPr>
          <w:rFonts w:hint="default" w:ascii="仿宋_GB2312" w:hAnsi="仿宋_GB2312" w:eastAsia="仿宋_GB2312" w:cs="仿宋_GB2312"/>
          <w:color w:val="auto"/>
          <w:sz w:val="32"/>
          <w:szCs w:val="32"/>
          <w:highlight w:val="none"/>
          <w:lang w:val="en-US" w:eastAsia="zh-CN"/>
        </w:rPr>
        <w:t>2</w:t>
      </w:r>
      <w:r>
        <w:rPr>
          <w:rFonts w:hint="eastAsia" w:ascii="仿宋_GB2312" w:hAnsi="仿宋_GB2312" w:eastAsia="仿宋_GB2312" w:cs="仿宋_GB2312"/>
          <w:color w:val="auto"/>
          <w:sz w:val="32"/>
          <w:szCs w:val="32"/>
          <w:highlight w:val="none"/>
          <w:lang w:val="en-US" w:eastAsia="zh-CN"/>
        </w:rPr>
        <w:t>家企业入选市级数字化转型“小灯塔”企业。</w:t>
      </w:r>
    </w:p>
    <w:p>
      <w:pPr>
        <w:numPr>
          <w:ilvl w:val="0"/>
          <w:numId w:val="1"/>
        </w:numPr>
        <w:bidi w:val="0"/>
        <w:spacing w:line="560" w:lineRule="exact"/>
        <w:ind w:left="0" w:leftChars="0" w:firstLine="642" w:firstLineChars="200"/>
        <w:outlineLvl w:val="3"/>
        <w:rPr>
          <w:rFonts w:hint="eastAsia" w:eastAsia="仿宋_GB2312" w:asciiTheme="minorAscii" w:hAnsiTheme="minorAscii"/>
          <w:b/>
          <w:bCs/>
          <w:color w:val="auto"/>
          <w:sz w:val="32"/>
          <w:highlight w:val="none"/>
          <w:lang w:val="en-US" w:eastAsia="zh-CN"/>
        </w:rPr>
      </w:pPr>
      <w:r>
        <w:rPr>
          <w:rFonts w:hint="eastAsia" w:eastAsia="仿宋_GB2312" w:asciiTheme="minorAscii" w:hAnsiTheme="minorAscii"/>
          <w:b/>
          <w:bCs/>
          <w:color w:val="auto"/>
          <w:sz w:val="32"/>
          <w:highlight w:val="none"/>
          <w:lang w:val="en-US" w:eastAsia="zh-CN"/>
        </w:rPr>
        <w:t>科技创新支持不断发力</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outlineLvl w:val="9"/>
        <w:rPr>
          <w:color w:val="auto"/>
        </w:rPr>
      </w:pPr>
      <w:r>
        <w:rPr>
          <w:rFonts w:hint="eastAsia" w:ascii="仿宋_GB2312" w:hAnsi="仿宋_GB2312" w:eastAsia="仿宋_GB2312" w:cs="仿宋_GB2312"/>
          <w:color w:val="auto"/>
          <w:sz w:val="32"/>
          <w:szCs w:val="32"/>
          <w:lang w:val="en-US" w:eastAsia="zh-CN"/>
        </w:rPr>
        <w:t>科技创新不断获得强劲动力。在创新驱动发展战略引领下，全区积极布局科技项目，全力争取上级资助资金。2020年获国家、省、市科技项目49项，获资助资金1757.54万元，实现年度申报工作良好开局。2021年持续保持项目申报力度，获批项目49项、资助资金1075.8万元，同步推进项目结构优化，聚焦重点领域集中资源攻关，着力提升资金使用效能。2022年在科技项目申报工作中持续发力，获得国家、省、市科技项目39项，获资助资金924万元，项目申报与上级政策导向的契合度显著提升。2023年聚焦项目质量效益，获31项科技项目，资助资金达862.5万元，该阶段持续聚焦项目质量与效益，为产业转型升级提供有力支撑。2024年科技项目申报工作实现新突破，已取得科技项目38项，资助资金升至1678.5万元，创下近年新高。这一显著进步不仅反映出晋宁积极顺应国家和省市科技发展战略方向，提前谋划项目布局，还得益于其不断完善的科技创新服务体系，同时注重与科研机构、高校的合作，大幅提升了项目的科技含量与可行性。​</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420" w:firstLineChars="200"/>
        <w:jc w:val="center"/>
        <w:textAlignment w:val="auto"/>
        <w:outlineLvl w:val="9"/>
        <w:rPr>
          <w:color w:val="auto"/>
        </w:rPr>
      </w:pPr>
      <w:r>
        <w:rPr>
          <w:color w:val="auto"/>
        </w:rPr>
        <w:drawing>
          <wp:inline distT="0" distB="0" distL="114300" distR="114300">
            <wp:extent cx="4827270" cy="2395220"/>
            <wp:effectExtent l="4445" t="4445" r="6985" b="19685"/>
            <wp:docPr id="7"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pPr>
        <w:pStyle w:val="6"/>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640" w:firstLineChars="200"/>
        <w:jc w:val="center"/>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rPr>
        <w:t>图</w:t>
      </w:r>
      <w:r>
        <w:rPr>
          <w:rFonts w:hint="eastAsia" w:ascii="仿宋_GB2312" w:hAnsi="仿宋_GB2312" w:eastAsia="仿宋_GB2312" w:cs="仿宋_GB2312"/>
          <w:color w:val="auto"/>
          <w:sz w:val="32"/>
          <w:szCs w:val="32"/>
        </w:rPr>
        <w:fldChar w:fldCharType="begin"/>
      </w:r>
      <w:r>
        <w:rPr>
          <w:rFonts w:hint="eastAsia" w:ascii="仿宋_GB2312" w:hAnsi="仿宋_GB2312" w:eastAsia="仿宋_GB2312" w:cs="仿宋_GB2312"/>
          <w:color w:val="auto"/>
          <w:sz w:val="32"/>
          <w:szCs w:val="32"/>
        </w:rPr>
        <w:instrText xml:space="preserve"> SEQ 图 \* ARABIC </w:instrText>
      </w:r>
      <w:r>
        <w:rPr>
          <w:rFonts w:hint="eastAsia" w:ascii="仿宋_GB2312" w:hAnsi="仿宋_GB2312" w:eastAsia="仿宋_GB2312" w:cs="仿宋_GB2312"/>
          <w:color w:val="auto"/>
          <w:sz w:val="32"/>
          <w:szCs w:val="32"/>
        </w:rPr>
        <w:fldChar w:fldCharType="separate"/>
      </w:r>
      <w:r>
        <w:rPr>
          <w:rFonts w:hint="eastAsia" w:ascii="仿宋_GB2312" w:hAnsi="仿宋_GB2312" w:eastAsia="仿宋_GB2312" w:cs="仿宋_GB2312"/>
          <w:color w:val="auto"/>
          <w:sz w:val="32"/>
          <w:szCs w:val="32"/>
        </w:rPr>
        <w:t>2</w:t>
      </w:r>
      <w:r>
        <w:rPr>
          <w:rFonts w:hint="eastAsia" w:ascii="仿宋_GB2312" w:hAnsi="仿宋_GB2312" w:eastAsia="仿宋_GB2312" w:cs="仿宋_GB2312"/>
          <w:color w:val="auto"/>
          <w:sz w:val="32"/>
          <w:szCs w:val="32"/>
        </w:rPr>
        <w:fldChar w:fldCharType="end"/>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lang w:eastAsia="zh-CN"/>
        </w:rPr>
        <w:t>晋宁区获科技项目与资助资金情况</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全区在科技项目和资助资金方面取得了长足进步。尽管各年度项目数量和资助资金数额有所波动，但整体呈现向好趋势。未来，随着晋宁持续加大对科技创新的支持力度，不断优化科技项目管理与服务，有望在科技项目争取及资助资金获取上取得更优异成绩，为区域科技创新与经济高质量发展注入更强大的动力。</w:t>
      </w:r>
    </w:p>
    <w:p>
      <w:pPr>
        <w:numPr>
          <w:ilvl w:val="0"/>
          <w:numId w:val="1"/>
        </w:numPr>
        <w:bidi w:val="0"/>
        <w:spacing w:line="560" w:lineRule="exact"/>
        <w:ind w:left="0" w:leftChars="0" w:firstLine="642" w:firstLineChars="200"/>
        <w:outlineLvl w:val="3"/>
        <w:rPr>
          <w:rFonts w:hint="eastAsia" w:eastAsia="仿宋_GB2312" w:asciiTheme="minorAscii" w:hAnsiTheme="minorAscii"/>
          <w:b/>
          <w:bCs/>
          <w:color w:val="auto"/>
          <w:sz w:val="32"/>
          <w:highlight w:val="none"/>
          <w:lang w:val="en-US" w:eastAsia="zh-CN"/>
        </w:rPr>
      </w:pPr>
      <w:r>
        <w:rPr>
          <w:rFonts w:hint="eastAsia" w:eastAsia="仿宋_GB2312" w:asciiTheme="minorAscii" w:hAnsiTheme="minorAscii"/>
          <w:b/>
          <w:bCs/>
          <w:color w:val="auto"/>
          <w:sz w:val="32"/>
          <w:highlight w:val="none"/>
          <w:lang w:val="en-US" w:eastAsia="zh-CN"/>
        </w:rPr>
        <w:t>新兴业态呈现蓬勃生机</w:t>
      </w:r>
    </w:p>
    <w:p>
      <w:pPr>
        <w:keepNext w:val="0"/>
        <w:keepLines w:val="0"/>
        <w:pageBreakBefore w:val="0"/>
        <w:widowControl/>
        <w:kinsoku/>
        <w:wordWrap/>
        <w:overflowPunct/>
        <w:topLinePunct w:val="0"/>
        <w:autoSpaceDE/>
        <w:autoSpaceDN/>
        <w:bidi w:val="0"/>
        <w:adjustRightInd w:val="0"/>
        <w:snapToGrid/>
        <w:spacing w:line="560" w:lineRule="exact"/>
        <w:ind w:firstLine="640" w:firstLineChars="200"/>
        <w:jc w:val="both"/>
        <w:textAlignment w:val="auto"/>
        <w:rPr>
          <w:rFonts w:hint="eastAsia" w:ascii="仿宋_GB2312" w:hAnsi="仿宋_GB2312" w:eastAsia="仿宋_GB2312" w:cs="仿宋_GB2312"/>
          <w:color w:val="auto"/>
          <w:kern w:val="0"/>
          <w:sz w:val="32"/>
          <w:szCs w:val="32"/>
          <w:highlight w:val="none"/>
          <w:lang w:val="en-US" w:eastAsia="zh-CN" w:bidi="ar"/>
        </w:rPr>
      </w:pPr>
      <w:r>
        <w:rPr>
          <w:rFonts w:hint="eastAsia" w:ascii="仿宋_GB2312" w:hAnsi="仿宋_GB2312" w:eastAsia="仿宋_GB2312" w:cs="仿宋_GB2312"/>
          <w:color w:val="auto"/>
          <w:kern w:val="0"/>
          <w:sz w:val="32"/>
          <w:szCs w:val="32"/>
          <w:highlight w:val="none"/>
          <w:lang w:val="en-US" w:eastAsia="zh-CN" w:bidi="ar"/>
        </w:rPr>
        <w:t>新质生产力赋能产业发展。</w:t>
      </w:r>
      <w:r>
        <w:rPr>
          <w:rFonts w:hint="eastAsia" w:ascii="仿宋_GB2312" w:hAnsi="仿宋_GB2312" w:eastAsia="仿宋_GB2312" w:cs="仿宋_GB2312"/>
          <w:color w:val="auto"/>
          <w:kern w:val="0"/>
          <w:sz w:val="32"/>
          <w:szCs w:val="32"/>
          <w:highlight w:val="none"/>
          <w:lang w:bidi="ar"/>
        </w:rPr>
        <w:t>围绕花卉、精细磷化工、现代物流</w:t>
      </w:r>
      <w:r>
        <w:rPr>
          <w:rFonts w:hint="eastAsia" w:ascii="仿宋_GB2312" w:hAnsi="仿宋_GB2312" w:eastAsia="仿宋_GB2312" w:cs="仿宋_GB2312"/>
          <w:color w:val="auto"/>
          <w:kern w:val="0"/>
          <w:sz w:val="32"/>
          <w:szCs w:val="32"/>
          <w:highlight w:val="none"/>
          <w:lang w:eastAsia="zh-CN" w:bidi="ar"/>
        </w:rPr>
        <w:t>等</w:t>
      </w:r>
      <w:r>
        <w:rPr>
          <w:rFonts w:hint="eastAsia" w:ascii="仿宋_GB2312" w:hAnsi="仿宋_GB2312" w:eastAsia="仿宋_GB2312" w:cs="仿宋_GB2312"/>
          <w:color w:val="auto"/>
          <w:kern w:val="0"/>
          <w:sz w:val="32"/>
          <w:szCs w:val="32"/>
          <w:highlight w:val="none"/>
          <w:lang w:val="en-US" w:eastAsia="zh-CN" w:bidi="ar"/>
        </w:rPr>
        <w:t>产业培育了</w:t>
      </w:r>
      <w:r>
        <w:rPr>
          <w:rFonts w:hint="eastAsia" w:ascii="仿宋_GB2312" w:hAnsi="仿宋_GB2312" w:eastAsia="仿宋_GB2312" w:cs="仿宋_GB2312"/>
          <w:color w:val="auto"/>
          <w:kern w:val="0"/>
          <w:sz w:val="32"/>
          <w:szCs w:val="32"/>
          <w:highlight w:val="none"/>
          <w:lang w:bidi="ar"/>
        </w:rPr>
        <w:t>一批</w:t>
      </w:r>
      <w:r>
        <w:rPr>
          <w:rFonts w:hint="eastAsia" w:ascii="仿宋_GB2312" w:hAnsi="仿宋_GB2312" w:eastAsia="仿宋_GB2312" w:cs="仿宋_GB2312"/>
          <w:color w:val="auto"/>
          <w:kern w:val="0"/>
          <w:sz w:val="32"/>
          <w:szCs w:val="32"/>
          <w:highlight w:val="none"/>
          <w:lang w:val="en-US" w:eastAsia="zh-CN" w:bidi="ar"/>
        </w:rPr>
        <w:t>科技创新新业态</w:t>
      </w:r>
      <w:r>
        <w:rPr>
          <w:rFonts w:hint="eastAsia" w:ascii="仿宋_GB2312" w:hAnsi="仿宋_GB2312" w:eastAsia="仿宋_GB2312" w:cs="仿宋_GB2312"/>
          <w:color w:val="auto"/>
          <w:kern w:val="0"/>
          <w:sz w:val="32"/>
          <w:szCs w:val="32"/>
          <w:highlight w:val="none"/>
          <w:lang w:bidi="ar"/>
        </w:rPr>
        <w:t>。</w:t>
      </w:r>
      <w:r>
        <w:rPr>
          <w:rFonts w:hint="eastAsia" w:ascii="仿宋_GB2312" w:hAnsi="仿宋_GB2312" w:eastAsia="仿宋_GB2312" w:cs="仿宋_GB2312"/>
          <w:color w:val="auto"/>
          <w:kern w:val="0"/>
          <w:sz w:val="32"/>
          <w:szCs w:val="32"/>
          <w:highlight w:val="none"/>
          <w:lang w:val="en-US" w:eastAsia="zh-CN" w:bidi="ar"/>
        </w:rPr>
        <w:t>涌现出</w:t>
      </w:r>
      <w:r>
        <w:rPr>
          <w:rFonts w:hint="eastAsia" w:ascii="仿宋_GB2312" w:hAnsi="仿宋_GB2312" w:eastAsia="仿宋_GB2312" w:cs="仿宋_GB2312"/>
          <w:color w:val="auto"/>
          <w:kern w:val="0"/>
          <w:sz w:val="32"/>
          <w:szCs w:val="32"/>
          <w:highlight w:val="none"/>
          <w:lang w:bidi="ar"/>
        </w:rPr>
        <w:t>益海嘉里、全波红外等</w:t>
      </w:r>
      <w:r>
        <w:rPr>
          <w:rFonts w:hint="eastAsia" w:ascii="仿宋_GB2312" w:hAnsi="仿宋_GB2312" w:eastAsia="仿宋_GB2312" w:cs="仿宋_GB2312"/>
          <w:color w:val="auto"/>
          <w:kern w:val="0"/>
          <w:sz w:val="32"/>
          <w:szCs w:val="32"/>
          <w:highlight w:val="none"/>
          <w:lang w:val="en-US" w:eastAsia="zh-CN" w:bidi="ar"/>
        </w:rPr>
        <w:t>一批</w:t>
      </w:r>
      <w:r>
        <w:rPr>
          <w:rFonts w:hint="eastAsia" w:ascii="仿宋_GB2312" w:hAnsi="仿宋_GB2312" w:eastAsia="仿宋_GB2312" w:cs="仿宋_GB2312"/>
          <w:color w:val="auto"/>
          <w:kern w:val="0"/>
          <w:sz w:val="32"/>
          <w:szCs w:val="32"/>
          <w:highlight w:val="none"/>
          <w:lang w:bidi="ar"/>
        </w:rPr>
        <w:t>数字化转型“小</w:t>
      </w:r>
      <w:r>
        <w:rPr>
          <w:rFonts w:hint="eastAsia" w:ascii="仿宋_GB2312" w:hAnsi="仿宋_GB2312" w:eastAsia="仿宋_GB2312" w:cs="仿宋_GB2312"/>
          <w:color w:val="auto"/>
          <w:kern w:val="0"/>
          <w:sz w:val="32"/>
          <w:szCs w:val="32"/>
          <w:highlight w:val="none"/>
          <w:lang w:val="en-US" w:eastAsia="zh-CN" w:bidi="ar"/>
        </w:rPr>
        <w:t>灯塔”企业，推动数字技术与传统产业的融合。全区2024年数字经济核心产业营业收入达到48.27亿元，同比增长20.5%，数字经济发展迈出坚实步伐。数字赋能产业发展取得明显进步，催生出一系列节水、减肥、控污的科技应用新成果</w:t>
      </w:r>
      <w:r>
        <w:rPr>
          <w:rFonts w:hint="eastAsia" w:ascii="仿宋_GB2312" w:hAnsi="仿宋_GB2312" w:eastAsia="仿宋_GB2312" w:cs="仿宋_GB2312"/>
          <w:color w:val="auto"/>
          <w:kern w:val="0"/>
          <w:sz w:val="32"/>
          <w:szCs w:val="32"/>
          <w:highlight w:val="none"/>
          <w:lang w:bidi="ar"/>
        </w:rPr>
        <w:t>。首创清水河村</w:t>
      </w:r>
      <w:r>
        <w:rPr>
          <w:rFonts w:hint="eastAsia" w:ascii="仿宋_GB2312" w:hAnsi="仿宋_GB2312" w:cs="仿宋_GB2312"/>
          <w:color w:val="auto"/>
          <w:kern w:val="0"/>
          <w:sz w:val="32"/>
          <w:szCs w:val="32"/>
          <w:highlight w:val="none"/>
          <w:lang w:eastAsia="zh-CN" w:bidi="ar"/>
        </w:rPr>
        <w:t>“</w:t>
      </w:r>
      <w:r>
        <w:rPr>
          <w:rFonts w:hint="eastAsia" w:ascii="仿宋_GB2312" w:hAnsi="仿宋_GB2312" w:eastAsia="仿宋_GB2312" w:cs="仿宋_GB2312"/>
          <w:color w:val="auto"/>
          <w:kern w:val="0"/>
          <w:sz w:val="32"/>
          <w:szCs w:val="32"/>
          <w:highlight w:val="none"/>
          <w:lang w:bidi="ar"/>
        </w:rPr>
        <w:t>产研小院</w:t>
      </w:r>
      <w:r>
        <w:rPr>
          <w:rFonts w:hint="eastAsia" w:ascii="仿宋_GB2312" w:hAnsi="仿宋_GB2312" w:cs="仿宋_GB2312"/>
          <w:color w:val="auto"/>
          <w:kern w:val="0"/>
          <w:sz w:val="32"/>
          <w:szCs w:val="32"/>
          <w:highlight w:val="none"/>
          <w:lang w:eastAsia="zh-CN" w:bidi="ar"/>
        </w:rPr>
        <w:t>”</w:t>
      </w:r>
      <w:r>
        <w:rPr>
          <w:rFonts w:hint="eastAsia" w:ascii="仿宋_GB2312" w:hAnsi="仿宋_GB2312" w:eastAsia="仿宋_GB2312" w:cs="仿宋_GB2312"/>
          <w:color w:val="auto"/>
          <w:kern w:val="0"/>
          <w:sz w:val="32"/>
          <w:szCs w:val="32"/>
          <w:highlight w:val="none"/>
          <w:lang w:bidi="ar"/>
        </w:rPr>
        <w:t>新型产学研模式，</w:t>
      </w:r>
      <w:r>
        <w:rPr>
          <w:rFonts w:hint="eastAsia" w:ascii="仿宋_GB2312" w:hAnsi="仿宋_GB2312" w:eastAsia="仿宋_GB2312" w:cs="仿宋_GB2312"/>
          <w:color w:val="auto"/>
          <w:kern w:val="0"/>
          <w:sz w:val="32"/>
          <w:szCs w:val="32"/>
          <w:highlight w:val="none"/>
          <w:lang w:val="en-US" w:eastAsia="zh-CN" w:bidi="ar"/>
        </w:rPr>
        <w:t>在</w:t>
      </w:r>
      <w:r>
        <w:rPr>
          <w:rFonts w:hint="eastAsia" w:ascii="仿宋_GB2312" w:hAnsi="仿宋_GB2312" w:eastAsia="仿宋_GB2312" w:cs="仿宋_GB2312"/>
          <w:color w:val="auto"/>
          <w:kern w:val="0"/>
          <w:sz w:val="32"/>
          <w:szCs w:val="32"/>
          <w:highlight w:val="none"/>
          <w:lang w:bidi="ar"/>
        </w:rPr>
        <w:t>月季种质资源</w:t>
      </w:r>
      <w:r>
        <w:rPr>
          <w:rFonts w:hint="eastAsia" w:ascii="仿宋_GB2312" w:hAnsi="仿宋_GB2312" w:eastAsia="仿宋_GB2312" w:cs="仿宋_GB2312"/>
          <w:color w:val="auto"/>
          <w:kern w:val="0"/>
          <w:sz w:val="32"/>
          <w:szCs w:val="32"/>
          <w:highlight w:val="none"/>
          <w:lang w:val="en-US" w:eastAsia="zh-CN" w:bidi="ar"/>
        </w:rPr>
        <w:t>收集培育</w:t>
      </w:r>
      <w:r>
        <w:rPr>
          <w:rFonts w:hint="eastAsia" w:ascii="仿宋_GB2312" w:hAnsi="仿宋_GB2312" w:eastAsia="仿宋_GB2312" w:cs="仿宋_GB2312"/>
          <w:color w:val="auto"/>
          <w:kern w:val="0"/>
          <w:sz w:val="32"/>
          <w:szCs w:val="32"/>
          <w:highlight w:val="none"/>
          <w:lang w:bidi="ar"/>
        </w:rPr>
        <w:t>，</w:t>
      </w:r>
      <w:r>
        <w:rPr>
          <w:rFonts w:hint="eastAsia" w:ascii="仿宋_GB2312" w:hAnsi="仿宋_GB2312" w:eastAsia="仿宋_GB2312" w:cs="仿宋_GB2312"/>
          <w:color w:val="auto"/>
          <w:kern w:val="0"/>
          <w:sz w:val="32"/>
          <w:szCs w:val="32"/>
          <w:highlight w:val="none"/>
          <w:lang w:val="en-US" w:eastAsia="zh-CN" w:bidi="ar"/>
        </w:rPr>
        <w:t>成果</w:t>
      </w:r>
      <w:r>
        <w:rPr>
          <w:rFonts w:hint="eastAsia" w:ascii="仿宋_GB2312" w:hAnsi="仿宋_GB2312" w:eastAsia="仿宋_GB2312" w:cs="仿宋_GB2312"/>
          <w:color w:val="auto"/>
          <w:kern w:val="0"/>
          <w:sz w:val="32"/>
          <w:szCs w:val="32"/>
          <w:highlight w:val="none"/>
          <w:lang w:bidi="ar"/>
        </w:rPr>
        <w:t>转化</w:t>
      </w:r>
      <w:r>
        <w:rPr>
          <w:rFonts w:hint="eastAsia" w:ascii="仿宋_GB2312" w:hAnsi="仿宋_GB2312" w:eastAsia="仿宋_GB2312" w:cs="仿宋_GB2312"/>
          <w:color w:val="auto"/>
          <w:kern w:val="0"/>
          <w:sz w:val="32"/>
          <w:szCs w:val="32"/>
          <w:highlight w:val="none"/>
          <w:lang w:val="en-US" w:eastAsia="zh-CN" w:bidi="ar"/>
        </w:rPr>
        <w:t>等方面成果丰硕，在化解种苗“卡脖子”问题上不断取得亮眼成绩</w:t>
      </w:r>
      <w:r>
        <w:rPr>
          <w:rFonts w:hint="eastAsia" w:ascii="仿宋_GB2312" w:hAnsi="仿宋_GB2312" w:eastAsia="仿宋_GB2312" w:cs="仿宋_GB2312"/>
          <w:color w:val="auto"/>
          <w:kern w:val="0"/>
          <w:sz w:val="32"/>
          <w:szCs w:val="32"/>
          <w:highlight w:val="none"/>
          <w:lang w:eastAsia="zh-CN" w:bidi="ar"/>
        </w:rPr>
        <w:t>。</w:t>
      </w:r>
      <w:r>
        <w:rPr>
          <w:rFonts w:hint="eastAsia" w:ascii="仿宋_GB2312" w:hAnsi="仿宋_GB2312" w:eastAsia="仿宋_GB2312" w:cs="仿宋_GB2312"/>
          <w:color w:val="auto"/>
          <w:kern w:val="0"/>
          <w:sz w:val="32"/>
          <w:szCs w:val="32"/>
          <w:highlight w:val="none"/>
          <w:lang w:val="en-US" w:eastAsia="zh-CN" w:bidi="ar"/>
        </w:rPr>
        <w:t>园区实力稳步提升，“十四五”期间，聚焦精细磷化工延链补链，大抓技术改造，推动“硝酸钾、复合肥异地产业升级技改项目”“年产1500吨2,4-二氟硝基苯暨对氟硝基苯中试技术开发项目升级改造”等项目建成投产，产品附加值显著提高。</w:t>
      </w:r>
    </w:p>
    <w:p>
      <w:pPr>
        <w:numPr>
          <w:ilvl w:val="0"/>
          <w:numId w:val="1"/>
        </w:numPr>
        <w:bidi w:val="0"/>
        <w:spacing w:line="560" w:lineRule="exact"/>
        <w:ind w:left="0" w:leftChars="0" w:firstLine="642" w:firstLineChars="200"/>
        <w:outlineLvl w:val="3"/>
        <w:rPr>
          <w:rFonts w:hint="default" w:eastAsia="仿宋_GB2312" w:asciiTheme="minorAscii" w:hAnsiTheme="minorAscii"/>
          <w:b/>
          <w:bCs/>
          <w:color w:val="auto"/>
          <w:sz w:val="32"/>
          <w:highlight w:val="none"/>
          <w:lang w:val="en-US" w:eastAsia="zh-CN"/>
        </w:rPr>
      </w:pPr>
      <w:r>
        <w:rPr>
          <w:rFonts w:hint="eastAsia" w:eastAsia="仿宋_GB2312" w:asciiTheme="minorAscii" w:hAnsiTheme="minorAscii"/>
          <w:b/>
          <w:bCs/>
          <w:color w:val="auto"/>
          <w:sz w:val="32"/>
          <w:highlight w:val="none"/>
          <w:lang w:val="en-US" w:eastAsia="zh-CN"/>
        </w:rPr>
        <w:t>深化开放促进区域协作</w:t>
      </w:r>
    </w:p>
    <w:p>
      <w:pPr>
        <w:keepNext w:val="0"/>
        <w:keepLines w:val="0"/>
        <w:pageBreakBefore w:val="0"/>
        <w:widowControl/>
        <w:kinsoku/>
        <w:wordWrap/>
        <w:overflowPunct/>
        <w:topLinePunct w:val="0"/>
        <w:autoSpaceDE/>
        <w:autoSpaceDN/>
        <w:bidi w:val="0"/>
        <w:adjustRightInd w:val="0"/>
        <w:snapToGrid/>
        <w:spacing w:line="560" w:lineRule="exact"/>
        <w:ind w:firstLine="640" w:firstLineChars="200"/>
        <w:jc w:val="both"/>
        <w:textAlignment w:val="auto"/>
        <w:rPr>
          <w:rFonts w:hint="eastAsia" w:ascii="仿宋_GB2312" w:hAnsi="仿宋_GB2312" w:eastAsia="仿宋_GB2312" w:cs="仿宋_GB2312"/>
          <w:color w:val="auto"/>
          <w:kern w:val="0"/>
          <w:sz w:val="32"/>
          <w:szCs w:val="32"/>
          <w:highlight w:val="none"/>
          <w:lang w:val="en-US" w:eastAsia="zh-CN" w:bidi="ar"/>
        </w:rPr>
      </w:pPr>
      <w:r>
        <w:rPr>
          <w:rFonts w:hint="eastAsia" w:ascii="仿宋_GB2312" w:hAnsi="仿宋_GB2312" w:eastAsia="仿宋_GB2312" w:cs="仿宋_GB2312"/>
          <w:color w:val="auto"/>
          <w:kern w:val="0"/>
          <w:sz w:val="32"/>
          <w:szCs w:val="32"/>
          <w:highlight w:val="none"/>
          <w:lang w:val="en-US" w:eastAsia="zh-CN" w:bidi="ar"/>
        </w:rPr>
        <w:t>以科技创新为纽带，精准衔接区域分工布局与协同发展。依托昆明市主城区高校科研资源优势，构建“技术研发—产业转化”链条，在花卉分子育种、磷化工绿色工艺等领域取得关键科技突破；运用数字技术赋能环滇池文旅经济圈建设，探索开发古滇文化数字化体验项目，同时搭建智慧旅游管理系统；与玉溪市联动共建跨区域科技合作生态圈，聚焦高原特色农业、生态环保等核心领域，推动农业科技成果跨县域高效转化；不断承接我国中东部地区智能装备、数字农业等产业转移项目，同时联合东盟国家开展绿色化工技术研发，构建兼具协同创新与技术辐射功能的区域协作创新体系。</w:t>
      </w:r>
    </w:p>
    <w:p>
      <w:pPr>
        <w:numPr>
          <w:ilvl w:val="0"/>
          <w:numId w:val="1"/>
        </w:numPr>
        <w:bidi w:val="0"/>
        <w:spacing w:line="560" w:lineRule="exact"/>
        <w:ind w:left="0" w:leftChars="0" w:firstLine="642" w:firstLineChars="200"/>
        <w:outlineLvl w:val="3"/>
        <w:rPr>
          <w:rFonts w:hint="eastAsia" w:eastAsia="仿宋_GB2312" w:asciiTheme="minorAscii" w:hAnsiTheme="minorAscii"/>
          <w:b/>
          <w:bCs/>
          <w:color w:val="auto"/>
          <w:sz w:val="32"/>
          <w:highlight w:val="none"/>
          <w:lang w:val="en-US" w:eastAsia="zh-CN"/>
        </w:rPr>
      </w:pPr>
      <w:r>
        <w:rPr>
          <w:rFonts w:hint="eastAsia" w:eastAsia="仿宋_GB2312" w:asciiTheme="minorAscii" w:hAnsiTheme="minorAscii"/>
          <w:b/>
          <w:bCs/>
          <w:color w:val="auto"/>
          <w:sz w:val="32"/>
          <w:highlight w:val="none"/>
          <w:lang w:val="en-US" w:eastAsia="zh-CN"/>
        </w:rPr>
        <w:t>科技人才培养成果丰硕</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将科</w:t>
      </w:r>
      <w:r>
        <w:rPr>
          <w:rFonts w:hint="eastAsia" w:ascii="仿宋_GB2312" w:hAnsi="仿宋_GB2312" w:eastAsia="仿宋_GB2312" w:cs="仿宋_GB2312"/>
          <w:color w:val="auto"/>
          <w:sz w:val="32"/>
          <w:szCs w:val="32"/>
          <w:highlight w:val="none"/>
          <w:lang w:val="en-US" w:eastAsia="zh-CN"/>
        </w:rPr>
        <w:t>技人才培育作为创新驱动发展的核心支撑。截至2024年，全区已集聚云南省科技领军人才1人、产业技术领军人才3人、云岭青年人才1人，省技术创新人才5人，省中青年学术和技术带头人后备人才2人，云南省技术创新人才培养对象10人，享受国务院政府特殊津贴专家2人，享受省政府特殊津贴专家2人，省突出贡献专业技术人才1人，省科技副总3人，昆明市中青年学术和技术带头人1人，省产业创新人才1人，省科技特派员4人。通过深化与高校、科研院</w:t>
      </w:r>
      <w:r>
        <w:rPr>
          <w:rFonts w:hint="eastAsia" w:ascii="仿宋_GB2312" w:hAnsi="仿宋_GB2312" w:eastAsia="仿宋_GB2312" w:cs="仿宋_GB2312"/>
          <w:color w:val="auto"/>
          <w:sz w:val="32"/>
          <w:szCs w:val="32"/>
          <w:lang w:val="en-US" w:eastAsia="zh-CN"/>
        </w:rPr>
        <w:t>所战略合作，高标准搭建院士（专家）工作站、科技小院等创新平台，构建“引育结合、以用为本”的人才发展生态体系，为区域科技创新与产业转型升级筑牢人才支撑根基。</w:t>
      </w:r>
    </w:p>
    <w:p>
      <w:pPr>
        <w:numPr>
          <w:ilvl w:val="0"/>
          <w:numId w:val="1"/>
        </w:numPr>
        <w:bidi w:val="0"/>
        <w:spacing w:line="560" w:lineRule="exact"/>
        <w:ind w:left="0" w:leftChars="0" w:firstLine="642" w:firstLineChars="200"/>
        <w:outlineLvl w:val="3"/>
        <w:rPr>
          <w:rFonts w:hint="eastAsia" w:ascii="仿宋_GB2312" w:hAnsi="仿宋_GB2312" w:eastAsia="仿宋_GB2312" w:cs="仿宋_GB2312"/>
          <w:color w:val="auto"/>
          <w:sz w:val="32"/>
          <w:szCs w:val="32"/>
          <w:lang w:val="en-US" w:eastAsia="zh-CN"/>
        </w:rPr>
      </w:pPr>
      <w:r>
        <w:rPr>
          <w:rFonts w:hint="eastAsia" w:eastAsia="仿宋_GB2312" w:asciiTheme="minorAscii" w:hAnsiTheme="minorAscii"/>
          <w:b/>
          <w:bCs/>
          <w:color w:val="auto"/>
          <w:sz w:val="32"/>
          <w:highlight w:val="none"/>
          <w:lang w:val="en-US" w:eastAsia="zh-CN"/>
        </w:rPr>
        <w:t>科技成果转化持续攀高</w:t>
      </w:r>
    </w:p>
    <w:p>
      <w:pPr>
        <w:numPr>
          <w:ilvl w:val="0"/>
          <w:numId w:val="0"/>
        </w:numPr>
        <w:bidi w:val="0"/>
        <w:spacing w:line="560" w:lineRule="exact"/>
        <w:ind w:firstLine="640" w:firstLineChars="200"/>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十四五”期间，晋宁深入贯彻创新驱动发展战略，始终将科技成果转移转化作为推动区域经济高质量发展的核心抓手，围绕花卉、磷化工等本地优势产业发展需求，精准对接技术供给与产业需求；通过强化政策激励、优化服务流程，构建了完善的成果转化体系，持续加速科技成果落地应用。2023年，全区以深化产学研合作为重点，推动企业与科研机构精准对接，全年完成技术合同成交额7251.45万元，超额完成市级7200万元目标任务，完成率达100.7%；2024年进一步聚焦技术交易市场建设，提升成果转化服务的精准性与专业化水平，技术合同成交额大幅攀升至 1.26亿元，完成市级0.86亿元目标任务的147%，科技成果转化规模持续扩大、质量稳步提升。晋宁区同步推进科技成果转化中心建设，“晋宁区科技成果转化中心建设项目”已于2022年通过市科技局验收，实现了本土科技成果及待转移科技成果的收集入库，有效对接上级科技成果转化资源，为全区成果转化工作提供了坚实的平台保障。</w:t>
      </w:r>
    </w:p>
    <w:p>
      <w:pPr>
        <w:numPr>
          <w:ilvl w:val="0"/>
          <w:numId w:val="1"/>
        </w:numPr>
        <w:bidi w:val="0"/>
        <w:spacing w:line="560" w:lineRule="exact"/>
        <w:ind w:left="0" w:leftChars="0" w:firstLine="642" w:firstLineChars="200"/>
        <w:outlineLvl w:val="3"/>
        <w:rPr>
          <w:rFonts w:hint="eastAsia" w:eastAsia="仿宋_GB2312" w:asciiTheme="minorAscii" w:hAnsiTheme="minorAscii"/>
          <w:b/>
          <w:bCs/>
          <w:color w:val="auto"/>
          <w:sz w:val="32"/>
          <w:highlight w:val="none"/>
          <w:lang w:val="en-US" w:eastAsia="zh-CN"/>
        </w:rPr>
      </w:pPr>
      <w:r>
        <w:rPr>
          <w:rFonts w:hint="eastAsia" w:eastAsia="仿宋_GB2312" w:asciiTheme="minorAscii" w:hAnsiTheme="minorAscii"/>
          <w:b/>
          <w:bCs/>
          <w:color w:val="auto"/>
          <w:sz w:val="32"/>
          <w:highlight w:val="none"/>
          <w:lang w:val="en-US" w:eastAsia="zh-CN"/>
        </w:rPr>
        <w:t>科技创新平台引领凸显</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持续加强科技创新平台建设，截至2024年已构建层次分明、功能完备的创新载体网络。全区拥有国家工程技术研究中心等国家级创新平台1个，省市级工程技术研究中心、重点实验室等平台10余个，院士（专家）工作站6个，众创空间、星创天地等创新创业载体6个。同时，正加快推进云南省磷资源技术创新中心等一批高能级平台的建设与培育。通过科学优化平台布局，已初步形成涵盖基础研究、应用研发、成果转化全链条的创新支撑体系，为区域创新驱动发展提供了强有力的载体保障和要素支撑。</w:t>
      </w:r>
    </w:p>
    <w:p>
      <w:pPr>
        <w:pStyle w:val="6"/>
        <w:jc w:val="center"/>
        <w:rPr>
          <w:rFonts w:hint="eastAsia" w:ascii="方正仿宋_GB2312" w:hAnsi="方正仿宋_GB2312" w:eastAsia="方正仿宋_GB2312" w:cs="方正仿宋_GB2312"/>
          <w:color w:val="auto"/>
          <w:sz w:val="28"/>
          <w:szCs w:val="28"/>
          <w:highlight w:val="none"/>
          <w:lang w:eastAsia="zh-CN"/>
        </w:rPr>
      </w:pPr>
      <w:r>
        <w:rPr>
          <w:rFonts w:hint="eastAsia" w:ascii="方正仿宋_GB2312" w:hAnsi="方正仿宋_GB2312" w:eastAsia="方正仿宋_GB2312" w:cs="方正仿宋_GB2312"/>
          <w:color w:val="auto"/>
          <w:sz w:val="28"/>
          <w:szCs w:val="28"/>
          <w:highlight w:val="none"/>
        </w:rPr>
        <w:t>表</w:t>
      </w:r>
      <w:r>
        <w:rPr>
          <w:rFonts w:hint="eastAsia" w:ascii="方正仿宋_GB2312" w:hAnsi="方正仿宋_GB2312" w:eastAsia="方正仿宋_GB2312" w:cs="方正仿宋_GB2312"/>
          <w:color w:val="auto"/>
          <w:sz w:val="28"/>
          <w:szCs w:val="28"/>
          <w:highlight w:val="none"/>
        </w:rPr>
        <w:fldChar w:fldCharType="begin"/>
      </w:r>
      <w:r>
        <w:rPr>
          <w:rFonts w:hint="eastAsia" w:ascii="方正仿宋_GB2312" w:hAnsi="方正仿宋_GB2312" w:eastAsia="方正仿宋_GB2312" w:cs="方正仿宋_GB2312"/>
          <w:color w:val="auto"/>
          <w:sz w:val="28"/>
          <w:szCs w:val="28"/>
          <w:highlight w:val="none"/>
        </w:rPr>
        <w:instrText xml:space="preserve"> SEQ 表 \* ARABIC </w:instrText>
      </w:r>
      <w:r>
        <w:rPr>
          <w:rFonts w:hint="eastAsia" w:ascii="方正仿宋_GB2312" w:hAnsi="方正仿宋_GB2312" w:eastAsia="方正仿宋_GB2312" w:cs="方正仿宋_GB2312"/>
          <w:color w:val="auto"/>
          <w:sz w:val="28"/>
          <w:szCs w:val="28"/>
          <w:highlight w:val="none"/>
        </w:rPr>
        <w:fldChar w:fldCharType="separate"/>
      </w:r>
      <w:r>
        <w:rPr>
          <w:rFonts w:hint="eastAsia" w:ascii="方正仿宋_GB2312" w:hAnsi="方正仿宋_GB2312" w:eastAsia="方正仿宋_GB2312" w:cs="方正仿宋_GB2312"/>
          <w:color w:val="auto"/>
          <w:sz w:val="28"/>
          <w:szCs w:val="28"/>
          <w:highlight w:val="none"/>
        </w:rPr>
        <w:t>2</w:t>
      </w:r>
      <w:r>
        <w:rPr>
          <w:rFonts w:hint="eastAsia" w:ascii="方正仿宋_GB2312" w:hAnsi="方正仿宋_GB2312" w:eastAsia="方正仿宋_GB2312" w:cs="方正仿宋_GB2312"/>
          <w:color w:val="auto"/>
          <w:sz w:val="28"/>
          <w:szCs w:val="28"/>
          <w:highlight w:val="none"/>
        </w:rPr>
        <w:fldChar w:fldCharType="end"/>
      </w:r>
      <w:r>
        <w:rPr>
          <w:rFonts w:hint="eastAsia" w:ascii="方正仿宋_GB2312" w:hAnsi="方正仿宋_GB2312" w:eastAsia="方正仿宋_GB2312" w:cs="方正仿宋_GB2312"/>
          <w:color w:val="auto"/>
          <w:sz w:val="28"/>
          <w:szCs w:val="28"/>
          <w:highlight w:val="none"/>
          <w:lang w:val="en-US" w:eastAsia="zh-CN"/>
        </w:rPr>
        <w:t xml:space="preserve">  </w:t>
      </w:r>
      <w:r>
        <w:rPr>
          <w:rFonts w:hint="eastAsia" w:ascii="方正仿宋_GB2312" w:hAnsi="方正仿宋_GB2312" w:eastAsia="方正仿宋_GB2312" w:cs="方正仿宋_GB2312"/>
          <w:color w:val="auto"/>
          <w:sz w:val="28"/>
          <w:szCs w:val="28"/>
          <w:highlight w:val="none"/>
          <w:lang w:eastAsia="zh-CN"/>
        </w:rPr>
        <w:t>晋宁区科技创新平台一览表</w:t>
      </w:r>
    </w:p>
    <w:tbl>
      <w:tblPr>
        <w:tblStyle w:val="19"/>
        <w:tblW w:w="878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435"/>
        <w:gridCol w:w="334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6" w:hRule="atLeast"/>
        </w:trPr>
        <w:tc>
          <w:tcPr>
            <w:tcW w:w="54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120" w:lineRule="auto"/>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国家工程技术研究中心</w:t>
            </w:r>
          </w:p>
        </w:tc>
        <w:tc>
          <w:tcPr>
            <w:tcW w:w="33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120" w:lineRule="auto"/>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 w:hRule="atLeast"/>
        </w:trPr>
        <w:tc>
          <w:tcPr>
            <w:tcW w:w="54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120" w:lineRule="auto"/>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云南省工程技术研究中心</w:t>
            </w:r>
          </w:p>
        </w:tc>
        <w:tc>
          <w:tcPr>
            <w:tcW w:w="33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120" w:lineRule="auto"/>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 w:hRule="atLeast"/>
        </w:trPr>
        <w:tc>
          <w:tcPr>
            <w:tcW w:w="54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120" w:lineRule="auto"/>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昆明市工程技术研究中心</w:t>
            </w:r>
          </w:p>
        </w:tc>
        <w:tc>
          <w:tcPr>
            <w:tcW w:w="33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120" w:lineRule="auto"/>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 w:hRule="atLeast"/>
        </w:trPr>
        <w:tc>
          <w:tcPr>
            <w:tcW w:w="54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120" w:lineRule="auto"/>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云南省重点实验室</w:t>
            </w:r>
          </w:p>
        </w:tc>
        <w:tc>
          <w:tcPr>
            <w:tcW w:w="33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120" w:lineRule="auto"/>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 w:hRule="atLeast"/>
        </w:trPr>
        <w:tc>
          <w:tcPr>
            <w:tcW w:w="54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120" w:lineRule="auto"/>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昆明市重点实验室</w:t>
            </w:r>
          </w:p>
        </w:tc>
        <w:tc>
          <w:tcPr>
            <w:tcW w:w="33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120" w:lineRule="auto"/>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 w:hRule="atLeast"/>
        </w:trPr>
        <w:tc>
          <w:tcPr>
            <w:tcW w:w="54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120" w:lineRule="auto"/>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昆明市重点科技服务机构</w:t>
            </w:r>
          </w:p>
        </w:tc>
        <w:tc>
          <w:tcPr>
            <w:tcW w:w="33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120" w:lineRule="auto"/>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 w:hRule="atLeast"/>
        </w:trPr>
        <w:tc>
          <w:tcPr>
            <w:tcW w:w="54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120" w:lineRule="auto"/>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昆明市众创空间</w:t>
            </w:r>
          </w:p>
        </w:tc>
        <w:tc>
          <w:tcPr>
            <w:tcW w:w="33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120" w:lineRule="auto"/>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 w:hRule="atLeast"/>
        </w:trPr>
        <w:tc>
          <w:tcPr>
            <w:tcW w:w="54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120" w:lineRule="auto"/>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昆明市星创天地</w:t>
            </w:r>
          </w:p>
        </w:tc>
        <w:tc>
          <w:tcPr>
            <w:tcW w:w="33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120" w:lineRule="auto"/>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 w:hRule="atLeast"/>
        </w:trPr>
        <w:tc>
          <w:tcPr>
            <w:tcW w:w="54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120" w:lineRule="auto"/>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云南省专家基层科研工作站</w:t>
            </w:r>
          </w:p>
        </w:tc>
        <w:tc>
          <w:tcPr>
            <w:tcW w:w="33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120" w:lineRule="auto"/>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 w:hRule="atLeast"/>
        </w:trPr>
        <w:tc>
          <w:tcPr>
            <w:tcW w:w="54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120" w:lineRule="auto"/>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昆明市企业科技创新中心</w:t>
            </w:r>
          </w:p>
        </w:tc>
        <w:tc>
          <w:tcPr>
            <w:tcW w:w="33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120" w:lineRule="auto"/>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 w:hRule="atLeast"/>
        </w:trPr>
        <w:tc>
          <w:tcPr>
            <w:tcW w:w="54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120" w:lineRule="auto"/>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云南省星创天地</w:t>
            </w:r>
          </w:p>
        </w:tc>
        <w:tc>
          <w:tcPr>
            <w:tcW w:w="33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120" w:lineRule="auto"/>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 w:hRule="atLeast"/>
        </w:trPr>
        <w:tc>
          <w:tcPr>
            <w:tcW w:w="54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120" w:lineRule="auto"/>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昆明市专家工作站</w:t>
            </w:r>
          </w:p>
        </w:tc>
        <w:tc>
          <w:tcPr>
            <w:tcW w:w="33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120" w:lineRule="auto"/>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 w:hRule="atLeast"/>
        </w:trPr>
        <w:tc>
          <w:tcPr>
            <w:tcW w:w="54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120" w:lineRule="auto"/>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云南省院士工作站</w:t>
            </w:r>
          </w:p>
        </w:tc>
        <w:tc>
          <w:tcPr>
            <w:tcW w:w="33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120" w:lineRule="auto"/>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 w:hRule="atLeast"/>
        </w:trPr>
        <w:tc>
          <w:tcPr>
            <w:tcW w:w="54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120" w:lineRule="auto"/>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昆明市国际（对外）科技合作基地</w:t>
            </w:r>
          </w:p>
        </w:tc>
        <w:tc>
          <w:tcPr>
            <w:tcW w:w="33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120" w:lineRule="auto"/>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 w:hRule="atLeast"/>
        </w:trPr>
        <w:tc>
          <w:tcPr>
            <w:tcW w:w="54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120" w:lineRule="auto"/>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云南省磷资源技术创新中心（筹）</w:t>
            </w:r>
          </w:p>
        </w:tc>
        <w:tc>
          <w:tcPr>
            <w:tcW w:w="33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120" w:lineRule="auto"/>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 w:hRule="atLeast"/>
        </w:trPr>
        <w:tc>
          <w:tcPr>
            <w:tcW w:w="54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120" w:lineRule="auto"/>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云南省重点实验室（筹）</w:t>
            </w:r>
          </w:p>
        </w:tc>
        <w:tc>
          <w:tcPr>
            <w:tcW w:w="33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120" w:lineRule="auto"/>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 w:hRule="atLeast"/>
        </w:trPr>
        <w:tc>
          <w:tcPr>
            <w:tcW w:w="54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120" w:lineRule="auto"/>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昆明市科普精品基地</w:t>
            </w:r>
          </w:p>
        </w:tc>
        <w:tc>
          <w:tcPr>
            <w:tcW w:w="33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120" w:lineRule="auto"/>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 w:hRule="atLeast"/>
        </w:trPr>
        <w:tc>
          <w:tcPr>
            <w:tcW w:w="54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120" w:lineRule="auto"/>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云南省新型研发机构培育对象</w:t>
            </w:r>
          </w:p>
        </w:tc>
        <w:tc>
          <w:tcPr>
            <w:tcW w:w="33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120" w:lineRule="auto"/>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1</w:t>
            </w:r>
          </w:p>
        </w:tc>
      </w:tr>
    </w:tbl>
    <w:p>
      <w:pPr>
        <w:numPr>
          <w:ilvl w:val="0"/>
          <w:numId w:val="1"/>
        </w:numPr>
        <w:bidi w:val="0"/>
        <w:spacing w:line="560" w:lineRule="exact"/>
        <w:ind w:left="0" w:leftChars="0" w:firstLine="642" w:firstLineChars="200"/>
        <w:outlineLvl w:val="3"/>
        <w:rPr>
          <w:rFonts w:hint="eastAsia" w:eastAsia="仿宋_GB2312" w:asciiTheme="minorAscii" w:hAnsiTheme="minorAscii"/>
          <w:b/>
          <w:bCs/>
          <w:color w:val="auto"/>
          <w:sz w:val="32"/>
          <w:highlight w:val="none"/>
          <w:lang w:val="en-US" w:eastAsia="zh-CN"/>
        </w:rPr>
      </w:pPr>
      <w:r>
        <w:rPr>
          <w:rFonts w:hint="eastAsia" w:eastAsia="仿宋_GB2312" w:asciiTheme="minorAscii" w:hAnsiTheme="minorAscii"/>
          <w:b/>
          <w:bCs/>
          <w:color w:val="auto"/>
          <w:sz w:val="32"/>
          <w:highlight w:val="none"/>
          <w:lang w:val="en-US" w:eastAsia="zh-CN"/>
        </w:rPr>
        <w:t>信息基础设施稳步建设</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截至2024年，晋宁区建成基站塔786座，搭建4G终端设备2276个、5G终端设备1314个。4G通信建设已实现全区行政村100%全覆盖，5G通信建设采取先满足各乡（镇、街道）人口密集区需求，再逐步向周边延伸的原则推进建设。全区互联网网民共39.43万人，互联网宽带接入端口13万个。宽带接入能力及网络质量显著提高，其中千兆宽带接入端口3.477万个，全区各通信运营企业光纤到户覆盖家庭数合计达13万户，其中城区覆盖率100%、行政村覆盖率100%，462个自然村已全部完成宽带覆盖，覆盖率100%；本地接入光纤网络用户数占本地接入宽带用户数的比率为100%。同时推进企业数字化转型，多措并举加强数字信息技术推广应用。推动重点企业率先转型，云南磷化集团投入1787.97万元完成多项数字化智慧化改造项目，实现减员增效，百威啤酒有限公司完成多车间自动化智慧化系统升级。</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2" w:firstLineChars="200"/>
        <w:textAlignment w:val="auto"/>
        <w:outlineLvl w:val="9"/>
        <w:rPr>
          <w:rFonts w:hint="eastAsia" w:ascii="仿宋_GB2312" w:hAnsi="仿宋_GB2312" w:eastAsia="仿宋_GB2312" w:cs="仿宋_GB2312"/>
          <w:color w:val="auto"/>
          <w:sz w:val="32"/>
          <w:szCs w:val="32"/>
          <w:highlight w:val="none"/>
          <w:lang w:val="en-US" w:eastAsia="zh-CN"/>
        </w:rPr>
      </w:pPr>
      <w:r>
        <w:rPr>
          <w:rFonts w:hint="eastAsia" w:eastAsia="仿宋_GB2312" w:asciiTheme="minorAscii" w:hAnsiTheme="minorAscii"/>
          <w:b/>
          <w:bCs/>
          <w:color w:val="auto"/>
          <w:sz w:val="32"/>
          <w:highlight w:val="none"/>
          <w:lang w:val="en-US" w:eastAsia="zh-CN"/>
        </w:rPr>
        <w:t>扎实推进智慧城市建设。</w:t>
      </w:r>
      <w:r>
        <w:rPr>
          <w:rFonts w:hint="eastAsia" w:ascii="仿宋_GB2312" w:hAnsi="仿宋_GB2312" w:eastAsia="仿宋_GB2312" w:cs="仿宋_GB2312"/>
          <w:color w:val="auto"/>
          <w:sz w:val="32"/>
          <w:szCs w:val="32"/>
          <w:highlight w:val="none"/>
          <w:lang w:val="en-US" w:eastAsia="zh-CN"/>
        </w:rPr>
        <w:t>积极推进“一网四中心”标准化规范化建设（包括政务服务中心、党群服务中心、投资服务中心、公共资源交易中心）。推进政务服务事项标准化办理，全区涉及政务、民政等37个部门有行政审批和服务事项，网上可办率达99.56%，“最多跑一次”占99.73%，全程网办率92.71%。推广“一部手机办事通”应用，推动更多政务服务事项实现“掌上办”“指尖办”。推进基层为民服务中心建设。全区8个乡镇（街道）为民服务中心共承接服务事项339项，网上可办率68.44%，全程网办率53.98%。</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十四五”期间，全区科技创新能力得到较大提升。研发投入持续增长，创新主体梯队日益壮大，科技项目与资助力度不断增强，产学研新模式破解技术难题、推动产业持续升级。深化区域科技协作，集聚人才、搭建多层次创新平台，成果转化效能提升。信息基建实现全域覆盖，企业数字化转型加速，智慧城市建设推动政务服务便捷化，形成协同发展的科技创新生态。</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textAlignment w:val="auto"/>
        <w:outlineLvl w:val="2"/>
        <w:rPr>
          <w:rFonts w:hint="eastAsia" w:ascii="黑体" w:hAnsi="黑体" w:eastAsia="黑体" w:cs="黑体"/>
          <w:b/>
          <w:color w:val="auto"/>
          <w:kern w:val="2"/>
          <w:sz w:val="32"/>
          <w:szCs w:val="32"/>
          <w:highlight w:val="none"/>
          <w:lang w:val="en-US" w:eastAsia="zh-CN" w:bidi="ar-SA"/>
        </w:rPr>
      </w:pPr>
      <w:bookmarkStart w:id="2" w:name="_Toc8488"/>
      <w:r>
        <w:rPr>
          <w:rFonts w:hint="eastAsia" w:ascii="黑体" w:hAnsi="黑体" w:eastAsia="黑体" w:cs="黑体"/>
          <w:b/>
          <w:color w:val="auto"/>
          <w:kern w:val="2"/>
          <w:sz w:val="32"/>
          <w:szCs w:val="32"/>
          <w:highlight w:val="none"/>
          <w:lang w:val="en-US" w:eastAsia="zh-CN" w:bidi="ar-SA"/>
        </w:rPr>
        <w:t xml:space="preserve">    （二）存在问题</w:t>
      </w:r>
      <w:bookmarkEnd w:id="2"/>
    </w:p>
    <w:p>
      <w:pPr>
        <w:numPr>
          <w:ilvl w:val="0"/>
          <w:numId w:val="2"/>
        </w:numPr>
        <w:bidi w:val="0"/>
        <w:spacing w:line="560" w:lineRule="exact"/>
        <w:ind w:left="0" w:leftChars="0" w:firstLine="642" w:firstLineChars="200"/>
        <w:outlineLvl w:val="3"/>
        <w:rPr>
          <w:rFonts w:hint="eastAsia" w:eastAsia="仿宋_GB2312" w:asciiTheme="minorAscii" w:hAnsiTheme="minorAscii"/>
          <w:b/>
          <w:bCs/>
          <w:color w:val="auto"/>
          <w:sz w:val="32"/>
          <w:highlight w:val="none"/>
          <w:lang w:val="en-US" w:eastAsia="zh-CN"/>
        </w:rPr>
      </w:pPr>
      <w:r>
        <w:rPr>
          <w:rFonts w:hint="eastAsia" w:eastAsia="仿宋_GB2312" w:asciiTheme="minorAscii" w:hAnsiTheme="minorAscii"/>
          <w:b/>
          <w:bCs/>
          <w:color w:val="auto"/>
          <w:sz w:val="32"/>
          <w:highlight w:val="none"/>
          <w:lang w:val="en-US" w:eastAsia="zh-CN"/>
        </w:rPr>
        <w:t>科技创新发展均衡性不足</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2" w:firstLineChars="200"/>
        <w:jc w:val="both"/>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b/>
          <w:bCs/>
          <w:color w:val="auto"/>
          <w:sz w:val="32"/>
          <w:szCs w:val="32"/>
          <w:lang w:val="en-US" w:eastAsia="zh-CN"/>
        </w:rPr>
        <w:t>产业间创新资源分配</w:t>
      </w:r>
      <w:r>
        <w:rPr>
          <w:rFonts w:hint="eastAsia" w:ascii="仿宋_GB2312" w:hAnsi="仿宋_GB2312" w:eastAsia="仿宋_GB2312" w:cs="仿宋_GB2312"/>
          <w:b/>
          <w:bCs/>
          <w:color w:val="auto"/>
          <w:sz w:val="32"/>
          <w:szCs w:val="32"/>
          <w:highlight w:val="none"/>
          <w:lang w:val="en-US" w:eastAsia="zh-CN"/>
        </w:rPr>
        <w:t>失衡。</w:t>
      </w:r>
      <w:r>
        <w:rPr>
          <w:rFonts w:hint="eastAsia" w:ascii="仿宋_GB2312" w:hAnsi="仿宋_GB2312" w:eastAsia="仿宋_GB2312" w:cs="仿宋_GB2312"/>
          <w:color w:val="auto"/>
          <w:sz w:val="32"/>
          <w:szCs w:val="32"/>
          <w:highlight w:val="none"/>
          <w:lang w:val="en-US" w:eastAsia="zh-CN"/>
        </w:rPr>
        <w:t>企业科技创新方向呈现出领域集中特征。花卉、磷化工等传统优势领域集聚了全区50%以上的高新技术企业和主要科技创新人才，而装备制造、新材料、数字产业等省市级重点支持的新兴产业领域中，高新技术企业占比相对较低，创新资源在产业间的分布存在结构性差异。</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2" w:firstLineChars="200"/>
        <w:jc w:val="both"/>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b/>
          <w:bCs/>
          <w:color w:val="auto"/>
          <w:sz w:val="32"/>
          <w:szCs w:val="32"/>
          <w:lang w:val="en-US" w:eastAsia="zh-CN"/>
        </w:rPr>
        <w:t>区域创新能力呈现“南北分化”格局。</w:t>
      </w:r>
      <w:r>
        <w:rPr>
          <w:rFonts w:hint="eastAsia" w:ascii="仿宋_GB2312" w:hAnsi="仿宋_GB2312" w:eastAsia="仿宋_GB2312" w:cs="仿宋_GB2312"/>
          <w:color w:val="auto"/>
          <w:sz w:val="32"/>
          <w:szCs w:val="32"/>
          <w:lang w:val="en-US" w:eastAsia="zh-CN"/>
        </w:rPr>
        <w:t>科技资源空间分布呈现区域不均衡特征。昆阳、晋城、二街等街道集中了全区大部分的科技型企业和研发投入，形成了较为密集的创新要素集聚效应，而六街、夕阳、双河等偏远乡镇科技服务体系建设相对滞后，尚未布局专业科技服务机构，农业科技示范基地覆盖率不足，与主城区形成明显的创新资源配置落差。</w:t>
      </w:r>
    </w:p>
    <w:p>
      <w:pPr>
        <w:numPr>
          <w:ilvl w:val="0"/>
          <w:numId w:val="2"/>
        </w:numPr>
        <w:bidi w:val="0"/>
        <w:spacing w:line="560" w:lineRule="exact"/>
        <w:ind w:left="0" w:leftChars="0" w:firstLine="642" w:firstLineChars="200"/>
        <w:outlineLvl w:val="3"/>
        <w:rPr>
          <w:rFonts w:hint="eastAsia" w:eastAsia="仿宋_GB2312" w:asciiTheme="minorAscii" w:hAnsiTheme="minorAscii"/>
          <w:b/>
          <w:bCs/>
          <w:color w:val="auto"/>
          <w:sz w:val="32"/>
          <w:highlight w:val="none"/>
          <w:lang w:val="en-US" w:eastAsia="zh-CN"/>
        </w:rPr>
      </w:pPr>
      <w:r>
        <w:rPr>
          <w:rFonts w:hint="eastAsia" w:eastAsia="仿宋_GB2312" w:asciiTheme="minorAscii" w:hAnsiTheme="minorAscii"/>
          <w:b/>
          <w:bCs/>
          <w:color w:val="auto"/>
          <w:sz w:val="32"/>
          <w:highlight w:val="none"/>
          <w:lang w:val="en-US" w:eastAsia="zh-CN"/>
        </w:rPr>
        <w:t>企业尚未形成创新驱动内核</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2" w:firstLineChars="200"/>
        <w:jc w:val="both"/>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b/>
          <w:bCs/>
          <w:color w:val="auto"/>
          <w:sz w:val="32"/>
          <w:szCs w:val="32"/>
          <w:lang w:val="en-US" w:eastAsia="zh-CN"/>
        </w:rPr>
        <w:t>科技创新主体发展不均。</w:t>
      </w:r>
      <w:r>
        <w:rPr>
          <w:rFonts w:hint="eastAsia" w:ascii="仿宋_GB2312" w:hAnsi="仿宋_GB2312" w:eastAsia="仿宋_GB2312" w:cs="仿宋_GB2312"/>
          <w:color w:val="auto"/>
          <w:sz w:val="32"/>
          <w:szCs w:val="32"/>
          <w:lang w:val="en-US" w:eastAsia="zh-CN"/>
        </w:rPr>
        <w:t>全区规模以上企业中，创新资源过度集中于少数龙头企业，从整体上看呈现出“一枝独秀”</w:t>
      </w:r>
      <w:r>
        <w:rPr>
          <w:rFonts w:hint="eastAsia" w:ascii="仿宋_GB2312" w:hAnsi="仿宋_GB2312" w:eastAsia="仿宋_GB2312" w:cs="仿宋_GB2312"/>
          <w:color w:val="auto"/>
          <w:sz w:val="32"/>
          <w:szCs w:val="32"/>
          <w:highlight w:val="none"/>
          <w:lang w:val="en-US" w:eastAsia="zh-CN"/>
        </w:rPr>
        <w:t>的不均衡分布格局。</w:t>
      </w:r>
      <w:r>
        <w:rPr>
          <w:rFonts w:hint="eastAsia" w:ascii="仿宋_GB2312" w:hAnsi="仿宋_GB2312" w:eastAsia="仿宋_GB2312" w:cs="仿宋_GB2312"/>
          <w:color w:val="auto"/>
          <w:sz w:val="32"/>
          <w:szCs w:val="32"/>
          <w:lang w:val="en-US" w:eastAsia="zh-CN"/>
        </w:rPr>
        <w:t>多数中小企业创新意识薄弱，普遍存在“重规模扩张轻技术升级”“重生产轻研发”倾向，尚未建立常态化研发投入机制，导致企业整体创新能力参差不齐。</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2" w:firstLineChars="200"/>
        <w:jc w:val="both"/>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b/>
          <w:bCs/>
          <w:color w:val="auto"/>
          <w:sz w:val="32"/>
          <w:szCs w:val="32"/>
          <w:lang w:val="en-US" w:eastAsia="zh-CN"/>
        </w:rPr>
        <w:t>科研成果质效有待提升</w:t>
      </w:r>
      <w:r>
        <w:rPr>
          <w:rFonts w:hint="eastAsia" w:ascii="仿宋_GB2312" w:hAnsi="仿宋_GB2312" w:eastAsia="仿宋_GB2312" w:cs="仿宋_GB2312"/>
          <w:color w:val="auto"/>
          <w:sz w:val="32"/>
          <w:szCs w:val="32"/>
          <w:lang w:val="en-US" w:eastAsia="zh-CN"/>
        </w:rPr>
        <w:t>。全区科研成果总量偏少，且成果转化效能偏低，科技成果本地转化率长期处于较低水平。企业技术创新与市场需求存在脱节，大量专利成果未能有效转化为现实生产力，制约了创新驱动发展的实际成效。</w:t>
      </w:r>
    </w:p>
    <w:p>
      <w:pPr>
        <w:numPr>
          <w:ilvl w:val="0"/>
          <w:numId w:val="2"/>
        </w:numPr>
        <w:bidi w:val="0"/>
        <w:spacing w:line="560" w:lineRule="exact"/>
        <w:ind w:left="0" w:leftChars="0" w:firstLine="642" w:firstLineChars="200"/>
        <w:outlineLvl w:val="3"/>
        <w:rPr>
          <w:rFonts w:hint="eastAsia" w:eastAsia="仿宋_GB2312" w:asciiTheme="minorAscii" w:hAnsiTheme="minorAscii"/>
          <w:b/>
          <w:bCs/>
          <w:color w:val="auto"/>
          <w:sz w:val="32"/>
          <w:highlight w:val="none"/>
          <w:lang w:val="en-US" w:eastAsia="zh-CN"/>
        </w:rPr>
      </w:pPr>
      <w:r>
        <w:rPr>
          <w:rFonts w:hint="eastAsia" w:eastAsia="仿宋_GB2312" w:asciiTheme="minorAscii" w:hAnsiTheme="minorAscii"/>
          <w:b/>
          <w:bCs/>
          <w:color w:val="auto"/>
          <w:sz w:val="32"/>
          <w:highlight w:val="none"/>
          <w:lang w:val="en-US" w:eastAsia="zh-CN"/>
        </w:rPr>
        <w:t>科技创新高层次人才欠缺</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2" w:firstLineChars="200"/>
        <w:jc w:val="both"/>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b/>
          <w:bCs/>
          <w:color w:val="auto"/>
          <w:sz w:val="32"/>
          <w:szCs w:val="32"/>
          <w:lang w:val="en-US" w:eastAsia="zh-CN"/>
        </w:rPr>
        <w:t>科技创新政策支持与人才生态构建方面发力不足，</w:t>
      </w:r>
      <w:r>
        <w:rPr>
          <w:rFonts w:hint="eastAsia" w:ascii="仿宋_GB2312" w:hAnsi="仿宋_GB2312" w:eastAsia="仿宋_GB2312" w:cs="仿宋_GB2312"/>
          <w:color w:val="auto"/>
          <w:sz w:val="32"/>
          <w:szCs w:val="32"/>
          <w:lang w:val="en-US" w:eastAsia="zh-CN"/>
        </w:rPr>
        <w:t>政策支持力度与昆明市其他城区存在显著差距，对比各区创新政策供给，晋宁区在人才住房保障、科研基础设施配套等领域的投入强度不足，尚未形成与区域创新需求相匹配的政策支持体系，导致创新要素吸附能力较弱。</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2" w:firstLineChars="200"/>
        <w:jc w:val="both"/>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b/>
          <w:bCs/>
          <w:color w:val="auto"/>
          <w:sz w:val="32"/>
          <w:szCs w:val="32"/>
          <w:lang w:val="en-US" w:eastAsia="zh-CN"/>
        </w:rPr>
        <w:t>综合性科技创新服务平台建设不足</w:t>
      </w:r>
      <w:r>
        <w:rPr>
          <w:rFonts w:hint="eastAsia" w:ascii="仿宋_GB2312" w:hAnsi="仿宋_GB2312" w:eastAsia="仿宋_GB2312" w:cs="仿宋_GB2312"/>
          <w:color w:val="auto"/>
          <w:sz w:val="32"/>
          <w:szCs w:val="32"/>
          <w:lang w:val="en-US" w:eastAsia="zh-CN"/>
        </w:rPr>
        <w:t>，现有人才在技术对接、专利申请、成果转化等环节缺乏专业支撑服务，间接加剧了人才向昆明主城区的流失态势，使得晋宁区在与主城区的人才竞争中处于劣势。</w:t>
      </w:r>
    </w:p>
    <w:p>
      <w:pPr>
        <w:numPr>
          <w:ilvl w:val="0"/>
          <w:numId w:val="2"/>
        </w:numPr>
        <w:bidi w:val="0"/>
        <w:spacing w:line="560" w:lineRule="exact"/>
        <w:ind w:left="0" w:leftChars="0" w:firstLine="642" w:firstLineChars="200"/>
        <w:outlineLvl w:val="3"/>
        <w:rPr>
          <w:rFonts w:hint="eastAsia" w:eastAsia="仿宋_GB2312" w:asciiTheme="minorAscii" w:hAnsiTheme="minorAscii"/>
          <w:b/>
          <w:bCs/>
          <w:color w:val="auto"/>
          <w:sz w:val="32"/>
          <w:highlight w:val="none"/>
          <w:lang w:val="en-US" w:eastAsia="zh-CN"/>
        </w:rPr>
      </w:pPr>
      <w:r>
        <w:rPr>
          <w:rFonts w:hint="eastAsia" w:eastAsia="仿宋_GB2312" w:asciiTheme="minorAscii" w:hAnsiTheme="minorAscii"/>
          <w:b/>
          <w:bCs/>
          <w:color w:val="auto"/>
          <w:sz w:val="32"/>
          <w:highlight w:val="none"/>
          <w:lang w:val="en-US" w:eastAsia="zh-CN"/>
        </w:rPr>
        <w:t>创新资金投入仍存在结构性短缺</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2024年全社会研发经费（R&amp;D）投入总量为1.3亿元，占地区生产总值（GDP）比重不足0.6%，与昆明市2.1%的平均水平存在明显差距，反映出区域整体创新投入强度亟待提升。且大部分投入集中于磷化工，花卉等已然较为成熟的产业项目中，使得对其它产业的关键核心技术攻关的战略性投入占比不足，资金使用结构呈现出“重短期效益、轻长远布局”的特征，在一定程度上制约了原始创新能力和产业技术能级的跃升。</w:t>
      </w:r>
    </w:p>
    <w:p>
      <w:pPr>
        <w:numPr>
          <w:ilvl w:val="0"/>
          <w:numId w:val="2"/>
        </w:numPr>
        <w:bidi w:val="0"/>
        <w:spacing w:line="560" w:lineRule="exact"/>
        <w:ind w:left="0" w:leftChars="0" w:firstLine="642" w:firstLineChars="200"/>
        <w:outlineLvl w:val="3"/>
        <w:rPr>
          <w:rFonts w:hint="eastAsia" w:eastAsia="仿宋_GB2312" w:asciiTheme="minorAscii" w:hAnsiTheme="minorAscii"/>
          <w:b/>
          <w:bCs/>
          <w:color w:val="auto"/>
          <w:sz w:val="32"/>
          <w:highlight w:val="none"/>
          <w:lang w:val="en-US" w:eastAsia="zh-CN"/>
        </w:rPr>
      </w:pPr>
      <w:r>
        <w:rPr>
          <w:rFonts w:hint="eastAsia" w:eastAsia="仿宋_GB2312" w:asciiTheme="minorAscii" w:hAnsiTheme="minorAscii"/>
          <w:b/>
          <w:bCs/>
          <w:color w:val="auto"/>
          <w:sz w:val="32"/>
          <w:highlight w:val="none"/>
          <w:lang w:val="en-US" w:eastAsia="zh-CN"/>
        </w:rPr>
        <w:t>数字信息技术的发展仍相对滞后</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数字信息技术领域的科技创新存在系统性短板。</w:t>
      </w:r>
      <w:r>
        <w:rPr>
          <w:rFonts w:hint="eastAsia" w:ascii="仿宋_GB2312" w:hAnsi="仿宋_GB2312" w:eastAsia="仿宋_GB2312" w:cs="仿宋_GB2312"/>
          <w:color w:val="auto"/>
          <w:sz w:val="32"/>
          <w:szCs w:val="32"/>
          <w:lang w:val="en-US" w:eastAsia="zh-CN"/>
        </w:rPr>
        <w:t>尚未培育或引进信息技术领域的企业及产业化项目，导致数字技术创新缺乏承载主体，难以形成“研发-转化-应用”的创新闭环。数字信息技术人才呈现“高端研发人才匮乏、应用型技术人才短缺”的结构性矛盾，叠加研发资金投入强度不足，数字信息技术应用创新的基础支撑能力明显薄弱。辖区企业对数字化信息化应用的知识结构停留在传统技术层面，对工业互联网、人工智能等新技术的应用场景认知有限，受限于风险承受能力与创新视野，故在技术创新投入上缺乏信心与决心，进一步制约了数字技术与实体经济的深度融合进程。</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“十四五”期间，晋宁区科技创新受多维度制约。创新资源配置失衡，过度集中于传统产业，创新资源投入强度与结构</w:t>
      </w:r>
      <w:r>
        <w:rPr>
          <w:rFonts w:hint="eastAsia" w:ascii="仿宋_GB2312" w:hAnsi="仿宋_GB2312" w:eastAsia="仿宋_GB2312" w:cs="仿宋_GB2312"/>
          <w:color w:val="auto"/>
          <w:sz w:val="32"/>
          <w:szCs w:val="32"/>
          <w:highlight w:val="none"/>
          <w:lang w:val="en-US" w:eastAsia="zh-CN"/>
        </w:rPr>
        <w:t>亟</w:t>
      </w:r>
      <w:r>
        <w:rPr>
          <w:rFonts w:hint="eastAsia" w:ascii="仿宋_GB2312" w:hAnsi="仿宋_GB2312" w:eastAsia="仿宋_GB2312" w:cs="仿宋_GB2312"/>
          <w:color w:val="auto"/>
          <w:sz w:val="32"/>
          <w:szCs w:val="32"/>
          <w:lang w:val="en-US" w:eastAsia="zh-CN"/>
        </w:rPr>
        <w:t>待优化；企业创新格局失衡，资源向龙头企业集中，中小企业研发基础薄弱、创新意识不足，科研成果“产出效能低、转化效率低”；高端人才匮乏，政策支持与服务平台支撑不足，吸引力偏弱；数字技术发展滞后，缺乏实体载体，人才与投入不足，企业对新技术应用认知有限，制约与实体经济融合；关键领域自主研发能力不足，新兴领域尚未形成技术竞争优势，创新驱动内生动力欠缺。</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630" w:leftChars="0"/>
        <w:textAlignment w:val="auto"/>
        <w:outlineLvl w:val="1"/>
        <w:rPr>
          <w:rFonts w:hint="eastAsia" w:ascii="黑体" w:hAnsi="黑体" w:eastAsia="黑体" w:cs="黑体"/>
          <w:b/>
          <w:bCs w:val="0"/>
          <w:color w:val="auto"/>
          <w:kern w:val="44"/>
          <w:sz w:val="32"/>
          <w:szCs w:val="32"/>
          <w:highlight w:val="none"/>
          <w:lang w:val="en-US" w:eastAsia="zh-CN" w:bidi="ar-SA"/>
        </w:rPr>
      </w:pPr>
      <w:bookmarkStart w:id="3" w:name="_Toc20175"/>
      <w:r>
        <w:rPr>
          <w:rFonts w:hint="eastAsia" w:ascii="黑体" w:hAnsi="黑体" w:eastAsia="黑体" w:cs="黑体"/>
          <w:b/>
          <w:bCs w:val="0"/>
          <w:color w:val="auto"/>
          <w:kern w:val="44"/>
          <w:sz w:val="32"/>
          <w:szCs w:val="32"/>
          <w:highlight w:val="none"/>
          <w:lang w:val="en-US" w:eastAsia="zh-CN" w:bidi="ar-SA"/>
        </w:rPr>
        <w:t>二、面临形势</w:t>
      </w:r>
      <w:bookmarkEnd w:id="3"/>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十五五”时期是我国经济社会迈向高质量发展的关键阶段。随着传统发展模式的弊端逐渐显现，我国经济正步入全新发展阶段，亟须通过创新来突破发展瓶颈。科技创新成为产业转型升级的核心动力，推动传统产业向高端化、智能化、绿色化转型。</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textAlignment w:val="auto"/>
        <w:outlineLvl w:val="2"/>
        <w:rPr>
          <w:rFonts w:hint="eastAsia" w:ascii="黑体" w:hAnsi="黑体" w:eastAsia="黑体" w:cs="黑体"/>
          <w:b/>
          <w:color w:val="auto"/>
          <w:kern w:val="2"/>
          <w:sz w:val="32"/>
          <w:szCs w:val="32"/>
          <w:highlight w:val="none"/>
          <w:lang w:val="en-US" w:eastAsia="zh-CN" w:bidi="ar-SA"/>
        </w:rPr>
      </w:pPr>
      <w:bookmarkStart w:id="4" w:name="_Toc5789"/>
      <w:r>
        <w:rPr>
          <w:rFonts w:hint="eastAsia" w:ascii="黑体" w:hAnsi="黑体" w:eastAsia="黑体" w:cs="黑体"/>
          <w:b/>
          <w:color w:val="auto"/>
          <w:kern w:val="2"/>
          <w:sz w:val="32"/>
          <w:szCs w:val="32"/>
          <w:highlight w:val="none"/>
          <w:lang w:val="en-US" w:eastAsia="zh-CN" w:bidi="ar-SA"/>
        </w:rPr>
        <w:t xml:space="preserve">   （一）面临的机遇</w:t>
      </w:r>
      <w:bookmarkEnd w:id="4"/>
    </w:p>
    <w:p>
      <w:pPr>
        <w:numPr>
          <w:ilvl w:val="0"/>
          <w:numId w:val="3"/>
        </w:numPr>
        <w:bidi w:val="0"/>
        <w:spacing w:line="560" w:lineRule="exact"/>
        <w:ind w:left="0" w:leftChars="0" w:firstLine="642" w:firstLineChars="200"/>
        <w:outlineLvl w:val="3"/>
        <w:rPr>
          <w:rFonts w:hint="eastAsia" w:eastAsia="仿宋_GB2312" w:asciiTheme="minorAscii" w:hAnsiTheme="minorAscii"/>
          <w:b/>
          <w:bCs/>
          <w:color w:val="auto"/>
          <w:sz w:val="32"/>
          <w:highlight w:val="none"/>
          <w:lang w:val="en-US" w:eastAsia="zh-CN"/>
        </w:rPr>
      </w:pPr>
      <w:r>
        <w:rPr>
          <w:rFonts w:hint="eastAsia" w:eastAsia="仿宋_GB2312" w:asciiTheme="minorAscii" w:hAnsiTheme="minorAscii"/>
          <w:b/>
          <w:bCs/>
          <w:color w:val="auto"/>
          <w:sz w:val="32"/>
          <w:highlight w:val="none"/>
          <w:lang w:val="en-US" w:eastAsia="zh-CN"/>
        </w:rPr>
        <w:t>国际形势</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新一轮科技革命以人工智能、量子科技、生物技术、新能源与先进制造为核心驱动力，呈现多技术融合、跨界创新与产业深度变革的特征。人工智能加速渗透生命科学、医疗诊断等领域；量子计算与材料科学结合催生突破性技术；生物技术通过基因编辑、合成生物学重塑医疗与农业；新能源技术与绿色技术助力可持续发展；制造业向智能化、服务化转型，3D打印、工业互联网正重构生产模式。随着新一轮科技革命与产业变革，新的“技术－经济”周期正在酝酿，世界正处于第六次技术革命前夕。</w:t>
      </w:r>
    </w:p>
    <w:p>
      <w:pPr>
        <w:numPr>
          <w:ilvl w:val="0"/>
          <w:numId w:val="3"/>
        </w:numPr>
        <w:bidi w:val="0"/>
        <w:spacing w:line="560" w:lineRule="exact"/>
        <w:ind w:left="0" w:leftChars="0" w:firstLine="642" w:firstLineChars="200"/>
        <w:outlineLvl w:val="3"/>
        <w:rPr>
          <w:rFonts w:hint="eastAsia" w:eastAsia="仿宋_GB2312" w:asciiTheme="minorAscii" w:hAnsiTheme="minorAscii"/>
          <w:b/>
          <w:bCs/>
          <w:color w:val="auto"/>
          <w:sz w:val="32"/>
          <w:highlight w:val="none"/>
          <w:lang w:val="en-US" w:eastAsia="zh-CN"/>
        </w:rPr>
      </w:pPr>
      <w:r>
        <w:rPr>
          <w:rFonts w:hint="eastAsia" w:eastAsia="仿宋_GB2312" w:asciiTheme="minorAscii" w:hAnsiTheme="minorAscii"/>
          <w:b/>
          <w:bCs/>
          <w:color w:val="auto"/>
          <w:sz w:val="32"/>
          <w:highlight w:val="none"/>
          <w:lang w:val="en-US" w:eastAsia="zh-CN"/>
        </w:rPr>
        <w:t>国内形势</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党的二十大报告中强调在科技创新方面应优化创新资源配置，统筹推进科技创新中心与基础能力建设；深化科技体制与评价改革，加大多元投入，加强知识产权保护，培育创新文化，扩大国际科技合作，形成开放创新生态。同时强化企业科技创新主体地位，发挥科技型骨干企业引领支撑作用，营造有利于科技型中小微企业成长的良好环境，推动创新链产业链资金链人才链深度融合。“十五五”时期，新一轮的科技浪潮将为中国特色社会主义实现高质量发展、建设科技强国提供战略机遇与核心支撑。科技创新将催生新质生产力，推动传统产业高端化、智能化、绿色化转型，加速培育战略性新兴产业和未来产业；新一轮科技革命加速多技术融合与产业变革，推动绿色技术、数字技术深度应用，助力实现“双碳”目标与可持续发展，为构建新发展格局、推进中国式现代化提供科技基础与制度创新动力。</w:t>
      </w:r>
    </w:p>
    <w:p>
      <w:pPr>
        <w:numPr>
          <w:ilvl w:val="0"/>
          <w:numId w:val="3"/>
        </w:numPr>
        <w:bidi w:val="0"/>
        <w:spacing w:line="560" w:lineRule="exact"/>
        <w:ind w:left="0" w:leftChars="0" w:firstLine="642" w:firstLineChars="200"/>
        <w:outlineLvl w:val="3"/>
        <w:rPr>
          <w:rFonts w:hint="eastAsia" w:eastAsia="仿宋_GB2312" w:asciiTheme="minorAscii" w:hAnsiTheme="minorAscii"/>
          <w:b/>
          <w:bCs/>
          <w:color w:val="auto"/>
          <w:sz w:val="32"/>
          <w:highlight w:val="none"/>
          <w:lang w:val="en-US" w:eastAsia="zh-CN"/>
        </w:rPr>
      </w:pPr>
      <w:r>
        <w:rPr>
          <w:rFonts w:hint="eastAsia" w:eastAsia="仿宋_GB2312" w:asciiTheme="minorAscii" w:hAnsiTheme="minorAscii"/>
          <w:b/>
          <w:bCs/>
          <w:color w:val="auto"/>
          <w:sz w:val="32"/>
          <w:highlight w:val="none"/>
          <w:lang w:val="en-US" w:eastAsia="zh-CN"/>
        </w:rPr>
        <w:t>省内形势</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仿宋_GB2312" w:hAnsi="仿宋_GB2312" w:eastAsia="仿宋_GB2312" w:cs="仿宋_GB2312"/>
          <w:color w:val="auto"/>
          <w:sz w:val="32"/>
          <w:szCs w:val="32"/>
          <w:highlight w:val="lightGray"/>
          <w:lang w:val="en-US" w:eastAsia="zh-CN"/>
        </w:rPr>
      </w:pPr>
      <w:r>
        <w:rPr>
          <w:rFonts w:hint="eastAsia" w:ascii="仿宋_GB2312" w:hAnsi="仿宋_GB2312" w:eastAsia="仿宋_GB2312" w:cs="仿宋_GB2312"/>
          <w:color w:val="auto"/>
          <w:sz w:val="32"/>
          <w:szCs w:val="32"/>
          <w:lang w:val="en-US" w:eastAsia="zh-CN"/>
        </w:rPr>
        <w:t>“十五五”期间，云南省将在全力打造世界一流“三大经济”的基础之上，实现经济高质量发展从“资源依赖”向“创新驱动”转型。将持续聚焦数字化、绿色化方向，加快新能源电池等基础产业迭代升级，巩固新能源电池优势。抓住全球产业结构调整机遇，培育壮大数字经济、新材料等战新产业，布局人工智能、生物制造、低空经济等未来产业，完善现代化产业体系，打造具有国际竞争力的数字产业集群，推动产业高质量发展。以科技创新推动产业创新，改造提升高原特色农业等传统产业，运用数字化技术助力各领域转型升级，促进产业向高端化、智能化、绿色化发展，提高产业链供应链韧性和现代化水平。</w:t>
      </w:r>
    </w:p>
    <w:p>
      <w:pPr>
        <w:numPr>
          <w:ilvl w:val="0"/>
          <w:numId w:val="3"/>
        </w:numPr>
        <w:bidi w:val="0"/>
        <w:spacing w:line="560" w:lineRule="exact"/>
        <w:ind w:left="0" w:leftChars="0" w:firstLine="642" w:firstLineChars="200"/>
        <w:outlineLvl w:val="3"/>
        <w:rPr>
          <w:rFonts w:hint="eastAsia" w:eastAsia="仿宋_GB2312" w:asciiTheme="minorAscii" w:hAnsiTheme="minorAscii"/>
          <w:b/>
          <w:bCs/>
          <w:color w:val="auto"/>
          <w:sz w:val="32"/>
          <w:highlight w:val="none"/>
          <w:lang w:val="en-US" w:eastAsia="zh-CN"/>
        </w:rPr>
      </w:pPr>
      <w:r>
        <w:rPr>
          <w:rFonts w:hint="eastAsia" w:eastAsia="仿宋_GB2312" w:asciiTheme="minorAscii" w:hAnsiTheme="minorAscii"/>
          <w:b/>
          <w:bCs/>
          <w:color w:val="auto"/>
          <w:sz w:val="32"/>
          <w:highlight w:val="none"/>
          <w:lang w:val="en-US" w:eastAsia="zh-CN"/>
        </w:rPr>
        <w:t>市内形势</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highlight w:val="none"/>
          <w:lang w:val="en-US" w:eastAsia="zh-CN"/>
        </w:rPr>
        <w:t>“十五五”时期，昆明市将主动服务和融入国家重大发展战略，积极融入“一带一路”，贯彻落实昆明市委“六个春城”的建设要求。依托中老铁路沿线建设，加快建设科创资</w:t>
      </w:r>
      <w:r>
        <w:rPr>
          <w:rFonts w:hint="eastAsia" w:ascii="仿宋_GB2312" w:hAnsi="仿宋_GB2312" w:eastAsia="仿宋_GB2312" w:cs="仿宋_GB2312"/>
          <w:color w:val="auto"/>
          <w:sz w:val="32"/>
          <w:szCs w:val="32"/>
          <w:lang w:val="en-US" w:eastAsia="zh-CN"/>
        </w:rPr>
        <w:t>源要素高度集聚、创新主体高效互动、横向纵向协同联动、国际科技辐射带动、科技营商环境强劲支撑的立足西南、面向全国、辐射南亚东南亚的区域性国际科技创新中心。将继续推进产业强市战略，加快传统产业的转型升级，以数智技术、绿色技术改造提升化工、烟草等产业，打造出口导向型的国家级特色机床产业集群，建设生物技术药创新高地。积极布局发展未来产业，开展低空应用试点场景，大力发展园区经济，盘活园区低效用地。促进实体经济与数字经济融合，推动跨境算力服务、金融服务、电子竞技、电子商务等场景运用，打造面向“两亚”数字合作示范区。</w:t>
      </w:r>
    </w:p>
    <w:p>
      <w:pPr>
        <w:numPr>
          <w:ilvl w:val="0"/>
          <w:numId w:val="3"/>
        </w:numPr>
        <w:bidi w:val="0"/>
        <w:spacing w:line="560" w:lineRule="exact"/>
        <w:ind w:left="0" w:leftChars="0" w:firstLine="642" w:firstLineChars="200"/>
        <w:outlineLvl w:val="3"/>
        <w:rPr>
          <w:rFonts w:hint="eastAsia" w:eastAsia="仿宋_GB2312" w:asciiTheme="minorAscii" w:hAnsiTheme="minorAscii"/>
          <w:b/>
          <w:bCs/>
          <w:color w:val="auto"/>
          <w:sz w:val="32"/>
          <w:highlight w:val="none"/>
          <w:lang w:val="en-US" w:eastAsia="zh-CN"/>
        </w:rPr>
      </w:pPr>
      <w:r>
        <w:rPr>
          <w:rFonts w:hint="eastAsia" w:eastAsia="仿宋_GB2312" w:asciiTheme="minorAscii" w:hAnsiTheme="minorAscii"/>
          <w:b/>
          <w:bCs/>
          <w:color w:val="auto"/>
          <w:sz w:val="32"/>
          <w:highlight w:val="none"/>
          <w:lang w:val="en-US" w:eastAsia="zh-CN"/>
        </w:rPr>
        <w:t>发展趋势</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《昆明市国土空间总体规划（2021—2035年）》首次将晋宁区部分区域纳入昆明市中心城区范围，昆阳街道、晋城街道、上蒜镇部分社区，正式确认了</w:t>
      </w:r>
      <w:r>
        <w:rPr>
          <w:rFonts w:hint="eastAsia" w:ascii="仿宋_GB2312" w:hAnsi="仿宋_GB2312" w:eastAsia="仿宋_GB2312" w:cs="仿宋_GB2312"/>
          <w:color w:val="auto"/>
          <w:sz w:val="32"/>
          <w:szCs w:val="32"/>
          <w:highlight w:val="none"/>
          <w:lang w:val="en-US" w:eastAsia="zh-CN"/>
        </w:rPr>
        <w:t>昆明市</w:t>
      </w:r>
      <w:r>
        <w:rPr>
          <w:rFonts w:hint="eastAsia" w:ascii="仿宋_GB2312" w:hAnsi="仿宋_GB2312" w:eastAsia="仿宋_GB2312" w:cs="仿宋_GB2312"/>
          <w:color w:val="auto"/>
          <w:sz w:val="32"/>
          <w:szCs w:val="32"/>
          <w:lang w:val="en-US" w:eastAsia="zh-CN"/>
        </w:rPr>
        <w:t>主城区地位。深度融入主城创新生态，依托昆明主城区高校、科研机构集聚优势，晋宁加速承接“昆明研发—晋宁应用”技术成果溢出。通过融入全市5G、大数据应用场景，提升晋宁智慧种植、智能工厂等产业数字化建设水平；依托市级政策赋能，激活科创载体建设与成果转化动能，助力晋宁从城郊板块跃升为昆明都市圈科技创新成果转化的重要承载区。</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十五五”时期，晋宁锚定古滇历史文化名城、全球玫瑰切花基地、绿色磷化产业高地、国际陆港物流枢纽、山水田园旅居胜地、高原湖滨生态样板的城市总体定位，以科技创新为核心驱动力深化区域高质量发展。</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打造古滇历史文化名城，依托大数据活化古滇文化资源，开发沉浸式数字文旅体验，承接主城康养科技成果，联动山水田园旅居胜地建设，打造全域旅居新格局；建设全球玫瑰切花基地，联动主城农业科研机构攻关基因编辑、生物育种技术，搭建物联网智能种植监测平台，打通全产业链技术链路，提升花卉产业附加值；培育绿色磷化产业高地，聚焦磷化工绿色转型，承接高校及科研院所的绿色生产技术转化，重点攻关磷石膏资源化循环利用、磷酸铁锂正极材料提纯等核心技术，推动磷化产业向高端化、低碳化升级；构建国际陆港物流枢纽，深度融入全市5G+工业互联网体系，运用人工智能、区块链技术打造智慧货运调度平台，提升枢纽运转效率；守护高原湖滨生态样板，联动主城生态环境科研力量，搭建滇池南岸水环境智慧监测网络，运用生物技术优化蓝藻治理、湖滨带修复方案，实现生态保护精准化；升级山水田园旅居胜地，借助数字技术优化乡村旅居服务，推动旅居服务从“基础保障”向“科技赋能”转型，全方位释放“昆明研发—晋宁应用”的协同效能。</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2" w:firstLineChars="200"/>
        <w:textAlignment w:val="auto"/>
        <w:outlineLvl w:val="2"/>
        <w:rPr>
          <w:rFonts w:hint="eastAsia" w:ascii="黑体" w:hAnsi="黑体" w:eastAsia="黑体" w:cs="黑体"/>
          <w:b/>
          <w:color w:val="auto"/>
          <w:kern w:val="2"/>
          <w:sz w:val="32"/>
          <w:szCs w:val="32"/>
          <w:highlight w:val="none"/>
          <w:lang w:val="en-US" w:eastAsia="zh-CN" w:bidi="ar-SA"/>
        </w:rPr>
      </w:pPr>
      <w:bookmarkStart w:id="5" w:name="_Toc3034"/>
      <w:r>
        <w:rPr>
          <w:rFonts w:hint="eastAsia" w:ascii="黑体" w:hAnsi="黑体" w:eastAsia="黑体" w:cs="黑体"/>
          <w:b/>
          <w:color w:val="auto"/>
          <w:kern w:val="2"/>
          <w:sz w:val="32"/>
          <w:szCs w:val="32"/>
          <w:highlight w:val="none"/>
          <w:lang w:val="en-US" w:eastAsia="zh-CN" w:bidi="ar-SA"/>
        </w:rPr>
        <w:t>（二）面对的挑战</w:t>
      </w:r>
      <w:bookmarkEnd w:id="5"/>
    </w:p>
    <w:p>
      <w:pPr>
        <w:numPr>
          <w:ilvl w:val="0"/>
          <w:numId w:val="4"/>
        </w:numPr>
        <w:bidi w:val="0"/>
        <w:spacing w:line="560" w:lineRule="exact"/>
        <w:ind w:left="0" w:leftChars="0" w:firstLine="642" w:firstLineChars="200"/>
        <w:outlineLvl w:val="3"/>
        <w:rPr>
          <w:rFonts w:hint="eastAsia" w:eastAsia="仿宋_GB2312" w:asciiTheme="minorAscii" w:hAnsiTheme="minorAscii"/>
          <w:b/>
          <w:bCs/>
          <w:color w:val="auto"/>
          <w:sz w:val="32"/>
          <w:highlight w:val="none"/>
          <w:lang w:val="en-US" w:eastAsia="zh-CN"/>
        </w:rPr>
      </w:pPr>
      <w:r>
        <w:rPr>
          <w:rFonts w:hint="eastAsia" w:eastAsia="仿宋_GB2312" w:asciiTheme="minorAscii" w:hAnsiTheme="minorAscii"/>
          <w:b/>
          <w:bCs/>
          <w:color w:val="auto"/>
          <w:sz w:val="32"/>
          <w:highlight w:val="none"/>
          <w:lang w:val="en-US" w:eastAsia="zh-CN"/>
        </w:rPr>
        <w:t>科技逆全球化的趋势凸显</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科技“逆全球化”与大国竞争使得关键领域技术封锁风险加剧、国际科技合作通道受阻、产业链韧性承压。一方面，进口高端芯片、精密仪器等关键设备面临断供风险，且技术标准制定权受制于国际闭源体系，制约本地创新主体参与全球竞争；另一方面，中老铁路跨境国际合作平台可能遭遇政策壁垒，导致技术溢出减少和人才流动受限；同时，跨国企业供应链区域化重组可能削弱承接东部产业转移的竞争力。</w:t>
      </w:r>
    </w:p>
    <w:p>
      <w:pPr>
        <w:numPr>
          <w:ilvl w:val="0"/>
          <w:numId w:val="4"/>
        </w:numPr>
        <w:bidi w:val="0"/>
        <w:spacing w:line="560" w:lineRule="exact"/>
        <w:ind w:left="0" w:leftChars="0" w:firstLine="642" w:firstLineChars="200"/>
        <w:outlineLvl w:val="3"/>
        <w:rPr>
          <w:rFonts w:hint="eastAsia" w:eastAsia="仿宋_GB2312" w:asciiTheme="minorAscii" w:hAnsiTheme="minorAscii"/>
          <w:b/>
          <w:bCs/>
          <w:color w:val="auto"/>
          <w:sz w:val="32"/>
          <w:highlight w:val="none"/>
          <w:lang w:val="en-US" w:eastAsia="zh-CN"/>
        </w:rPr>
      </w:pPr>
      <w:r>
        <w:rPr>
          <w:rFonts w:hint="eastAsia" w:eastAsia="仿宋_GB2312" w:asciiTheme="minorAscii" w:hAnsiTheme="minorAscii"/>
          <w:b/>
          <w:bCs/>
          <w:color w:val="auto"/>
          <w:sz w:val="32"/>
          <w:highlight w:val="none"/>
          <w:lang w:val="en-US" w:eastAsia="zh-CN"/>
        </w:rPr>
        <w:t>产业结构与创新动能不足</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传统产业占比过高。磷化工、农业等传统产业占工业比重仍较大，新兴产业如数字经济、生物医药等发展滞后，导致创新驱动力不足。战略性新兴产业培育困难，科技创新投入不足，（R&amp;D）经费投入强度低于全市平均水平，高新技术企业数量少、规模小，企业自主创新能力薄弱，科技成果转化率低，产业链延伸不足，产品附加值低，难以形成新的经济增长点和核心竞争力。</w:t>
      </w:r>
    </w:p>
    <w:p>
      <w:pPr>
        <w:numPr>
          <w:ilvl w:val="0"/>
          <w:numId w:val="4"/>
        </w:numPr>
        <w:bidi w:val="0"/>
        <w:spacing w:line="560" w:lineRule="exact"/>
        <w:ind w:left="0" w:leftChars="0" w:firstLine="642" w:firstLineChars="200"/>
        <w:outlineLvl w:val="3"/>
        <w:rPr>
          <w:rFonts w:hint="eastAsia" w:eastAsia="仿宋_GB2312" w:asciiTheme="minorAscii" w:hAnsiTheme="minorAscii"/>
          <w:b/>
          <w:bCs/>
          <w:color w:val="auto"/>
          <w:sz w:val="32"/>
          <w:highlight w:val="none"/>
          <w:lang w:val="en-US" w:eastAsia="zh-CN"/>
        </w:rPr>
      </w:pPr>
      <w:r>
        <w:rPr>
          <w:rFonts w:hint="eastAsia" w:eastAsia="仿宋_GB2312" w:asciiTheme="minorAscii" w:hAnsiTheme="minorAscii"/>
          <w:b/>
          <w:bCs/>
          <w:color w:val="auto"/>
          <w:sz w:val="32"/>
          <w:highlight w:val="none"/>
          <w:lang w:val="en-US" w:eastAsia="zh-CN"/>
        </w:rPr>
        <w:t>科技创新要素支撑仍薄弱</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科技创新人才短缺问题突出，</w:t>
      </w:r>
      <w:r>
        <w:rPr>
          <w:rFonts w:hint="eastAsia" w:ascii="仿宋_GB2312" w:hAnsi="仿宋_GB2312" w:eastAsia="仿宋_GB2312" w:cs="仿宋_GB2312"/>
          <w:color w:val="auto"/>
          <w:sz w:val="32"/>
          <w:szCs w:val="32"/>
          <w:lang w:val="en-US" w:eastAsia="zh-CN"/>
        </w:rPr>
        <w:t>呈现“金字塔结构初现但中高端人才支撑不足”，主要表现为高端人才吸引力不足、政策支持体系薄弱及区域竞争加剧。青年人才流失严重，青年人才是未来科技创新发展的后备力量，但近三年流向昆明主城区的比例达35%，基层“引才难、留才难”问题突出。人才投入经费不足，且职能部门衔接不畅导致企业高层次人才引进受阻，诸多企业因人才引进困难导致项目进度滞后。</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科技创新研发投入不足问题突出，</w:t>
      </w:r>
      <w:r>
        <w:rPr>
          <w:rFonts w:hint="eastAsia" w:ascii="仿宋_GB2312" w:hAnsi="仿宋_GB2312" w:eastAsia="仿宋_GB2312" w:cs="仿宋_GB2312"/>
          <w:color w:val="auto"/>
          <w:sz w:val="32"/>
          <w:szCs w:val="32"/>
          <w:lang w:val="en-US" w:eastAsia="zh-CN"/>
        </w:rPr>
        <w:t>企业研发补助力度有限、财政科技投入占比偏低，全区（R&amp;D）经费投入强度未达昆明市平均水平；企业创新主体地位不突出（规模以上工业企业中开展研发活动的企业占比低于全市水平）。全区高新技术企业数量，科技型中小企业入库数量，工业企业研发强度低于全市水平，反映出企业研发投入强度不足、创新内生动力薄弱等问题。</w:t>
      </w:r>
    </w:p>
    <w:p>
      <w:pPr>
        <w:numPr>
          <w:ilvl w:val="0"/>
          <w:numId w:val="4"/>
        </w:numPr>
        <w:bidi w:val="0"/>
        <w:spacing w:line="560" w:lineRule="exact"/>
        <w:ind w:left="0" w:leftChars="0" w:firstLine="642" w:firstLineChars="200"/>
        <w:outlineLvl w:val="3"/>
        <w:rPr>
          <w:rFonts w:hint="eastAsia" w:eastAsia="仿宋_GB2312" w:asciiTheme="minorAscii" w:hAnsiTheme="minorAscii"/>
          <w:b/>
          <w:bCs/>
          <w:color w:val="auto"/>
          <w:sz w:val="32"/>
          <w:highlight w:val="none"/>
          <w:lang w:val="en-US" w:eastAsia="zh-CN"/>
        </w:rPr>
      </w:pPr>
      <w:r>
        <w:rPr>
          <w:rFonts w:hint="eastAsia" w:eastAsia="仿宋_GB2312" w:asciiTheme="minorAscii" w:hAnsiTheme="minorAscii"/>
          <w:b/>
          <w:bCs/>
          <w:color w:val="auto"/>
          <w:sz w:val="32"/>
          <w:highlight w:val="none"/>
          <w:lang w:val="en-US" w:eastAsia="zh-CN"/>
        </w:rPr>
        <w:t>区域竞争与虹吸效应加剧</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滇中城市群资源竞争。</w:t>
      </w:r>
      <w:r>
        <w:rPr>
          <w:rFonts w:hint="eastAsia" w:ascii="仿宋_GB2312" w:hAnsi="仿宋_GB2312" w:eastAsia="仿宋_GB2312" w:cs="仿宋_GB2312"/>
          <w:color w:val="auto"/>
          <w:sz w:val="32"/>
          <w:szCs w:val="32"/>
          <w:lang w:val="en-US" w:eastAsia="zh-CN"/>
        </w:rPr>
        <w:t>科技创新人才面临昆明主城区及周边区域的虹吸效应，主要表现为薪酬待遇差距显著（本地企业薪资普遍低于主城区20%～40%）、高端配套设施不足（如人才公寓、子女教育资源匮乏）以及由于新兴产业布局薄弱导致的职业发展空间受限，导致高端人才“引不进、留不住”。同时，周边区域相继出台了更优的政策吸引人才，加剧了晋宁区本地创新主体培育难度。</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区域周边产业同质化竞争。</w:t>
      </w:r>
      <w:r>
        <w:rPr>
          <w:rFonts w:hint="eastAsia" w:ascii="仿宋_GB2312" w:hAnsi="仿宋_GB2312" w:eastAsia="仿宋_GB2312" w:cs="仿宋_GB2312"/>
          <w:color w:val="auto"/>
          <w:sz w:val="32"/>
          <w:szCs w:val="32"/>
          <w:lang w:val="en-US" w:eastAsia="zh-CN"/>
        </w:rPr>
        <w:t>花卉、磷化工等产业与玉溪、安宁等地存在同质化竞争问题，晋宁花卉产业集中于鲜切花种植，但配套的精深加工（如精油、化妆品原料）产业链不足，而玉溪则正在通过低附加值初级产品实现快速扩张，晋宁花卉产业面临挑战；磷化工领域，晋宁区与安宁工业园形成同质化布局。亟需进行高附加值产品延伸及绿色技术突破构建差异化创新路径，推动产业链持续攀升。</w:t>
      </w:r>
    </w:p>
    <w:p>
      <w:pPr>
        <w:numPr>
          <w:ilvl w:val="0"/>
          <w:numId w:val="4"/>
        </w:numPr>
        <w:bidi w:val="0"/>
        <w:spacing w:line="560" w:lineRule="exact"/>
        <w:ind w:left="0" w:leftChars="0" w:firstLine="642" w:firstLineChars="200"/>
        <w:outlineLvl w:val="3"/>
        <w:rPr>
          <w:rFonts w:hint="eastAsia" w:eastAsia="仿宋_GB2312" w:asciiTheme="minorAscii" w:hAnsiTheme="minorAscii"/>
          <w:b/>
          <w:bCs/>
          <w:color w:val="auto"/>
          <w:sz w:val="32"/>
          <w:highlight w:val="none"/>
          <w:lang w:val="en-US" w:eastAsia="zh-CN"/>
        </w:rPr>
      </w:pPr>
      <w:r>
        <w:rPr>
          <w:rFonts w:hint="eastAsia" w:eastAsia="仿宋_GB2312" w:asciiTheme="minorAscii" w:hAnsiTheme="minorAscii"/>
          <w:b/>
          <w:bCs/>
          <w:color w:val="auto"/>
          <w:sz w:val="32"/>
          <w:highlight w:val="none"/>
          <w:lang w:val="en-US" w:eastAsia="zh-CN"/>
        </w:rPr>
        <w:t>生态与科技融合面临挑战</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生态与科技融合面临多重挑战。</w:t>
      </w:r>
      <w:r>
        <w:rPr>
          <w:rFonts w:hint="eastAsia" w:ascii="仿宋_GB2312" w:hAnsi="仿宋_GB2312" w:eastAsia="仿宋_GB2312" w:cs="仿宋_GB2312"/>
          <w:color w:val="auto"/>
          <w:sz w:val="32"/>
          <w:szCs w:val="32"/>
          <w:lang w:val="en-US" w:eastAsia="zh-CN"/>
        </w:rPr>
        <w:t>在绿色技术应用层面，晋宁技术更新迭代速度滞后于生态发展需求，传统农业生产模式仍占据主导地位，高效节水灌溉、生物防治等生态友好型技术推广缓慢。在农业面源污染治理领域，依赖财政补贴维持治理工作运转，尚未形成长效治理机制，企业因研发投入回报周期长、风险高，缺乏自主研发动力，导致技术创新供给不足。生态技术成果转化体系存在明显短板，高校、科研院所的前沿技术与地方实际需求存在脱节现象，技术适配性差、转化效率低等问题突出，制约了生态与科技深度融合的高质量发展进程。</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十五五”时期，晋宁科技创新将面临多方面挑战。科技逆全球化加剧技术封锁与国际合作受阻，导致产业链韧性承压；产业结构上将继续面临传统产业主导、新兴产业滞后，创新投入与转化不足的局面；科技创新要素支撑薄弱，高端人才匮乏、青年人才流失，研发投入偏低；区域竞争中人才被虹吸，花卉、磷化工等产业与周边同质化；生态与科技融合绿色技术滞后，成果转化低效。</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630" w:leftChars="0"/>
        <w:textAlignment w:val="auto"/>
        <w:outlineLvl w:val="1"/>
        <w:rPr>
          <w:rFonts w:hint="eastAsia" w:ascii="黑体" w:hAnsi="黑体" w:eastAsia="黑体" w:cs="黑体"/>
          <w:b/>
          <w:bCs w:val="0"/>
          <w:color w:val="auto"/>
          <w:kern w:val="44"/>
          <w:sz w:val="32"/>
          <w:szCs w:val="32"/>
          <w:highlight w:val="none"/>
          <w:lang w:val="en-US" w:eastAsia="zh-CN" w:bidi="ar-SA"/>
        </w:rPr>
      </w:pPr>
      <w:bookmarkStart w:id="6" w:name="_Toc18781"/>
      <w:r>
        <w:rPr>
          <w:rFonts w:hint="eastAsia" w:ascii="黑体" w:hAnsi="黑体" w:eastAsia="黑体" w:cs="黑体"/>
          <w:b/>
          <w:bCs w:val="0"/>
          <w:color w:val="auto"/>
          <w:kern w:val="44"/>
          <w:sz w:val="32"/>
          <w:szCs w:val="32"/>
          <w:highlight w:val="none"/>
          <w:lang w:val="en-US" w:eastAsia="zh-CN" w:bidi="ar-SA"/>
        </w:rPr>
        <w:t>三、总体要求</w:t>
      </w:r>
      <w:bookmarkEnd w:id="6"/>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textAlignment w:val="auto"/>
        <w:outlineLvl w:val="2"/>
        <w:rPr>
          <w:rFonts w:hint="eastAsia" w:ascii="黑体" w:hAnsi="黑体" w:eastAsia="黑体" w:cs="黑体"/>
          <w:b/>
          <w:color w:val="auto"/>
          <w:kern w:val="2"/>
          <w:sz w:val="32"/>
          <w:szCs w:val="32"/>
          <w:highlight w:val="none"/>
          <w:lang w:val="en-US" w:eastAsia="zh-CN" w:bidi="ar-SA"/>
        </w:rPr>
      </w:pPr>
      <w:bookmarkStart w:id="7" w:name="_Toc28561"/>
      <w:r>
        <w:rPr>
          <w:rFonts w:hint="eastAsia" w:ascii="黑体" w:hAnsi="黑体" w:eastAsia="黑体" w:cs="黑体"/>
          <w:b/>
          <w:color w:val="auto"/>
          <w:kern w:val="2"/>
          <w:sz w:val="32"/>
          <w:szCs w:val="32"/>
          <w:highlight w:val="none"/>
          <w:lang w:val="en-US" w:eastAsia="zh-CN" w:bidi="ar-SA"/>
        </w:rPr>
        <w:t xml:space="preserve">    （一）指导思想</w:t>
      </w:r>
      <w:bookmarkEnd w:id="7"/>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坚持以习近平新时代中国特色社会主义思想为指导，全面深入贯彻落实党的二十大和二十届二中、三中全会精神，深入落实习近平总书记考察云南重要讲话精神，深入贯彻实施省、市相关会议精神，锚定云南省“3815”战略发展目标和昆明市“六个春城”建设目标要求，立足新发展阶段和自身发展特征</w:t>
      </w:r>
      <w:r>
        <w:rPr>
          <w:rFonts w:hint="eastAsia" w:ascii="仿宋_GB2312" w:hAnsi="仿宋_GB2312" w:eastAsia="仿宋_GB2312" w:cs="仿宋_GB2312"/>
          <w:color w:val="auto"/>
          <w:sz w:val="32"/>
          <w:szCs w:val="32"/>
          <w:highlight w:val="none"/>
          <w:lang w:val="en-US" w:eastAsia="zh-CN"/>
        </w:rPr>
        <w:t>，加快培育新质生产力。以科技创新为核心驱动力，以产业创新升级为主要突破口，以创新生态治理为重要抓手，推动科技成果转移转化快速落地，着力</w:t>
      </w:r>
      <w:r>
        <w:rPr>
          <w:rFonts w:hint="eastAsia" w:ascii="仿宋_GB2312" w:hAnsi="仿宋_GB2312" w:eastAsia="仿宋_GB2312" w:cs="仿宋_GB2312"/>
          <w:color w:val="auto"/>
          <w:sz w:val="32"/>
          <w:szCs w:val="32"/>
          <w:lang w:val="en-US" w:eastAsia="zh-CN"/>
        </w:rPr>
        <w:t>将科技成果转化为民生福祉。</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以“三大经济”为重要路径，依托科技创新赋能产业高质量发展。以数字技术、生物技术等前沿科技，全力打造全球知名玫瑰切花基地；聚焦精细磷化工高端化、智能化发展，突破磷资源高效利用、绿色合成催化等关键技术，打造具有国际竞争力的绿色磷化产业高地；以现代物流技术创新为支撑，加速建设昆明市国际陆港物流枢纽；以文化科技融合为路径，赋能古滇历史文化名城建设。通过科技创新与产业深度融合，持续优化区域创新生态，为新时代中国式现代化的晋宁实践注入强劲动能。</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2" w:firstLineChars="200"/>
        <w:textAlignment w:val="auto"/>
        <w:outlineLvl w:val="2"/>
        <w:rPr>
          <w:rFonts w:hint="eastAsia" w:ascii="黑体" w:hAnsi="黑体" w:eastAsia="黑体" w:cs="黑体"/>
          <w:b/>
          <w:color w:val="auto"/>
          <w:kern w:val="2"/>
          <w:sz w:val="32"/>
          <w:szCs w:val="32"/>
          <w:highlight w:val="none"/>
          <w:lang w:val="en-US" w:eastAsia="zh-CN" w:bidi="ar-SA"/>
        </w:rPr>
      </w:pPr>
      <w:bookmarkStart w:id="8" w:name="_Toc32104"/>
      <w:r>
        <w:rPr>
          <w:rFonts w:hint="eastAsia" w:ascii="黑体" w:hAnsi="黑体" w:eastAsia="黑体" w:cs="黑体"/>
          <w:b/>
          <w:color w:val="auto"/>
          <w:kern w:val="2"/>
          <w:sz w:val="32"/>
          <w:szCs w:val="32"/>
          <w:highlight w:val="none"/>
          <w:lang w:val="en-US" w:eastAsia="zh-CN" w:bidi="ar-SA"/>
        </w:rPr>
        <w:t>（二）基本原则</w:t>
      </w:r>
      <w:bookmarkEnd w:id="8"/>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2" w:firstLineChars="200"/>
        <w:jc w:val="both"/>
        <w:textAlignment w:val="auto"/>
        <w:outlineLvl w:val="3"/>
        <w:rPr>
          <w:rFonts w:hint="eastAsia" w:ascii="仿宋_GB2312" w:hAnsi="仿宋_GB2312" w:eastAsia="仿宋_GB2312" w:cs="仿宋_GB2312"/>
          <w:color w:val="auto"/>
          <w:sz w:val="32"/>
          <w:szCs w:val="32"/>
          <w:lang w:val="en-US" w:eastAsia="zh-CN"/>
        </w:rPr>
      </w:pPr>
      <w:r>
        <w:rPr>
          <w:rFonts w:hint="eastAsia" w:eastAsia="仿宋_GB2312" w:asciiTheme="minorAscii" w:hAnsiTheme="minorAscii"/>
          <w:b/>
          <w:bCs/>
          <w:color w:val="auto"/>
          <w:sz w:val="32"/>
          <w:highlight w:val="none"/>
          <w:lang w:val="en-US" w:eastAsia="zh-CN"/>
        </w:rPr>
        <w:t>1.坚持生态优先原则</w:t>
      </w:r>
      <w:r>
        <w:rPr>
          <w:rFonts w:hint="eastAsia" w:ascii="仿宋_GB2312" w:hAnsi="仿宋_GB2312" w:eastAsia="仿宋_GB2312" w:cs="仿宋_GB2312"/>
          <w:color w:val="auto"/>
          <w:sz w:val="32"/>
          <w:szCs w:val="32"/>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对接国家</w:t>
      </w:r>
      <w:r>
        <w:rPr>
          <w:rFonts w:hint="eastAsia" w:ascii="仿宋_GB2312" w:hAnsi="仿宋_GB2312" w:eastAsia="仿宋_GB2312" w:cs="仿宋_GB2312"/>
          <w:color w:val="auto"/>
          <w:sz w:val="32"/>
          <w:szCs w:val="32"/>
          <w:highlight w:val="none"/>
          <w:lang w:val="en-US" w:eastAsia="zh-CN"/>
        </w:rPr>
        <w:t>“双碳”、</w:t>
      </w:r>
      <w:r>
        <w:rPr>
          <w:rFonts w:hint="eastAsia" w:ascii="仿宋_GB2312" w:hAnsi="仿宋_GB2312" w:eastAsia="仿宋_GB2312" w:cs="仿宋_GB2312"/>
          <w:color w:val="auto"/>
          <w:sz w:val="32"/>
          <w:szCs w:val="32"/>
          <w:lang w:val="en-US" w:eastAsia="zh-CN"/>
        </w:rPr>
        <w:t>乡村振兴战略，落实云南“3815”生态屏障建设，以滇池治理为核心构建“科技+生态”体系，推动磷化工绿色工艺、现代花卉种植技术攻关，打造生态保护与产业转型示范样板。</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2" w:firstLineChars="200"/>
        <w:jc w:val="both"/>
        <w:textAlignment w:val="auto"/>
        <w:outlineLvl w:val="3"/>
        <w:rPr>
          <w:rFonts w:hint="eastAsia" w:ascii="仿宋_GB2312" w:hAnsi="仿宋_GB2312" w:eastAsia="仿宋_GB2312" w:cs="仿宋_GB2312"/>
          <w:color w:val="auto"/>
          <w:sz w:val="32"/>
          <w:szCs w:val="32"/>
          <w:lang w:val="en-US" w:eastAsia="zh-CN"/>
        </w:rPr>
      </w:pPr>
      <w:r>
        <w:rPr>
          <w:rFonts w:hint="eastAsia" w:eastAsia="仿宋_GB2312" w:asciiTheme="minorAscii" w:hAnsiTheme="minorAscii"/>
          <w:b/>
          <w:bCs/>
          <w:color w:val="auto"/>
          <w:sz w:val="32"/>
          <w:highlight w:val="none"/>
          <w:lang w:val="en-US" w:eastAsia="zh-CN"/>
        </w:rPr>
        <w:t>2.坚持市场主体原则</w:t>
      </w:r>
      <w:r>
        <w:rPr>
          <w:rFonts w:hint="eastAsia" w:ascii="仿宋_GB2312" w:hAnsi="仿宋_GB2312" w:eastAsia="仿宋_GB2312" w:cs="仿宋_GB2312"/>
          <w:color w:val="auto"/>
          <w:sz w:val="32"/>
          <w:szCs w:val="32"/>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响应国家“专精特新”培育政策，构建“科技型中小企业—高企—领军企业”梯度，依托省市创新平台开展产业链攻关，落实“科技副总”“一企一策”服务，强化企业创新核心地位。</w:t>
      </w:r>
    </w:p>
    <w:p>
      <w:pPr>
        <w:numPr>
          <w:ilvl w:val="0"/>
          <w:numId w:val="0"/>
        </w:numPr>
        <w:bidi w:val="0"/>
        <w:spacing w:line="560" w:lineRule="exact"/>
        <w:ind w:leftChars="200" w:firstLine="321" w:firstLineChars="100"/>
        <w:outlineLvl w:val="3"/>
        <w:rPr>
          <w:rFonts w:hint="eastAsia" w:eastAsia="仿宋_GB2312" w:asciiTheme="minorAscii" w:hAnsiTheme="minorAscii"/>
          <w:b/>
          <w:bCs/>
          <w:color w:val="auto"/>
          <w:sz w:val="32"/>
          <w:highlight w:val="none"/>
          <w:lang w:val="en-US" w:eastAsia="zh-CN"/>
        </w:rPr>
      </w:pPr>
      <w:r>
        <w:rPr>
          <w:rFonts w:hint="eastAsia" w:eastAsia="仿宋_GB2312" w:asciiTheme="minorAscii" w:hAnsiTheme="minorAscii"/>
          <w:b/>
          <w:bCs/>
          <w:color w:val="auto"/>
          <w:sz w:val="32"/>
          <w:highlight w:val="none"/>
          <w:lang w:val="en-US" w:eastAsia="zh-CN"/>
        </w:rPr>
        <w:t>3.坚持开放合作原则</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立足磷矿、花卉等资源禀赋，建设花卉种质资源库、研发中心等创新载体，开发高附加值产品。深化与南亚东南亚技术合作，依托腾俊国际陆港建设跨境技术转移中心，推动智慧农业装备、跨境电商技术输出，实现“本地研发+区域转化”联动。</w:t>
      </w:r>
    </w:p>
    <w:p>
      <w:pPr>
        <w:numPr>
          <w:ilvl w:val="0"/>
          <w:numId w:val="0"/>
        </w:numPr>
        <w:bidi w:val="0"/>
        <w:spacing w:line="560" w:lineRule="exact"/>
        <w:ind w:leftChars="200" w:firstLine="321" w:firstLineChars="100"/>
        <w:outlineLvl w:val="3"/>
        <w:rPr>
          <w:rFonts w:hint="eastAsia" w:eastAsia="仿宋_GB2312" w:asciiTheme="minorAscii" w:hAnsiTheme="minorAscii"/>
          <w:b/>
          <w:bCs/>
          <w:color w:val="auto"/>
          <w:sz w:val="32"/>
          <w:highlight w:val="none"/>
          <w:lang w:val="en-US" w:eastAsia="zh-CN"/>
        </w:rPr>
      </w:pPr>
      <w:r>
        <w:rPr>
          <w:rFonts w:hint="eastAsia" w:eastAsia="仿宋_GB2312" w:asciiTheme="minorAscii" w:hAnsiTheme="minorAscii"/>
          <w:b/>
          <w:bCs/>
          <w:color w:val="auto"/>
          <w:sz w:val="32"/>
          <w:highlight w:val="none"/>
          <w:lang w:val="en-US" w:eastAsia="zh-CN"/>
        </w:rPr>
        <w:t>4.坚持赋能民生原则</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落实数字中国、数字云南战略，推广智慧农业、滇池智慧监测、康养AI服务等场景应用，建设区块链花卉溯源、区域性康养科技园区，打造智慧物流、文旅等标杆场景。</w:t>
      </w:r>
    </w:p>
    <w:p>
      <w:pPr>
        <w:numPr>
          <w:ilvl w:val="0"/>
          <w:numId w:val="0"/>
        </w:numPr>
        <w:bidi w:val="0"/>
        <w:spacing w:line="560" w:lineRule="exact"/>
        <w:ind w:leftChars="200" w:firstLine="321" w:firstLineChars="100"/>
        <w:outlineLvl w:val="3"/>
        <w:rPr>
          <w:rFonts w:hint="eastAsia" w:eastAsia="仿宋_GB2312" w:asciiTheme="minorAscii" w:hAnsiTheme="minorAscii"/>
          <w:b/>
          <w:bCs/>
          <w:color w:val="auto"/>
          <w:sz w:val="32"/>
          <w:highlight w:val="none"/>
          <w:lang w:val="en-US" w:eastAsia="zh-CN"/>
        </w:rPr>
      </w:pPr>
      <w:r>
        <w:rPr>
          <w:rFonts w:hint="eastAsia" w:eastAsia="仿宋_GB2312" w:asciiTheme="minorAscii" w:hAnsiTheme="minorAscii"/>
          <w:b/>
          <w:bCs/>
          <w:color w:val="auto"/>
          <w:sz w:val="32"/>
          <w:highlight w:val="none"/>
          <w:lang w:val="en-US" w:eastAsia="zh-CN"/>
        </w:rPr>
        <w:t>5.坚持协同创新原则</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对接科技金融政策，设立产业基金、推广“科技支行”信贷，构建“政产学研用金”网络，落实“科技特派员+乡贤人才”机制，强化人才与金融对全域创新的支撑。</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560" w:lineRule="exact"/>
        <w:ind w:firstLine="642" w:firstLineChars="200"/>
        <w:textAlignment w:val="auto"/>
        <w:outlineLvl w:val="2"/>
        <w:rPr>
          <w:rFonts w:hint="eastAsia" w:ascii="黑体" w:hAnsi="黑体" w:eastAsia="黑体" w:cs="黑体"/>
          <w:b/>
          <w:color w:val="auto"/>
          <w:kern w:val="2"/>
          <w:sz w:val="32"/>
          <w:szCs w:val="32"/>
          <w:highlight w:val="none"/>
          <w:lang w:val="en-US" w:eastAsia="zh-CN" w:bidi="ar-SA"/>
        </w:rPr>
      </w:pPr>
      <w:bookmarkStart w:id="9" w:name="_Toc15486"/>
      <w:r>
        <w:rPr>
          <w:rFonts w:hint="eastAsia" w:ascii="黑体" w:hAnsi="黑体" w:eastAsia="黑体" w:cs="黑体"/>
          <w:b/>
          <w:color w:val="auto"/>
          <w:kern w:val="2"/>
          <w:sz w:val="32"/>
          <w:szCs w:val="32"/>
          <w:highlight w:val="none"/>
          <w:lang w:val="en-US" w:eastAsia="zh-CN" w:bidi="ar-SA"/>
        </w:rPr>
        <w:t>（三）发展定位</w:t>
      </w:r>
      <w:bookmarkEnd w:id="9"/>
    </w:p>
    <w:p>
      <w:pPr>
        <w:pStyle w:val="5"/>
        <w:keepNext w:val="0"/>
        <w:keepLines w:val="0"/>
        <w:pageBreakBefore w:val="0"/>
        <w:widowControl/>
        <w:suppressLineNumbers w:val="0"/>
        <w:pBdr>
          <w:bottom w:val="none" w:color="auto" w:sz="0" w:space="0"/>
        </w:pBdr>
        <w:shd w:val="clear" w:fill="FFFFFF"/>
        <w:kinsoku/>
        <w:wordWrap/>
        <w:overflowPunct/>
        <w:topLinePunct w:val="0"/>
        <w:autoSpaceDE/>
        <w:autoSpaceDN/>
        <w:bidi w:val="0"/>
        <w:adjustRightInd/>
        <w:snapToGrid/>
        <w:spacing w:before="0" w:beforeAutospacing="0" w:afterAutospacing="0" w:line="560" w:lineRule="exact"/>
        <w:ind w:left="0" w:firstLine="642" w:firstLineChars="200"/>
        <w:textAlignment w:val="auto"/>
        <w:outlineLvl w:val="3"/>
        <w:rPr>
          <w:rFonts w:hint="eastAsia" w:ascii="仿宋_GB2312" w:hAnsi="仿宋_GB2312" w:eastAsia="仿宋_GB2312" w:cs="仿宋_GB2312"/>
          <w:b/>
          <w:bCs/>
          <w:color w:val="auto"/>
          <w:kern w:val="2"/>
          <w:sz w:val="32"/>
          <w:szCs w:val="32"/>
          <w:lang w:val="en-US" w:eastAsia="zh-CN" w:bidi="ar-SA"/>
        </w:rPr>
      </w:pPr>
      <w:r>
        <w:rPr>
          <w:rFonts w:hint="eastAsia" w:ascii="仿宋_GB2312" w:hAnsi="仿宋_GB2312" w:eastAsia="仿宋_GB2312" w:cs="仿宋_GB2312"/>
          <w:b/>
          <w:bCs/>
          <w:color w:val="auto"/>
          <w:kern w:val="2"/>
          <w:sz w:val="32"/>
          <w:szCs w:val="32"/>
          <w:lang w:val="en-US" w:eastAsia="zh-CN" w:bidi="ar-SA"/>
        </w:rPr>
        <w:t>1.总体定位</w:t>
      </w:r>
    </w:p>
    <w:p>
      <w:pPr>
        <w:keepNext w:val="0"/>
        <w:keepLines w:val="0"/>
        <w:pageBreakBefore w:val="0"/>
        <w:widowControl/>
        <w:suppressLineNumbers w:val="0"/>
        <w:pBdr>
          <w:bottom w:val="none" w:color="auto" w:sz="0" w:space="0"/>
        </w:pBdr>
        <w:shd w:val="clear" w:fill="FFFFFF"/>
        <w:kinsoku/>
        <w:wordWrap/>
        <w:overflowPunct/>
        <w:topLinePunct w:val="0"/>
        <w:autoSpaceDE/>
        <w:autoSpaceDN/>
        <w:bidi w:val="0"/>
        <w:adjustRightInd/>
        <w:snapToGrid/>
        <w:spacing w:before="0" w:beforeAutospacing="0" w:afterAutospacing="0" w:line="560" w:lineRule="exact"/>
        <w:ind w:left="0" w:firstLine="640" w:firstLineChars="200"/>
        <w:textAlignment w:val="auto"/>
        <w:outlineLvl w:val="9"/>
        <w:rPr>
          <w:rFonts w:hint="default" w:ascii="仿宋_GB2312" w:hAnsi="仿宋_GB2312" w:eastAsia="仿宋_GB2312" w:cs="仿宋_GB2312"/>
          <w:b w:val="0"/>
          <w:bCs w:val="0"/>
          <w:color w:val="auto"/>
          <w:kern w:val="2"/>
          <w:sz w:val="32"/>
          <w:szCs w:val="32"/>
          <w:lang w:val="en-US" w:eastAsia="zh-CN" w:bidi="ar-SA"/>
        </w:rPr>
      </w:pPr>
      <w:r>
        <w:rPr>
          <w:rFonts w:hint="default" w:ascii="仿宋_GB2312" w:hAnsi="仿宋_GB2312" w:eastAsia="仿宋_GB2312" w:cs="仿宋_GB2312"/>
          <w:b w:val="0"/>
          <w:bCs w:val="0"/>
          <w:color w:val="auto"/>
          <w:kern w:val="2"/>
          <w:sz w:val="32"/>
          <w:szCs w:val="32"/>
          <w:lang w:val="en-US" w:eastAsia="zh-CN" w:bidi="ar-SA"/>
        </w:rPr>
        <w:t>依托晋宁融入昆明主城区的协同发展优势，聚焦“磷化工绿色转型、花卉科创引领、现代物流数智升级</w:t>
      </w:r>
      <w:r>
        <w:rPr>
          <w:rFonts w:hint="eastAsia" w:ascii="仿宋_GB2312" w:hAnsi="仿宋_GB2312" w:eastAsia="仿宋_GB2312" w:cs="仿宋_GB2312"/>
          <w:b w:val="0"/>
          <w:bCs w:val="0"/>
          <w:color w:val="auto"/>
          <w:kern w:val="2"/>
          <w:sz w:val="32"/>
          <w:szCs w:val="32"/>
          <w:lang w:val="en-US" w:eastAsia="zh-CN" w:bidi="ar-SA"/>
        </w:rPr>
        <w:t>、</w:t>
      </w:r>
      <w:r>
        <w:rPr>
          <w:rFonts w:hint="default" w:ascii="仿宋_GB2312" w:hAnsi="仿宋_GB2312" w:eastAsia="仿宋_GB2312" w:cs="仿宋_GB2312"/>
          <w:b w:val="0"/>
          <w:bCs w:val="0"/>
          <w:color w:val="auto"/>
          <w:kern w:val="2"/>
          <w:sz w:val="32"/>
          <w:szCs w:val="32"/>
          <w:lang w:val="en-US" w:eastAsia="zh-CN" w:bidi="ar-SA"/>
        </w:rPr>
        <w:t>文化赋能增效”</w:t>
      </w:r>
      <w:r>
        <w:rPr>
          <w:rFonts w:hint="eastAsia" w:ascii="仿宋_GB2312" w:hAnsi="仿宋_GB2312" w:eastAsia="仿宋_GB2312" w:cs="仿宋_GB2312"/>
          <w:b w:val="0"/>
          <w:bCs w:val="0"/>
          <w:color w:val="auto"/>
          <w:kern w:val="2"/>
          <w:sz w:val="32"/>
          <w:szCs w:val="32"/>
          <w:lang w:val="en-US" w:eastAsia="zh-CN" w:bidi="ar-SA"/>
        </w:rPr>
        <w:t>四</w:t>
      </w:r>
      <w:r>
        <w:rPr>
          <w:rFonts w:hint="default" w:ascii="仿宋_GB2312" w:hAnsi="仿宋_GB2312" w:eastAsia="仿宋_GB2312" w:cs="仿宋_GB2312"/>
          <w:b w:val="0"/>
          <w:bCs w:val="0"/>
          <w:color w:val="auto"/>
          <w:kern w:val="2"/>
          <w:sz w:val="32"/>
          <w:szCs w:val="32"/>
          <w:lang w:val="en-US" w:eastAsia="zh-CN" w:bidi="ar-SA"/>
        </w:rPr>
        <w:t>大核心</w:t>
      </w:r>
      <w:r>
        <w:rPr>
          <w:rFonts w:hint="eastAsia" w:ascii="仿宋_GB2312" w:hAnsi="仿宋_GB2312" w:eastAsia="仿宋_GB2312" w:cs="仿宋_GB2312"/>
          <w:b w:val="0"/>
          <w:bCs w:val="0"/>
          <w:color w:val="auto"/>
          <w:kern w:val="2"/>
          <w:sz w:val="32"/>
          <w:szCs w:val="32"/>
          <w:lang w:val="en-US" w:eastAsia="zh-CN" w:bidi="ar-SA"/>
        </w:rPr>
        <w:t>领域</w:t>
      </w:r>
      <w:r>
        <w:rPr>
          <w:rFonts w:hint="default" w:ascii="仿宋_GB2312" w:hAnsi="仿宋_GB2312" w:eastAsia="仿宋_GB2312" w:cs="仿宋_GB2312"/>
          <w:b w:val="0"/>
          <w:bCs w:val="0"/>
          <w:color w:val="auto"/>
          <w:kern w:val="2"/>
          <w:sz w:val="32"/>
          <w:szCs w:val="32"/>
          <w:lang w:val="en-US" w:eastAsia="zh-CN" w:bidi="ar-SA"/>
        </w:rPr>
        <w:t>，以特色产业尖端突破、区域协同创新网络、国际产能合作枢纽为支撑，构建</w:t>
      </w:r>
      <w:r>
        <w:rPr>
          <w:rFonts w:hint="default" w:ascii="仿宋_GB2312" w:hAnsi="仿宋_GB2312" w:eastAsia="仿宋_GB2312" w:cs="仿宋_GB2312"/>
          <w:b/>
          <w:bCs/>
          <w:color w:val="auto"/>
          <w:kern w:val="2"/>
          <w:sz w:val="32"/>
          <w:szCs w:val="32"/>
          <w:lang w:val="en-US" w:eastAsia="zh-CN" w:bidi="ar-SA"/>
        </w:rPr>
        <w:t>“科创资源高效集聚、创新主体活力迸发、产业技术深度融合、绿色低碳特色鲜明”</w:t>
      </w:r>
      <w:r>
        <w:rPr>
          <w:rFonts w:hint="default" w:ascii="仿宋_GB2312" w:hAnsi="仿宋_GB2312" w:eastAsia="仿宋_GB2312" w:cs="仿宋_GB2312"/>
          <w:b w:val="0"/>
          <w:bCs w:val="0"/>
          <w:color w:val="auto"/>
          <w:kern w:val="2"/>
          <w:sz w:val="32"/>
          <w:szCs w:val="32"/>
          <w:lang w:val="en-US" w:eastAsia="zh-CN" w:bidi="ar-SA"/>
        </w:rPr>
        <w:t>的昆明主城科创协同示范区</w:t>
      </w:r>
      <w:r>
        <w:rPr>
          <w:rFonts w:hint="eastAsia" w:ascii="仿宋_GB2312" w:hAnsi="仿宋_GB2312" w:eastAsia="仿宋_GB2312" w:cs="仿宋_GB2312"/>
          <w:b w:val="0"/>
          <w:bCs w:val="0"/>
          <w:color w:val="auto"/>
          <w:kern w:val="2"/>
          <w:sz w:val="32"/>
          <w:szCs w:val="32"/>
          <w:lang w:val="en-US" w:eastAsia="zh-CN" w:bidi="ar-SA"/>
        </w:rPr>
        <w:t>，力争打造为</w:t>
      </w:r>
      <w:r>
        <w:rPr>
          <w:rFonts w:hint="default" w:ascii="仿宋_GB2312" w:hAnsi="仿宋_GB2312" w:eastAsia="仿宋_GB2312" w:cs="仿宋_GB2312"/>
          <w:b w:val="0"/>
          <w:bCs w:val="0"/>
          <w:color w:val="auto"/>
          <w:kern w:val="2"/>
          <w:sz w:val="32"/>
          <w:szCs w:val="32"/>
          <w:lang w:val="en-US" w:eastAsia="zh-CN" w:bidi="ar-SA"/>
        </w:rPr>
        <w:t>云南省产业创新增长极和面向</w:t>
      </w:r>
      <w:r>
        <w:rPr>
          <w:rFonts w:hint="eastAsia" w:ascii="仿宋_GB2312" w:hAnsi="仿宋_GB2312" w:eastAsia="仿宋_GB2312" w:cs="仿宋_GB2312"/>
          <w:b w:val="0"/>
          <w:bCs w:val="0"/>
          <w:color w:val="auto"/>
          <w:kern w:val="2"/>
          <w:sz w:val="32"/>
          <w:szCs w:val="32"/>
          <w:highlight w:val="none"/>
          <w:lang w:val="en-US" w:eastAsia="zh-CN" w:bidi="ar-SA"/>
        </w:rPr>
        <w:t>南亚东南亚</w:t>
      </w:r>
      <w:r>
        <w:rPr>
          <w:rFonts w:hint="default" w:ascii="仿宋_GB2312" w:hAnsi="仿宋_GB2312" w:eastAsia="仿宋_GB2312" w:cs="仿宋_GB2312"/>
          <w:b w:val="0"/>
          <w:bCs w:val="0"/>
          <w:color w:val="auto"/>
          <w:kern w:val="2"/>
          <w:sz w:val="32"/>
          <w:szCs w:val="32"/>
          <w:lang w:val="en-US" w:eastAsia="zh-CN" w:bidi="ar-SA"/>
        </w:rPr>
        <w:t>的科技合作前沿阵地。</w:t>
      </w:r>
    </w:p>
    <w:p>
      <w:pPr>
        <w:pStyle w:val="5"/>
        <w:keepNext w:val="0"/>
        <w:keepLines w:val="0"/>
        <w:pageBreakBefore w:val="0"/>
        <w:widowControl/>
        <w:suppressLineNumbers w:val="0"/>
        <w:pBdr>
          <w:bottom w:val="none" w:color="auto" w:sz="0" w:space="0"/>
        </w:pBdr>
        <w:shd w:val="clear" w:fill="FFFFFF"/>
        <w:kinsoku/>
        <w:wordWrap/>
        <w:overflowPunct/>
        <w:topLinePunct w:val="0"/>
        <w:autoSpaceDE/>
        <w:autoSpaceDN/>
        <w:bidi w:val="0"/>
        <w:adjustRightInd/>
        <w:snapToGrid/>
        <w:spacing w:before="0" w:beforeAutospacing="0" w:afterAutospacing="0" w:line="560" w:lineRule="exact"/>
        <w:ind w:left="0" w:firstLine="642" w:firstLineChars="200"/>
        <w:textAlignment w:val="auto"/>
        <w:outlineLvl w:val="3"/>
        <w:rPr>
          <w:rFonts w:hint="default" w:ascii="仿宋_GB2312" w:hAnsi="仿宋_GB2312" w:eastAsia="仿宋_GB2312" w:cs="仿宋_GB2312"/>
          <w:b/>
          <w:bCs/>
          <w:color w:val="auto"/>
          <w:kern w:val="2"/>
          <w:sz w:val="32"/>
          <w:szCs w:val="32"/>
          <w:lang w:val="en-US" w:eastAsia="zh-CN" w:bidi="ar-SA"/>
        </w:rPr>
      </w:pPr>
      <w:r>
        <w:rPr>
          <w:rFonts w:hint="eastAsia" w:ascii="仿宋_GB2312" w:hAnsi="仿宋_GB2312" w:eastAsia="仿宋_GB2312" w:cs="仿宋_GB2312"/>
          <w:b/>
          <w:bCs/>
          <w:color w:val="auto"/>
          <w:kern w:val="2"/>
          <w:sz w:val="32"/>
          <w:szCs w:val="32"/>
          <w:lang w:val="en-US" w:eastAsia="zh-CN" w:bidi="ar-SA"/>
        </w:rPr>
        <w:t>2.</w:t>
      </w:r>
      <w:r>
        <w:rPr>
          <w:rFonts w:hint="default" w:ascii="仿宋_GB2312" w:hAnsi="仿宋_GB2312" w:eastAsia="仿宋_GB2312" w:cs="仿宋_GB2312"/>
          <w:b/>
          <w:bCs/>
          <w:color w:val="auto"/>
          <w:kern w:val="2"/>
          <w:sz w:val="32"/>
          <w:szCs w:val="32"/>
          <w:lang w:val="en-US" w:eastAsia="zh-CN" w:bidi="ar-SA"/>
        </w:rPr>
        <w:t>功能定位</w:t>
      </w:r>
    </w:p>
    <w:p>
      <w:pPr>
        <w:keepNext w:val="0"/>
        <w:keepLines w:val="0"/>
        <w:pageBreakBefore w:val="0"/>
        <w:widowControl/>
        <w:suppressLineNumbers w:val="0"/>
        <w:shd w:val="clear" w:fill="FFFFFF"/>
        <w:kinsoku/>
        <w:wordWrap/>
        <w:overflowPunct/>
        <w:topLinePunct w:val="0"/>
        <w:autoSpaceDE/>
        <w:autoSpaceDN/>
        <w:bidi w:val="0"/>
        <w:adjustRightInd/>
        <w:snapToGrid/>
        <w:spacing w:afterAutospacing="0" w:line="560" w:lineRule="exact"/>
        <w:ind w:firstLine="642" w:firstLineChars="200"/>
        <w:jc w:val="left"/>
        <w:textAlignment w:val="auto"/>
        <w:rPr>
          <w:rFonts w:hint="default" w:ascii="仿宋_GB2312" w:hAnsi="仿宋_GB2312" w:eastAsia="仿宋_GB2312" w:cs="仿宋_GB2312"/>
          <w:b/>
          <w:bCs/>
          <w:color w:val="auto"/>
          <w:kern w:val="2"/>
          <w:sz w:val="32"/>
          <w:szCs w:val="32"/>
          <w:lang w:val="en-US" w:eastAsia="zh-CN" w:bidi="ar-SA"/>
        </w:rPr>
      </w:pPr>
      <w:r>
        <w:rPr>
          <w:rFonts w:hint="default" w:ascii="仿宋_GB2312" w:hAnsi="仿宋_GB2312" w:eastAsia="仿宋_GB2312" w:cs="仿宋_GB2312"/>
          <w:b/>
          <w:bCs/>
          <w:color w:val="auto"/>
          <w:kern w:val="2"/>
          <w:sz w:val="32"/>
          <w:szCs w:val="32"/>
          <w:lang w:val="en-US" w:eastAsia="zh-CN" w:bidi="ar-SA"/>
        </w:rPr>
        <w:t>——特色产业科技创新转化高地</w:t>
      </w:r>
    </w:p>
    <w:p>
      <w:pPr>
        <w:keepNext w:val="0"/>
        <w:keepLines w:val="0"/>
        <w:pageBreakBefore w:val="0"/>
        <w:widowControl/>
        <w:suppressLineNumbers w:val="0"/>
        <w:shd w:val="clear" w:fill="FFFFFF"/>
        <w:kinsoku/>
        <w:wordWrap/>
        <w:overflowPunct/>
        <w:topLinePunct w:val="0"/>
        <w:autoSpaceDE/>
        <w:autoSpaceDN/>
        <w:bidi w:val="0"/>
        <w:adjustRightInd/>
        <w:snapToGrid/>
        <w:spacing w:afterAutospacing="0" w:line="560" w:lineRule="exact"/>
        <w:ind w:firstLine="640" w:firstLineChars="200"/>
        <w:jc w:val="left"/>
        <w:textAlignment w:val="auto"/>
        <w:rPr>
          <w:rFonts w:hint="default" w:ascii="仿宋_GB2312" w:hAnsi="仿宋_GB2312" w:eastAsia="仿宋_GB2312" w:cs="仿宋_GB2312"/>
          <w:b w:val="0"/>
          <w:bCs w:val="0"/>
          <w:color w:val="auto"/>
          <w:kern w:val="2"/>
          <w:sz w:val="32"/>
          <w:szCs w:val="32"/>
          <w:lang w:val="en-US" w:eastAsia="zh-CN" w:bidi="ar-SA"/>
        </w:rPr>
      </w:pPr>
      <w:r>
        <w:rPr>
          <w:rFonts w:hint="default" w:ascii="仿宋_GB2312" w:hAnsi="仿宋_GB2312" w:eastAsia="仿宋_GB2312" w:cs="仿宋_GB2312"/>
          <w:b w:val="0"/>
          <w:bCs w:val="0"/>
          <w:color w:val="auto"/>
          <w:kern w:val="2"/>
          <w:sz w:val="32"/>
          <w:szCs w:val="32"/>
          <w:lang w:val="en-US" w:eastAsia="zh-CN" w:bidi="ar-SA"/>
        </w:rPr>
        <w:t>发挥高原特色农业、绿色磷化工等资源与产业优势，强化“产研小院”“花卉产业研究院”“磷化工绿色技术创新中心”等产学研平台</w:t>
      </w:r>
      <w:r>
        <w:rPr>
          <w:rFonts w:hint="eastAsia" w:ascii="仿宋_GB2312" w:hAnsi="仿宋_GB2312" w:eastAsia="仿宋_GB2312" w:cs="仿宋_GB2312"/>
          <w:b w:val="0"/>
          <w:bCs w:val="0"/>
          <w:color w:val="auto"/>
          <w:kern w:val="2"/>
          <w:sz w:val="32"/>
          <w:szCs w:val="32"/>
          <w:lang w:val="en-US" w:eastAsia="zh-CN" w:bidi="ar-SA"/>
        </w:rPr>
        <w:t>引领</w:t>
      </w:r>
      <w:r>
        <w:rPr>
          <w:rFonts w:hint="default" w:ascii="仿宋_GB2312" w:hAnsi="仿宋_GB2312" w:eastAsia="仿宋_GB2312" w:cs="仿宋_GB2312"/>
          <w:b w:val="0"/>
          <w:bCs w:val="0"/>
          <w:color w:val="auto"/>
          <w:kern w:val="2"/>
          <w:sz w:val="32"/>
          <w:szCs w:val="32"/>
          <w:lang w:val="en-US" w:eastAsia="zh-CN" w:bidi="ar-SA"/>
        </w:rPr>
        <w:t>作用</w:t>
      </w:r>
      <w:r>
        <w:rPr>
          <w:rFonts w:hint="eastAsia" w:ascii="仿宋_GB2312" w:hAnsi="仿宋_GB2312" w:eastAsia="仿宋_GB2312" w:cs="仿宋_GB2312"/>
          <w:b w:val="0"/>
          <w:bCs w:val="0"/>
          <w:color w:val="auto"/>
          <w:kern w:val="2"/>
          <w:sz w:val="32"/>
          <w:szCs w:val="32"/>
          <w:lang w:val="en-US" w:eastAsia="zh-CN" w:bidi="ar-SA"/>
        </w:rPr>
        <w:t>；</w:t>
      </w:r>
      <w:r>
        <w:rPr>
          <w:rFonts w:hint="default" w:ascii="仿宋_GB2312" w:hAnsi="仿宋_GB2312" w:eastAsia="仿宋_GB2312" w:cs="仿宋_GB2312"/>
          <w:b w:val="0"/>
          <w:bCs w:val="0"/>
          <w:color w:val="auto"/>
          <w:kern w:val="2"/>
          <w:sz w:val="32"/>
          <w:szCs w:val="32"/>
          <w:lang w:val="en-US" w:eastAsia="zh-CN" w:bidi="ar-SA"/>
        </w:rPr>
        <w:t>在花卉育种、无土栽培、磷</w:t>
      </w:r>
      <w:r>
        <w:rPr>
          <w:rFonts w:hint="eastAsia" w:ascii="仿宋_GB2312" w:hAnsi="仿宋_GB2312" w:eastAsia="仿宋_GB2312" w:cs="仿宋_GB2312"/>
          <w:b w:val="0"/>
          <w:bCs w:val="0"/>
          <w:color w:val="auto"/>
          <w:kern w:val="2"/>
          <w:sz w:val="32"/>
          <w:szCs w:val="32"/>
          <w:lang w:val="en-US" w:eastAsia="zh-CN" w:bidi="ar-SA"/>
        </w:rPr>
        <w:t>矿</w:t>
      </w:r>
      <w:r>
        <w:rPr>
          <w:rFonts w:hint="default" w:ascii="仿宋_GB2312" w:hAnsi="仿宋_GB2312" w:eastAsia="仿宋_GB2312" w:cs="仿宋_GB2312"/>
          <w:b w:val="0"/>
          <w:bCs w:val="0"/>
          <w:color w:val="auto"/>
          <w:kern w:val="2"/>
          <w:sz w:val="32"/>
          <w:szCs w:val="32"/>
          <w:lang w:val="en-US" w:eastAsia="zh-CN" w:bidi="ar-SA"/>
        </w:rPr>
        <w:t>资源循环利用、氟化工高端中间体合成等“卡脖子”领域突破一批核心技术，打造</w:t>
      </w:r>
      <w:r>
        <w:rPr>
          <w:rFonts w:hint="eastAsia" w:ascii="仿宋_GB2312" w:hAnsi="仿宋_GB2312" w:eastAsia="仿宋_GB2312" w:cs="仿宋_GB2312"/>
          <w:b w:val="0"/>
          <w:bCs w:val="0"/>
          <w:color w:val="auto"/>
          <w:kern w:val="2"/>
          <w:sz w:val="32"/>
          <w:szCs w:val="32"/>
          <w:lang w:val="en-US" w:eastAsia="zh-CN" w:bidi="ar-SA"/>
        </w:rPr>
        <w:t>国内</w:t>
      </w:r>
      <w:r>
        <w:rPr>
          <w:rFonts w:hint="default" w:ascii="仿宋_GB2312" w:hAnsi="仿宋_GB2312" w:eastAsia="仿宋_GB2312" w:cs="仿宋_GB2312"/>
          <w:b w:val="0"/>
          <w:bCs w:val="0"/>
          <w:color w:val="auto"/>
          <w:kern w:val="2"/>
          <w:sz w:val="32"/>
          <w:szCs w:val="32"/>
          <w:lang w:val="en-US" w:eastAsia="zh-CN" w:bidi="ar-SA"/>
        </w:rPr>
        <w:t>鲜切花全产业链科创中心和精细磷化工绿色制造创新转化高地。</w:t>
      </w:r>
    </w:p>
    <w:p>
      <w:pPr>
        <w:keepNext w:val="0"/>
        <w:keepLines w:val="0"/>
        <w:pageBreakBefore w:val="0"/>
        <w:widowControl/>
        <w:suppressLineNumbers w:val="0"/>
        <w:shd w:val="clear" w:fill="FFFFFF"/>
        <w:kinsoku/>
        <w:wordWrap/>
        <w:overflowPunct/>
        <w:topLinePunct w:val="0"/>
        <w:autoSpaceDE/>
        <w:autoSpaceDN/>
        <w:bidi w:val="0"/>
        <w:adjustRightInd/>
        <w:snapToGrid/>
        <w:spacing w:afterAutospacing="0" w:line="560" w:lineRule="exact"/>
        <w:ind w:left="638" w:leftChars="304" w:firstLine="0" w:firstLineChars="0"/>
        <w:jc w:val="left"/>
        <w:textAlignment w:val="auto"/>
        <w:rPr>
          <w:rFonts w:hint="default" w:ascii="仿宋_GB2312" w:hAnsi="仿宋_GB2312" w:eastAsia="仿宋_GB2312" w:cs="仿宋_GB2312"/>
          <w:b/>
          <w:bCs/>
          <w:color w:val="auto"/>
          <w:kern w:val="2"/>
          <w:sz w:val="32"/>
          <w:szCs w:val="32"/>
          <w:lang w:val="en-US" w:eastAsia="zh-CN" w:bidi="ar-SA"/>
        </w:rPr>
      </w:pPr>
      <w:r>
        <w:rPr>
          <w:rFonts w:hint="default" w:ascii="仿宋_GB2312" w:hAnsi="仿宋_GB2312" w:eastAsia="仿宋_GB2312" w:cs="仿宋_GB2312"/>
          <w:b/>
          <w:bCs/>
          <w:color w:val="auto"/>
          <w:kern w:val="2"/>
          <w:sz w:val="32"/>
          <w:szCs w:val="32"/>
          <w:lang w:val="en-US" w:eastAsia="zh-CN" w:bidi="ar-SA"/>
        </w:rPr>
        <w:t>——绿色低碳技术应用标杆区</w:t>
      </w:r>
    </w:p>
    <w:p>
      <w:pPr>
        <w:keepNext w:val="0"/>
        <w:keepLines w:val="0"/>
        <w:pageBreakBefore w:val="0"/>
        <w:widowControl/>
        <w:suppressLineNumbers w:val="0"/>
        <w:shd w:val="clear" w:fill="FFFFFF"/>
        <w:kinsoku/>
        <w:wordWrap/>
        <w:overflowPunct/>
        <w:topLinePunct w:val="0"/>
        <w:autoSpaceDE/>
        <w:autoSpaceDN/>
        <w:bidi w:val="0"/>
        <w:adjustRightInd/>
        <w:snapToGrid/>
        <w:spacing w:afterAutospacing="0" w:line="560" w:lineRule="exact"/>
        <w:ind w:firstLine="640" w:firstLineChars="200"/>
        <w:jc w:val="left"/>
        <w:textAlignment w:val="auto"/>
        <w:rPr>
          <w:rFonts w:hint="eastAsia" w:ascii="仿宋_GB2312" w:hAnsi="仿宋_GB2312" w:eastAsia="仿宋_GB2312" w:cs="仿宋_GB2312"/>
          <w:b w:val="0"/>
          <w:bCs w:val="0"/>
          <w:color w:val="auto"/>
          <w:kern w:val="2"/>
          <w:sz w:val="32"/>
          <w:szCs w:val="32"/>
          <w:lang w:val="en-US" w:eastAsia="zh-CN" w:bidi="ar-SA"/>
        </w:rPr>
      </w:pPr>
      <w:r>
        <w:rPr>
          <w:rFonts w:hint="default" w:ascii="仿宋_GB2312" w:hAnsi="仿宋_GB2312" w:eastAsia="仿宋_GB2312" w:cs="仿宋_GB2312"/>
          <w:b w:val="0"/>
          <w:bCs w:val="0"/>
          <w:color w:val="auto"/>
          <w:kern w:val="2"/>
          <w:sz w:val="32"/>
          <w:szCs w:val="32"/>
          <w:lang w:val="en-US" w:eastAsia="zh-CN" w:bidi="ar-SA"/>
        </w:rPr>
        <w:t>立足“双碳”目标，以磷化工行业绿色工艺革新、磷石膏资源化利用</w:t>
      </w:r>
      <w:r>
        <w:rPr>
          <w:rFonts w:hint="eastAsia" w:ascii="仿宋_GB2312" w:hAnsi="仿宋_GB2312" w:eastAsia="仿宋_GB2312" w:cs="仿宋_GB2312"/>
          <w:b w:val="0"/>
          <w:bCs w:val="0"/>
          <w:color w:val="auto"/>
          <w:kern w:val="2"/>
          <w:sz w:val="32"/>
          <w:szCs w:val="32"/>
          <w:lang w:val="en-US" w:eastAsia="zh-CN" w:bidi="ar-SA"/>
        </w:rPr>
        <w:t>、</w:t>
      </w:r>
      <w:r>
        <w:rPr>
          <w:rFonts w:hint="default" w:ascii="仿宋_GB2312" w:hAnsi="仿宋_GB2312" w:eastAsia="仿宋_GB2312" w:cs="仿宋_GB2312"/>
          <w:b w:val="0"/>
          <w:bCs w:val="0"/>
          <w:color w:val="auto"/>
          <w:kern w:val="2"/>
          <w:sz w:val="32"/>
          <w:szCs w:val="32"/>
          <w:lang w:val="en-US" w:eastAsia="zh-CN" w:bidi="ar-SA"/>
        </w:rPr>
        <w:t>花卉产业</w:t>
      </w:r>
      <w:r>
        <w:rPr>
          <w:rFonts w:hint="eastAsia" w:ascii="仿宋_GB2312" w:hAnsi="仿宋_GB2312" w:eastAsia="仿宋_GB2312" w:cs="仿宋_GB2312"/>
          <w:b w:val="0"/>
          <w:bCs w:val="0"/>
          <w:color w:val="auto"/>
          <w:kern w:val="2"/>
          <w:sz w:val="32"/>
          <w:szCs w:val="32"/>
          <w:lang w:val="en-US" w:eastAsia="zh-CN" w:bidi="ar-SA"/>
        </w:rPr>
        <w:t>绿色</w:t>
      </w:r>
      <w:r>
        <w:rPr>
          <w:rFonts w:hint="default" w:ascii="仿宋_GB2312" w:hAnsi="仿宋_GB2312" w:eastAsia="仿宋_GB2312" w:cs="仿宋_GB2312"/>
          <w:b w:val="0"/>
          <w:bCs w:val="0"/>
          <w:color w:val="auto"/>
          <w:kern w:val="2"/>
          <w:sz w:val="32"/>
          <w:szCs w:val="32"/>
          <w:lang w:val="en-US" w:eastAsia="zh-CN" w:bidi="ar-SA"/>
        </w:rPr>
        <w:t>节能种植、现代物流低碳</w:t>
      </w:r>
      <w:r>
        <w:rPr>
          <w:rFonts w:hint="eastAsia" w:ascii="仿宋_GB2312" w:hAnsi="仿宋_GB2312" w:eastAsia="仿宋_GB2312" w:cs="仿宋_GB2312"/>
          <w:b w:val="0"/>
          <w:bCs w:val="0"/>
          <w:color w:val="auto"/>
          <w:kern w:val="2"/>
          <w:sz w:val="32"/>
          <w:szCs w:val="32"/>
          <w:lang w:val="en-US" w:eastAsia="zh-CN" w:bidi="ar-SA"/>
        </w:rPr>
        <w:t>运输、高端装备制造绿色产业链、</w:t>
      </w:r>
      <w:r>
        <w:rPr>
          <w:rFonts w:hint="default" w:ascii="仿宋_GB2312" w:hAnsi="仿宋_GB2312" w:eastAsia="仿宋_GB2312" w:cs="仿宋_GB2312"/>
          <w:b w:val="0"/>
          <w:bCs w:val="0"/>
          <w:color w:val="auto"/>
          <w:kern w:val="2"/>
          <w:sz w:val="32"/>
          <w:szCs w:val="32"/>
          <w:lang w:val="en-US" w:eastAsia="zh-CN" w:bidi="ar-SA"/>
        </w:rPr>
        <w:t>新能源冷链装备等技术应用</w:t>
      </w:r>
      <w:r>
        <w:rPr>
          <w:rFonts w:hint="eastAsia" w:ascii="仿宋_GB2312" w:hAnsi="仿宋_GB2312" w:eastAsia="仿宋_GB2312" w:cs="仿宋_GB2312"/>
          <w:b w:val="0"/>
          <w:bCs w:val="0"/>
          <w:color w:val="auto"/>
          <w:kern w:val="2"/>
          <w:sz w:val="32"/>
          <w:szCs w:val="32"/>
          <w:lang w:val="en-US" w:eastAsia="zh-CN" w:bidi="ar-SA"/>
        </w:rPr>
        <w:t>为突破口</w:t>
      </w:r>
      <w:r>
        <w:rPr>
          <w:rFonts w:hint="default" w:ascii="仿宋_GB2312" w:hAnsi="仿宋_GB2312" w:eastAsia="仿宋_GB2312" w:cs="仿宋_GB2312"/>
          <w:b w:val="0"/>
          <w:bCs w:val="0"/>
          <w:color w:val="auto"/>
          <w:kern w:val="2"/>
          <w:sz w:val="32"/>
          <w:szCs w:val="32"/>
          <w:lang w:val="en-US" w:eastAsia="zh-CN" w:bidi="ar-SA"/>
        </w:rPr>
        <w:t>，建设西部绿色低碳技术应用标杆区，为西部地区传统产业绿色化、智能化改造提供可复制的“晋宁方案”。</w:t>
      </w:r>
    </w:p>
    <w:p>
      <w:pPr>
        <w:keepNext w:val="0"/>
        <w:keepLines w:val="0"/>
        <w:pageBreakBefore w:val="0"/>
        <w:widowControl/>
        <w:suppressLineNumbers w:val="0"/>
        <w:shd w:val="clear" w:fill="FFFFFF"/>
        <w:kinsoku/>
        <w:wordWrap/>
        <w:overflowPunct/>
        <w:topLinePunct w:val="0"/>
        <w:autoSpaceDE/>
        <w:autoSpaceDN/>
        <w:bidi w:val="0"/>
        <w:adjustRightInd/>
        <w:snapToGrid/>
        <w:spacing w:afterAutospacing="0" w:line="560" w:lineRule="exact"/>
        <w:ind w:left="0" w:firstLine="642" w:firstLineChars="200"/>
        <w:jc w:val="left"/>
        <w:textAlignment w:val="auto"/>
        <w:rPr>
          <w:rFonts w:hint="default" w:ascii="仿宋_GB2312" w:hAnsi="仿宋_GB2312" w:eastAsia="仿宋_GB2312" w:cs="仿宋_GB2312"/>
          <w:b/>
          <w:bCs/>
          <w:color w:val="auto"/>
          <w:kern w:val="2"/>
          <w:sz w:val="32"/>
          <w:szCs w:val="32"/>
          <w:lang w:val="en-US" w:eastAsia="zh-CN" w:bidi="ar-SA"/>
        </w:rPr>
      </w:pPr>
      <w:r>
        <w:rPr>
          <w:rFonts w:hint="default" w:ascii="仿宋_GB2312" w:hAnsi="仿宋_GB2312" w:eastAsia="仿宋_GB2312" w:cs="仿宋_GB2312"/>
          <w:b/>
          <w:bCs/>
          <w:color w:val="auto"/>
          <w:kern w:val="2"/>
          <w:sz w:val="32"/>
          <w:szCs w:val="32"/>
          <w:lang w:val="en-US" w:eastAsia="zh-CN" w:bidi="ar-SA"/>
        </w:rPr>
        <w:t>——科技创新协作协同提质区</w:t>
      </w:r>
    </w:p>
    <w:p>
      <w:pPr>
        <w:keepNext w:val="0"/>
        <w:keepLines w:val="0"/>
        <w:pageBreakBefore w:val="0"/>
        <w:widowControl/>
        <w:suppressLineNumbers w:val="0"/>
        <w:shd w:val="clear" w:fill="FFFFFF"/>
        <w:kinsoku/>
        <w:wordWrap/>
        <w:overflowPunct/>
        <w:topLinePunct w:val="0"/>
        <w:autoSpaceDE/>
        <w:autoSpaceDN/>
        <w:bidi w:val="0"/>
        <w:adjustRightInd/>
        <w:snapToGrid/>
        <w:spacing w:afterAutospacing="0" w:line="560" w:lineRule="exact"/>
        <w:ind w:left="0" w:firstLine="640" w:firstLineChars="200"/>
        <w:jc w:val="left"/>
        <w:textAlignment w:val="auto"/>
        <w:rPr>
          <w:rFonts w:hint="eastAsia" w:ascii="仿宋_GB2312" w:hAnsi="仿宋_GB2312" w:eastAsia="仿宋_GB2312" w:cs="仿宋_GB2312"/>
          <w:b w:val="0"/>
          <w:bCs w:val="0"/>
          <w:color w:val="auto"/>
          <w:kern w:val="2"/>
          <w:sz w:val="32"/>
          <w:szCs w:val="32"/>
          <w:lang w:val="en-US" w:eastAsia="zh-CN" w:bidi="ar-SA"/>
        </w:rPr>
      </w:pPr>
      <w:r>
        <w:rPr>
          <w:rFonts w:hint="default" w:ascii="仿宋_GB2312" w:hAnsi="仿宋_GB2312" w:eastAsia="仿宋_GB2312" w:cs="仿宋_GB2312"/>
          <w:b w:val="0"/>
          <w:bCs w:val="0"/>
          <w:color w:val="auto"/>
          <w:kern w:val="2"/>
          <w:sz w:val="32"/>
          <w:szCs w:val="32"/>
          <w:lang w:val="en-US" w:eastAsia="zh-CN" w:bidi="ar-SA"/>
        </w:rPr>
        <w:t>深度融入昆明区域性国际科技创新中心建设，承接主城区科创资源外溢。聚焦数字经济、绿色能源等新兴领域，加快智能工厂、冷链物流数字平台等场景应用</w:t>
      </w:r>
      <w:r>
        <w:rPr>
          <w:rFonts w:hint="eastAsia" w:ascii="仿宋_GB2312" w:hAnsi="仿宋_GB2312" w:eastAsia="仿宋_GB2312" w:cs="仿宋_GB2312"/>
          <w:b w:val="0"/>
          <w:bCs w:val="0"/>
          <w:color w:val="auto"/>
          <w:kern w:val="2"/>
          <w:sz w:val="32"/>
          <w:szCs w:val="32"/>
          <w:lang w:val="en-US" w:eastAsia="zh-CN" w:bidi="ar-SA"/>
        </w:rPr>
        <w:t>；</w:t>
      </w:r>
      <w:r>
        <w:rPr>
          <w:rFonts w:hint="default" w:ascii="仿宋_GB2312" w:hAnsi="仿宋_GB2312" w:eastAsia="仿宋_GB2312" w:cs="仿宋_GB2312"/>
          <w:b w:val="0"/>
          <w:bCs w:val="0"/>
          <w:color w:val="auto"/>
          <w:kern w:val="2"/>
          <w:sz w:val="32"/>
          <w:szCs w:val="32"/>
          <w:lang w:val="en-US" w:eastAsia="zh-CN" w:bidi="ar-SA"/>
        </w:rPr>
        <w:t>打造“科创服务一体化、成果转化便捷化、产业配套专业化”的营商环境，成为昆明市“创新驱动高质量发展”的重要承载区和产城融合创新示范样板。</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560" w:lineRule="exact"/>
        <w:ind w:firstLine="642" w:firstLineChars="200"/>
        <w:textAlignment w:val="auto"/>
        <w:outlineLvl w:val="2"/>
        <w:rPr>
          <w:rFonts w:hint="eastAsia" w:ascii="黑体" w:hAnsi="黑体" w:eastAsia="黑体" w:cs="黑体"/>
          <w:b/>
          <w:color w:val="auto"/>
          <w:kern w:val="2"/>
          <w:sz w:val="32"/>
          <w:szCs w:val="32"/>
          <w:highlight w:val="none"/>
          <w:lang w:val="en-US" w:eastAsia="zh-CN" w:bidi="ar-SA"/>
        </w:rPr>
      </w:pPr>
      <w:bookmarkStart w:id="10" w:name="_Toc18332"/>
      <w:r>
        <w:rPr>
          <w:rFonts w:hint="eastAsia" w:ascii="黑体" w:hAnsi="黑体" w:eastAsia="黑体" w:cs="黑体"/>
          <w:b/>
          <w:color w:val="auto"/>
          <w:kern w:val="2"/>
          <w:sz w:val="32"/>
          <w:szCs w:val="32"/>
          <w:highlight w:val="none"/>
          <w:lang w:val="en-US" w:eastAsia="zh-CN" w:bidi="ar-SA"/>
        </w:rPr>
        <w:t>（四）发展目标</w:t>
      </w:r>
      <w:bookmarkEnd w:id="10"/>
    </w:p>
    <w:p>
      <w:pPr>
        <w:pStyle w:val="17"/>
        <w:keepNext w:val="0"/>
        <w:keepLines w:val="0"/>
        <w:pageBreakBefore w:val="0"/>
        <w:widowControl w:val="0"/>
        <w:kinsoku/>
        <w:wordWrap/>
        <w:overflowPunct/>
        <w:topLinePunct w:val="0"/>
        <w:autoSpaceDE/>
        <w:autoSpaceDN/>
        <w:bidi w:val="0"/>
        <w:adjustRightInd/>
        <w:snapToGrid/>
        <w:spacing w:after="0" w:afterAutospacing="0" w:line="560" w:lineRule="exact"/>
        <w:ind w:firstLine="640" w:firstLineChars="200"/>
        <w:textAlignment w:val="auto"/>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到“十五五”期末，基本建成政府宏观引导、企业创新主体、市场需求导向、产学研深度融合的现代化技术创新体系，实现科技综合实力和自主创新能力跨越式提升，推动区域科技资源高效转化为经济发展新动能。</w:t>
      </w:r>
    </w:p>
    <w:p>
      <w:pPr>
        <w:pStyle w:val="17"/>
        <w:keepNext w:val="0"/>
        <w:keepLines w:val="0"/>
        <w:pageBreakBefore w:val="0"/>
        <w:widowControl w:val="0"/>
        <w:kinsoku/>
        <w:wordWrap/>
        <w:overflowPunct/>
        <w:topLinePunct w:val="0"/>
        <w:autoSpaceDE/>
        <w:autoSpaceDN/>
        <w:bidi w:val="0"/>
        <w:adjustRightInd/>
        <w:snapToGrid/>
        <w:spacing w:after="0" w:line="560" w:lineRule="exact"/>
        <w:ind w:firstLine="642" w:firstLineChars="200"/>
        <w:textAlignment w:val="auto"/>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b/>
          <w:bCs/>
          <w:color w:val="auto"/>
          <w:kern w:val="2"/>
          <w:sz w:val="32"/>
          <w:szCs w:val="32"/>
          <w:lang w:val="en-US" w:eastAsia="zh-CN" w:bidi="ar-SA"/>
        </w:rPr>
        <w:t>创新体系协同化，</w:t>
      </w:r>
      <w:r>
        <w:rPr>
          <w:rFonts w:hint="eastAsia" w:ascii="仿宋_GB2312" w:hAnsi="仿宋_GB2312" w:eastAsia="仿宋_GB2312" w:cs="仿宋_GB2312"/>
          <w:color w:val="auto"/>
          <w:kern w:val="2"/>
          <w:sz w:val="32"/>
          <w:szCs w:val="32"/>
          <w:lang w:val="en-US" w:eastAsia="zh-CN" w:bidi="ar-SA"/>
        </w:rPr>
        <w:t>完善“政产学研用”协同创新机制，持续强化企业创新主体地位，磷化工、花卉等主导产业领域培育一批掌握核心技术的科技领军企业，构建大中小企业融通创新生态，实现创新要素跨主体流动更加顺畅。</w:t>
      </w:r>
    </w:p>
    <w:p>
      <w:pPr>
        <w:pStyle w:val="17"/>
        <w:keepNext w:val="0"/>
        <w:keepLines w:val="0"/>
        <w:pageBreakBefore w:val="0"/>
        <w:widowControl w:val="0"/>
        <w:kinsoku/>
        <w:wordWrap/>
        <w:overflowPunct/>
        <w:topLinePunct w:val="0"/>
        <w:autoSpaceDE/>
        <w:autoSpaceDN/>
        <w:bidi w:val="0"/>
        <w:adjustRightInd/>
        <w:snapToGrid/>
        <w:spacing w:after="0" w:line="560" w:lineRule="exact"/>
        <w:ind w:firstLine="642" w:firstLineChars="200"/>
        <w:textAlignment w:val="auto"/>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b/>
          <w:bCs/>
          <w:color w:val="auto"/>
          <w:kern w:val="2"/>
          <w:sz w:val="32"/>
          <w:szCs w:val="32"/>
          <w:lang w:val="en-US" w:eastAsia="zh-CN" w:bidi="ar-SA"/>
        </w:rPr>
        <w:t>科技实力高端化，</w:t>
      </w:r>
      <w:r>
        <w:rPr>
          <w:rFonts w:hint="eastAsia" w:ascii="仿宋_GB2312" w:hAnsi="仿宋_GB2312" w:eastAsia="仿宋_GB2312" w:cs="仿宋_GB2312"/>
          <w:color w:val="auto"/>
          <w:kern w:val="2"/>
          <w:sz w:val="32"/>
          <w:szCs w:val="32"/>
          <w:lang w:val="en-US" w:eastAsia="zh-CN" w:bidi="ar-SA"/>
        </w:rPr>
        <w:t>聚焦先进装备制造、数字信息、生物医药等战略性新兴产业，突破一批关键核心技术，提升自主创新能力，使科技对经济社会发展的支撑引领作用显著增强，形成“科技赋能产业、产业反哺创新”的良性循环。</w:t>
      </w:r>
    </w:p>
    <w:p>
      <w:pPr>
        <w:pStyle w:val="17"/>
        <w:keepNext w:val="0"/>
        <w:keepLines w:val="0"/>
        <w:pageBreakBefore w:val="0"/>
        <w:widowControl w:val="0"/>
        <w:kinsoku/>
        <w:wordWrap/>
        <w:overflowPunct/>
        <w:topLinePunct w:val="0"/>
        <w:autoSpaceDE/>
        <w:autoSpaceDN/>
        <w:bidi w:val="0"/>
        <w:adjustRightInd/>
        <w:snapToGrid/>
        <w:spacing w:after="0" w:line="560" w:lineRule="exact"/>
        <w:ind w:firstLine="642" w:firstLineChars="200"/>
        <w:textAlignment w:val="auto"/>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b/>
          <w:bCs/>
          <w:color w:val="auto"/>
          <w:kern w:val="2"/>
          <w:sz w:val="32"/>
          <w:szCs w:val="32"/>
          <w:lang w:val="en-US" w:eastAsia="zh-CN" w:bidi="ar-SA"/>
        </w:rPr>
        <w:t>资源配置高效化，</w:t>
      </w:r>
      <w:r>
        <w:rPr>
          <w:rFonts w:hint="eastAsia" w:ascii="仿宋_GB2312" w:hAnsi="仿宋_GB2312" w:eastAsia="仿宋_GB2312" w:cs="仿宋_GB2312"/>
          <w:color w:val="auto"/>
          <w:kern w:val="2"/>
          <w:sz w:val="32"/>
          <w:szCs w:val="32"/>
          <w:lang w:val="en-US" w:eastAsia="zh-CN" w:bidi="ar-SA"/>
        </w:rPr>
        <w:t>优化科技资源统筹布局，健全人才引育留用全链条机制，集聚适配产业发展的创新人才，加强创新平台载体建设，推动科技成果转化机制市场化改革，提升科技成果本地转化率，打造更具竞争力的科技创新生态环境。</w:t>
      </w:r>
    </w:p>
    <w:p>
      <w:pPr>
        <w:pStyle w:val="17"/>
        <w:keepNext w:val="0"/>
        <w:keepLines w:val="0"/>
        <w:pageBreakBefore w:val="0"/>
        <w:widowControl w:val="0"/>
        <w:kinsoku/>
        <w:wordWrap/>
        <w:overflowPunct/>
        <w:topLinePunct w:val="0"/>
        <w:autoSpaceDE/>
        <w:autoSpaceDN/>
        <w:bidi w:val="0"/>
        <w:adjustRightInd/>
        <w:snapToGrid/>
        <w:spacing w:after="0" w:line="560" w:lineRule="exact"/>
        <w:ind w:firstLine="642" w:firstLineChars="200"/>
        <w:textAlignment w:val="auto"/>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b/>
          <w:bCs/>
          <w:color w:val="auto"/>
          <w:kern w:val="2"/>
          <w:sz w:val="32"/>
          <w:szCs w:val="32"/>
          <w:lang w:val="en-US" w:eastAsia="zh-CN" w:bidi="ar-SA"/>
        </w:rPr>
        <w:t>经济贡献显著化，</w:t>
      </w:r>
      <w:r>
        <w:rPr>
          <w:rFonts w:hint="eastAsia" w:ascii="仿宋_GB2312" w:hAnsi="仿宋_GB2312" w:eastAsia="仿宋_GB2312" w:cs="仿宋_GB2312"/>
          <w:color w:val="auto"/>
          <w:kern w:val="2"/>
          <w:sz w:val="32"/>
          <w:szCs w:val="32"/>
          <w:lang w:val="en-US" w:eastAsia="zh-CN" w:bidi="ar-SA"/>
        </w:rPr>
        <w:t>力争2030年高技术产业增加值占全区生产总值比重提升至</w:t>
      </w:r>
      <w:r>
        <w:rPr>
          <w:rFonts w:hint="eastAsia" w:ascii="仿宋_GB2312" w:hAnsi="仿宋_GB2312" w:eastAsia="仿宋_GB2312" w:cs="仿宋_GB2312"/>
          <w:color w:val="auto"/>
          <w:kern w:val="2"/>
          <w:sz w:val="32"/>
          <w:szCs w:val="32"/>
          <w:highlight w:val="none"/>
          <w:lang w:val="en-US" w:eastAsia="zh-CN" w:bidi="ar-SA"/>
        </w:rPr>
        <w:t>25%以上</w:t>
      </w:r>
      <w:r>
        <w:rPr>
          <w:rFonts w:hint="eastAsia" w:ascii="仿宋_GB2312" w:hAnsi="仿宋_GB2312" w:eastAsia="仿宋_GB2312" w:cs="仿宋_GB2312"/>
          <w:color w:val="auto"/>
          <w:kern w:val="2"/>
          <w:sz w:val="32"/>
          <w:szCs w:val="32"/>
          <w:lang w:val="en-US" w:eastAsia="zh-CN" w:bidi="ar-SA"/>
        </w:rPr>
        <w:t>，科技进步对经济增长的贡献率较“十四五”末提高58个百分点，初步建成滇中地区具有影响力的区域创新高地，实现创新驱动发展战略的深度落地。</w:t>
      </w:r>
    </w:p>
    <w:p>
      <w:pPr>
        <w:pStyle w:val="17"/>
        <w:keepNext w:val="0"/>
        <w:keepLines w:val="0"/>
        <w:pageBreakBefore w:val="0"/>
        <w:widowControl w:val="0"/>
        <w:kinsoku/>
        <w:wordWrap/>
        <w:overflowPunct/>
        <w:topLinePunct w:val="0"/>
        <w:autoSpaceDE/>
        <w:autoSpaceDN/>
        <w:bidi w:val="0"/>
        <w:adjustRightInd/>
        <w:snapToGrid/>
        <w:spacing w:after="0" w:line="560" w:lineRule="exact"/>
        <w:ind w:firstLine="642" w:firstLineChars="200"/>
        <w:textAlignment w:val="auto"/>
        <w:rPr>
          <w:rFonts w:hint="default"/>
          <w:color w:val="auto"/>
          <w:highlight w:val="yellow"/>
          <w:lang w:val="en-US" w:eastAsia="zh-CN"/>
        </w:rPr>
      </w:pPr>
      <w:r>
        <w:rPr>
          <w:rFonts w:hint="eastAsia" w:ascii="仿宋_GB2312" w:hAnsi="仿宋_GB2312" w:eastAsia="仿宋_GB2312" w:cs="仿宋_GB2312"/>
          <w:b/>
          <w:bCs/>
          <w:color w:val="auto"/>
          <w:kern w:val="2"/>
          <w:sz w:val="32"/>
          <w:szCs w:val="32"/>
          <w:lang w:val="en-US" w:eastAsia="zh-CN" w:bidi="ar-SA"/>
        </w:rPr>
        <w:t>科普服务社会化，</w:t>
      </w:r>
      <w:r>
        <w:rPr>
          <w:rFonts w:hint="eastAsia" w:ascii="仿宋_GB2312" w:hAnsi="仿宋_GB2312" w:eastAsia="仿宋_GB2312" w:cs="仿宋_GB2312"/>
          <w:color w:val="auto"/>
          <w:kern w:val="2"/>
          <w:sz w:val="32"/>
          <w:szCs w:val="32"/>
          <w:lang w:val="en-US" w:eastAsia="zh-CN" w:bidi="ar-SA"/>
        </w:rPr>
        <w:t>到2030年，公民具备科学素质的比例达到</w:t>
      </w:r>
      <w:r>
        <w:rPr>
          <w:rFonts w:hint="eastAsia" w:ascii="仿宋_GB2312" w:hAnsi="仿宋_GB2312" w:eastAsia="仿宋_GB2312" w:cs="仿宋_GB2312"/>
          <w:color w:val="auto"/>
          <w:kern w:val="2"/>
          <w:sz w:val="32"/>
          <w:szCs w:val="32"/>
          <w:highlight w:val="none"/>
          <w:lang w:val="en-US" w:eastAsia="zh-CN" w:bidi="ar-SA"/>
        </w:rPr>
        <w:t>25%，</w:t>
      </w:r>
      <w:r>
        <w:rPr>
          <w:rFonts w:hint="eastAsia" w:ascii="仿宋_GB2312" w:hAnsi="仿宋_GB2312" w:eastAsia="仿宋_GB2312" w:cs="仿宋_GB2312"/>
          <w:color w:val="auto"/>
          <w:kern w:val="2"/>
          <w:sz w:val="32"/>
          <w:szCs w:val="32"/>
          <w:lang w:val="en-US" w:eastAsia="zh-CN" w:bidi="ar-SA"/>
        </w:rPr>
        <w:t>与国内发达地区的差距逐步缩小。建成晋宁区科技馆，有针对性地开展科普工作。</w:t>
      </w:r>
    </w:p>
    <w:p>
      <w:pPr>
        <w:pStyle w:val="6"/>
        <w:keepNext w:val="0"/>
        <w:keepLines w:val="0"/>
        <w:pageBreakBefore w:val="0"/>
        <w:kinsoku/>
        <w:wordWrap/>
        <w:overflowPunct/>
        <w:topLinePunct w:val="0"/>
        <w:autoSpaceDE/>
        <w:autoSpaceDN/>
        <w:bidi w:val="0"/>
        <w:spacing w:line="560" w:lineRule="exact"/>
        <w:jc w:val="center"/>
        <w:rPr>
          <w:rFonts w:hint="eastAsia" w:ascii="仿宋_GB2312" w:hAnsi="仿宋_GB2312" w:eastAsia="仿宋_GB2312" w:cs="仿宋_GB2312"/>
          <w:b/>
          <w:bCs/>
          <w:i w:val="0"/>
          <w:iCs w:val="0"/>
          <w:color w:val="auto"/>
          <w:kern w:val="0"/>
          <w:sz w:val="28"/>
          <w:szCs w:val="28"/>
          <w:u w:val="none"/>
          <w:lang w:val="en-US" w:eastAsia="zh-CN" w:bidi="ar"/>
        </w:rPr>
      </w:pPr>
      <w:r>
        <w:rPr>
          <w:rFonts w:hint="eastAsia" w:ascii="仿宋_GB2312" w:hAnsi="仿宋_GB2312" w:eastAsia="仿宋_GB2312" w:cs="仿宋_GB2312"/>
          <w:b/>
          <w:bCs/>
          <w:i w:val="0"/>
          <w:iCs w:val="0"/>
          <w:color w:val="auto"/>
          <w:kern w:val="0"/>
          <w:sz w:val="28"/>
          <w:szCs w:val="28"/>
          <w:u w:val="none"/>
          <w:lang w:val="en-US" w:eastAsia="zh-CN" w:bidi="ar"/>
        </w:rPr>
        <w:t>“十五五”科技创新规划指标与目标值</w:t>
      </w:r>
    </w:p>
    <w:tbl>
      <w:tblPr>
        <w:tblStyle w:val="19"/>
        <w:tblW w:w="9639"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59"/>
        <w:gridCol w:w="834"/>
        <w:gridCol w:w="2450"/>
        <w:gridCol w:w="875"/>
        <w:gridCol w:w="1275"/>
        <w:gridCol w:w="1025"/>
        <w:gridCol w:w="1550"/>
        <w:gridCol w:w="87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7" w:hRule="atLeast"/>
          <w:jc w:val="center"/>
        </w:trPr>
        <w:tc>
          <w:tcPr>
            <w:tcW w:w="75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spacing w:line="240" w:lineRule="auto"/>
              <w:jc w:val="center"/>
              <w:textAlignment w:val="center"/>
              <w:rPr>
                <w:rFonts w:hint="eastAsia" w:ascii="仿宋_GB2312" w:hAnsi="仿宋_GB2312" w:eastAsia="仿宋_GB2312" w:cs="仿宋_GB2312"/>
                <w:b/>
                <w:bCs/>
                <w:i w:val="0"/>
                <w:iCs w:val="0"/>
                <w:color w:val="auto"/>
                <w:sz w:val="24"/>
                <w:szCs w:val="24"/>
                <w:u w:val="none"/>
              </w:rPr>
            </w:pPr>
            <w:r>
              <w:rPr>
                <w:rFonts w:hint="eastAsia" w:ascii="仿宋_GB2312" w:hAnsi="仿宋_GB2312" w:eastAsia="仿宋_GB2312" w:cs="仿宋_GB2312"/>
                <w:b/>
                <w:bCs/>
                <w:i w:val="0"/>
                <w:iCs w:val="0"/>
                <w:color w:val="auto"/>
                <w:kern w:val="0"/>
                <w:sz w:val="24"/>
                <w:szCs w:val="24"/>
                <w:u w:val="none"/>
                <w:lang w:val="en-US" w:eastAsia="zh-CN" w:bidi="ar"/>
              </w:rPr>
              <w:t>序号</w:t>
            </w:r>
          </w:p>
        </w:tc>
        <w:tc>
          <w:tcPr>
            <w:tcW w:w="83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spacing w:line="240" w:lineRule="auto"/>
              <w:jc w:val="center"/>
              <w:textAlignment w:val="center"/>
              <w:rPr>
                <w:rFonts w:hint="eastAsia" w:ascii="仿宋_GB2312" w:hAnsi="仿宋_GB2312" w:eastAsia="仿宋_GB2312" w:cs="仿宋_GB2312"/>
                <w:b/>
                <w:bCs/>
                <w:i w:val="0"/>
                <w:iCs w:val="0"/>
                <w:color w:val="auto"/>
                <w:sz w:val="24"/>
                <w:szCs w:val="24"/>
                <w:u w:val="none"/>
              </w:rPr>
            </w:pPr>
            <w:r>
              <w:rPr>
                <w:rFonts w:hint="eastAsia" w:ascii="仿宋_GB2312" w:hAnsi="仿宋_GB2312" w:eastAsia="仿宋_GB2312" w:cs="仿宋_GB2312"/>
                <w:b/>
                <w:bCs/>
                <w:i w:val="0"/>
                <w:iCs w:val="0"/>
                <w:color w:val="auto"/>
                <w:kern w:val="0"/>
                <w:sz w:val="24"/>
                <w:szCs w:val="24"/>
                <w:u w:val="none"/>
                <w:lang w:val="en-US" w:eastAsia="zh-CN" w:bidi="ar"/>
              </w:rPr>
              <w:t>类别</w:t>
            </w:r>
          </w:p>
        </w:tc>
        <w:tc>
          <w:tcPr>
            <w:tcW w:w="2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spacing w:line="240" w:lineRule="auto"/>
              <w:jc w:val="center"/>
              <w:textAlignment w:val="center"/>
              <w:rPr>
                <w:rFonts w:hint="eastAsia" w:ascii="仿宋_GB2312" w:hAnsi="仿宋_GB2312" w:eastAsia="仿宋_GB2312" w:cs="仿宋_GB2312"/>
                <w:b/>
                <w:bCs/>
                <w:i w:val="0"/>
                <w:iCs w:val="0"/>
                <w:color w:val="auto"/>
                <w:sz w:val="24"/>
                <w:szCs w:val="24"/>
                <w:u w:val="none"/>
              </w:rPr>
            </w:pPr>
            <w:r>
              <w:rPr>
                <w:rFonts w:hint="eastAsia" w:ascii="仿宋_GB2312" w:hAnsi="仿宋_GB2312" w:eastAsia="仿宋_GB2312" w:cs="仿宋_GB2312"/>
                <w:b/>
                <w:bCs/>
                <w:i w:val="0"/>
                <w:iCs w:val="0"/>
                <w:color w:val="auto"/>
                <w:kern w:val="0"/>
                <w:sz w:val="24"/>
                <w:szCs w:val="24"/>
                <w:u w:val="none"/>
                <w:lang w:val="en-US" w:eastAsia="zh-CN" w:bidi="ar"/>
              </w:rPr>
              <w:t>指标体系</w:t>
            </w:r>
          </w:p>
        </w:tc>
        <w:tc>
          <w:tcPr>
            <w:tcW w:w="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spacing w:line="240" w:lineRule="auto"/>
              <w:jc w:val="center"/>
              <w:textAlignment w:val="center"/>
              <w:rPr>
                <w:rFonts w:hint="eastAsia" w:ascii="仿宋_GB2312" w:hAnsi="仿宋_GB2312" w:eastAsia="仿宋_GB2312" w:cs="仿宋_GB2312"/>
                <w:b/>
                <w:bCs/>
                <w:i w:val="0"/>
                <w:iCs w:val="0"/>
                <w:color w:val="auto"/>
                <w:sz w:val="24"/>
                <w:szCs w:val="24"/>
                <w:u w:val="none"/>
              </w:rPr>
            </w:pPr>
            <w:r>
              <w:rPr>
                <w:rFonts w:hint="eastAsia" w:ascii="仿宋_GB2312" w:hAnsi="仿宋_GB2312" w:eastAsia="仿宋_GB2312" w:cs="仿宋_GB2312"/>
                <w:b/>
                <w:bCs/>
                <w:i w:val="0"/>
                <w:iCs w:val="0"/>
                <w:color w:val="auto"/>
                <w:kern w:val="0"/>
                <w:sz w:val="24"/>
                <w:szCs w:val="24"/>
                <w:u w:val="none"/>
                <w:lang w:val="en-US" w:eastAsia="zh-CN" w:bidi="ar"/>
              </w:rPr>
              <w:t>单位</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spacing w:line="240" w:lineRule="auto"/>
              <w:jc w:val="center"/>
              <w:textAlignment w:val="center"/>
              <w:rPr>
                <w:rFonts w:hint="eastAsia" w:ascii="仿宋_GB2312" w:hAnsi="仿宋_GB2312" w:eastAsia="仿宋_GB2312" w:cs="仿宋_GB2312"/>
                <w:b/>
                <w:bCs/>
                <w:i w:val="0"/>
                <w:iCs w:val="0"/>
                <w:color w:val="auto"/>
                <w:sz w:val="24"/>
                <w:szCs w:val="24"/>
                <w:u w:val="none"/>
              </w:rPr>
            </w:pPr>
            <w:r>
              <w:rPr>
                <w:rFonts w:hint="eastAsia" w:ascii="仿宋_GB2312" w:hAnsi="仿宋_GB2312" w:eastAsia="仿宋_GB2312" w:cs="仿宋_GB2312"/>
                <w:b/>
                <w:bCs/>
                <w:i w:val="0"/>
                <w:iCs w:val="0"/>
                <w:color w:val="auto"/>
                <w:kern w:val="0"/>
                <w:sz w:val="24"/>
                <w:szCs w:val="24"/>
                <w:u w:val="none"/>
                <w:lang w:val="en-US" w:eastAsia="zh-CN" w:bidi="ar"/>
              </w:rPr>
              <w:t>2024年</w:t>
            </w:r>
          </w:p>
        </w:tc>
        <w:tc>
          <w:tcPr>
            <w:tcW w:w="1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spacing w:line="240" w:lineRule="auto"/>
              <w:jc w:val="center"/>
              <w:textAlignment w:val="center"/>
              <w:rPr>
                <w:rFonts w:hint="eastAsia" w:ascii="仿宋_GB2312" w:hAnsi="仿宋_GB2312" w:eastAsia="仿宋_GB2312" w:cs="仿宋_GB2312"/>
                <w:b/>
                <w:bCs/>
                <w:i w:val="0"/>
                <w:iCs w:val="0"/>
                <w:color w:val="auto"/>
                <w:sz w:val="24"/>
                <w:szCs w:val="24"/>
                <w:u w:val="none"/>
              </w:rPr>
            </w:pPr>
            <w:r>
              <w:rPr>
                <w:rFonts w:hint="eastAsia" w:ascii="仿宋_GB2312" w:hAnsi="仿宋_GB2312" w:eastAsia="仿宋_GB2312" w:cs="仿宋_GB2312"/>
                <w:b/>
                <w:bCs/>
                <w:i w:val="0"/>
                <w:iCs w:val="0"/>
                <w:color w:val="auto"/>
                <w:kern w:val="0"/>
                <w:sz w:val="24"/>
                <w:szCs w:val="24"/>
                <w:u w:val="none"/>
                <w:lang w:val="en-US" w:eastAsia="zh-CN" w:bidi="ar"/>
              </w:rPr>
              <w:t>2030年</w:t>
            </w: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spacing w:line="240" w:lineRule="auto"/>
              <w:jc w:val="center"/>
              <w:textAlignment w:val="center"/>
              <w:rPr>
                <w:rFonts w:hint="eastAsia" w:ascii="仿宋_GB2312" w:hAnsi="仿宋_GB2312" w:eastAsia="仿宋_GB2312" w:cs="仿宋_GB2312"/>
                <w:b/>
                <w:bCs/>
                <w:i w:val="0"/>
                <w:iCs w:val="0"/>
                <w:color w:val="auto"/>
                <w:sz w:val="24"/>
                <w:szCs w:val="24"/>
                <w:u w:val="none"/>
              </w:rPr>
            </w:pPr>
            <w:r>
              <w:rPr>
                <w:rFonts w:hint="eastAsia" w:ascii="仿宋_GB2312" w:hAnsi="仿宋_GB2312" w:eastAsia="仿宋_GB2312" w:cs="仿宋_GB2312"/>
                <w:b/>
                <w:bCs/>
                <w:i w:val="0"/>
                <w:iCs w:val="0"/>
                <w:color w:val="auto"/>
                <w:kern w:val="0"/>
                <w:sz w:val="24"/>
                <w:szCs w:val="24"/>
                <w:u w:val="none"/>
                <w:lang w:val="en-US" w:eastAsia="zh-CN" w:bidi="ar"/>
              </w:rPr>
              <w:t>“十五五”时期年均增速</w:t>
            </w:r>
          </w:p>
        </w:tc>
        <w:tc>
          <w:tcPr>
            <w:tcW w:w="8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spacing w:line="240" w:lineRule="auto"/>
              <w:jc w:val="center"/>
              <w:textAlignment w:val="center"/>
              <w:rPr>
                <w:rFonts w:hint="eastAsia" w:ascii="仿宋_GB2312" w:hAnsi="仿宋_GB2312" w:eastAsia="仿宋_GB2312" w:cs="仿宋_GB2312"/>
                <w:b/>
                <w:bCs/>
                <w:i w:val="0"/>
                <w:iCs w:val="0"/>
                <w:color w:val="auto"/>
                <w:sz w:val="24"/>
                <w:szCs w:val="24"/>
                <w:u w:val="none"/>
              </w:rPr>
            </w:pPr>
            <w:r>
              <w:rPr>
                <w:rFonts w:hint="eastAsia" w:ascii="仿宋_GB2312" w:hAnsi="仿宋_GB2312" w:eastAsia="仿宋_GB2312" w:cs="仿宋_GB2312"/>
                <w:b/>
                <w:bCs/>
                <w:i w:val="0"/>
                <w:iCs w:val="0"/>
                <w:color w:val="auto"/>
                <w:kern w:val="0"/>
                <w:sz w:val="24"/>
                <w:szCs w:val="24"/>
                <w:u w:val="none"/>
                <w:lang w:val="en-US" w:eastAsia="zh-CN" w:bidi="ar"/>
              </w:rPr>
              <w:t>属性</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30" w:hRule="atLeast"/>
          <w:jc w:val="center"/>
        </w:trPr>
        <w:tc>
          <w:tcPr>
            <w:tcW w:w="75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spacing w:line="240" w:lineRule="auto"/>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1</w:t>
            </w:r>
          </w:p>
        </w:tc>
        <w:tc>
          <w:tcPr>
            <w:tcW w:w="834" w:type="dxa"/>
            <w:vMerge w:val="restart"/>
            <w:tcBorders>
              <w:top w:val="single" w:color="000000" w:sz="4" w:space="0"/>
              <w:left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spacing w:line="240" w:lineRule="auto"/>
              <w:jc w:val="center"/>
              <w:textAlignment w:val="center"/>
              <w:rPr>
                <w:rFonts w:hint="default" w:ascii="仿宋_GB2312" w:hAnsi="仿宋_GB2312" w:eastAsia="仿宋_GB2312" w:cs="仿宋_GB2312"/>
                <w:i w:val="0"/>
                <w:iCs w:val="0"/>
                <w:color w:val="auto"/>
                <w:sz w:val="24"/>
                <w:szCs w:val="24"/>
                <w:u w:val="none"/>
                <w:lang w:val="en-US"/>
              </w:rPr>
            </w:pPr>
            <w:r>
              <w:rPr>
                <w:rFonts w:hint="eastAsia" w:ascii="仿宋_GB2312" w:hAnsi="仿宋_GB2312" w:eastAsia="仿宋_GB2312" w:cs="仿宋_GB2312"/>
                <w:i w:val="0"/>
                <w:iCs w:val="0"/>
                <w:color w:val="auto"/>
                <w:kern w:val="0"/>
                <w:sz w:val="24"/>
                <w:szCs w:val="24"/>
                <w:u w:val="none"/>
                <w:lang w:val="en-US" w:eastAsia="zh-CN" w:bidi="ar"/>
              </w:rPr>
              <w:t>创新能力</w:t>
            </w:r>
          </w:p>
        </w:tc>
        <w:tc>
          <w:tcPr>
            <w:tcW w:w="2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spacing w:line="240" w:lineRule="auto"/>
              <w:jc w:val="center"/>
              <w:textAlignment w:val="center"/>
              <w:rPr>
                <w:rFonts w:hint="eastAsia" w:ascii="仿宋_GB2312" w:hAnsi="仿宋_GB2312" w:eastAsia="仿宋_GB2312" w:cs="仿宋_GB2312"/>
                <w:i w:val="0"/>
                <w:iCs w:val="0"/>
                <w:color w:val="auto"/>
                <w:sz w:val="24"/>
                <w:szCs w:val="24"/>
                <w:highlight w:val="none"/>
                <w:u w:val="none"/>
              </w:rPr>
            </w:pPr>
            <w:r>
              <w:rPr>
                <w:rFonts w:hint="eastAsia" w:ascii="仿宋_GB2312" w:hAnsi="仿宋_GB2312" w:eastAsia="仿宋_GB2312" w:cs="仿宋_GB2312"/>
                <w:i w:val="0"/>
                <w:iCs w:val="0"/>
                <w:color w:val="auto"/>
                <w:kern w:val="0"/>
                <w:sz w:val="24"/>
                <w:szCs w:val="24"/>
                <w:highlight w:val="none"/>
                <w:u w:val="none"/>
                <w:lang w:val="en-US" w:eastAsia="zh-CN" w:bidi="ar"/>
              </w:rPr>
              <w:t>全社会研究与试验发展（R&amp;D）经费投入占GDP比重</w:t>
            </w:r>
          </w:p>
        </w:tc>
        <w:tc>
          <w:tcPr>
            <w:tcW w:w="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spacing w:line="240" w:lineRule="auto"/>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spacing w:line="240" w:lineRule="auto"/>
              <w:jc w:val="center"/>
              <w:textAlignment w:val="center"/>
              <w:rPr>
                <w:rFonts w:hint="eastAsia" w:ascii="仿宋_GB2312" w:hAnsi="仿宋_GB2312" w:eastAsia="仿宋_GB2312" w:cs="仿宋_GB2312"/>
                <w:i w:val="0"/>
                <w:iCs w:val="0"/>
                <w:color w:val="auto"/>
                <w:sz w:val="24"/>
                <w:szCs w:val="24"/>
                <w:u w:val="none"/>
                <w:lang w:val="en-US" w:eastAsia="zh-CN"/>
              </w:rPr>
            </w:pPr>
            <w:r>
              <w:rPr>
                <w:rFonts w:hint="eastAsia" w:ascii="仿宋_GB2312" w:hAnsi="仿宋_GB2312" w:eastAsia="仿宋_GB2312" w:cs="仿宋_GB2312"/>
                <w:i w:val="0"/>
                <w:iCs w:val="0"/>
                <w:color w:val="auto"/>
                <w:sz w:val="24"/>
                <w:szCs w:val="24"/>
                <w:u w:val="none"/>
                <w:lang w:val="en-US" w:eastAsia="zh-CN"/>
              </w:rPr>
              <w:t>0.69（2023年数据）</w:t>
            </w:r>
          </w:p>
        </w:tc>
        <w:tc>
          <w:tcPr>
            <w:tcW w:w="1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spacing w:line="240" w:lineRule="auto"/>
              <w:jc w:val="center"/>
              <w:textAlignment w:val="center"/>
              <w:rPr>
                <w:rFonts w:hint="eastAsia" w:ascii="仿宋_GB2312" w:hAnsi="仿宋_GB2312" w:eastAsia="仿宋_GB2312" w:cs="仿宋_GB2312"/>
                <w:i w:val="0"/>
                <w:iCs w:val="0"/>
                <w:color w:val="auto"/>
                <w:sz w:val="24"/>
                <w:szCs w:val="24"/>
                <w:u w:val="none"/>
                <w:lang w:val="en-US" w:eastAsia="zh-CN"/>
              </w:rPr>
            </w:pPr>
            <w:r>
              <w:rPr>
                <w:rFonts w:hint="eastAsia" w:ascii="仿宋_GB2312" w:hAnsi="仿宋_GB2312" w:eastAsia="仿宋_GB2312" w:cs="仿宋_GB2312"/>
                <w:i w:val="0"/>
                <w:iCs w:val="0"/>
                <w:color w:val="auto"/>
                <w:sz w:val="24"/>
                <w:szCs w:val="24"/>
                <w:u w:val="none"/>
                <w:lang w:val="en-US" w:eastAsia="zh-CN"/>
              </w:rPr>
              <w:t>0.74</w:t>
            </w: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spacing w:line="240" w:lineRule="auto"/>
              <w:jc w:val="center"/>
              <w:textAlignment w:val="center"/>
              <w:rPr>
                <w:rFonts w:hint="eastAsia" w:ascii="仿宋_GB2312" w:hAnsi="仿宋_GB2312" w:eastAsia="仿宋_GB2312" w:cs="仿宋_GB2312"/>
                <w:i w:val="0"/>
                <w:iCs w:val="0"/>
                <w:color w:val="auto"/>
                <w:sz w:val="24"/>
                <w:szCs w:val="24"/>
                <w:u w:val="none"/>
                <w:lang w:val="en-US" w:eastAsia="zh-CN"/>
              </w:rPr>
            </w:pPr>
            <w:r>
              <w:rPr>
                <w:rFonts w:hint="eastAsia" w:ascii="仿宋_GB2312" w:hAnsi="仿宋_GB2312" w:eastAsia="仿宋_GB2312" w:cs="仿宋_GB2312"/>
                <w:i w:val="0"/>
                <w:iCs w:val="0"/>
                <w:color w:val="auto"/>
                <w:sz w:val="24"/>
                <w:szCs w:val="24"/>
                <w:u w:val="none"/>
                <w:lang w:val="en-US" w:eastAsia="zh-CN"/>
              </w:rPr>
              <w:t>1％</w:t>
            </w:r>
          </w:p>
        </w:tc>
        <w:tc>
          <w:tcPr>
            <w:tcW w:w="8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spacing w:line="240" w:lineRule="auto"/>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预期性</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3" w:hRule="atLeast"/>
          <w:jc w:val="center"/>
        </w:trPr>
        <w:tc>
          <w:tcPr>
            <w:tcW w:w="75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spacing w:line="240" w:lineRule="auto"/>
              <w:jc w:val="center"/>
              <w:textAlignment w:val="center"/>
              <w:rPr>
                <w:rFonts w:hint="default"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2</w:t>
            </w:r>
          </w:p>
        </w:tc>
        <w:tc>
          <w:tcPr>
            <w:tcW w:w="834" w:type="dxa"/>
            <w:vMerge w:val="continue"/>
            <w:tcBorders>
              <w:left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spacing w:line="240" w:lineRule="auto"/>
              <w:jc w:val="center"/>
              <w:rPr>
                <w:rFonts w:hint="eastAsia" w:ascii="仿宋_GB2312" w:hAnsi="仿宋_GB2312" w:eastAsia="仿宋_GB2312" w:cs="仿宋_GB2312"/>
                <w:i w:val="0"/>
                <w:iCs w:val="0"/>
                <w:color w:val="auto"/>
                <w:sz w:val="24"/>
                <w:szCs w:val="24"/>
                <w:u w:val="none"/>
              </w:rPr>
            </w:pPr>
          </w:p>
        </w:tc>
        <w:tc>
          <w:tcPr>
            <w:tcW w:w="2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spacing w:line="240" w:lineRule="auto"/>
              <w:jc w:val="center"/>
              <w:textAlignment w:val="center"/>
              <w:rPr>
                <w:rFonts w:hint="eastAsia" w:ascii="仿宋_GB2312" w:hAnsi="仿宋_GB2312" w:eastAsia="仿宋_GB2312" w:cs="仿宋_GB2312"/>
                <w:i w:val="0"/>
                <w:iCs w:val="0"/>
                <w:color w:val="auto"/>
                <w:kern w:val="2"/>
                <w:sz w:val="24"/>
                <w:szCs w:val="24"/>
                <w:u w:val="none"/>
                <w:lang w:val="en-US" w:eastAsia="zh-CN" w:bidi="ar-SA"/>
              </w:rPr>
            </w:pPr>
            <w:r>
              <w:rPr>
                <w:rFonts w:hint="eastAsia" w:ascii="仿宋_GB2312" w:hAnsi="仿宋_GB2312" w:eastAsia="仿宋_GB2312" w:cs="仿宋_GB2312"/>
                <w:i w:val="0"/>
                <w:iCs w:val="0"/>
                <w:color w:val="auto"/>
                <w:kern w:val="0"/>
                <w:sz w:val="24"/>
                <w:szCs w:val="24"/>
                <w:u w:val="none"/>
                <w:lang w:val="en-US" w:eastAsia="zh-CN" w:bidi="ar"/>
              </w:rPr>
              <w:t>规上数字经济核心产业营业收入</w:t>
            </w:r>
          </w:p>
        </w:tc>
        <w:tc>
          <w:tcPr>
            <w:tcW w:w="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spacing w:line="240" w:lineRule="auto"/>
              <w:jc w:val="center"/>
              <w:textAlignment w:val="center"/>
              <w:rPr>
                <w:rFonts w:hint="eastAsia" w:ascii="仿宋_GB2312" w:hAnsi="仿宋_GB2312" w:eastAsia="仿宋_GB2312" w:cs="仿宋_GB2312"/>
                <w:i w:val="0"/>
                <w:iCs w:val="0"/>
                <w:color w:val="auto"/>
                <w:kern w:val="2"/>
                <w:sz w:val="24"/>
                <w:szCs w:val="24"/>
                <w:u w:val="none"/>
                <w:lang w:val="en-US" w:eastAsia="zh-CN" w:bidi="ar-SA"/>
              </w:rPr>
            </w:pPr>
            <w:r>
              <w:rPr>
                <w:rFonts w:hint="eastAsia" w:ascii="仿宋_GB2312" w:hAnsi="仿宋_GB2312" w:eastAsia="仿宋_GB2312" w:cs="仿宋_GB2312"/>
                <w:i w:val="0"/>
                <w:iCs w:val="0"/>
                <w:color w:val="auto"/>
                <w:kern w:val="0"/>
                <w:sz w:val="24"/>
                <w:szCs w:val="24"/>
                <w:u w:val="none"/>
                <w:lang w:val="en-US" w:eastAsia="zh-CN" w:bidi="ar"/>
              </w:rPr>
              <w:t>亿元</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spacing w:line="240" w:lineRule="auto"/>
              <w:jc w:val="center"/>
              <w:textAlignment w:val="center"/>
              <w:rPr>
                <w:rFonts w:hint="eastAsia" w:ascii="仿宋_GB2312" w:hAnsi="仿宋_GB2312" w:eastAsia="仿宋_GB2312" w:cs="仿宋_GB2312"/>
                <w:i w:val="0"/>
                <w:iCs w:val="0"/>
                <w:color w:val="auto"/>
                <w:sz w:val="24"/>
                <w:szCs w:val="24"/>
                <w:u w:val="none"/>
                <w:lang w:val="en-US" w:eastAsia="zh-CN"/>
              </w:rPr>
            </w:pPr>
            <w:r>
              <w:rPr>
                <w:rFonts w:hint="eastAsia" w:ascii="仿宋_GB2312" w:hAnsi="仿宋_GB2312" w:eastAsia="仿宋_GB2312" w:cs="仿宋_GB2312"/>
                <w:i w:val="0"/>
                <w:iCs w:val="0"/>
                <w:color w:val="auto"/>
                <w:sz w:val="24"/>
                <w:szCs w:val="24"/>
                <w:u w:val="none"/>
                <w:lang w:val="en-US" w:eastAsia="zh-CN"/>
              </w:rPr>
              <w:t>65.91</w:t>
            </w:r>
          </w:p>
        </w:tc>
        <w:tc>
          <w:tcPr>
            <w:tcW w:w="1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spacing w:line="240" w:lineRule="auto"/>
              <w:jc w:val="center"/>
              <w:textAlignment w:val="center"/>
              <w:rPr>
                <w:rFonts w:hint="eastAsia" w:ascii="仿宋_GB2312" w:hAnsi="仿宋_GB2312" w:eastAsia="仿宋_GB2312" w:cs="仿宋_GB2312"/>
                <w:i w:val="0"/>
                <w:iCs w:val="0"/>
                <w:color w:val="auto"/>
                <w:sz w:val="24"/>
                <w:szCs w:val="24"/>
                <w:u w:val="none"/>
                <w:lang w:val="en-US" w:eastAsia="zh-CN"/>
              </w:rPr>
            </w:pPr>
            <w:r>
              <w:rPr>
                <w:rFonts w:hint="eastAsia" w:ascii="仿宋_GB2312" w:hAnsi="仿宋_GB2312" w:eastAsia="仿宋_GB2312" w:cs="仿宋_GB2312"/>
                <w:i w:val="0"/>
                <w:iCs w:val="0"/>
                <w:color w:val="auto"/>
                <w:sz w:val="24"/>
                <w:szCs w:val="24"/>
                <w:u w:val="none"/>
                <w:lang w:val="en-US" w:eastAsia="zh-CN"/>
              </w:rPr>
              <w:t>90.62</w:t>
            </w: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spacing w:line="240" w:lineRule="auto"/>
              <w:jc w:val="center"/>
              <w:textAlignment w:val="center"/>
              <w:rPr>
                <w:rFonts w:hint="eastAsia" w:ascii="仿宋_GB2312" w:hAnsi="仿宋_GB2312" w:eastAsia="仿宋_GB2312" w:cs="仿宋_GB2312"/>
                <w:i w:val="0"/>
                <w:iCs w:val="0"/>
                <w:color w:val="auto"/>
                <w:sz w:val="24"/>
                <w:szCs w:val="24"/>
                <w:u w:val="none"/>
                <w:lang w:val="en-US" w:eastAsia="zh-CN"/>
              </w:rPr>
            </w:pPr>
            <w:r>
              <w:rPr>
                <w:rFonts w:hint="eastAsia" w:ascii="仿宋_GB2312" w:hAnsi="仿宋_GB2312" w:eastAsia="仿宋_GB2312" w:cs="仿宋_GB2312"/>
                <w:i w:val="0"/>
                <w:iCs w:val="0"/>
                <w:color w:val="auto"/>
                <w:sz w:val="24"/>
                <w:szCs w:val="24"/>
                <w:u w:val="none"/>
                <w:lang w:val="en-US" w:eastAsia="zh-CN"/>
              </w:rPr>
              <w:t>5%左右</w:t>
            </w:r>
          </w:p>
        </w:tc>
        <w:tc>
          <w:tcPr>
            <w:tcW w:w="8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spacing w:line="240" w:lineRule="auto"/>
              <w:jc w:val="center"/>
              <w:textAlignment w:val="center"/>
              <w:rPr>
                <w:rFonts w:hint="eastAsia" w:ascii="仿宋_GB2312" w:hAnsi="仿宋_GB2312" w:eastAsia="仿宋_GB2312" w:cs="仿宋_GB2312"/>
                <w:i w:val="0"/>
                <w:iCs w:val="0"/>
                <w:color w:val="auto"/>
                <w:kern w:val="2"/>
                <w:sz w:val="24"/>
                <w:szCs w:val="24"/>
                <w:u w:val="none"/>
                <w:lang w:val="en-US" w:eastAsia="zh-CN" w:bidi="ar-SA"/>
              </w:rPr>
            </w:pPr>
            <w:r>
              <w:rPr>
                <w:rFonts w:hint="eastAsia" w:ascii="仿宋_GB2312" w:hAnsi="仿宋_GB2312" w:eastAsia="仿宋_GB2312" w:cs="仿宋_GB2312"/>
                <w:i w:val="0"/>
                <w:iCs w:val="0"/>
                <w:color w:val="auto"/>
                <w:kern w:val="0"/>
                <w:sz w:val="24"/>
                <w:szCs w:val="24"/>
                <w:u w:val="none"/>
                <w:lang w:val="en-US" w:eastAsia="zh-CN" w:bidi="ar"/>
              </w:rPr>
              <w:t>预期性</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3" w:hRule="atLeast"/>
          <w:jc w:val="center"/>
        </w:trPr>
        <w:tc>
          <w:tcPr>
            <w:tcW w:w="75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spacing w:line="240" w:lineRule="auto"/>
              <w:jc w:val="center"/>
              <w:textAlignment w:val="center"/>
              <w:rPr>
                <w:rFonts w:hint="default"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3</w:t>
            </w:r>
          </w:p>
        </w:tc>
        <w:tc>
          <w:tcPr>
            <w:tcW w:w="834" w:type="dxa"/>
            <w:vMerge w:val="continue"/>
            <w:tcBorders>
              <w:left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spacing w:line="240" w:lineRule="auto"/>
              <w:jc w:val="center"/>
              <w:rPr>
                <w:rFonts w:hint="eastAsia" w:ascii="仿宋_GB2312" w:hAnsi="仿宋_GB2312" w:eastAsia="仿宋_GB2312" w:cs="仿宋_GB2312"/>
                <w:i w:val="0"/>
                <w:iCs w:val="0"/>
                <w:color w:val="auto"/>
                <w:sz w:val="24"/>
                <w:szCs w:val="24"/>
                <w:u w:val="none"/>
              </w:rPr>
            </w:pPr>
          </w:p>
        </w:tc>
        <w:tc>
          <w:tcPr>
            <w:tcW w:w="2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spacing w:line="240" w:lineRule="auto"/>
              <w:jc w:val="center"/>
              <w:textAlignment w:val="center"/>
              <w:rPr>
                <w:rFonts w:hint="eastAsia" w:ascii="仿宋_GB2312" w:hAnsi="仿宋_GB2312" w:eastAsia="仿宋_GB2312" w:cs="仿宋_GB2312"/>
                <w:i w:val="0"/>
                <w:iCs w:val="0"/>
                <w:color w:val="auto"/>
                <w:kern w:val="0"/>
                <w:sz w:val="24"/>
                <w:szCs w:val="24"/>
                <w:highlight w:val="none"/>
                <w:u w:val="none"/>
                <w:lang w:val="en-US" w:eastAsia="zh-CN" w:bidi="ar"/>
              </w:rPr>
            </w:pPr>
            <w:r>
              <w:rPr>
                <w:rFonts w:hint="eastAsia" w:ascii="仿宋_GB2312" w:hAnsi="仿宋_GB2312" w:eastAsia="仿宋_GB2312" w:cs="仿宋_GB2312"/>
                <w:i w:val="0"/>
                <w:iCs w:val="0"/>
                <w:color w:val="auto"/>
                <w:kern w:val="0"/>
                <w:sz w:val="24"/>
                <w:szCs w:val="24"/>
                <w:highlight w:val="none"/>
                <w:u w:val="none"/>
                <w:lang w:val="en-US" w:eastAsia="zh-CN" w:bidi="ar"/>
              </w:rPr>
              <w:t>每万名就业人员中研发人员</w:t>
            </w:r>
          </w:p>
        </w:tc>
        <w:tc>
          <w:tcPr>
            <w:tcW w:w="87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人</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spacing w:line="240" w:lineRule="auto"/>
              <w:jc w:val="center"/>
              <w:textAlignment w:val="center"/>
              <w:rPr>
                <w:rFonts w:hint="default" w:ascii="仿宋_GB2312" w:hAnsi="仿宋_GB2312" w:eastAsia="仿宋_GB2312" w:cs="仿宋_GB2312"/>
                <w:i w:val="0"/>
                <w:iCs w:val="0"/>
                <w:color w:val="auto"/>
                <w:sz w:val="24"/>
                <w:szCs w:val="24"/>
                <w:u w:val="none"/>
                <w:lang w:val="en-US" w:eastAsia="zh-CN"/>
              </w:rPr>
            </w:pPr>
            <w:r>
              <w:rPr>
                <w:rFonts w:hint="eastAsia" w:ascii="仿宋_GB2312" w:hAnsi="仿宋_GB2312" w:eastAsia="仿宋_GB2312" w:cs="仿宋_GB2312"/>
                <w:i w:val="0"/>
                <w:iCs w:val="0"/>
                <w:color w:val="auto"/>
                <w:sz w:val="24"/>
                <w:szCs w:val="24"/>
                <w:u w:val="none"/>
                <w:lang w:val="en-US" w:eastAsia="zh-CN"/>
              </w:rPr>
              <w:t>35</w:t>
            </w:r>
          </w:p>
        </w:tc>
        <w:tc>
          <w:tcPr>
            <w:tcW w:w="1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spacing w:line="240" w:lineRule="auto"/>
              <w:jc w:val="center"/>
              <w:textAlignment w:val="center"/>
              <w:rPr>
                <w:rFonts w:hint="default" w:ascii="仿宋_GB2312" w:hAnsi="仿宋_GB2312" w:eastAsia="仿宋_GB2312" w:cs="仿宋_GB2312"/>
                <w:i w:val="0"/>
                <w:iCs w:val="0"/>
                <w:color w:val="auto"/>
                <w:sz w:val="24"/>
                <w:szCs w:val="24"/>
                <w:u w:val="none"/>
                <w:lang w:val="en-US" w:eastAsia="zh-CN"/>
              </w:rPr>
            </w:pPr>
            <w:r>
              <w:rPr>
                <w:rFonts w:hint="eastAsia" w:ascii="仿宋_GB2312" w:hAnsi="仿宋_GB2312" w:eastAsia="仿宋_GB2312" w:cs="仿宋_GB2312"/>
                <w:i w:val="0"/>
                <w:iCs w:val="0"/>
                <w:color w:val="auto"/>
                <w:sz w:val="24"/>
                <w:szCs w:val="24"/>
                <w:u w:val="none"/>
                <w:lang w:val="en-US" w:eastAsia="zh-CN"/>
              </w:rPr>
              <w:t>42</w:t>
            </w: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spacing w:line="240" w:lineRule="auto"/>
              <w:jc w:val="center"/>
              <w:textAlignment w:val="center"/>
              <w:rPr>
                <w:rFonts w:hint="default" w:ascii="仿宋_GB2312" w:hAnsi="仿宋_GB2312" w:eastAsia="仿宋_GB2312" w:cs="仿宋_GB2312"/>
                <w:i w:val="0"/>
                <w:iCs w:val="0"/>
                <w:color w:val="auto"/>
                <w:sz w:val="24"/>
                <w:szCs w:val="24"/>
                <w:u w:val="none"/>
                <w:lang w:val="en-US" w:eastAsia="zh-CN"/>
              </w:rPr>
            </w:pPr>
            <w:r>
              <w:rPr>
                <w:rFonts w:hint="eastAsia" w:ascii="仿宋_GB2312" w:hAnsi="仿宋_GB2312" w:eastAsia="仿宋_GB2312" w:cs="仿宋_GB2312"/>
                <w:i w:val="0"/>
                <w:iCs w:val="0"/>
                <w:color w:val="auto"/>
                <w:sz w:val="24"/>
                <w:szCs w:val="24"/>
                <w:u w:val="none"/>
                <w:lang w:val="en-US" w:eastAsia="zh-CN"/>
              </w:rPr>
              <w:t>3.0%</w:t>
            </w:r>
          </w:p>
        </w:tc>
        <w:tc>
          <w:tcPr>
            <w:tcW w:w="8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预期性</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57" w:hRule="atLeast"/>
          <w:jc w:val="center"/>
        </w:trPr>
        <w:tc>
          <w:tcPr>
            <w:tcW w:w="75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spacing w:line="240" w:lineRule="auto"/>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4</w:t>
            </w:r>
          </w:p>
        </w:tc>
        <w:tc>
          <w:tcPr>
            <w:tcW w:w="834" w:type="dxa"/>
            <w:vMerge w:val="restart"/>
            <w:tcBorders>
              <w:top w:val="single" w:color="000000" w:sz="4" w:space="0"/>
              <w:left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spacing w:line="240" w:lineRule="auto"/>
              <w:jc w:val="center"/>
              <w:rPr>
                <w:rFonts w:hint="default" w:ascii="仿宋_GB2312" w:hAnsi="仿宋_GB2312" w:eastAsia="仿宋_GB2312" w:cs="仿宋_GB2312"/>
                <w:i w:val="0"/>
                <w:iCs w:val="0"/>
                <w:color w:val="auto"/>
                <w:sz w:val="24"/>
                <w:szCs w:val="24"/>
                <w:u w:val="none"/>
                <w:lang w:val="en-US" w:eastAsia="zh-CN"/>
              </w:rPr>
            </w:pPr>
            <w:r>
              <w:rPr>
                <w:rFonts w:hint="eastAsia" w:ascii="仿宋_GB2312" w:hAnsi="仿宋_GB2312" w:eastAsia="仿宋_GB2312" w:cs="仿宋_GB2312"/>
                <w:i w:val="0"/>
                <w:iCs w:val="0"/>
                <w:color w:val="auto"/>
                <w:sz w:val="24"/>
                <w:szCs w:val="24"/>
                <w:u w:val="none"/>
                <w:lang w:val="en-US" w:eastAsia="zh-CN"/>
              </w:rPr>
              <w:t>创新要素</w:t>
            </w:r>
          </w:p>
        </w:tc>
        <w:tc>
          <w:tcPr>
            <w:tcW w:w="2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spacing w:line="240" w:lineRule="auto"/>
              <w:jc w:val="center"/>
              <w:textAlignment w:val="center"/>
              <w:rPr>
                <w:rFonts w:hint="default" w:ascii="仿宋_GB2312" w:hAnsi="仿宋_GB2312" w:eastAsia="仿宋_GB2312" w:cs="仿宋_GB2312"/>
                <w:i w:val="0"/>
                <w:iCs w:val="0"/>
                <w:color w:val="auto"/>
                <w:sz w:val="24"/>
                <w:szCs w:val="24"/>
                <w:highlight w:val="none"/>
                <w:u w:val="none"/>
                <w:lang w:val="en-US"/>
              </w:rPr>
            </w:pPr>
            <w:r>
              <w:rPr>
                <w:rFonts w:hint="eastAsia" w:ascii="仿宋_GB2312" w:hAnsi="仿宋_GB2312" w:eastAsia="仿宋_GB2312" w:cs="仿宋_GB2312"/>
                <w:i w:val="0"/>
                <w:iCs w:val="0"/>
                <w:color w:val="auto"/>
                <w:kern w:val="0"/>
                <w:sz w:val="24"/>
                <w:szCs w:val="24"/>
                <w:highlight w:val="none"/>
                <w:u w:val="none"/>
                <w:lang w:val="en-US" w:eastAsia="zh-CN" w:bidi="ar"/>
              </w:rPr>
              <w:t>高新技术企业数量</w:t>
            </w:r>
          </w:p>
        </w:tc>
        <w:tc>
          <w:tcPr>
            <w:tcW w:w="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spacing w:line="240" w:lineRule="auto"/>
              <w:jc w:val="center"/>
              <w:textAlignment w:val="center"/>
              <w:rPr>
                <w:rFonts w:hint="eastAsia" w:ascii="仿宋_GB2312" w:hAnsi="仿宋_GB2312" w:eastAsia="仿宋_GB2312" w:cs="仿宋_GB2312"/>
                <w:i w:val="0"/>
                <w:iCs w:val="0"/>
                <w:color w:val="auto"/>
                <w:sz w:val="24"/>
                <w:szCs w:val="24"/>
                <w:u w:val="none"/>
                <w:lang w:val="en-US" w:eastAsia="zh-CN"/>
              </w:rPr>
            </w:pPr>
            <w:r>
              <w:rPr>
                <w:rFonts w:hint="eastAsia" w:ascii="仿宋_GB2312" w:hAnsi="仿宋_GB2312" w:eastAsia="仿宋_GB2312" w:cs="仿宋_GB2312"/>
                <w:i w:val="0"/>
                <w:iCs w:val="0"/>
                <w:color w:val="auto"/>
                <w:sz w:val="24"/>
                <w:szCs w:val="24"/>
                <w:u w:val="none"/>
                <w:lang w:val="en-US" w:eastAsia="zh-CN"/>
              </w:rPr>
              <w:t>户</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spacing w:line="240" w:lineRule="auto"/>
              <w:jc w:val="center"/>
              <w:textAlignment w:val="center"/>
              <w:rPr>
                <w:rFonts w:hint="default" w:ascii="仿宋_GB2312" w:hAnsi="仿宋_GB2312" w:eastAsia="仿宋_GB2312" w:cs="仿宋_GB2312"/>
                <w:i w:val="0"/>
                <w:iCs w:val="0"/>
                <w:color w:val="auto"/>
                <w:sz w:val="24"/>
                <w:szCs w:val="24"/>
                <w:u w:val="none"/>
                <w:lang w:val="en-US" w:eastAsia="zh-CN"/>
              </w:rPr>
            </w:pPr>
            <w:r>
              <w:rPr>
                <w:rFonts w:hint="eastAsia" w:ascii="仿宋_GB2312" w:hAnsi="仿宋_GB2312" w:eastAsia="仿宋_GB2312" w:cs="仿宋_GB2312"/>
                <w:i w:val="0"/>
                <w:iCs w:val="0"/>
                <w:color w:val="auto"/>
                <w:sz w:val="24"/>
                <w:szCs w:val="24"/>
                <w:u w:val="none"/>
                <w:lang w:val="en-US" w:eastAsia="zh-CN"/>
              </w:rPr>
              <w:t>60</w:t>
            </w:r>
          </w:p>
        </w:tc>
        <w:tc>
          <w:tcPr>
            <w:tcW w:w="1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spacing w:line="240" w:lineRule="auto"/>
              <w:jc w:val="center"/>
              <w:textAlignment w:val="center"/>
              <w:rPr>
                <w:rFonts w:hint="default" w:ascii="仿宋_GB2312" w:hAnsi="仿宋_GB2312" w:eastAsia="仿宋_GB2312" w:cs="仿宋_GB2312"/>
                <w:i w:val="0"/>
                <w:iCs w:val="0"/>
                <w:color w:val="auto"/>
                <w:sz w:val="24"/>
                <w:szCs w:val="24"/>
                <w:u w:val="none"/>
                <w:lang w:val="en-US" w:eastAsia="zh-CN"/>
              </w:rPr>
            </w:pPr>
            <w:r>
              <w:rPr>
                <w:rFonts w:hint="eastAsia" w:ascii="仿宋_GB2312" w:hAnsi="仿宋_GB2312" w:eastAsia="仿宋_GB2312" w:cs="仿宋_GB2312"/>
                <w:i w:val="0"/>
                <w:iCs w:val="0"/>
                <w:color w:val="auto"/>
                <w:sz w:val="24"/>
                <w:szCs w:val="24"/>
                <w:u w:val="none"/>
                <w:lang w:val="en-US" w:eastAsia="zh-CN"/>
              </w:rPr>
              <w:t>70</w:t>
            </w: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spacing w:line="240" w:lineRule="auto"/>
              <w:jc w:val="center"/>
              <w:textAlignment w:val="center"/>
              <w:rPr>
                <w:rFonts w:hint="eastAsia" w:ascii="仿宋_GB2312" w:hAnsi="仿宋_GB2312" w:eastAsia="仿宋_GB2312" w:cs="仿宋_GB2312"/>
                <w:i w:val="0"/>
                <w:iCs w:val="0"/>
                <w:color w:val="auto"/>
                <w:sz w:val="24"/>
                <w:szCs w:val="24"/>
                <w:u w:val="none"/>
                <w:lang w:val="en-US" w:eastAsia="zh-CN"/>
              </w:rPr>
            </w:pPr>
            <w:r>
              <w:rPr>
                <w:rFonts w:hint="eastAsia" w:ascii="仿宋_GB2312" w:hAnsi="仿宋_GB2312" w:eastAsia="仿宋_GB2312" w:cs="仿宋_GB2312"/>
                <w:i w:val="0"/>
                <w:iCs w:val="0"/>
                <w:color w:val="auto"/>
                <w:sz w:val="24"/>
                <w:szCs w:val="24"/>
                <w:u w:val="none"/>
                <w:lang w:val="en-US" w:eastAsia="zh-CN"/>
              </w:rPr>
              <w:t>3.0%</w:t>
            </w:r>
          </w:p>
        </w:tc>
        <w:tc>
          <w:tcPr>
            <w:tcW w:w="8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spacing w:line="240" w:lineRule="auto"/>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预期性</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2" w:hRule="atLeast"/>
          <w:jc w:val="center"/>
        </w:trPr>
        <w:tc>
          <w:tcPr>
            <w:tcW w:w="75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spacing w:line="240" w:lineRule="auto"/>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5</w:t>
            </w:r>
          </w:p>
        </w:tc>
        <w:tc>
          <w:tcPr>
            <w:tcW w:w="834" w:type="dxa"/>
            <w:vMerge w:val="continue"/>
            <w:tcBorders>
              <w:left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spacing w:line="240" w:lineRule="auto"/>
              <w:jc w:val="center"/>
              <w:rPr>
                <w:rFonts w:hint="eastAsia" w:ascii="仿宋_GB2312" w:hAnsi="仿宋_GB2312" w:eastAsia="仿宋_GB2312" w:cs="仿宋_GB2312"/>
                <w:i w:val="0"/>
                <w:iCs w:val="0"/>
                <w:color w:val="auto"/>
                <w:sz w:val="24"/>
                <w:szCs w:val="24"/>
                <w:u w:val="none"/>
              </w:rPr>
            </w:pPr>
          </w:p>
        </w:tc>
        <w:tc>
          <w:tcPr>
            <w:tcW w:w="2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spacing w:line="240" w:lineRule="auto"/>
              <w:jc w:val="center"/>
              <w:textAlignment w:val="center"/>
              <w:rPr>
                <w:rFonts w:hint="default" w:ascii="仿宋_GB2312" w:hAnsi="仿宋_GB2312" w:eastAsia="仿宋_GB2312" w:cs="仿宋_GB2312"/>
                <w:i w:val="0"/>
                <w:iCs w:val="0"/>
                <w:color w:val="auto"/>
                <w:sz w:val="24"/>
                <w:szCs w:val="24"/>
                <w:u w:val="none"/>
                <w:lang w:val="en-US"/>
              </w:rPr>
            </w:pPr>
            <w:r>
              <w:rPr>
                <w:rFonts w:hint="eastAsia" w:ascii="仿宋_GB2312" w:hAnsi="仿宋_GB2312" w:eastAsia="仿宋_GB2312" w:cs="仿宋_GB2312"/>
                <w:i w:val="0"/>
                <w:iCs w:val="0"/>
                <w:color w:val="auto"/>
                <w:kern w:val="0"/>
                <w:sz w:val="24"/>
                <w:szCs w:val="24"/>
                <w:u w:val="none"/>
                <w:lang w:val="en-US" w:eastAsia="zh-CN" w:bidi="ar"/>
              </w:rPr>
              <w:t>科技型中小企业数量</w:t>
            </w:r>
          </w:p>
        </w:tc>
        <w:tc>
          <w:tcPr>
            <w:tcW w:w="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spacing w:line="240" w:lineRule="auto"/>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sz w:val="24"/>
                <w:szCs w:val="24"/>
                <w:u w:val="none"/>
                <w:lang w:val="en-US" w:eastAsia="zh-CN"/>
              </w:rPr>
              <w:t>户</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spacing w:line="240" w:lineRule="auto"/>
              <w:jc w:val="center"/>
              <w:textAlignment w:val="center"/>
              <w:rPr>
                <w:rFonts w:hint="default" w:ascii="仿宋_GB2312" w:hAnsi="仿宋_GB2312" w:eastAsia="仿宋_GB2312" w:cs="仿宋_GB2312"/>
                <w:i w:val="0"/>
                <w:iCs w:val="0"/>
                <w:color w:val="auto"/>
                <w:sz w:val="24"/>
                <w:szCs w:val="24"/>
                <w:u w:val="none"/>
                <w:lang w:val="en-US" w:eastAsia="zh-CN"/>
              </w:rPr>
            </w:pPr>
            <w:r>
              <w:rPr>
                <w:rFonts w:hint="eastAsia" w:ascii="仿宋_GB2312" w:hAnsi="仿宋_GB2312" w:eastAsia="仿宋_GB2312" w:cs="仿宋_GB2312"/>
                <w:i w:val="0"/>
                <w:iCs w:val="0"/>
                <w:color w:val="auto"/>
                <w:sz w:val="24"/>
                <w:szCs w:val="24"/>
                <w:u w:val="none"/>
                <w:lang w:val="en-US" w:eastAsia="zh-CN"/>
              </w:rPr>
              <w:t>39</w:t>
            </w:r>
          </w:p>
        </w:tc>
        <w:tc>
          <w:tcPr>
            <w:tcW w:w="1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spacing w:line="240" w:lineRule="auto"/>
              <w:jc w:val="center"/>
              <w:textAlignment w:val="center"/>
              <w:rPr>
                <w:rFonts w:hint="default" w:ascii="仿宋_GB2312" w:hAnsi="仿宋_GB2312" w:eastAsia="仿宋_GB2312" w:cs="仿宋_GB2312"/>
                <w:i w:val="0"/>
                <w:iCs w:val="0"/>
                <w:color w:val="auto"/>
                <w:sz w:val="24"/>
                <w:szCs w:val="24"/>
                <w:u w:val="none"/>
                <w:lang w:val="en-US" w:eastAsia="zh-CN"/>
              </w:rPr>
            </w:pPr>
            <w:r>
              <w:rPr>
                <w:rFonts w:hint="eastAsia" w:ascii="仿宋_GB2312" w:hAnsi="仿宋_GB2312" w:eastAsia="仿宋_GB2312" w:cs="仿宋_GB2312"/>
                <w:i w:val="0"/>
                <w:iCs w:val="0"/>
                <w:color w:val="auto"/>
                <w:sz w:val="24"/>
                <w:szCs w:val="24"/>
                <w:u w:val="none"/>
                <w:lang w:val="en-US" w:eastAsia="zh-CN"/>
              </w:rPr>
              <w:t>50</w:t>
            </w: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spacing w:line="240" w:lineRule="auto"/>
              <w:jc w:val="center"/>
              <w:textAlignment w:val="center"/>
              <w:rPr>
                <w:rFonts w:hint="default" w:ascii="仿宋_GB2312" w:hAnsi="仿宋_GB2312" w:eastAsia="仿宋_GB2312" w:cs="仿宋_GB2312"/>
                <w:i w:val="0"/>
                <w:iCs w:val="0"/>
                <w:color w:val="auto"/>
                <w:sz w:val="24"/>
                <w:szCs w:val="24"/>
                <w:u w:val="none"/>
                <w:lang w:val="en-US" w:eastAsia="zh-CN"/>
              </w:rPr>
            </w:pPr>
            <w:r>
              <w:rPr>
                <w:rFonts w:hint="eastAsia" w:ascii="仿宋_GB2312" w:hAnsi="仿宋_GB2312" w:eastAsia="仿宋_GB2312" w:cs="仿宋_GB2312"/>
                <w:i w:val="0"/>
                <w:iCs w:val="0"/>
                <w:color w:val="auto"/>
                <w:sz w:val="24"/>
                <w:szCs w:val="24"/>
                <w:u w:val="none"/>
                <w:lang w:val="en-US" w:eastAsia="zh-CN"/>
              </w:rPr>
              <w:t>5%</w:t>
            </w:r>
          </w:p>
        </w:tc>
        <w:tc>
          <w:tcPr>
            <w:tcW w:w="8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spacing w:line="240" w:lineRule="auto"/>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预期性</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1" w:hRule="atLeast"/>
          <w:jc w:val="center"/>
        </w:trPr>
        <w:tc>
          <w:tcPr>
            <w:tcW w:w="75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spacing w:line="240" w:lineRule="auto"/>
              <w:jc w:val="center"/>
              <w:textAlignment w:val="center"/>
              <w:rPr>
                <w:rFonts w:hint="default" w:ascii="仿宋_GB2312" w:hAnsi="仿宋_GB2312" w:eastAsia="仿宋_GB2312" w:cs="仿宋_GB2312"/>
                <w:i w:val="0"/>
                <w:iCs w:val="0"/>
                <w:color w:val="auto"/>
                <w:sz w:val="24"/>
                <w:szCs w:val="24"/>
                <w:u w:val="none"/>
                <w:lang w:val="en-US"/>
              </w:rPr>
            </w:pPr>
            <w:r>
              <w:rPr>
                <w:rFonts w:hint="eastAsia" w:ascii="仿宋_GB2312" w:hAnsi="仿宋_GB2312" w:eastAsia="仿宋_GB2312" w:cs="仿宋_GB2312"/>
                <w:i w:val="0"/>
                <w:iCs w:val="0"/>
                <w:color w:val="auto"/>
                <w:kern w:val="0"/>
                <w:sz w:val="24"/>
                <w:szCs w:val="24"/>
                <w:u w:val="none"/>
                <w:lang w:val="en-US" w:eastAsia="zh-CN" w:bidi="ar"/>
              </w:rPr>
              <w:t>6</w:t>
            </w:r>
          </w:p>
        </w:tc>
        <w:tc>
          <w:tcPr>
            <w:tcW w:w="834" w:type="dxa"/>
            <w:vMerge w:val="continue"/>
            <w:tcBorders>
              <w:left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spacing w:line="240" w:lineRule="auto"/>
              <w:jc w:val="center"/>
              <w:rPr>
                <w:rFonts w:hint="eastAsia" w:ascii="仿宋_GB2312" w:hAnsi="仿宋_GB2312" w:eastAsia="仿宋_GB2312" w:cs="仿宋_GB2312"/>
                <w:i w:val="0"/>
                <w:iCs w:val="0"/>
                <w:color w:val="auto"/>
                <w:sz w:val="24"/>
                <w:szCs w:val="24"/>
                <w:u w:val="none"/>
              </w:rPr>
            </w:pPr>
          </w:p>
        </w:tc>
        <w:tc>
          <w:tcPr>
            <w:tcW w:w="2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spacing w:line="240" w:lineRule="auto"/>
              <w:jc w:val="center"/>
              <w:textAlignment w:val="center"/>
              <w:rPr>
                <w:rFonts w:hint="default" w:ascii="仿宋_GB2312" w:hAnsi="仿宋_GB2312" w:eastAsia="仿宋_GB2312" w:cs="仿宋_GB2312"/>
                <w:i w:val="0"/>
                <w:iCs w:val="0"/>
                <w:color w:val="auto"/>
                <w:sz w:val="24"/>
                <w:szCs w:val="24"/>
                <w:highlight w:val="none"/>
                <w:u w:val="none"/>
                <w:lang w:val="en-US"/>
              </w:rPr>
            </w:pPr>
            <w:r>
              <w:rPr>
                <w:rFonts w:hint="eastAsia" w:ascii="仿宋_GB2312" w:hAnsi="仿宋_GB2312" w:eastAsia="仿宋_GB2312" w:cs="仿宋_GB2312"/>
                <w:i w:val="0"/>
                <w:iCs w:val="0"/>
                <w:color w:val="auto"/>
                <w:kern w:val="0"/>
                <w:sz w:val="24"/>
                <w:szCs w:val="24"/>
                <w:highlight w:val="none"/>
                <w:u w:val="none"/>
                <w:lang w:val="en-US" w:eastAsia="zh-CN" w:bidi="ar"/>
              </w:rPr>
              <w:t>各级科技创新平台数量</w:t>
            </w:r>
          </w:p>
        </w:tc>
        <w:tc>
          <w:tcPr>
            <w:tcW w:w="87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spacing w:line="240" w:lineRule="auto"/>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（个）</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spacing w:line="240" w:lineRule="auto"/>
              <w:jc w:val="center"/>
              <w:textAlignment w:val="center"/>
              <w:rPr>
                <w:rFonts w:hint="default" w:ascii="仿宋_GB2312" w:hAnsi="仿宋_GB2312" w:eastAsia="仿宋_GB2312" w:cs="仿宋_GB2312"/>
                <w:i w:val="0"/>
                <w:iCs w:val="0"/>
                <w:color w:val="auto"/>
                <w:sz w:val="24"/>
                <w:szCs w:val="24"/>
                <w:u w:val="none"/>
                <w:lang w:val="en-US" w:eastAsia="zh-CN"/>
              </w:rPr>
            </w:pPr>
            <w:r>
              <w:rPr>
                <w:rFonts w:hint="eastAsia" w:ascii="仿宋_GB2312" w:hAnsi="仿宋_GB2312" w:eastAsia="仿宋_GB2312" w:cs="仿宋_GB2312"/>
                <w:i w:val="0"/>
                <w:iCs w:val="0"/>
                <w:color w:val="auto"/>
                <w:sz w:val="24"/>
                <w:szCs w:val="24"/>
                <w:u w:val="none"/>
                <w:lang w:val="en-US" w:eastAsia="zh-CN"/>
              </w:rPr>
              <w:t>27</w:t>
            </w:r>
          </w:p>
        </w:tc>
        <w:tc>
          <w:tcPr>
            <w:tcW w:w="1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spacing w:line="240" w:lineRule="auto"/>
              <w:jc w:val="center"/>
              <w:textAlignment w:val="center"/>
              <w:rPr>
                <w:rFonts w:hint="default" w:ascii="仿宋_GB2312" w:hAnsi="仿宋_GB2312" w:eastAsia="仿宋_GB2312" w:cs="仿宋_GB2312"/>
                <w:i w:val="0"/>
                <w:iCs w:val="0"/>
                <w:color w:val="auto"/>
                <w:sz w:val="24"/>
                <w:szCs w:val="24"/>
                <w:u w:val="none"/>
                <w:lang w:val="en-US" w:eastAsia="zh-CN"/>
              </w:rPr>
            </w:pPr>
            <w:r>
              <w:rPr>
                <w:rFonts w:hint="eastAsia" w:ascii="仿宋_GB2312" w:hAnsi="仿宋_GB2312" w:eastAsia="仿宋_GB2312" w:cs="仿宋_GB2312"/>
                <w:i w:val="0"/>
                <w:iCs w:val="0"/>
                <w:color w:val="auto"/>
                <w:sz w:val="24"/>
                <w:szCs w:val="24"/>
                <w:u w:val="none"/>
                <w:lang w:val="en-US" w:eastAsia="zh-CN"/>
              </w:rPr>
              <w:t>36</w:t>
            </w: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spacing w:line="240" w:lineRule="auto"/>
              <w:jc w:val="center"/>
              <w:textAlignment w:val="center"/>
              <w:rPr>
                <w:rFonts w:hint="default" w:ascii="仿宋_GB2312" w:hAnsi="仿宋_GB2312" w:eastAsia="仿宋_GB2312" w:cs="仿宋_GB2312"/>
                <w:i w:val="0"/>
                <w:iCs w:val="0"/>
                <w:color w:val="auto"/>
                <w:sz w:val="24"/>
                <w:szCs w:val="24"/>
                <w:u w:val="none"/>
                <w:lang w:val="en-US" w:eastAsia="zh-CN"/>
              </w:rPr>
            </w:pPr>
            <w:r>
              <w:rPr>
                <w:rFonts w:hint="eastAsia" w:ascii="仿宋_GB2312" w:hAnsi="仿宋_GB2312" w:eastAsia="仿宋_GB2312" w:cs="仿宋_GB2312"/>
                <w:i w:val="0"/>
                <w:iCs w:val="0"/>
                <w:color w:val="auto"/>
                <w:sz w:val="24"/>
                <w:szCs w:val="24"/>
                <w:u w:val="none"/>
                <w:lang w:val="en-US" w:eastAsia="zh-CN"/>
              </w:rPr>
              <w:t>5%</w:t>
            </w:r>
          </w:p>
        </w:tc>
        <w:tc>
          <w:tcPr>
            <w:tcW w:w="8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spacing w:line="240" w:lineRule="auto"/>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预期性</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0" w:hRule="atLeast"/>
          <w:jc w:val="center"/>
        </w:trPr>
        <w:tc>
          <w:tcPr>
            <w:tcW w:w="75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spacing w:line="240" w:lineRule="auto"/>
              <w:jc w:val="center"/>
              <w:textAlignment w:val="center"/>
              <w:rPr>
                <w:rFonts w:hint="default" w:ascii="仿宋_GB2312" w:hAnsi="仿宋_GB2312" w:eastAsia="仿宋_GB2312" w:cs="仿宋_GB2312"/>
                <w:i w:val="0"/>
                <w:iCs w:val="0"/>
                <w:color w:val="auto"/>
                <w:sz w:val="24"/>
                <w:szCs w:val="24"/>
                <w:u w:val="none"/>
                <w:lang w:val="en-US"/>
              </w:rPr>
            </w:pPr>
            <w:r>
              <w:rPr>
                <w:rFonts w:hint="eastAsia" w:ascii="仿宋_GB2312" w:hAnsi="仿宋_GB2312" w:eastAsia="仿宋_GB2312" w:cs="仿宋_GB2312"/>
                <w:i w:val="0"/>
                <w:iCs w:val="0"/>
                <w:color w:val="auto"/>
                <w:kern w:val="0"/>
                <w:sz w:val="24"/>
                <w:szCs w:val="24"/>
                <w:u w:val="none"/>
                <w:lang w:val="en-US" w:eastAsia="zh-CN" w:bidi="ar"/>
              </w:rPr>
              <w:t>7</w:t>
            </w:r>
          </w:p>
        </w:tc>
        <w:tc>
          <w:tcPr>
            <w:tcW w:w="834" w:type="dxa"/>
            <w:vMerge w:val="restart"/>
            <w:tcBorders>
              <w:top w:val="single" w:color="000000" w:sz="4" w:space="0"/>
              <w:left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spacing w:line="240" w:lineRule="auto"/>
              <w:jc w:val="center"/>
              <w:rPr>
                <w:rFonts w:hint="default" w:ascii="仿宋_GB2312" w:hAnsi="仿宋_GB2312" w:eastAsia="仿宋_GB2312" w:cs="仿宋_GB2312"/>
                <w:i w:val="0"/>
                <w:iCs w:val="0"/>
                <w:color w:val="auto"/>
                <w:sz w:val="24"/>
                <w:szCs w:val="24"/>
                <w:u w:val="none"/>
                <w:lang w:val="en-US" w:eastAsia="zh-CN"/>
              </w:rPr>
            </w:pPr>
            <w:r>
              <w:rPr>
                <w:rFonts w:hint="eastAsia" w:ascii="仿宋_GB2312" w:hAnsi="仿宋_GB2312" w:eastAsia="仿宋_GB2312" w:cs="仿宋_GB2312"/>
                <w:i w:val="0"/>
                <w:iCs w:val="0"/>
                <w:color w:val="auto"/>
                <w:sz w:val="24"/>
                <w:szCs w:val="24"/>
                <w:u w:val="none"/>
                <w:lang w:val="en-US" w:eastAsia="zh-CN"/>
              </w:rPr>
              <w:t>创新支撑</w:t>
            </w:r>
          </w:p>
        </w:tc>
        <w:tc>
          <w:tcPr>
            <w:tcW w:w="2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spacing w:line="240" w:lineRule="auto"/>
              <w:jc w:val="center"/>
              <w:textAlignment w:val="center"/>
              <w:rPr>
                <w:rFonts w:hint="default" w:ascii="仿宋_GB2312" w:hAnsi="仿宋_GB2312" w:eastAsia="仿宋_GB2312" w:cs="仿宋_GB2312"/>
                <w:i w:val="0"/>
                <w:iCs w:val="0"/>
                <w:color w:val="auto"/>
                <w:sz w:val="24"/>
                <w:szCs w:val="24"/>
                <w:highlight w:val="none"/>
                <w:u w:val="none"/>
                <w:lang w:val="en-US"/>
              </w:rPr>
            </w:pPr>
            <w:r>
              <w:rPr>
                <w:rFonts w:hint="default" w:ascii="仿宋_GB2312" w:hAnsi="仿宋_GB2312" w:eastAsia="仿宋_GB2312" w:cs="仿宋_GB2312"/>
                <w:i w:val="0"/>
                <w:iCs w:val="0"/>
                <w:color w:val="auto"/>
                <w:sz w:val="24"/>
                <w:szCs w:val="24"/>
                <w:highlight w:val="none"/>
                <w:u w:val="none"/>
                <w:lang w:val="en-US"/>
              </w:rPr>
              <w:t>高层次科技创新人才数量</w:t>
            </w:r>
          </w:p>
        </w:tc>
        <w:tc>
          <w:tcPr>
            <w:tcW w:w="87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spacing w:line="240" w:lineRule="auto"/>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（人）</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spacing w:line="240" w:lineRule="auto"/>
              <w:jc w:val="center"/>
              <w:textAlignment w:val="center"/>
              <w:rPr>
                <w:rFonts w:hint="default" w:ascii="仿宋_GB2312" w:hAnsi="仿宋_GB2312" w:eastAsia="仿宋_GB2312" w:cs="仿宋_GB2312"/>
                <w:i w:val="0"/>
                <w:iCs w:val="0"/>
                <w:color w:val="auto"/>
                <w:sz w:val="24"/>
                <w:szCs w:val="24"/>
                <w:u w:val="none"/>
                <w:lang w:val="en-US" w:eastAsia="zh-CN"/>
              </w:rPr>
            </w:pPr>
            <w:r>
              <w:rPr>
                <w:rFonts w:hint="eastAsia" w:ascii="仿宋_GB2312" w:hAnsi="仿宋_GB2312" w:eastAsia="仿宋_GB2312" w:cs="仿宋_GB2312"/>
                <w:i w:val="0"/>
                <w:iCs w:val="0"/>
                <w:color w:val="auto"/>
                <w:sz w:val="24"/>
                <w:szCs w:val="24"/>
                <w:u w:val="none"/>
                <w:lang w:val="en-US" w:eastAsia="zh-CN"/>
              </w:rPr>
              <w:t>36</w:t>
            </w:r>
          </w:p>
        </w:tc>
        <w:tc>
          <w:tcPr>
            <w:tcW w:w="1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spacing w:line="240" w:lineRule="auto"/>
              <w:jc w:val="center"/>
              <w:textAlignment w:val="center"/>
              <w:rPr>
                <w:rFonts w:hint="default" w:ascii="仿宋_GB2312" w:hAnsi="仿宋_GB2312" w:eastAsia="仿宋_GB2312" w:cs="仿宋_GB2312"/>
                <w:i w:val="0"/>
                <w:iCs w:val="0"/>
                <w:color w:val="auto"/>
                <w:sz w:val="24"/>
                <w:szCs w:val="24"/>
                <w:u w:val="none"/>
                <w:lang w:val="en-US" w:eastAsia="zh-CN"/>
              </w:rPr>
            </w:pPr>
            <w:r>
              <w:rPr>
                <w:rFonts w:hint="eastAsia" w:ascii="仿宋_GB2312" w:hAnsi="仿宋_GB2312" w:eastAsia="仿宋_GB2312" w:cs="仿宋_GB2312"/>
                <w:i w:val="0"/>
                <w:iCs w:val="0"/>
                <w:color w:val="auto"/>
                <w:sz w:val="24"/>
                <w:szCs w:val="24"/>
                <w:u w:val="none"/>
                <w:lang w:val="en-US" w:eastAsia="zh-CN"/>
              </w:rPr>
              <w:t>45</w:t>
            </w: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spacing w:line="240" w:lineRule="auto"/>
              <w:jc w:val="center"/>
              <w:textAlignment w:val="center"/>
              <w:rPr>
                <w:rFonts w:hint="default" w:ascii="仿宋_GB2312" w:hAnsi="仿宋_GB2312" w:eastAsia="仿宋_GB2312" w:cs="仿宋_GB2312"/>
                <w:i w:val="0"/>
                <w:iCs w:val="0"/>
                <w:color w:val="auto"/>
                <w:sz w:val="24"/>
                <w:szCs w:val="24"/>
                <w:u w:val="none"/>
                <w:lang w:val="en-US" w:eastAsia="zh-CN"/>
              </w:rPr>
            </w:pPr>
            <w:r>
              <w:rPr>
                <w:rFonts w:hint="eastAsia" w:ascii="仿宋_GB2312" w:hAnsi="仿宋_GB2312" w:eastAsia="仿宋_GB2312" w:cs="仿宋_GB2312"/>
                <w:i w:val="0"/>
                <w:iCs w:val="0"/>
                <w:color w:val="auto"/>
                <w:sz w:val="24"/>
                <w:szCs w:val="24"/>
                <w:u w:val="none"/>
                <w:lang w:val="en-US" w:eastAsia="zh-CN"/>
              </w:rPr>
              <w:t>4.6%</w:t>
            </w:r>
          </w:p>
        </w:tc>
        <w:tc>
          <w:tcPr>
            <w:tcW w:w="8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spacing w:line="240" w:lineRule="auto"/>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预期性</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75" w:hRule="atLeast"/>
          <w:jc w:val="center"/>
        </w:trPr>
        <w:tc>
          <w:tcPr>
            <w:tcW w:w="75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spacing w:line="240" w:lineRule="auto"/>
              <w:jc w:val="center"/>
              <w:textAlignment w:val="center"/>
              <w:rPr>
                <w:rFonts w:hint="default"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8</w:t>
            </w:r>
          </w:p>
        </w:tc>
        <w:tc>
          <w:tcPr>
            <w:tcW w:w="834" w:type="dxa"/>
            <w:vMerge w:val="continue"/>
            <w:tcBorders>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spacing w:line="240" w:lineRule="auto"/>
              <w:jc w:val="center"/>
              <w:rPr>
                <w:rFonts w:hint="eastAsia" w:ascii="仿宋_GB2312" w:hAnsi="仿宋_GB2312" w:eastAsia="仿宋_GB2312" w:cs="仿宋_GB2312"/>
                <w:i w:val="0"/>
                <w:iCs w:val="0"/>
                <w:color w:val="auto"/>
                <w:sz w:val="24"/>
                <w:szCs w:val="24"/>
                <w:u w:val="none"/>
              </w:rPr>
            </w:pPr>
          </w:p>
        </w:tc>
        <w:tc>
          <w:tcPr>
            <w:tcW w:w="2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spacing w:line="240" w:lineRule="auto"/>
              <w:jc w:val="center"/>
              <w:textAlignment w:val="center"/>
              <w:rPr>
                <w:rFonts w:hint="default"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累计获国家、省、市科技项目数量</w:t>
            </w:r>
          </w:p>
        </w:tc>
        <w:tc>
          <w:tcPr>
            <w:tcW w:w="87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spacing w:line="240" w:lineRule="auto"/>
              <w:jc w:val="center"/>
              <w:textAlignment w:val="center"/>
              <w:rPr>
                <w:rFonts w:hint="default"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个</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spacing w:line="240" w:lineRule="auto"/>
              <w:jc w:val="center"/>
              <w:rPr>
                <w:rFonts w:hint="default" w:ascii="仿宋_GB2312" w:hAnsi="仿宋_GB2312" w:eastAsia="仿宋_GB2312" w:cs="仿宋_GB2312"/>
                <w:i w:val="0"/>
                <w:iCs w:val="0"/>
                <w:color w:val="auto"/>
                <w:sz w:val="24"/>
                <w:szCs w:val="24"/>
                <w:u w:val="none"/>
                <w:lang w:val="en-US" w:eastAsia="zh-CN"/>
              </w:rPr>
            </w:pPr>
            <w:r>
              <w:rPr>
                <w:rFonts w:hint="eastAsia" w:ascii="仿宋_GB2312" w:hAnsi="仿宋_GB2312" w:eastAsia="仿宋_GB2312" w:cs="仿宋_GB2312"/>
                <w:i w:val="0"/>
                <w:iCs w:val="0"/>
                <w:color w:val="auto"/>
                <w:sz w:val="24"/>
                <w:szCs w:val="24"/>
                <w:u w:val="none"/>
                <w:lang w:val="en-US" w:eastAsia="zh-CN"/>
              </w:rPr>
              <w:t>——</w:t>
            </w:r>
          </w:p>
        </w:tc>
        <w:tc>
          <w:tcPr>
            <w:tcW w:w="1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spacing w:line="240" w:lineRule="auto"/>
              <w:jc w:val="center"/>
              <w:rPr>
                <w:rFonts w:hint="default" w:ascii="仿宋_GB2312" w:hAnsi="仿宋_GB2312" w:eastAsia="仿宋_GB2312" w:cs="仿宋_GB2312"/>
                <w:i w:val="0"/>
                <w:iCs w:val="0"/>
                <w:color w:val="auto"/>
                <w:sz w:val="24"/>
                <w:szCs w:val="24"/>
                <w:u w:val="none"/>
                <w:lang w:val="en-US" w:eastAsia="zh-CN"/>
              </w:rPr>
            </w:pPr>
            <w:r>
              <w:rPr>
                <w:rFonts w:hint="eastAsia" w:ascii="仿宋_GB2312" w:hAnsi="仿宋_GB2312" w:eastAsia="仿宋_GB2312" w:cs="仿宋_GB2312"/>
                <w:i w:val="0"/>
                <w:iCs w:val="0"/>
                <w:color w:val="auto"/>
                <w:sz w:val="24"/>
                <w:szCs w:val="24"/>
                <w:u w:val="none"/>
                <w:lang w:val="en-US" w:eastAsia="zh-CN"/>
              </w:rPr>
              <w:t>——</w:t>
            </w: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spacing w:line="240" w:lineRule="auto"/>
              <w:jc w:val="center"/>
              <w:rPr>
                <w:rFonts w:hint="default" w:ascii="仿宋_GB2312" w:hAnsi="仿宋_GB2312" w:eastAsia="仿宋_GB2312" w:cs="仿宋_GB2312"/>
                <w:i w:val="0"/>
                <w:iCs w:val="0"/>
                <w:color w:val="auto"/>
                <w:sz w:val="24"/>
                <w:szCs w:val="24"/>
                <w:u w:val="none"/>
                <w:lang w:val="en-US" w:eastAsia="zh-CN"/>
              </w:rPr>
            </w:pPr>
            <w:r>
              <w:rPr>
                <w:rFonts w:hint="eastAsia" w:ascii="仿宋_GB2312" w:hAnsi="仿宋_GB2312" w:eastAsia="仿宋_GB2312" w:cs="仿宋_GB2312"/>
                <w:i w:val="0"/>
                <w:iCs w:val="0"/>
                <w:color w:val="auto"/>
                <w:sz w:val="24"/>
                <w:szCs w:val="24"/>
                <w:u w:val="none"/>
                <w:lang w:val="en-US" w:eastAsia="zh-CN"/>
              </w:rPr>
              <w:t>——</w:t>
            </w:r>
          </w:p>
        </w:tc>
        <w:tc>
          <w:tcPr>
            <w:tcW w:w="8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预期性</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7" w:hRule="atLeast"/>
          <w:jc w:val="center"/>
        </w:trPr>
        <w:tc>
          <w:tcPr>
            <w:tcW w:w="75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spacing w:line="240" w:lineRule="auto"/>
              <w:jc w:val="center"/>
              <w:textAlignment w:val="center"/>
              <w:rPr>
                <w:rFonts w:hint="default"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9</w:t>
            </w:r>
          </w:p>
        </w:tc>
        <w:tc>
          <w:tcPr>
            <w:tcW w:w="834" w:type="dxa"/>
            <w:vMerge w:val="restart"/>
            <w:tcBorders>
              <w:top w:val="single" w:color="000000" w:sz="4" w:space="0"/>
              <w:left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spacing w:line="240" w:lineRule="auto"/>
              <w:jc w:val="center"/>
              <w:rPr>
                <w:rFonts w:hint="default" w:ascii="仿宋_GB2312" w:hAnsi="仿宋_GB2312" w:eastAsia="仿宋_GB2312" w:cs="仿宋_GB2312"/>
                <w:i w:val="0"/>
                <w:iCs w:val="0"/>
                <w:color w:val="auto"/>
                <w:sz w:val="24"/>
                <w:szCs w:val="24"/>
                <w:u w:val="none"/>
                <w:lang w:val="en-US" w:eastAsia="zh-CN"/>
              </w:rPr>
            </w:pPr>
            <w:r>
              <w:rPr>
                <w:rFonts w:hint="eastAsia" w:ascii="仿宋_GB2312" w:hAnsi="仿宋_GB2312" w:eastAsia="仿宋_GB2312" w:cs="仿宋_GB2312"/>
                <w:i w:val="0"/>
                <w:iCs w:val="0"/>
                <w:color w:val="auto"/>
                <w:sz w:val="24"/>
                <w:szCs w:val="24"/>
                <w:u w:val="none"/>
                <w:lang w:val="en-US" w:eastAsia="zh-CN"/>
              </w:rPr>
              <w:t>成果转移转化</w:t>
            </w:r>
          </w:p>
        </w:tc>
        <w:tc>
          <w:tcPr>
            <w:tcW w:w="2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spacing w:line="240" w:lineRule="auto"/>
              <w:jc w:val="center"/>
              <w:textAlignment w:val="center"/>
              <w:rPr>
                <w:rFonts w:hint="eastAsia" w:ascii="仿宋_GB2312" w:hAnsi="仿宋_GB2312" w:eastAsia="仿宋_GB2312" w:cs="仿宋_GB2312"/>
                <w:i w:val="0"/>
                <w:iCs w:val="0"/>
                <w:color w:val="auto"/>
                <w:kern w:val="2"/>
                <w:sz w:val="24"/>
                <w:szCs w:val="24"/>
                <w:highlight w:val="none"/>
                <w:u w:val="none"/>
                <w:lang w:val="en-US" w:eastAsia="zh-CN" w:bidi="ar-SA"/>
              </w:rPr>
            </w:pPr>
            <w:r>
              <w:rPr>
                <w:rFonts w:hint="eastAsia" w:ascii="仿宋_GB2312" w:hAnsi="仿宋_GB2312" w:eastAsia="仿宋_GB2312" w:cs="仿宋_GB2312"/>
                <w:i w:val="0"/>
                <w:iCs w:val="0"/>
                <w:color w:val="auto"/>
                <w:kern w:val="0"/>
                <w:sz w:val="24"/>
                <w:szCs w:val="24"/>
                <w:highlight w:val="none"/>
                <w:u w:val="none"/>
                <w:lang w:val="en-US" w:eastAsia="zh-CN" w:bidi="ar"/>
              </w:rPr>
              <w:t>每万人发明专利拥有量</w:t>
            </w:r>
          </w:p>
        </w:tc>
        <w:tc>
          <w:tcPr>
            <w:tcW w:w="8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spacing w:line="240" w:lineRule="auto"/>
              <w:jc w:val="center"/>
              <w:textAlignment w:val="center"/>
              <w:rPr>
                <w:rFonts w:hint="eastAsia" w:ascii="仿宋_GB2312" w:hAnsi="仿宋_GB2312" w:eastAsia="仿宋_GB2312" w:cs="仿宋_GB2312"/>
                <w:i w:val="0"/>
                <w:iCs w:val="0"/>
                <w:color w:val="auto"/>
                <w:kern w:val="2"/>
                <w:sz w:val="24"/>
                <w:szCs w:val="24"/>
                <w:u w:val="none"/>
                <w:lang w:val="en-US" w:eastAsia="zh-CN" w:bidi="ar-SA"/>
              </w:rPr>
            </w:pPr>
            <w:r>
              <w:rPr>
                <w:rFonts w:hint="eastAsia" w:ascii="仿宋_GB2312" w:hAnsi="仿宋_GB2312" w:eastAsia="仿宋_GB2312" w:cs="仿宋_GB2312"/>
                <w:i w:val="0"/>
                <w:iCs w:val="0"/>
                <w:color w:val="auto"/>
                <w:kern w:val="0"/>
                <w:sz w:val="24"/>
                <w:szCs w:val="24"/>
                <w:u w:val="none"/>
                <w:lang w:val="en-US" w:eastAsia="zh-CN" w:bidi="ar"/>
              </w:rPr>
              <w:t>件</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spacing w:line="240" w:lineRule="auto"/>
              <w:jc w:val="center"/>
              <w:rPr>
                <w:rFonts w:hint="eastAsia" w:ascii="仿宋_GB2312" w:hAnsi="仿宋_GB2312" w:eastAsia="仿宋_GB2312" w:cs="仿宋_GB2312"/>
                <w:i w:val="0"/>
                <w:iCs w:val="0"/>
                <w:color w:val="auto"/>
                <w:kern w:val="2"/>
                <w:sz w:val="24"/>
                <w:szCs w:val="24"/>
                <w:u w:val="none"/>
                <w:lang w:val="en-US" w:eastAsia="zh-CN" w:bidi="ar-SA"/>
              </w:rPr>
            </w:pPr>
            <w:r>
              <w:rPr>
                <w:rFonts w:hint="eastAsia" w:ascii="仿宋_GB2312" w:hAnsi="仿宋_GB2312" w:eastAsia="仿宋_GB2312" w:cs="仿宋_GB2312"/>
                <w:i w:val="0"/>
                <w:iCs w:val="0"/>
                <w:color w:val="auto"/>
                <w:sz w:val="24"/>
                <w:szCs w:val="24"/>
                <w:u w:val="none"/>
              </w:rPr>
              <w:t>3.96</w:t>
            </w:r>
          </w:p>
        </w:tc>
        <w:tc>
          <w:tcPr>
            <w:tcW w:w="1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spacing w:line="240" w:lineRule="auto"/>
              <w:jc w:val="center"/>
              <w:rPr>
                <w:rFonts w:hint="default" w:ascii="仿宋_GB2312" w:hAnsi="仿宋_GB2312" w:eastAsia="仿宋_GB2312" w:cs="仿宋_GB2312"/>
                <w:i w:val="0"/>
                <w:iCs w:val="0"/>
                <w:color w:val="auto"/>
                <w:kern w:val="2"/>
                <w:sz w:val="24"/>
                <w:szCs w:val="24"/>
                <w:u w:val="none"/>
                <w:lang w:val="en-US" w:eastAsia="zh-CN" w:bidi="ar-SA"/>
              </w:rPr>
            </w:pPr>
            <w:r>
              <w:rPr>
                <w:rFonts w:ascii="Times New Roman" w:hAnsi="Times New Roman" w:eastAsia="仿宋_GB2312"/>
                <w:color w:val="auto"/>
                <w:szCs w:val="21"/>
              </w:rPr>
              <w:t>5.</w:t>
            </w:r>
            <w:r>
              <w:rPr>
                <w:rFonts w:hint="eastAsia" w:ascii="Times New Roman" w:hAnsi="Times New Roman" w:eastAsia="仿宋_GB2312"/>
                <w:color w:val="auto"/>
                <w:szCs w:val="21"/>
                <w:lang w:val="en-US" w:eastAsia="zh-CN"/>
              </w:rPr>
              <w:t>16</w:t>
            </w: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spacing w:line="240" w:lineRule="auto"/>
              <w:jc w:val="center"/>
              <w:rPr>
                <w:rFonts w:hint="eastAsia" w:ascii="仿宋_GB2312" w:hAnsi="仿宋_GB2312" w:eastAsia="仿宋_GB2312" w:cs="仿宋_GB2312"/>
                <w:i w:val="0"/>
                <w:iCs w:val="0"/>
                <w:color w:val="auto"/>
                <w:kern w:val="2"/>
                <w:sz w:val="24"/>
                <w:szCs w:val="24"/>
                <w:u w:val="none"/>
                <w:lang w:val="en-US" w:eastAsia="zh-CN" w:bidi="ar-SA"/>
              </w:rPr>
            </w:pPr>
            <w:r>
              <w:rPr>
                <w:rFonts w:hint="eastAsia" w:ascii="仿宋_GB2312" w:hAnsi="仿宋_GB2312" w:eastAsia="仿宋_GB2312" w:cs="仿宋_GB2312"/>
                <w:i w:val="0"/>
                <w:iCs w:val="0"/>
                <w:color w:val="auto"/>
                <w:sz w:val="24"/>
                <w:szCs w:val="24"/>
                <w:u w:val="none"/>
                <w:lang w:val="en-US" w:eastAsia="zh-CN"/>
              </w:rPr>
              <w:t>3.7%</w:t>
            </w:r>
          </w:p>
        </w:tc>
        <w:tc>
          <w:tcPr>
            <w:tcW w:w="8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spacing w:line="240" w:lineRule="auto"/>
              <w:jc w:val="center"/>
              <w:textAlignment w:val="center"/>
              <w:rPr>
                <w:rFonts w:hint="eastAsia" w:ascii="仿宋_GB2312" w:hAnsi="仿宋_GB2312" w:eastAsia="仿宋_GB2312" w:cs="仿宋_GB2312"/>
                <w:i w:val="0"/>
                <w:iCs w:val="0"/>
                <w:color w:val="auto"/>
                <w:kern w:val="2"/>
                <w:sz w:val="24"/>
                <w:szCs w:val="24"/>
                <w:u w:val="none"/>
                <w:lang w:val="en-US" w:eastAsia="zh-CN" w:bidi="ar-SA"/>
              </w:rPr>
            </w:pPr>
            <w:r>
              <w:rPr>
                <w:rFonts w:hint="eastAsia" w:ascii="仿宋_GB2312" w:hAnsi="仿宋_GB2312" w:eastAsia="仿宋_GB2312" w:cs="仿宋_GB2312"/>
                <w:i w:val="0"/>
                <w:iCs w:val="0"/>
                <w:color w:val="auto"/>
                <w:kern w:val="0"/>
                <w:sz w:val="24"/>
                <w:szCs w:val="24"/>
                <w:u w:val="none"/>
                <w:lang w:val="en-US" w:eastAsia="zh-CN" w:bidi="ar"/>
              </w:rPr>
              <w:t>预期性</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1" w:hRule="atLeast"/>
          <w:jc w:val="center"/>
        </w:trPr>
        <w:tc>
          <w:tcPr>
            <w:tcW w:w="75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spacing w:line="240" w:lineRule="auto"/>
              <w:jc w:val="center"/>
              <w:textAlignment w:val="center"/>
              <w:rPr>
                <w:rFonts w:hint="default"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10</w:t>
            </w:r>
          </w:p>
        </w:tc>
        <w:tc>
          <w:tcPr>
            <w:tcW w:w="834" w:type="dxa"/>
            <w:vMerge w:val="continue"/>
            <w:tcBorders>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spacing w:line="240" w:lineRule="auto"/>
              <w:jc w:val="center"/>
              <w:rPr>
                <w:rFonts w:hint="eastAsia" w:ascii="仿宋_GB2312" w:hAnsi="仿宋_GB2312" w:eastAsia="仿宋_GB2312" w:cs="仿宋_GB2312"/>
                <w:i w:val="0"/>
                <w:iCs w:val="0"/>
                <w:color w:val="auto"/>
                <w:sz w:val="24"/>
                <w:szCs w:val="24"/>
                <w:u w:val="none"/>
              </w:rPr>
            </w:pPr>
          </w:p>
        </w:tc>
        <w:tc>
          <w:tcPr>
            <w:tcW w:w="24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spacing w:line="240" w:lineRule="auto"/>
              <w:jc w:val="center"/>
              <w:textAlignment w:val="center"/>
              <w:rPr>
                <w:rFonts w:hint="eastAsia" w:ascii="仿宋_GB2312" w:hAnsi="仿宋_GB2312" w:eastAsia="仿宋_GB2312" w:cs="仿宋_GB2312"/>
                <w:i w:val="0"/>
                <w:iCs w:val="0"/>
                <w:color w:val="auto"/>
                <w:kern w:val="0"/>
                <w:sz w:val="24"/>
                <w:szCs w:val="24"/>
                <w:highlight w:val="none"/>
                <w:u w:val="none"/>
                <w:lang w:val="en-US" w:eastAsia="zh-CN" w:bidi="ar"/>
              </w:rPr>
            </w:pPr>
            <w:r>
              <w:rPr>
                <w:rFonts w:hint="eastAsia" w:ascii="仿宋_GB2312" w:hAnsi="仿宋_GB2312" w:eastAsia="仿宋_GB2312" w:cs="仿宋_GB2312"/>
                <w:i w:val="0"/>
                <w:iCs w:val="0"/>
                <w:color w:val="auto"/>
                <w:kern w:val="0"/>
                <w:sz w:val="24"/>
                <w:szCs w:val="24"/>
                <w:highlight w:val="none"/>
                <w:u w:val="none"/>
                <w:lang w:val="en-US" w:eastAsia="zh-CN" w:bidi="ar"/>
              </w:rPr>
              <w:t>累计技术市场成交合同金额</w:t>
            </w:r>
          </w:p>
        </w:tc>
        <w:tc>
          <w:tcPr>
            <w:tcW w:w="875"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pageBreakBefore w:val="0"/>
              <w:widowControl/>
              <w:suppressLineNumbers w:val="0"/>
              <w:kinsoku/>
              <w:wordWrap/>
              <w:overflowPunct/>
              <w:topLinePunct w:val="0"/>
              <w:autoSpaceDE/>
              <w:autoSpaceDN/>
              <w:bidi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亿元</w:t>
            </w:r>
          </w:p>
        </w:tc>
        <w:tc>
          <w:tcPr>
            <w:tcW w:w="127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spacing w:line="240" w:lineRule="auto"/>
              <w:jc w:val="center"/>
              <w:rPr>
                <w:rFonts w:hint="eastAsia" w:ascii="仿宋_GB2312" w:hAnsi="仿宋_GB2312" w:eastAsia="仿宋_GB2312" w:cs="仿宋_GB2312"/>
                <w:i w:val="0"/>
                <w:iCs w:val="0"/>
                <w:color w:val="auto"/>
                <w:kern w:val="2"/>
                <w:sz w:val="24"/>
                <w:szCs w:val="24"/>
                <w:u w:val="none"/>
                <w:lang w:val="en-US" w:eastAsia="zh-CN" w:bidi="ar-SA"/>
              </w:rPr>
            </w:pPr>
            <w:r>
              <w:rPr>
                <w:rFonts w:hint="eastAsia" w:ascii="仿宋_GB2312" w:hAnsi="仿宋_GB2312" w:eastAsia="仿宋_GB2312" w:cs="仿宋_GB2312"/>
                <w:i w:val="0"/>
                <w:iCs w:val="0"/>
                <w:color w:val="auto"/>
                <w:sz w:val="24"/>
                <w:szCs w:val="24"/>
                <w:u w:val="none"/>
                <w:lang w:val="en-US" w:eastAsia="zh-CN"/>
              </w:rPr>
              <w:t>——</w:t>
            </w:r>
          </w:p>
        </w:tc>
        <w:tc>
          <w:tcPr>
            <w:tcW w:w="10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spacing w:line="240" w:lineRule="auto"/>
              <w:jc w:val="center"/>
              <w:rPr>
                <w:rFonts w:hint="eastAsia" w:ascii="仿宋_GB2312" w:hAnsi="仿宋_GB2312" w:eastAsia="仿宋_GB2312" w:cs="仿宋_GB2312"/>
                <w:i w:val="0"/>
                <w:iCs w:val="0"/>
                <w:color w:val="auto"/>
                <w:kern w:val="2"/>
                <w:sz w:val="24"/>
                <w:szCs w:val="24"/>
                <w:u w:val="none"/>
                <w:lang w:val="en-US" w:eastAsia="zh-CN" w:bidi="ar-SA"/>
              </w:rPr>
            </w:pPr>
            <w:r>
              <w:rPr>
                <w:rFonts w:hint="eastAsia" w:ascii="仿宋_GB2312" w:hAnsi="仿宋_GB2312" w:eastAsia="仿宋_GB2312" w:cs="仿宋_GB2312"/>
                <w:i w:val="0"/>
                <w:iCs w:val="0"/>
                <w:color w:val="auto"/>
                <w:sz w:val="24"/>
                <w:szCs w:val="24"/>
                <w:u w:val="none"/>
                <w:lang w:val="en-US" w:eastAsia="zh-CN"/>
              </w:rPr>
              <w:t>——</w:t>
            </w:r>
          </w:p>
        </w:tc>
        <w:tc>
          <w:tcPr>
            <w:tcW w:w="155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spacing w:line="240" w:lineRule="auto"/>
              <w:jc w:val="center"/>
              <w:rPr>
                <w:rFonts w:hint="eastAsia" w:ascii="仿宋_GB2312" w:hAnsi="仿宋_GB2312" w:eastAsia="仿宋_GB2312" w:cs="仿宋_GB2312"/>
                <w:i w:val="0"/>
                <w:iCs w:val="0"/>
                <w:color w:val="auto"/>
                <w:kern w:val="2"/>
                <w:sz w:val="24"/>
                <w:szCs w:val="24"/>
                <w:u w:val="none"/>
                <w:lang w:val="en-US" w:eastAsia="zh-CN" w:bidi="ar-SA"/>
              </w:rPr>
            </w:pPr>
            <w:r>
              <w:rPr>
                <w:rFonts w:hint="eastAsia" w:ascii="仿宋_GB2312" w:hAnsi="仿宋_GB2312" w:eastAsia="仿宋_GB2312" w:cs="仿宋_GB2312"/>
                <w:i w:val="0"/>
                <w:iCs w:val="0"/>
                <w:color w:val="auto"/>
                <w:sz w:val="24"/>
                <w:szCs w:val="24"/>
                <w:u w:val="none"/>
                <w:lang w:val="en-US" w:eastAsia="zh-CN"/>
              </w:rPr>
              <w:t>——</w:t>
            </w:r>
          </w:p>
        </w:tc>
        <w:tc>
          <w:tcPr>
            <w:tcW w:w="8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预期性</w:t>
            </w:r>
          </w:p>
        </w:tc>
      </w:tr>
    </w:tbl>
    <w:p>
      <w:pPr>
        <w:keepNext w:val="0"/>
        <w:keepLines w:val="0"/>
        <w:pageBreakBefore w:val="0"/>
        <w:widowControl/>
        <w:suppressLineNumbers w:val="0"/>
        <w:kinsoku/>
        <w:wordWrap/>
        <w:overflowPunct/>
        <w:topLinePunct w:val="0"/>
        <w:autoSpaceDE/>
        <w:autoSpaceDN/>
        <w:bidi w:val="0"/>
        <w:spacing w:line="240" w:lineRule="auto"/>
        <w:jc w:val="left"/>
        <w:textAlignment w:val="center"/>
        <w:rPr>
          <w:rFonts w:hint="default"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指标来源：部分指标来源参考《昆明市“十四五”科技创新规划》及《昆明市晋宁区国民经济和社会发展第十五个五年规划纲要》草案相关指标。</w:t>
      </w:r>
    </w:p>
    <w:p>
      <w:pPr>
        <w:rPr>
          <w:rFonts w:hint="default"/>
          <w:color w:val="auto"/>
          <w:lang w:val="en-US" w:eastAsia="zh-CN"/>
        </w:rPr>
      </w:pPr>
      <w:r>
        <w:rPr>
          <w:rFonts w:hint="eastAsia" w:ascii="仿宋_GB2312" w:hAnsi="仿宋_GB2312" w:eastAsia="仿宋_GB2312" w:cs="仿宋_GB2312"/>
          <w:bCs/>
          <w:color w:val="auto"/>
          <w:kern w:val="0"/>
          <w:sz w:val="24"/>
          <w:szCs w:val="32"/>
          <w:highlight w:val="none"/>
          <w:lang w:val="en-US" w:eastAsia="zh-CN" w:bidi="ar-SA"/>
        </w:rPr>
        <w:t>注：[]中所列数据为五年累计数</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630" w:leftChars="0"/>
        <w:textAlignment w:val="auto"/>
        <w:outlineLvl w:val="1"/>
        <w:rPr>
          <w:rFonts w:hint="eastAsia" w:ascii="黑体" w:hAnsi="黑体" w:eastAsia="黑体" w:cs="黑体"/>
          <w:b/>
          <w:bCs w:val="0"/>
          <w:color w:val="auto"/>
          <w:kern w:val="44"/>
          <w:sz w:val="32"/>
          <w:szCs w:val="32"/>
          <w:highlight w:val="none"/>
          <w:lang w:val="en-US" w:eastAsia="zh-CN" w:bidi="ar-SA"/>
        </w:rPr>
      </w:pPr>
      <w:bookmarkStart w:id="11" w:name="_Toc1684"/>
      <w:r>
        <w:rPr>
          <w:rFonts w:hint="eastAsia" w:ascii="黑体" w:hAnsi="黑体" w:eastAsia="黑体" w:cs="黑体"/>
          <w:b/>
          <w:bCs w:val="0"/>
          <w:color w:val="auto"/>
          <w:kern w:val="44"/>
          <w:sz w:val="32"/>
          <w:szCs w:val="32"/>
          <w:highlight w:val="none"/>
          <w:lang w:val="en-US" w:eastAsia="zh-CN" w:bidi="ar-SA"/>
        </w:rPr>
        <w:t>四、主要任务</w:t>
      </w:r>
      <w:bookmarkEnd w:id="11"/>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jc w:val="both"/>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pacing w:val="0"/>
          <w:kern w:val="2"/>
          <w:sz w:val="32"/>
          <w:szCs w:val="32"/>
          <w:lang w:val="en-US" w:eastAsia="zh-CN" w:bidi="ar-SA"/>
        </w:rPr>
        <w:t>紧紧围绕以中国式现代化全面推进强国建设、民族复兴伟业的中心任务，以高质量发展为主题，以促进结构优化为主线，锚定省委“3815”战</w:t>
      </w:r>
      <w:r>
        <w:rPr>
          <w:rFonts w:hint="eastAsia" w:ascii="仿宋_GB2312" w:hAnsi="仿宋_GB2312" w:eastAsia="仿宋_GB2312" w:cs="仿宋_GB2312"/>
          <w:color w:val="auto"/>
          <w:spacing w:val="0"/>
          <w:kern w:val="2"/>
          <w:sz w:val="32"/>
          <w:szCs w:val="32"/>
          <w:highlight w:val="none"/>
          <w:lang w:val="en-US" w:eastAsia="zh-CN" w:bidi="ar-SA"/>
        </w:rPr>
        <w:t>略发展目标，一体发展“三大经济”，聚力服务“六个春城”建设，打造古滇历史文化名城、全球玫瑰切花基地、绿色磷化产业高地、国际陆港物流枢纽、山水田园旅居胜地、高原湖滨生态样板。</w:t>
      </w:r>
      <w:r>
        <w:rPr>
          <w:rFonts w:hint="eastAsia" w:ascii="仿宋_GB2312" w:hAnsi="仿宋_GB2312" w:eastAsia="仿宋_GB2312" w:cs="仿宋_GB2312"/>
          <w:color w:val="auto"/>
          <w:sz w:val="32"/>
          <w:szCs w:val="32"/>
          <w:highlight w:val="none"/>
          <w:lang w:val="en-US" w:eastAsia="zh-CN"/>
        </w:rPr>
        <w:t>准确把握前沿技</w:t>
      </w:r>
      <w:r>
        <w:rPr>
          <w:rFonts w:hint="eastAsia" w:ascii="仿宋_GB2312" w:hAnsi="仿宋_GB2312" w:eastAsia="仿宋_GB2312" w:cs="仿宋_GB2312"/>
          <w:color w:val="auto"/>
          <w:sz w:val="32"/>
          <w:szCs w:val="32"/>
          <w:lang w:val="en-US" w:eastAsia="zh-CN"/>
        </w:rPr>
        <w:t>术进展和产业发展动态，主动承接云南省、昆明市的科技创新重点任务，集中力量突破一批“卡脖子”的科学技术瓶颈，加强前沿引领技术的研发、掌握与应用。通过强化核心技术自主攻关与创新能力建设，推动形成从技术研发、成果转化到产业应用的全链条自主可控体系，以科技创新筑牢产业链供应链安全稳定的根基，确保关键环节不“掉链子”、重要领域不“卡脖子”。</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textAlignment w:val="auto"/>
        <w:outlineLvl w:val="2"/>
        <w:rPr>
          <w:rFonts w:hint="eastAsia" w:ascii="黑体" w:hAnsi="黑体" w:eastAsia="黑体" w:cs="黑体"/>
          <w:b/>
          <w:color w:val="auto"/>
          <w:kern w:val="2"/>
          <w:sz w:val="32"/>
          <w:szCs w:val="32"/>
          <w:highlight w:val="none"/>
          <w:lang w:val="en-US" w:eastAsia="zh-CN" w:bidi="ar-SA"/>
        </w:rPr>
      </w:pPr>
      <w:bookmarkStart w:id="12" w:name="_Toc15464"/>
      <w:r>
        <w:rPr>
          <w:rFonts w:hint="eastAsia" w:ascii="黑体" w:hAnsi="黑体" w:eastAsia="黑体" w:cs="黑体"/>
          <w:b/>
          <w:color w:val="auto"/>
          <w:kern w:val="2"/>
          <w:sz w:val="32"/>
          <w:szCs w:val="32"/>
          <w:highlight w:val="none"/>
          <w:lang w:val="en-US" w:eastAsia="zh-CN" w:bidi="ar-SA"/>
        </w:rPr>
        <w:t xml:space="preserve">    （一）提升科技平台创新能力</w:t>
      </w:r>
      <w:bookmarkEnd w:id="12"/>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仿宋_GB2312" w:hAnsi="仿宋_GB2312" w:eastAsia="仿宋_GB2312" w:cs="仿宋_GB2312"/>
          <w:color w:val="auto"/>
          <w:spacing w:val="0"/>
          <w:kern w:val="2"/>
          <w:sz w:val="32"/>
          <w:szCs w:val="32"/>
          <w:lang w:val="en-US" w:eastAsia="zh-CN" w:bidi="ar-SA"/>
        </w:rPr>
      </w:pPr>
      <w:r>
        <w:rPr>
          <w:rFonts w:hint="eastAsia" w:ascii="仿宋_GB2312" w:hAnsi="仿宋_GB2312" w:eastAsia="仿宋_GB2312" w:cs="仿宋_GB2312"/>
          <w:color w:val="auto"/>
          <w:spacing w:val="0"/>
          <w:kern w:val="2"/>
          <w:sz w:val="32"/>
          <w:szCs w:val="32"/>
          <w:lang w:val="en-US" w:eastAsia="zh-CN" w:bidi="ar-SA"/>
        </w:rPr>
        <w:t>推动产业结构从精细磷化工、现代花卉“一枝独秀”迈向“多点支撑”，系统推进科技创新平台建设，着力解决平台建设重复、运行机制不完善的问题，</w:t>
      </w:r>
      <w:r>
        <w:rPr>
          <w:rFonts w:hint="eastAsia" w:ascii="仿宋_GB2312" w:hAnsi="仿宋_GB2312" w:eastAsia="仿宋_GB2312" w:cs="仿宋_GB2312"/>
          <w:color w:val="auto"/>
          <w:spacing w:val="0"/>
          <w:kern w:val="2"/>
          <w:sz w:val="32"/>
          <w:szCs w:val="32"/>
          <w:highlight w:val="none"/>
          <w:lang w:val="en-US" w:eastAsia="zh-CN" w:bidi="ar-SA"/>
        </w:rPr>
        <w:t>破除孤岛现象。</w:t>
      </w:r>
      <w:r>
        <w:rPr>
          <w:rFonts w:hint="eastAsia" w:ascii="仿宋_GB2312" w:hAnsi="仿宋_GB2312" w:eastAsia="仿宋_GB2312" w:cs="仿宋_GB2312"/>
          <w:color w:val="auto"/>
          <w:spacing w:val="0"/>
          <w:kern w:val="2"/>
          <w:sz w:val="32"/>
          <w:szCs w:val="32"/>
          <w:lang w:val="en-US" w:eastAsia="zh-CN" w:bidi="ar-SA"/>
        </w:rPr>
        <w:t>推动发展重心由数量扩张向质量提升转变。实现发展方式由“资源驱动”向“创新驱动”由“传统粗放”向“高效绿色”转变。</w:t>
      </w:r>
    </w:p>
    <w:p>
      <w:pPr>
        <w:numPr>
          <w:ilvl w:val="0"/>
          <w:numId w:val="5"/>
        </w:numPr>
        <w:bidi w:val="0"/>
        <w:spacing w:line="560" w:lineRule="exact"/>
        <w:ind w:left="0" w:leftChars="0" w:firstLine="642" w:firstLineChars="200"/>
        <w:outlineLvl w:val="3"/>
        <w:rPr>
          <w:rFonts w:hint="eastAsia" w:eastAsia="仿宋_GB2312" w:asciiTheme="minorAscii" w:hAnsiTheme="minorAscii"/>
          <w:b/>
          <w:bCs/>
          <w:color w:val="auto"/>
          <w:sz w:val="32"/>
          <w:highlight w:val="none"/>
          <w:lang w:val="en-US" w:eastAsia="zh-CN"/>
        </w:rPr>
      </w:pPr>
      <w:r>
        <w:rPr>
          <w:rFonts w:hint="eastAsia" w:eastAsia="仿宋_GB2312" w:asciiTheme="minorAscii" w:hAnsiTheme="minorAscii"/>
          <w:b/>
          <w:bCs/>
          <w:color w:val="auto"/>
          <w:sz w:val="32"/>
          <w:highlight w:val="none"/>
          <w:lang w:val="en-US" w:eastAsia="zh-CN"/>
        </w:rPr>
        <w:t>促进科创平台提质增效</w:t>
      </w:r>
    </w:p>
    <w:p>
      <w:pPr>
        <w:keepNext w:val="0"/>
        <w:keepLines w:val="0"/>
        <w:pageBreakBefore w:val="0"/>
        <w:widowControl w:val="0"/>
        <w:numPr>
          <w:ilvl w:val="-1"/>
          <w:numId w:val="0"/>
        </w:numPr>
        <w:kinsoku/>
        <w:wordWrap/>
        <w:overflowPunct/>
        <w:topLinePunct w:val="0"/>
        <w:autoSpaceDE/>
        <w:autoSpaceDN/>
        <w:bidi w:val="0"/>
        <w:adjustRightInd/>
        <w:snapToGrid/>
        <w:spacing w:beforeAutospacing="0" w:afterAutospacing="0" w:line="560" w:lineRule="exact"/>
        <w:ind w:left="0" w:firstLine="640" w:firstLineChars="200"/>
        <w:textAlignment w:val="auto"/>
        <w:outlineLvl w:val="9"/>
        <w:rPr>
          <w:rFonts w:hint="eastAsia" w:ascii="仿宋_GB2312" w:hAnsi="仿宋_GB2312" w:eastAsia="仿宋_GB2312" w:cs="仿宋_GB2312"/>
          <w:color w:val="auto"/>
          <w:spacing w:val="0"/>
          <w:kern w:val="2"/>
          <w:sz w:val="32"/>
          <w:szCs w:val="32"/>
          <w:lang w:val="en-US" w:eastAsia="zh-CN" w:bidi="ar-SA"/>
        </w:rPr>
      </w:pPr>
      <w:r>
        <w:rPr>
          <w:rFonts w:hint="eastAsia" w:ascii="仿宋_GB2312" w:hAnsi="仿宋_GB2312" w:eastAsia="仿宋_GB2312" w:cs="仿宋_GB2312"/>
          <w:color w:val="auto"/>
          <w:spacing w:val="0"/>
          <w:kern w:val="2"/>
          <w:sz w:val="32"/>
          <w:szCs w:val="32"/>
          <w:lang w:val="en-US" w:eastAsia="zh-CN" w:bidi="ar-SA"/>
        </w:rPr>
        <w:t>聚焦磷化工、花卉种业、先进装备制造、新材料、文化旅游等主导产业需求，构建层次分明、协同联动的创新平台。纵向统筹省级、市级、区级创新载体建设，持续培育云南省星创天地、昆明市企业科技创新中心等区域性平台；横向支持龙头企业联合高校院所共建科技创新团队、专家工作站及院士工作站；差异化建设科创载体，围绕花卉、蔬菜产业重点布局“科技小院+产业基地”的科技创新载体；围绕先进装备制造培育专精特新企业，探索打造“专精特新产业园”；前瞻布局人工智能、低空经济等新兴产业领域；构建“政产学研用”深度融合的协同创新网络，形成覆盖全产业链、贯通上下游的创新矩阵。</w:t>
      </w:r>
    </w:p>
    <w:p>
      <w:pPr>
        <w:numPr>
          <w:ilvl w:val="0"/>
          <w:numId w:val="5"/>
        </w:numPr>
        <w:bidi w:val="0"/>
        <w:spacing w:line="560" w:lineRule="exact"/>
        <w:ind w:left="0" w:leftChars="0" w:firstLine="642" w:firstLineChars="200"/>
        <w:outlineLvl w:val="3"/>
        <w:rPr>
          <w:rFonts w:hint="eastAsia" w:eastAsia="仿宋_GB2312" w:asciiTheme="minorAscii" w:hAnsiTheme="minorAscii"/>
          <w:b/>
          <w:bCs/>
          <w:color w:val="auto"/>
          <w:sz w:val="32"/>
          <w:highlight w:val="none"/>
          <w:lang w:val="en-US" w:eastAsia="zh-CN"/>
        </w:rPr>
      </w:pPr>
      <w:r>
        <w:rPr>
          <w:rFonts w:hint="eastAsia" w:eastAsia="仿宋_GB2312" w:asciiTheme="minorAscii" w:hAnsiTheme="minorAscii"/>
          <w:b/>
          <w:bCs/>
          <w:color w:val="auto"/>
          <w:sz w:val="32"/>
          <w:highlight w:val="none"/>
          <w:lang w:val="en-US" w:eastAsia="zh-CN"/>
        </w:rPr>
        <w:t>推动公共服务平台升级</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jc w:val="both"/>
        <w:textAlignment w:val="auto"/>
        <w:outlineLvl w:val="9"/>
        <w:rPr>
          <w:rFonts w:hint="eastAsia" w:ascii="仿宋_GB2312" w:hAnsi="仿宋_GB2312" w:eastAsia="仿宋_GB2312" w:cs="仿宋_GB2312"/>
          <w:color w:val="auto"/>
          <w:spacing w:val="0"/>
          <w:kern w:val="2"/>
          <w:sz w:val="32"/>
          <w:szCs w:val="32"/>
          <w:lang w:val="en-US" w:eastAsia="zh-CN" w:bidi="ar-SA"/>
        </w:rPr>
      </w:pPr>
      <w:r>
        <w:rPr>
          <w:rFonts w:hint="eastAsia" w:ascii="仿宋_GB2312" w:hAnsi="仿宋_GB2312" w:eastAsia="仿宋_GB2312" w:cs="仿宋_GB2312"/>
          <w:color w:val="auto"/>
          <w:spacing w:val="0"/>
          <w:kern w:val="2"/>
          <w:sz w:val="32"/>
          <w:szCs w:val="32"/>
          <w:lang w:val="en-US" w:eastAsia="zh-CN" w:bidi="ar-SA"/>
        </w:rPr>
        <w:t>建立科技创新平台动态管理机制，定期评估平台运行效能，精准识别平台优势与短板，引导平台聚焦技术研发、成果转化、企业孵化等核心功能进行服务升级。加快建设第三方检验、检测、分析等统一技术创新公共服务平台，推动平台整合检验检测、知识产权、创业孵化等资源，为中小微企业提供低成本、便利化服务。着力打造“研发有平台、转化有渠道、孵化有载体”的全链条创新生态，形成从技术研发、中试验证到产业化应用的完整服务闭环，为全区产业升级和高质量发展提供坚实支撑。</w:t>
      </w:r>
    </w:p>
    <w:p>
      <w:pPr>
        <w:keepNext w:val="0"/>
        <w:keepLines w:val="0"/>
        <w:pageBreakBefore w:val="0"/>
        <w:widowControl w:val="0"/>
        <w:numPr>
          <w:ilvl w:val="0"/>
          <w:numId w:val="5"/>
        </w:numPr>
        <w:kinsoku/>
        <w:wordWrap/>
        <w:overflowPunct/>
        <w:topLinePunct w:val="0"/>
        <w:autoSpaceDE/>
        <w:autoSpaceDN/>
        <w:bidi w:val="0"/>
        <w:adjustRightInd/>
        <w:snapToGrid/>
        <w:spacing w:line="560" w:lineRule="exact"/>
        <w:ind w:leftChars="0" w:firstLine="642" w:firstLineChars="200"/>
        <w:jc w:val="both"/>
        <w:textAlignment w:val="auto"/>
        <w:outlineLvl w:val="3"/>
        <w:rPr>
          <w:rFonts w:hint="eastAsia" w:ascii="仿宋_GB2312" w:hAnsi="仿宋_GB2312" w:eastAsia="仿宋_GB2312" w:cs="仿宋_GB2312"/>
          <w:color w:val="auto"/>
          <w:spacing w:val="0"/>
          <w:kern w:val="2"/>
          <w:sz w:val="32"/>
          <w:szCs w:val="32"/>
          <w:lang w:val="en-US" w:eastAsia="zh-CN" w:bidi="ar-SA"/>
        </w:rPr>
      </w:pPr>
      <w:r>
        <w:rPr>
          <w:rFonts w:hint="eastAsia" w:eastAsia="仿宋_GB2312" w:asciiTheme="minorAscii" w:hAnsiTheme="minorAscii"/>
          <w:b/>
          <w:bCs/>
          <w:color w:val="auto"/>
          <w:sz w:val="32"/>
          <w:highlight w:val="none"/>
          <w:lang w:val="en-US" w:eastAsia="zh-CN"/>
        </w:rPr>
        <w:t>强化科技创新平台建设</w:t>
      </w:r>
      <w:r>
        <w:rPr>
          <w:rFonts w:hint="eastAsia" w:ascii="仿宋_GB2312" w:hAnsi="仿宋_GB2312" w:eastAsia="仿宋_GB2312" w:cs="仿宋_GB2312"/>
          <w:color w:val="auto"/>
          <w:spacing w:val="0"/>
          <w:kern w:val="2"/>
          <w:sz w:val="32"/>
          <w:szCs w:val="32"/>
          <w:lang w:val="en-US" w:eastAsia="zh-CN" w:bidi="ar-SA"/>
        </w:rPr>
        <w:t>​</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jc w:val="both"/>
        <w:textAlignment w:val="auto"/>
        <w:outlineLvl w:val="9"/>
        <w:rPr>
          <w:rFonts w:hint="eastAsia" w:ascii="仿宋_GB2312" w:hAnsi="仿宋_GB2312" w:eastAsia="仿宋_GB2312" w:cs="仿宋_GB2312"/>
          <w:color w:val="auto"/>
          <w:spacing w:val="0"/>
          <w:kern w:val="2"/>
          <w:sz w:val="32"/>
          <w:szCs w:val="32"/>
          <w:lang w:val="en-US" w:eastAsia="zh-CN" w:bidi="ar-SA"/>
        </w:rPr>
      </w:pPr>
      <w:r>
        <w:rPr>
          <w:rFonts w:hint="eastAsia" w:ascii="仿宋_GB2312" w:hAnsi="仿宋_GB2312" w:eastAsia="仿宋_GB2312" w:cs="仿宋_GB2312"/>
          <w:color w:val="auto"/>
          <w:spacing w:val="0"/>
          <w:kern w:val="2"/>
          <w:sz w:val="32"/>
          <w:szCs w:val="32"/>
          <w:lang w:val="en-US" w:eastAsia="zh-CN" w:bidi="ar-SA"/>
        </w:rPr>
        <w:t>健全科技创新平台建设配套，出台针对性扶持措施，对纳入省级、市级重点培育的创新平台给予资金倾斜和要素保障，鼓励社会资本参与平台建设运营。建立“人才+平台”联动引育机制，靶向引进平台建设急需的领军人才、技术骨干和管理团队，依托平台实训基地开展技能培训，为平台持续输送专业人才。加强跨部门协同联动，打破行业壁垒和区域限制，建立平台建设联席会议制度，定期协调解决土地供应、审批流程、数据共享等实际问题，确保各项建设任务落地见效，为科创平台高质量发展营造良好环境。</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2" w:firstLineChars="200"/>
        <w:textAlignment w:val="auto"/>
        <w:outlineLvl w:val="2"/>
        <w:rPr>
          <w:rFonts w:hint="eastAsia" w:ascii="黑体" w:hAnsi="黑体" w:eastAsia="黑体" w:cs="黑体"/>
          <w:b/>
          <w:color w:val="auto"/>
          <w:kern w:val="2"/>
          <w:sz w:val="32"/>
          <w:szCs w:val="32"/>
          <w:highlight w:val="none"/>
          <w:lang w:val="en-US" w:eastAsia="zh-CN" w:bidi="ar-SA"/>
        </w:rPr>
      </w:pPr>
      <w:bookmarkStart w:id="13" w:name="_Toc18342"/>
      <w:r>
        <w:rPr>
          <w:rFonts w:hint="eastAsia" w:ascii="黑体" w:hAnsi="黑体" w:eastAsia="黑体" w:cs="黑体"/>
          <w:b/>
          <w:color w:val="auto"/>
          <w:kern w:val="2"/>
          <w:sz w:val="32"/>
          <w:szCs w:val="32"/>
          <w:highlight w:val="none"/>
          <w:lang w:val="en-US" w:eastAsia="zh-CN" w:bidi="ar-SA"/>
        </w:rPr>
        <w:t>（二）加快高新技术产业发展</w:t>
      </w:r>
      <w:bookmarkEnd w:id="13"/>
    </w:p>
    <w:p>
      <w:pPr>
        <w:numPr>
          <w:ilvl w:val="0"/>
          <w:numId w:val="6"/>
        </w:numPr>
        <w:bidi w:val="0"/>
        <w:spacing w:line="560" w:lineRule="exact"/>
        <w:ind w:left="0" w:leftChars="0" w:firstLine="642" w:firstLineChars="200"/>
        <w:outlineLvl w:val="3"/>
        <w:rPr>
          <w:rFonts w:hint="default" w:eastAsia="仿宋_GB2312" w:asciiTheme="minorAscii" w:hAnsiTheme="minorAscii"/>
          <w:b/>
          <w:bCs/>
          <w:color w:val="auto"/>
          <w:sz w:val="32"/>
          <w:highlight w:val="none"/>
          <w:lang w:val="en-US" w:eastAsia="zh-CN"/>
        </w:rPr>
      </w:pPr>
      <w:r>
        <w:rPr>
          <w:rFonts w:hint="eastAsia" w:eastAsia="仿宋_GB2312" w:asciiTheme="minorAscii" w:hAnsiTheme="minorAscii"/>
          <w:b/>
          <w:bCs/>
          <w:color w:val="auto"/>
          <w:sz w:val="32"/>
          <w:highlight w:val="none"/>
          <w:lang w:val="en-US" w:eastAsia="zh-CN"/>
        </w:rPr>
        <w:t>促进传统优势产业转型升级</w:t>
      </w:r>
    </w:p>
    <w:p>
      <w:pPr>
        <w:keepNext w:val="0"/>
        <w:keepLines w:val="0"/>
        <w:pageBreakBefore w:val="0"/>
        <w:widowControl w:val="0"/>
        <w:numPr>
          <w:ilvl w:val="0"/>
          <w:numId w:val="7"/>
        </w:numPr>
        <w:kinsoku/>
        <w:wordWrap/>
        <w:overflowPunct/>
        <w:topLinePunct w:val="0"/>
        <w:autoSpaceDE/>
        <w:autoSpaceDN/>
        <w:bidi w:val="0"/>
        <w:adjustRightInd/>
        <w:snapToGrid/>
        <w:spacing w:line="560" w:lineRule="exact"/>
        <w:ind w:firstLine="640" w:firstLineChars="200"/>
        <w:textAlignment w:val="auto"/>
        <w:outlineLvl w:val="4"/>
        <w:rPr>
          <w:rFonts w:hint="eastAsia" w:eastAsia="仿宋_GB2312" w:asciiTheme="minorAscii" w:hAnsiTheme="minorAscii"/>
          <w:b w:val="0"/>
          <w:bCs w:val="0"/>
          <w:color w:val="auto"/>
          <w:sz w:val="32"/>
          <w:highlight w:val="none"/>
          <w:lang w:val="en-US" w:eastAsia="zh-CN"/>
        </w:rPr>
      </w:pPr>
      <w:r>
        <w:rPr>
          <w:rFonts w:hint="eastAsia" w:eastAsia="仿宋_GB2312" w:asciiTheme="minorAscii" w:hAnsiTheme="minorAscii"/>
          <w:b w:val="0"/>
          <w:bCs w:val="0"/>
          <w:color w:val="auto"/>
          <w:sz w:val="32"/>
          <w:highlight w:val="none"/>
          <w:lang w:val="en-US" w:eastAsia="zh-CN"/>
        </w:rPr>
        <w:t>科创引领精细化工产业持续发展</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outlineLvl w:val="9"/>
        <w:rPr>
          <w:rFonts w:hint="eastAsia" w:eastAsia="仿宋_GB2312" w:asciiTheme="minorAscii" w:hAnsiTheme="minorAscii"/>
          <w:b w:val="0"/>
          <w:bCs w:val="0"/>
          <w:color w:val="auto"/>
          <w:sz w:val="32"/>
          <w:highlight w:val="none"/>
          <w:lang w:val="en-US" w:eastAsia="zh-CN"/>
        </w:rPr>
      </w:pPr>
      <w:r>
        <w:rPr>
          <w:rFonts w:hint="eastAsia" w:ascii="仿宋_GB2312" w:hAnsi="仿宋_GB2312" w:eastAsia="仿宋_GB2312" w:cs="仿宋_GB2312"/>
          <w:color w:val="auto"/>
          <w:sz w:val="32"/>
          <w:szCs w:val="32"/>
          <w:highlight w:val="none"/>
          <w:lang w:val="en-US" w:eastAsia="zh-CN"/>
        </w:rPr>
        <w:t>聚力以磷为主的化工产业发展，引领现代工业产业体系构建。</w:t>
      </w:r>
      <w:r>
        <w:rPr>
          <w:rFonts w:hint="eastAsia" w:ascii="仿宋_GB2312" w:hAnsi="仿宋_GB2312" w:eastAsia="仿宋_GB2312" w:cs="仿宋_GB2312"/>
          <w:color w:val="auto"/>
          <w:sz w:val="32"/>
          <w:szCs w:val="32"/>
          <w:lang w:val="en-US" w:eastAsia="zh-CN"/>
        </w:rPr>
        <w:t>以科技创新驱动磷化工产业高端化、绿色化、智能化转型发展；推动磷化工绿色生产工艺迭代升级，聚焦高附加值产品研发与产业化；深化产学研协同，集中攻关磷石膏资源化利用关键技术，重点突破磷石膏煅烧提纯、煅烧产物高值化应用等核心环节，加快建设绿色建材产业集群；推进生产全链条数字化转型，打造智能监管与高效生产体系，依托市场需求延伸新能源材料产业链，布局磷酸铁锂等关联产品，推动产业从资源依赖向技术引领转型，实现质效双升。</w:t>
      </w:r>
    </w:p>
    <w:tbl>
      <w:tblPr>
        <w:tblStyle w:val="20"/>
        <w:tblW w:w="8820" w:type="dxa"/>
        <w:tblInd w:w="7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20" w:type="dxa"/>
          </w:tcPr>
          <w:p>
            <w:pPr>
              <w:keepNext w:val="0"/>
              <w:keepLines w:val="0"/>
              <w:pageBreakBefore w:val="0"/>
              <w:widowControl w:val="0"/>
              <w:numPr>
                <w:ilvl w:val="0"/>
                <w:numId w:val="0"/>
              </w:numPr>
              <w:kinsoku/>
              <w:wordWrap/>
              <w:overflowPunct/>
              <w:topLinePunct w:val="0"/>
              <w:autoSpaceDE/>
              <w:autoSpaceDN/>
              <w:bidi w:val="0"/>
              <w:adjustRightInd w:val="0"/>
              <w:snapToGrid/>
              <w:spacing w:line="300" w:lineRule="auto"/>
              <w:ind w:firstLine="562" w:firstLineChars="200"/>
              <w:jc w:val="center"/>
              <w:textAlignment w:val="auto"/>
              <w:outlineLvl w:val="9"/>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b/>
                <w:bCs/>
                <w:color w:val="auto"/>
                <w:sz w:val="28"/>
                <w:szCs w:val="28"/>
                <w:lang w:val="en-US" w:eastAsia="zh-CN"/>
              </w:rPr>
              <w:t>专栏1  精细磷化工科技创新重点方向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20" w:type="dxa"/>
          </w:tcPr>
          <w:p>
            <w:pPr>
              <w:keepNext w:val="0"/>
              <w:keepLines w:val="0"/>
              <w:pageBreakBefore w:val="0"/>
              <w:widowControl w:val="0"/>
              <w:numPr>
                <w:ilvl w:val="0"/>
                <w:numId w:val="0"/>
              </w:numPr>
              <w:kinsoku/>
              <w:wordWrap/>
              <w:overflowPunct/>
              <w:topLinePunct w:val="0"/>
              <w:autoSpaceDE/>
              <w:autoSpaceDN/>
              <w:bidi w:val="0"/>
              <w:adjustRightInd w:val="0"/>
              <w:snapToGrid w:val="0"/>
              <w:spacing w:line="300" w:lineRule="auto"/>
              <w:ind w:firstLine="560" w:firstLineChars="200"/>
              <w:jc w:val="both"/>
              <w:textAlignment w:val="auto"/>
              <w:outlineLvl w:val="9"/>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聚力突破核心技术：着力突破磷矿高效分选、湿法磷酸深度净化、磷石膏高值化利用等核心技术瓶颈，系统推进技术集成与工程化验证，为产业升级提供关键技术支撑。</w:t>
            </w:r>
          </w:p>
          <w:p>
            <w:pPr>
              <w:keepNext w:val="0"/>
              <w:keepLines w:val="0"/>
              <w:pageBreakBefore w:val="0"/>
              <w:widowControl w:val="0"/>
              <w:numPr>
                <w:ilvl w:val="0"/>
                <w:numId w:val="0"/>
              </w:numPr>
              <w:kinsoku/>
              <w:wordWrap/>
              <w:overflowPunct/>
              <w:topLinePunct w:val="0"/>
              <w:autoSpaceDE/>
              <w:autoSpaceDN/>
              <w:bidi w:val="0"/>
              <w:adjustRightInd w:val="0"/>
              <w:snapToGrid w:val="0"/>
              <w:spacing w:line="300" w:lineRule="auto"/>
              <w:ind w:firstLine="560" w:firstLineChars="200"/>
              <w:jc w:val="both"/>
              <w:textAlignment w:val="auto"/>
              <w:outlineLvl w:val="9"/>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推广先进工艺应用，加速成果转化：推动微通道反应、连续化智能生产等先进工艺规模化应用，高标准建设省级磷化工中试基地，加快技术熟化与成果转化，提升产业工艺水平与生产效能。</w:t>
            </w:r>
          </w:p>
          <w:p>
            <w:pPr>
              <w:keepNext w:val="0"/>
              <w:keepLines w:val="0"/>
              <w:pageBreakBefore w:val="0"/>
              <w:widowControl w:val="0"/>
              <w:numPr>
                <w:ilvl w:val="0"/>
                <w:numId w:val="0"/>
              </w:numPr>
              <w:kinsoku/>
              <w:wordWrap/>
              <w:overflowPunct/>
              <w:topLinePunct w:val="0"/>
              <w:autoSpaceDE/>
              <w:autoSpaceDN/>
              <w:bidi w:val="0"/>
              <w:adjustRightInd w:val="0"/>
              <w:snapToGrid w:val="0"/>
              <w:spacing w:line="300" w:lineRule="auto"/>
              <w:ind w:firstLine="560" w:firstLineChars="200"/>
              <w:jc w:val="both"/>
              <w:textAlignment w:val="auto"/>
              <w:outlineLvl w:val="9"/>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拓展产业发展领域，迈向高端赛道：推动传统磷化工向食品级磷酸盐、电子级磷酸、新能源电池材料、医药中间体等战略新兴领域延伸拓展，加快磷化铟半导体材料、全氟聚醚等含氟化工新材料、新型阻燃剂等前沿技术的原创性研发与产业化落地，抢占行业技术制高点。</w:t>
            </w:r>
          </w:p>
          <w:p>
            <w:pPr>
              <w:keepNext w:val="0"/>
              <w:keepLines w:val="0"/>
              <w:pageBreakBefore w:val="0"/>
              <w:widowControl w:val="0"/>
              <w:numPr>
                <w:ilvl w:val="0"/>
                <w:numId w:val="0"/>
              </w:numPr>
              <w:kinsoku/>
              <w:wordWrap/>
              <w:overflowPunct/>
              <w:topLinePunct w:val="0"/>
              <w:autoSpaceDE/>
              <w:autoSpaceDN/>
              <w:bidi w:val="0"/>
              <w:adjustRightInd w:val="0"/>
              <w:snapToGrid w:val="0"/>
              <w:spacing w:line="300" w:lineRule="auto"/>
              <w:ind w:firstLine="560" w:firstLineChars="200"/>
              <w:jc w:val="both"/>
              <w:textAlignment w:val="auto"/>
              <w:outlineLvl w:val="9"/>
              <w:rPr>
                <w:rFonts w:hint="eastAsia" w:ascii="仿宋_GB2312" w:hAnsi="仿宋_GB2312" w:eastAsia="仿宋_GB2312" w:cs="仿宋_GB2312"/>
                <w:color w:val="auto"/>
                <w:sz w:val="28"/>
                <w:szCs w:val="28"/>
                <w:highlight w:val="yellow"/>
                <w:lang w:val="en-US" w:eastAsia="zh-CN"/>
              </w:rPr>
            </w:pPr>
            <w:r>
              <w:rPr>
                <w:rFonts w:hint="eastAsia" w:ascii="仿宋_GB2312" w:hAnsi="仿宋_GB2312" w:eastAsia="仿宋_GB2312" w:cs="仿宋_GB2312"/>
                <w:color w:val="auto"/>
                <w:sz w:val="28"/>
                <w:szCs w:val="28"/>
                <w:lang w:val="en-US" w:eastAsia="zh-CN"/>
              </w:rPr>
              <w:t>构建循环产业链条，提升资源利用效能：构建“精深加工—固废资源化”闭环循环产业链，研发低品位磷矿高效浸出与梯级利用工艺，提升磷资源全要素回收效率，推动综合利用率提升至80%以上</w:t>
            </w:r>
            <w:r>
              <w:rPr>
                <w:rFonts w:hint="eastAsia" w:ascii="仿宋_GB2312" w:hAnsi="仿宋_GB2312" w:eastAsia="仿宋_GB2312" w:cs="仿宋_GB2312"/>
                <w:color w:val="auto"/>
                <w:sz w:val="28"/>
                <w:szCs w:val="28"/>
                <w:highlight w:val="none"/>
                <w:lang w:val="en-US" w:eastAsia="zh-CN"/>
              </w:rPr>
              <w:t>；</w:t>
            </w:r>
          </w:p>
          <w:p>
            <w:pPr>
              <w:keepNext w:val="0"/>
              <w:keepLines w:val="0"/>
              <w:pageBreakBefore w:val="0"/>
              <w:widowControl w:val="0"/>
              <w:numPr>
                <w:ilvl w:val="0"/>
                <w:numId w:val="0"/>
              </w:numPr>
              <w:kinsoku/>
              <w:wordWrap/>
              <w:overflowPunct/>
              <w:topLinePunct w:val="0"/>
              <w:autoSpaceDE/>
              <w:autoSpaceDN/>
              <w:bidi w:val="0"/>
              <w:adjustRightInd w:val="0"/>
              <w:snapToGrid w:val="0"/>
              <w:spacing w:line="300" w:lineRule="auto"/>
              <w:ind w:firstLine="560" w:firstLineChars="200"/>
              <w:jc w:val="both"/>
              <w:textAlignment w:val="auto"/>
              <w:outlineLvl w:val="9"/>
              <w:rPr>
                <w:rFonts w:hint="eastAsia" w:ascii="仿宋_GB2312" w:hAnsi="仿宋_GB2312" w:eastAsia="仿宋_GB2312" w:cs="仿宋_GB2312"/>
                <w:color w:val="auto"/>
                <w:sz w:val="32"/>
                <w:szCs w:val="32"/>
                <w:highlight w:val="none"/>
                <w:vertAlign w:val="baseline"/>
                <w:lang w:val="en-US" w:eastAsia="zh-CN"/>
              </w:rPr>
            </w:pPr>
            <w:r>
              <w:rPr>
                <w:rFonts w:hint="eastAsia" w:ascii="仿宋_GB2312" w:hAnsi="仿宋_GB2312" w:eastAsia="仿宋_GB2312" w:cs="仿宋_GB2312"/>
                <w:color w:val="auto"/>
                <w:sz w:val="28"/>
                <w:szCs w:val="28"/>
                <w:highlight w:val="none"/>
                <w:lang w:val="en-US" w:eastAsia="zh-CN"/>
              </w:rPr>
              <w:t>推进固废协同利用，助力绿色转型：聚焦磷石膏等工业固废高值化协同利用，依托改性活化、协同胶凝等新技术，研发新型水泥基材料、功能性墙体材料、环保型建筑防水材料等绿色建材，推动产业向绿色低碳方向转型。</w:t>
            </w:r>
          </w:p>
        </w:tc>
      </w:tr>
    </w:tbl>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坚持生态优先理念，推进矿山数字化与生态修复协同发展。以智慧矿山建设为导向，搭建“数字矿山”管理平台，开发三维地质模型与智能开采系统，同步部署地下监控网络，实时采集巷道稳定性、地下水位、有害气体浓度等关键数据，推动磷矿开采全流程数字化管控与地下安全动态监测一体化；聚焦矿山生态修复关键难题，从边坡治理、矿坑修复、土壤改良、植被重建等多维度开展技术攻关，系统性破解土壤重金属污染治理、植被群落重建及生态链修复等瓶颈问题，夯实生态修复技术基础；构建滇池流域矿山生态修复数字平台，整合遥感监测、无人机巡检等多维数据资源，动态评估生态修复效果，精准调整修复策略，提升矿山生态治理的科学性与实效性。</w:t>
      </w:r>
    </w:p>
    <w:p>
      <w:pPr>
        <w:keepNext w:val="0"/>
        <w:keepLines w:val="0"/>
        <w:pageBreakBefore w:val="0"/>
        <w:widowControl w:val="0"/>
        <w:numPr>
          <w:ilvl w:val="0"/>
          <w:numId w:val="7"/>
        </w:numPr>
        <w:kinsoku/>
        <w:wordWrap/>
        <w:overflowPunct/>
        <w:topLinePunct w:val="0"/>
        <w:autoSpaceDE/>
        <w:autoSpaceDN/>
        <w:bidi w:val="0"/>
        <w:adjustRightInd/>
        <w:snapToGrid/>
        <w:spacing w:line="560" w:lineRule="exact"/>
        <w:ind w:left="0" w:leftChars="0" w:firstLine="640" w:firstLineChars="200"/>
        <w:textAlignment w:val="auto"/>
        <w:outlineLvl w:val="4"/>
        <w:rPr>
          <w:rFonts w:hint="eastAsia" w:eastAsia="仿宋_GB2312" w:asciiTheme="minorAscii" w:hAnsiTheme="minorAscii"/>
          <w:b w:val="0"/>
          <w:bCs w:val="0"/>
          <w:color w:val="auto"/>
          <w:sz w:val="32"/>
          <w:highlight w:val="none"/>
          <w:lang w:val="en-US" w:eastAsia="zh-CN"/>
        </w:rPr>
      </w:pPr>
      <w:r>
        <w:rPr>
          <w:rFonts w:hint="eastAsia" w:eastAsia="仿宋_GB2312" w:asciiTheme="minorAscii" w:hAnsiTheme="minorAscii"/>
          <w:b w:val="0"/>
          <w:bCs w:val="0"/>
          <w:color w:val="auto"/>
          <w:sz w:val="32"/>
          <w:highlight w:val="none"/>
          <w:lang w:val="en-US" w:eastAsia="zh-CN"/>
        </w:rPr>
        <w:t>创新驱动现代农业产业精耕优育</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outlineLvl w:val="9"/>
        <w:rPr>
          <w:rFonts w:hint="default" w:ascii="仿宋_GB2312" w:hAnsi="仿宋_GB2312" w:eastAsia="仿宋_GB2312" w:cs="仿宋_GB2312"/>
          <w:color w:val="auto"/>
          <w:sz w:val="32"/>
          <w:szCs w:val="32"/>
          <w:highlight w:val="none"/>
          <w:lang w:val="en-US" w:eastAsia="zh-CN"/>
        </w:rPr>
      </w:pPr>
      <w:r>
        <w:rPr>
          <w:rFonts w:hint="default" w:ascii="仿宋_GB2312" w:hAnsi="仿宋_GB2312" w:eastAsia="仿宋_GB2312" w:cs="仿宋_GB2312"/>
          <w:color w:val="auto"/>
          <w:sz w:val="32"/>
          <w:szCs w:val="32"/>
          <w:highlight w:val="none"/>
          <w:lang w:val="en-US" w:eastAsia="zh-CN"/>
        </w:rPr>
        <w:t>聚焦晋宁现代农业高质量发展，以农业科技与工业装备深度融合为核心路径，结合区域优势特色农业实际，重点推动花卉、蔬菜为主的设施农业提质增效，以此作为实现农业农村现代化、推动特色产业跨越发展的关键抓手。</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仿宋_GB2312" w:hAnsi="仿宋_GB2312" w:eastAsia="仿宋_GB2312" w:cs="仿宋_GB2312"/>
          <w:color w:val="auto"/>
          <w:sz w:val="32"/>
          <w:szCs w:val="32"/>
          <w:highlight w:val="none"/>
          <w:lang w:val="en-US" w:eastAsia="zh-CN"/>
        </w:rPr>
      </w:pPr>
      <w:r>
        <w:rPr>
          <w:rFonts w:hint="default" w:ascii="仿宋_GB2312" w:hAnsi="仿宋_GB2312" w:eastAsia="仿宋_GB2312" w:cs="仿宋_GB2312"/>
          <w:color w:val="auto"/>
          <w:sz w:val="32"/>
          <w:szCs w:val="32"/>
          <w:highlight w:val="none"/>
          <w:lang w:val="en-US" w:eastAsia="zh-CN"/>
        </w:rPr>
        <w:t>以科技创新赋能两大产业全链条升级</w:t>
      </w:r>
      <w:r>
        <w:rPr>
          <w:rFonts w:hint="eastAsia" w:ascii="仿宋_GB2312" w:hAnsi="仿宋_GB2312" w:eastAsia="仿宋_GB2312" w:cs="仿宋_GB2312"/>
          <w:color w:val="auto"/>
          <w:sz w:val="32"/>
          <w:szCs w:val="32"/>
          <w:highlight w:val="none"/>
          <w:lang w:val="en-US" w:eastAsia="zh-CN"/>
        </w:rPr>
        <w:t>。</w:t>
      </w:r>
      <w:r>
        <w:rPr>
          <w:rFonts w:hint="default" w:ascii="仿宋_GB2312" w:hAnsi="仿宋_GB2312" w:eastAsia="仿宋_GB2312" w:cs="仿宋_GB2312"/>
          <w:color w:val="auto"/>
          <w:sz w:val="32"/>
          <w:szCs w:val="32"/>
          <w:highlight w:val="none"/>
          <w:lang w:val="en-US" w:eastAsia="zh-CN"/>
        </w:rPr>
        <w:t>在种质层面强化花卉种质创新与蔬菜种质资源优化，同步推进绿色生产技术规模化应用，加速无土栽培、水肥一体化、自动化灌溉、智能化施肥、虫情监测等技术落地，提升种植环节的效率与产品品质稳定性；可持续发展层面，加快农业种植面源污染精准防治、应对气候变化适应性技术攻关，减少产业对环境的影响并增强抗风险能力，进一步夯实花卉、蔬菜产业核心竞争力，助推两大产业向高端化、绿色化、品牌化转型，持续提升可持续发展水平。</w:t>
      </w:r>
    </w:p>
    <w:tbl>
      <w:tblPr>
        <w:tblStyle w:val="20"/>
        <w:tblW w:w="8844" w:type="dxa"/>
        <w:tblInd w:w="4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4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4" w:hRule="atLeast"/>
        </w:trPr>
        <w:tc>
          <w:tcPr>
            <w:tcW w:w="8844" w:type="dxa"/>
          </w:tcPr>
          <w:p>
            <w:pPr>
              <w:keepNext w:val="0"/>
              <w:keepLines w:val="0"/>
              <w:pageBreakBefore w:val="0"/>
              <w:widowControl w:val="0"/>
              <w:kinsoku/>
              <w:wordWrap/>
              <w:overflowPunct/>
              <w:topLinePunct w:val="0"/>
              <w:autoSpaceDE/>
              <w:autoSpaceDN/>
              <w:bidi w:val="0"/>
              <w:adjustRightInd w:val="0"/>
              <w:snapToGrid/>
              <w:spacing w:line="240" w:lineRule="auto"/>
              <w:ind w:firstLine="1686" w:firstLineChars="600"/>
              <w:jc w:val="both"/>
              <w:textAlignment w:val="auto"/>
              <w:outlineLvl w:val="9"/>
              <w:rPr>
                <w:rFonts w:hint="eastAsia" w:ascii="仿宋_GB2312" w:hAnsi="仿宋_GB2312" w:eastAsia="仿宋_GB2312" w:cs="仿宋_GB2312"/>
                <w:b/>
                <w:bCs/>
                <w:color w:val="auto"/>
                <w:spacing w:val="0"/>
                <w:kern w:val="2"/>
                <w:sz w:val="28"/>
                <w:szCs w:val="28"/>
                <w:lang w:val="en-US" w:eastAsia="zh-CN"/>
              </w:rPr>
            </w:pPr>
            <w:r>
              <w:rPr>
                <w:rFonts w:hint="eastAsia" w:ascii="仿宋_GB2312" w:hAnsi="仿宋_GB2312" w:eastAsia="仿宋_GB2312" w:cs="仿宋_GB2312"/>
                <w:b/>
                <w:bCs/>
                <w:color w:val="auto"/>
                <w:sz w:val="28"/>
                <w:szCs w:val="28"/>
                <w:lang w:val="en-US" w:eastAsia="zh-CN"/>
              </w:rPr>
              <w:t>专栏2  现代农业产业科技创新重点方向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44" w:type="dxa"/>
          </w:tcPr>
          <w:p>
            <w:pPr>
              <w:pStyle w:val="24"/>
              <w:keepNext w:val="0"/>
              <w:keepLines w:val="0"/>
              <w:pageBreakBefore w:val="0"/>
              <w:widowControl w:val="0"/>
              <w:numPr>
                <w:ilvl w:val="0"/>
                <w:numId w:val="0"/>
              </w:numPr>
              <w:kinsoku/>
              <w:wordWrap/>
              <w:overflowPunct/>
              <w:topLinePunct w:val="0"/>
              <w:autoSpaceDE/>
              <w:autoSpaceDN/>
              <w:bidi w:val="0"/>
              <w:adjustRightInd w:val="0"/>
              <w:snapToGrid w:val="0"/>
              <w:spacing w:line="300" w:lineRule="auto"/>
              <w:ind w:firstLine="562" w:firstLineChars="200"/>
              <w:textAlignment w:val="auto"/>
              <w:outlineLvl w:val="9"/>
              <w:rPr>
                <w:rFonts w:hint="eastAsia" w:ascii="仿宋_GB2312" w:hAnsi="仿宋_GB2312" w:eastAsia="仿宋_GB2312" w:cs="仿宋_GB2312"/>
                <w:color w:val="auto"/>
                <w:spacing w:val="0"/>
                <w:kern w:val="2"/>
                <w:sz w:val="28"/>
                <w:szCs w:val="28"/>
                <w:vertAlign w:val="baseline"/>
                <w:lang w:val="en-US" w:eastAsia="zh-CN" w:bidi="ar-SA"/>
              </w:rPr>
            </w:pPr>
            <w:r>
              <w:rPr>
                <w:rFonts w:hint="eastAsia" w:ascii="仿宋_GB2312" w:hAnsi="仿宋_GB2312" w:eastAsia="仿宋_GB2312" w:cs="仿宋_GB2312"/>
                <w:b/>
                <w:bCs/>
                <w:color w:val="auto"/>
                <w:spacing w:val="0"/>
                <w:kern w:val="2"/>
                <w:sz w:val="28"/>
                <w:szCs w:val="28"/>
                <w:vertAlign w:val="baseline"/>
                <w:lang w:val="en-US" w:eastAsia="zh-CN" w:bidi="ar-SA"/>
              </w:rPr>
              <w:t>实施种源攻坚计划，</w:t>
            </w:r>
            <w:r>
              <w:rPr>
                <w:rFonts w:hint="eastAsia" w:ascii="仿宋_GB2312" w:hAnsi="仿宋_GB2312" w:eastAsia="仿宋_GB2312" w:cs="仿宋_GB2312"/>
                <w:color w:val="auto"/>
                <w:spacing w:val="0"/>
                <w:kern w:val="2"/>
                <w:sz w:val="28"/>
                <w:szCs w:val="28"/>
                <w:vertAlign w:val="baseline"/>
                <w:lang w:val="en-US" w:eastAsia="zh-CN" w:bidi="ar-SA"/>
              </w:rPr>
              <w:t>以平台建设整合资源、夯实基础。加快国家级现代种业（昆明）产业园建设，搭建种业知识产权运营中心推动资源流转与价值实现，统筹布局花卉、蔬菜等种业研发工程中心；推动武汉伯远生物、国资花卉育种产业化扩面提速，打造集良种整合、品种繁育、研发于一体的云南省特色花卉种苗繁育中心。</w:t>
            </w:r>
          </w:p>
          <w:p>
            <w:pPr>
              <w:pStyle w:val="24"/>
              <w:keepNext w:val="0"/>
              <w:keepLines w:val="0"/>
              <w:pageBreakBefore w:val="0"/>
              <w:widowControl w:val="0"/>
              <w:numPr>
                <w:ilvl w:val="0"/>
                <w:numId w:val="0"/>
              </w:numPr>
              <w:kinsoku/>
              <w:wordWrap/>
              <w:overflowPunct/>
              <w:topLinePunct w:val="0"/>
              <w:autoSpaceDE/>
              <w:autoSpaceDN/>
              <w:bidi w:val="0"/>
              <w:adjustRightInd w:val="0"/>
              <w:snapToGrid w:val="0"/>
              <w:spacing w:line="300" w:lineRule="auto"/>
              <w:ind w:firstLine="560" w:firstLineChars="200"/>
              <w:textAlignment w:val="auto"/>
              <w:outlineLvl w:val="9"/>
              <w:rPr>
                <w:rFonts w:hint="eastAsia" w:ascii="仿宋_GB2312" w:hAnsi="仿宋_GB2312" w:eastAsia="仿宋_GB2312" w:cs="仿宋_GB2312"/>
                <w:color w:val="auto"/>
                <w:spacing w:val="0"/>
                <w:kern w:val="2"/>
                <w:sz w:val="28"/>
                <w:szCs w:val="28"/>
                <w:highlight w:val="none"/>
                <w:vertAlign w:val="baseline"/>
                <w:lang w:val="en-US" w:eastAsia="zh-CN" w:bidi="ar-SA"/>
              </w:rPr>
            </w:pPr>
            <w:r>
              <w:rPr>
                <w:rFonts w:hint="eastAsia" w:ascii="仿宋_GB2312" w:hAnsi="仿宋_GB2312" w:eastAsia="仿宋_GB2312" w:cs="仿宋_GB2312"/>
                <w:color w:val="auto"/>
                <w:spacing w:val="0"/>
                <w:kern w:val="2"/>
                <w:sz w:val="28"/>
                <w:szCs w:val="28"/>
                <w:vertAlign w:val="baseline"/>
                <w:lang w:val="en-US" w:eastAsia="zh-CN" w:bidi="ar-SA"/>
              </w:rPr>
              <w:t>同步实施农业生物育种重大科技项目，聚焦种业关键核心技术攻关，加快培育并审定（评定）一批优良新品种。到2030年，力争花卉、蔬菜主栽品种自给率分别达15%、20%，全区供种保障率达70%、优良种苗本地供应率超60%、良种覆盖率达98%，通过破解种源“卡脖子”难题，构建自主可控的花卉种质创新体系。</w:t>
            </w:r>
            <w:r>
              <w:rPr>
                <w:rFonts w:hint="eastAsia" w:ascii="仿宋_GB2312" w:hAnsi="仿宋_GB2312" w:eastAsia="仿宋_GB2312" w:cs="仿宋_GB2312"/>
                <w:b/>
                <w:bCs/>
                <w:color w:val="auto"/>
                <w:spacing w:val="0"/>
                <w:kern w:val="2"/>
                <w:sz w:val="28"/>
                <w:szCs w:val="28"/>
                <w:vertAlign w:val="baseline"/>
                <w:lang w:val="en-US" w:eastAsia="zh-CN" w:bidi="ar-SA"/>
              </w:rPr>
              <w:br w:type="textWrapping"/>
            </w:r>
            <w:r>
              <w:rPr>
                <w:rFonts w:hint="eastAsia" w:ascii="仿宋_GB2312" w:hAnsi="仿宋_GB2312" w:eastAsia="仿宋_GB2312" w:cs="仿宋_GB2312"/>
                <w:b/>
                <w:bCs/>
                <w:color w:val="auto"/>
                <w:spacing w:val="0"/>
                <w:kern w:val="2"/>
                <w:sz w:val="28"/>
                <w:szCs w:val="28"/>
                <w:vertAlign w:val="baseline"/>
                <w:lang w:val="en-US" w:eastAsia="zh-CN" w:bidi="ar-SA"/>
              </w:rPr>
              <w:t xml:space="preserve">    </w:t>
            </w:r>
            <w:r>
              <w:rPr>
                <w:rFonts w:hint="eastAsia" w:ascii="仿宋_GB2312" w:hAnsi="仿宋_GB2312" w:eastAsia="仿宋_GB2312" w:cs="仿宋_GB2312"/>
                <w:b/>
                <w:bCs/>
                <w:color w:val="auto"/>
                <w:spacing w:val="0"/>
                <w:kern w:val="2"/>
                <w:sz w:val="28"/>
                <w:szCs w:val="28"/>
                <w:highlight w:val="none"/>
                <w:vertAlign w:val="baseline"/>
                <w:lang w:val="en-US" w:eastAsia="zh-CN" w:bidi="ar-SA"/>
              </w:rPr>
              <w:t>深化产学研协同攻关，</w:t>
            </w:r>
            <w:r>
              <w:rPr>
                <w:rFonts w:hint="eastAsia" w:ascii="仿宋_GB2312" w:hAnsi="仿宋_GB2312" w:eastAsia="仿宋_GB2312" w:cs="仿宋_GB2312"/>
                <w:color w:val="auto"/>
                <w:spacing w:val="0"/>
                <w:kern w:val="2"/>
                <w:sz w:val="28"/>
                <w:szCs w:val="28"/>
                <w:highlight w:val="none"/>
                <w:vertAlign w:val="baseline"/>
                <w:lang w:val="en-US" w:eastAsia="zh-CN" w:bidi="ar-SA"/>
              </w:rPr>
              <w:t>持续加大研发投入，联合省农科院等科研院校共建研发平台，配套</w:t>
            </w:r>
            <w:r>
              <w:rPr>
                <w:rFonts w:hint="eastAsia" w:ascii="仿宋_GB2312" w:hAnsi="仿宋_GB2312" w:eastAsia="仿宋_GB2312" w:cs="仿宋_GB2312"/>
                <w:color w:val="auto"/>
                <w:spacing w:val="0"/>
                <w:kern w:val="2"/>
                <w:sz w:val="28"/>
                <w:szCs w:val="28"/>
                <w:vertAlign w:val="baseline"/>
                <w:lang w:val="en-US" w:eastAsia="zh-CN" w:bidi="ar-SA"/>
              </w:rPr>
              <w:t>建设</w:t>
            </w:r>
            <w:r>
              <w:rPr>
                <w:rFonts w:hint="eastAsia" w:ascii="仿宋_GB2312" w:hAnsi="仿宋_GB2312" w:eastAsia="仿宋_GB2312" w:cs="仿宋_GB2312"/>
                <w:color w:val="auto"/>
                <w:spacing w:val="0"/>
                <w:kern w:val="2"/>
                <w:sz w:val="28"/>
                <w:szCs w:val="28"/>
                <w:highlight w:val="none"/>
                <w:vertAlign w:val="baseline"/>
                <w:lang w:val="en-US" w:eastAsia="zh-CN" w:bidi="ar-SA"/>
              </w:rPr>
              <w:t>分子育种实验室、</w:t>
            </w:r>
            <w:r>
              <w:rPr>
                <w:rFonts w:hint="eastAsia" w:ascii="仿宋_GB2312" w:hAnsi="仿宋_GB2312" w:eastAsia="仿宋_GB2312" w:cs="仿宋_GB2312"/>
                <w:color w:val="auto"/>
                <w:spacing w:val="0"/>
                <w:kern w:val="2"/>
                <w:sz w:val="28"/>
                <w:szCs w:val="28"/>
                <w:vertAlign w:val="baseline"/>
                <w:lang w:val="en-US" w:eastAsia="zh-CN" w:bidi="ar-SA"/>
              </w:rPr>
              <w:t>花卉</w:t>
            </w:r>
            <w:r>
              <w:rPr>
                <w:rFonts w:hint="eastAsia" w:ascii="仿宋_GB2312" w:hAnsi="仿宋_GB2312" w:eastAsia="仿宋_GB2312" w:cs="仿宋_GB2312"/>
                <w:color w:val="auto"/>
                <w:spacing w:val="0"/>
                <w:kern w:val="2"/>
                <w:sz w:val="28"/>
                <w:szCs w:val="28"/>
                <w:highlight w:val="none"/>
                <w:vertAlign w:val="baseline"/>
                <w:lang w:val="en-US" w:eastAsia="zh-CN" w:bidi="ar-SA"/>
              </w:rPr>
              <w:t>种质资源保存库等基础设施，重点攻关细胞工程育种、分子标记辅助育种等生物育种核心技术，同步推进基因编辑工具优化、目标性状基因挖掘等前沿技术研发，强化技术储备与工程化能力。</w:t>
            </w:r>
          </w:p>
          <w:p>
            <w:pPr>
              <w:pStyle w:val="24"/>
              <w:keepNext w:val="0"/>
              <w:keepLines w:val="0"/>
              <w:pageBreakBefore w:val="0"/>
              <w:widowControl w:val="0"/>
              <w:numPr>
                <w:ilvl w:val="0"/>
                <w:numId w:val="0"/>
              </w:numPr>
              <w:kinsoku/>
              <w:wordWrap/>
              <w:overflowPunct/>
              <w:topLinePunct w:val="0"/>
              <w:autoSpaceDE/>
              <w:autoSpaceDN/>
              <w:bidi w:val="0"/>
              <w:adjustRightInd w:val="0"/>
              <w:snapToGrid w:val="0"/>
              <w:spacing w:line="300" w:lineRule="auto"/>
              <w:ind w:firstLine="562" w:firstLineChars="200"/>
              <w:textAlignment w:val="auto"/>
              <w:outlineLvl w:val="9"/>
              <w:rPr>
                <w:rFonts w:hint="eastAsia" w:ascii="仿宋_GB2312" w:hAnsi="仿宋_GB2312" w:eastAsia="仿宋_GB2312" w:cs="仿宋_GB2312"/>
                <w:color w:val="auto"/>
                <w:spacing w:val="0"/>
                <w:kern w:val="2"/>
                <w:sz w:val="32"/>
                <w:szCs w:val="32"/>
                <w:highlight w:val="yellow"/>
                <w:vertAlign w:val="baseline"/>
                <w:lang w:val="en-US" w:eastAsia="zh-CN" w:bidi="ar-SA"/>
              </w:rPr>
            </w:pPr>
            <w:r>
              <w:rPr>
                <w:rFonts w:hint="eastAsia" w:ascii="仿宋_GB2312" w:hAnsi="仿宋_GB2312" w:eastAsia="仿宋_GB2312" w:cs="仿宋_GB2312"/>
                <w:b/>
                <w:bCs/>
                <w:color w:val="auto"/>
                <w:spacing w:val="0"/>
                <w:kern w:val="2"/>
                <w:sz w:val="28"/>
                <w:szCs w:val="28"/>
                <w:vertAlign w:val="baseline"/>
                <w:lang w:val="en-US" w:eastAsia="zh-CN" w:bidi="ar-SA"/>
              </w:rPr>
              <w:t>完善智慧种植平台，</w:t>
            </w:r>
            <w:r>
              <w:rPr>
                <w:rFonts w:hint="eastAsia" w:ascii="仿宋_GB2312" w:hAnsi="仿宋_GB2312" w:eastAsia="仿宋_GB2312" w:cs="仿宋_GB2312"/>
                <w:color w:val="auto"/>
                <w:spacing w:val="0"/>
                <w:kern w:val="2"/>
                <w:sz w:val="28"/>
                <w:szCs w:val="28"/>
                <w:vertAlign w:val="baseline"/>
                <w:lang w:val="en-US" w:eastAsia="zh-CN" w:bidi="ar-SA"/>
              </w:rPr>
              <w:t>集成物联网传感器，实时监测温湿度、光照等环境参数，实现灌溉、施肥精准调控；推广立体栽培技术，利用人工光环境调控与无土栽培系统，突破传统种植对自然条件的依赖；强化绿色种植技术研发与转化，研发并应用生物防治制剂替代传统化学农药；针对不同种类作物开发专用缓释肥与有机基质配方，提高养分利用率并改善土壤微生态环境；建立花卉、蔬菜苗期快速繁育技术体系，缩短育苗周期、提高种苗成活率，为规模化种植提供优质种苗保障。</w:t>
            </w:r>
          </w:p>
        </w:tc>
      </w:tr>
    </w:tbl>
    <w:p>
      <w:pPr>
        <w:pStyle w:val="2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outlineLvl w:val="9"/>
        <w:rPr>
          <w:rFonts w:hint="eastAsia" w:ascii="仿宋_GB2312" w:hAnsi="仿宋_GB2312" w:eastAsia="仿宋_GB2312" w:cs="仿宋_GB2312"/>
          <w:color w:val="auto"/>
          <w:spacing w:val="0"/>
          <w:kern w:val="2"/>
          <w:sz w:val="32"/>
          <w:szCs w:val="32"/>
          <w:lang w:val="en-US" w:eastAsia="zh-CN" w:bidi="ar-SA"/>
        </w:rPr>
      </w:pPr>
      <w:r>
        <w:rPr>
          <w:rFonts w:hint="eastAsia" w:ascii="仿宋_GB2312" w:hAnsi="仿宋_GB2312" w:eastAsia="仿宋_GB2312" w:cs="仿宋_GB2312"/>
          <w:b w:val="0"/>
          <w:bCs w:val="0"/>
          <w:color w:val="auto"/>
          <w:spacing w:val="0"/>
          <w:kern w:val="2"/>
          <w:sz w:val="32"/>
          <w:szCs w:val="32"/>
          <w:lang w:val="en-US" w:eastAsia="zh-CN" w:bidi="ar-SA"/>
        </w:rPr>
        <w:t>支持企业延长产业链条，补齐产业链缺环与高附加值开发。开展</w:t>
      </w:r>
      <w:r>
        <w:rPr>
          <w:rFonts w:hint="eastAsia" w:ascii="仿宋_GB2312" w:hAnsi="仿宋_GB2312" w:eastAsia="仿宋_GB2312" w:cs="仿宋_GB2312"/>
          <w:color w:val="auto"/>
          <w:spacing w:val="0"/>
          <w:kern w:val="2"/>
          <w:sz w:val="32"/>
          <w:szCs w:val="32"/>
          <w:lang w:val="en-US" w:eastAsia="zh-CN" w:bidi="ar-SA"/>
        </w:rPr>
        <w:t>永生花、冻龄花等深加工产品研发，拓展植物色素、花卉食品等领域，鼓励企业应用新技术、新工艺提升产品竞争力，打造晋宁特色农产品加工品牌。</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outlineLvl w:val="4"/>
        <w:rPr>
          <w:rFonts w:hint="eastAsia" w:eastAsia="仿宋_GB2312" w:asciiTheme="minorAscii" w:hAnsiTheme="minorAscii"/>
          <w:b w:val="0"/>
          <w:bCs w:val="0"/>
          <w:color w:val="auto"/>
          <w:sz w:val="32"/>
          <w:highlight w:val="none"/>
          <w:lang w:val="en-US" w:eastAsia="zh-CN"/>
        </w:rPr>
      </w:pPr>
      <w:r>
        <w:rPr>
          <w:rFonts w:hint="eastAsia" w:eastAsia="仿宋_GB2312" w:asciiTheme="minorAscii" w:hAnsiTheme="minorAscii"/>
          <w:b w:val="0"/>
          <w:bCs w:val="0"/>
          <w:color w:val="auto"/>
          <w:sz w:val="32"/>
          <w:highlight w:val="none"/>
          <w:lang w:val="en-US" w:eastAsia="zh-CN"/>
        </w:rPr>
        <w:t>（3）数智技术驱动商贸物流高效升级</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以科技创新为核心驱动力，依托云南数字陆港大通道跨境枢纽与数字化赋能优势，立足“面向南亚东南亚辐射中心”建设，全面推进现代商贸物流产业智能升级。借助数字陆港大通道的跨境物流信息交互平台、货物溯源系统及多式联运衔接功能，深度赋能全区工业、农业的公铁联运高效调度、冷链物流全程温控、海关监管场所智能通关，以及各类交易平台的跨境数据互通；紧扣磷化工、花卉、蔬菜、装备制造等产业物流需求，整合沿线仓储、报关、运输资源，打通“出滇入亚”智慧物流链路。</w:t>
      </w:r>
    </w:p>
    <w:tbl>
      <w:tblPr>
        <w:tblStyle w:val="20"/>
        <w:tblW w:w="906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6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61" w:type="dxa"/>
          </w:tcPr>
          <w:p>
            <w:pPr>
              <w:keepNext w:val="0"/>
              <w:keepLines w:val="0"/>
              <w:pageBreakBefore w:val="0"/>
              <w:widowControl w:val="0"/>
              <w:numPr>
                <w:ilvl w:val="0"/>
                <w:numId w:val="0"/>
              </w:numPr>
              <w:kinsoku/>
              <w:wordWrap/>
              <w:overflowPunct/>
              <w:topLinePunct w:val="0"/>
              <w:autoSpaceDE/>
              <w:autoSpaceDN/>
              <w:bidi w:val="0"/>
              <w:adjustRightInd/>
              <w:snapToGrid/>
              <w:spacing w:line="300" w:lineRule="auto"/>
              <w:ind w:firstLine="562" w:firstLineChars="200"/>
              <w:jc w:val="center"/>
              <w:textAlignment w:val="auto"/>
              <w:outlineLvl w:val="9"/>
              <w:rPr>
                <w:rFonts w:hint="default" w:eastAsia="仿宋_GB2312" w:asciiTheme="minorAscii" w:hAnsiTheme="minorAscii" w:cstheme="minorBidi"/>
                <w:b w:val="0"/>
                <w:bCs w:val="0"/>
                <w:color w:val="auto"/>
                <w:sz w:val="28"/>
                <w:szCs w:val="22"/>
                <w:highlight w:val="none"/>
                <w:lang w:val="en-US" w:eastAsia="zh-CN"/>
              </w:rPr>
            </w:pPr>
            <w:r>
              <w:rPr>
                <w:rFonts w:hint="eastAsia" w:ascii="仿宋_GB2312" w:hAnsi="仿宋_GB2312" w:eastAsia="仿宋_GB2312" w:cs="仿宋_GB2312"/>
                <w:b/>
                <w:bCs/>
                <w:color w:val="auto"/>
                <w:sz w:val="28"/>
                <w:szCs w:val="28"/>
                <w:highlight w:val="none"/>
                <w:lang w:val="en-US" w:eastAsia="zh-CN"/>
              </w:rPr>
              <w:t>专栏3  现代物流产业科技创新重点方向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61" w:type="dxa"/>
          </w:tcPr>
          <w:p>
            <w:pPr>
              <w:keepNext w:val="0"/>
              <w:keepLines w:val="0"/>
              <w:pageBreakBefore w:val="0"/>
              <w:widowControl w:val="0"/>
              <w:numPr>
                <w:ilvl w:val="0"/>
                <w:numId w:val="0"/>
              </w:numPr>
              <w:kinsoku/>
              <w:wordWrap/>
              <w:overflowPunct/>
              <w:topLinePunct w:val="0"/>
              <w:autoSpaceDE/>
              <w:autoSpaceDN/>
              <w:bidi w:val="0"/>
              <w:adjustRightInd/>
              <w:snapToGrid w:val="0"/>
              <w:spacing w:line="300" w:lineRule="auto"/>
              <w:ind w:firstLine="562" w:firstLineChars="200"/>
              <w:jc w:val="left"/>
              <w:textAlignment w:val="auto"/>
              <w:outlineLvl w:val="9"/>
              <w:rPr>
                <w:rFonts w:hint="default" w:eastAsia="仿宋_GB2312" w:asciiTheme="minorAscii" w:hAnsiTheme="minorAscii" w:cstheme="minorBidi"/>
                <w:b w:val="0"/>
                <w:bCs w:val="0"/>
                <w:color w:val="auto"/>
                <w:sz w:val="28"/>
                <w:szCs w:val="22"/>
                <w:highlight w:val="none"/>
                <w:lang w:val="en-US" w:eastAsia="zh-CN"/>
              </w:rPr>
            </w:pPr>
            <w:r>
              <w:rPr>
                <w:rFonts w:hint="default" w:eastAsia="仿宋_GB2312" w:asciiTheme="minorAscii" w:hAnsiTheme="minorAscii" w:cstheme="minorBidi"/>
                <w:b/>
                <w:bCs/>
                <w:color w:val="auto"/>
                <w:sz w:val="28"/>
                <w:szCs w:val="22"/>
                <w:highlight w:val="none"/>
                <w:lang w:val="en-US" w:eastAsia="zh-CN"/>
              </w:rPr>
              <w:t>搭建统一智慧物流数字化运营平台</w:t>
            </w:r>
            <w:r>
              <w:rPr>
                <w:rFonts w:hint="eastAsia" w:eastAsia="仿宋_GB2312" w:asciiTheme="minorAscii" w:hAnsiTheme="minorAscii" w:cstheme="minorBidi"/>
                <w:b/>
                <w:bCs/>
                <w:color w:val="auto"/>
                <w:sz w:val="28"/>
                <w:szCs w:val="22"/>
                <w:highlight w:val="none"/>
                <w:lang w:val="en-US" w:eastAsia="zh-CN"/>
              </w:rPr>
              <w:t>。</w:t>
            </w:r>
            <w:r>
              <w:rPr>
                <w:rFonts w:hint="default" w:eastAsia="仿宋_GB2312" w:asciiTheme="minorAscii" w:hAnsiTheme="minorAscii" w:cstheme="minorBidi"/>
                <w:b w:val="0"/>
                <w:bCs w:val="0"/>
                <w:color w:val="auto"/>
                <w:sz w:val="28"/>
                <w:szCs w:val="22"/>
                <w:highlight w:val="none"/>
                <w:lang w:val="en-US" w:eastAsia="zh-CN"/>
              </w:rPr>
              <w:t>整合跨境电商、多式联运、保税物流等数据资源，开发订单管理、智能路径规划、跨境通关等功能模块，实现</w:t>
            </w:r>
            <w:r>
              <w:rPr>
                <w:rFonts w:hint="eastAsia" w:eastAsia="仿宋_GB2312" w:asciiTheme="minorAscii" w:hAnsiTheme="minorAscii" w:cstheme="minorBidi"/>
                <w:b w:val="0"/>
                <w:bCs w:val="0"/>
                <w:color w:val="auto"/>
                <w:sz w:val="28"/>
                <w:szCs w:val="22"/>
                <w:highlight w:val="none"/>
                <w:lang w:val="en-US" w:eastAsia="zh-CN"/>
              </w:rPr>
              <w:t>“</w:t>
            </w:r>
            <w:r>
              <w:rPr>
                <w:rFonts w:hint="default" w:eastAsia="仿宋_GB2312" w:asciiTheme="minorAscii" w:hAnsiTheme="minorAscii" w:cstheme="minorBidi"/>
                <w:b w:val="0"/>
                <w:bCs w:val="0"/>
                <w:color w:val="auto"/>
                <w:sz w:val="28"/>
                <w:szCs w:val="22"/>
                <w:highlight w:val="none"/>
                <w:lang w:val="en-US" w:eastAsia="zh-CN"/>
              </w:rPr>
              <w:t>一单到底</w:t>
            </w:r>
            <w:r>
              <w:rPr>
                <w:rFonts w:hint="eastAsia" w:eastAsia="仿宋_GB2312" w:asciiTheme="minorAscii" w:hAnsiTheme="minorAscii" w:cstheme="minorBidi"/>
                <w:b w:val="0"/>
                <w:bCs w:val="0"/>
                <w:color w:val="auto"/>
                <w:sz w:val="28"/>
                <w:szCs w:val="22"/>
                <w:highlight w:val="none"/>
                <w:lang w:val="en-US" w:eastAsia="zh-CN"/>
              </w:rPr>
              <w:t>”“</w:t>
            </w:r>
            <w:r>
              <w:rPr>
                <w:rFonts w:hint="default" w:eastAsia="仿宋_GB2312" w:asciiTheme="minorAscii" w:hAnsiTheme="minorAscii" w:cstheme="minorBidi"/>
                <w:b w:val="0"/>
                <w:bCs w:val="0"/>
                <w:color w:val="auto"/>
                <w:sz w:val="28"/>
                <w:szCs w:val="22"/>
                <w:highlight w:val="none"/>
                <w:lang w:val="en-US" w:eastAsia="zh-CN"/>
              </w:rPr>
              <w:t>一箱直达</w:t>
            </w:r>
            <w:r>
              <w:rPr>
                <w:rFonts w:hint="eastAsia" w:eastAsia="仿宋_GB2312" w:asciiTheme="minorAscii" w:hAnsiTheme="minorAscii" w:cstheme="minorBidi"/>
                <w:b w:val="0"/>
                <w:bCs w:val="0"/>
                <w:color w:val="auto"/>
                <w:sz w:val="28"/>
                <w:szCs w:val="22"/>
                <w:highlight w:val="none"/>
                <w:lang w:val="en-US" w:eastAsia="zh-CN"/>
              </w:rPr>
              <w:t>”</w:t>
            </w:r>
            <w:r>
              <w:rPr>
                <w:rFonts w:hint="default" w:eastAsia="仿宋_GB2312" w:asciiTheme="minorAscii" w:hAnsiTheme="minorAscii" w:cstheme="minorBidi"/>
                <w:b w:val="0"/>
                <w:bCs w:val="0"/>
                <w:color w:val="auto"/>
                <w:sz w:val="28"/>
                <w:szCs w:val="22"/>
                <w:highlight w:val="none"/>
                <w:lang w:val="en-US" w:eastAsia="zh-CN"/>
              </w:rPr>
              <w:t>的全链条可视化服务。开发多式联运智能调度系统，提升青山片区、宝峰片区、晋城片区面向东南亚的国际贸易服务能力。推进铁路海关监管场所建设，深化</w:t>
            </w:r>
            <w:r>
              <w:rPr>
                <w:rFonts w:hint="eastAsia" w:eastAsia="仿宋_GB2312" w:asciiTheme="minorAscii" w:hAnsiTheme="minorAscii" w:cstheme="minorBidi"/>
                <w:b w:val="0"/>
                <w:bCs w:val="0"/>
                <w:color w:val="auto"/>
                <w:sz w:val="28"/>
                <w:szCs w:val="22"/>
                <w:highlight w:val="none"/>
                <w:lang w:val="en-US" w:eastAsia="zh-CN"/>
              </w:rPr>
              <w:t>“</w:t>
            </w:r>
            <w:r>
              <w:rPr>
                <w:rFonts w:hint="default" w:eastAsia="仿宋_GB2312" w:asciiTheme="minorAscii" w:hAnsiTheme="minorAscii" w:cstheme="minorBidi"/>
                <w:b w:val="0"/>
                <w:bCs w:val="0"/>
                <w:color w:val="auto"/>
                <w:sz w:val="28"/>
                <w:szCs w:val="22"/>
                <w:highlight w:val="none"/>
                <w:lang w:val="en-US" w:eastAsia="zh-CN"/>
              </w:rPr>
              <w:t>铁路快通</w:t>
            </w:r>
            <w:r>
              <w:rPr>
                <w:rFonts w:hint="eastAsia" w:eastAsia="仿宋_GB2312" w:asciiTheme="minorAscii" w:hAnsiTheme="minorAscii" w:cstheme="minorBidi"/>
                <w:b w:val="0"/>
                <w:bCs w:val="0"/>
                <w:color w:val="auto"/>
                <w:sz w:val="28"/>
                <w:szCs w:val="22"/>
                <w:highlight w:val="none"/>
                <w:lang w:val="en-US" w:eastAsia="zh-CN"/>
              </w:rPr>
              <w:t>”“</w:t>
            </w:r>
            <w:r>
              <w:rPr>
                <w:rFonts w:hint="default" w:eastAsia="仿宋_GB2312" w:asciiTheme="minorAscii" w:hAnsiTheme="minorAscii" w:cstheme="minorBidi"/>
                <w:b w:val="0"/>
                <w:bCs w:val="0"/>
                <w:color w:val="auto"/>
                <w:sz w:val="28"/>
                <w:szCs w:val="22"/>
                <w:highlight w:val="none"/>
                <w:lang w:val="en-US" w:eastAsia="zh-CN"/>
              </w:rPr>
              <w:t>两地一检</w:t>
            </w:r>
            <w:r>
              <w:rPr>
                <w:rFonts w:hint="eastAsia" w:eastAsia="仿宋_GB2312" w:asciiTheme="minorAscii" w:hAnsiTheme="minorAscii" w:cstheme="minorBidi"/>
                <w:b w:val="0"/>
                <w:bCs w:val="0"/>
                <w:color w:val="auto"/>
                <w:sz w:val="28"/>
                <w:szCs w:val="22"/>
                <w:highlight w:val="none"/>
                <w:lang w:val="en-US" w:eastAsia="zh-CN"/>
              </w:rPr>
              <w:t>”</w:t>
            </w:r>
            <w:r>
              <w:rPr>
                <w:rFonts w:hint="default" w:eastAsia="仿宋_GB2312" w:asciiTheme="minorAscii" w:hAnsiTheme="minorAscii" w:cstheme="minorBidi"/>
                <w:b w:val="0"/>
                <w:bCs w:val="0"/>
                <w:color w:val="auto"/>
                <w:sz w:val="28"/>
                <w:szCs w:val="22"/>
                <w:highlight w:val="none"/>
                <w:lang w:val="en-US" w:eastAsia="zh-CN"/>
              </w:rPr>
              <w:t>等通关模式创新，提升跨境物流效率。开发跨境物流数据交互系统，探索区块链技术在通关结算、供应链溯源的场景应用，推动区域物流产业向高端化、智能化、数字化迈进。</w:t>
            </w:r>
          </w:p>
          <w:p>
            <w:pPr>
              <w:keepNext w:val="0"/>
              <w:keepLines w:val="0"/>
              <w:pageBreakBefore w:val="0"/>
              <w:widowControl w:val="0"/>
              <w:numPr>
                <w:ilvl w:val="0"/>
                <w:numId w:val="0"/>
              </w:numPr>
              <w:kinsoku/>
              <w:wordWrap/>
              <w:overflowPunct/>
              <w:topLinePunct w:val="0"/>
              <w:autoSpaceDE/>
              <w:autoSpaceDN/>
              <w:bidi w:val="0"/>
              <w:adjustRightInd/>
              <w:snapToGrid w:val="0"/>
              <w:spacing w:line="300" w:lineRule="auto"/>
              <w:ind w:firstLine="562" w:firstLineChars="200"/>
              <w:jc w:val="left"/>
              <w:textAlignment w:val="auto"/>
              <w:outlineLvl w:val="9"/>
              <w:rPr>
                <w:rFonts w:hint="eastAsia" w:ascii="仿宋_GB2312" w:hAnsi="仿宋_GB2312" w:eastAsia="仿宋_GB2312" w:cs="仿宋_GB2312"/>
                <w:color w:val="auto"/>
                <w:sz w:val="32"/>
                <w:szCs w:val="32"/>
                <w:highlight w:val="none"/>
                <w:vertAlign w:val="baseline"/>
                <w:lang w:val="en-US" w:eastAsia="zh-CN"/>
              </w:rPr>
            </w:pPr>
            <w:r>
              <w:rPr>
                <w:rFonts w:hint="default" w:eastAsia="仿宋_GB2312" w:asciiTheme="minorAscii" w:hAnsiTheme="minorAscii" w:cstheme="minorBidi"/>
                <w:b/>
                <w:bCs/>
                <w:color w:val="auto"/>
                <w:sz w:val="28"/>
                <w:szCs w:val="22"/>
                <w:highlight w:val="none"/>
                <w:lang w:val="en-US" w:eastAsia="zh-CN"/>
              </w:rPr>
              <w:t>聚焦产业痛点技术攻坚</w:t>
            </w:r>
            <w:r>
              <w:rPr>
                <w:rFonts w:hint="eastAsia" w:eastAsia="仿宋_GB2312" w:asciiTheme="minorAscii" w:hAnsiTheme="minorAscii" w:cstheme="minorBidi"/>
                <w:b/>
                <w:bCs/>
                <w:color w:val="auto"/>
                <w:sz w:val="28"/>
                <w:szCs w:val="22"/>
                <w:highlight w:val="none"/>
                <w:lang w:val="en-US" w:eastAsia="zh-CN"/>
              </w:rPr>
              <w:t>。</w:t>
            </w:r>
            <w:r>
              <w:rPr>
                <w:rFonts w:hint="default" w:eastAsia="仿宋_GB2312" w:asciiTheme="minorAscii" w:hAnsiTheme="minorAscii" w:cstheme="minorBidi"/>
                <w:b w:val="0"/>
                <w:bCs w:val="0"/>
                <w:color w:val="auto"/>
                <w:sz w:val="28"/>
                <w:szCs w:val="22"/>
                <w:highlight w:val="none"/>
                <w:lang w:val="en-US" w:eastAsia="zh-CN"/>
              </w:rPr>
              <w:t>针对花卉、蔬菜等生鲜农产品物流损耗率高的问题，重点突破精准温控与溯源技术。推广蓄冷式智能保温箱、恒温冷链车等装备，将花卉</w:t>
            </w:r>
            <w:r>
              <w:rPr>
                <w:rFonts w:hint="eastAsia" w:eastAsia="仿宋_GB2312" w:asciiTheme="minorAscii" w:hAnsiTheme="minorAscii" w:cstheme="minorBidi"/>
                <w:b w:val="0"/>
                <w:bCs w:val="0"/>
                <w:color w:val="auto"/>
                <w:sz w:val="28"/>
                <w:szCs w:val="22"/>
                <w:highlight w:val="none"/>
                <w:lang w:val="en-US" w:eastAsia="zh-CN"/>
              </w:rPr>
              <w:t>、蔬菜</w:t>
            </w:r>
            <w:r>
              <w:rPr>
                <w:rFonts w:hint="default" w:eastAsia="仿宋_GB2312" w:asciiTheme="minorAscii" w:hAnsiTheme="minorAscii" w:cstheme="minorBidi"/>
                <w:b w:val="0"/>
                <w:bCs w:val="0"/>
                <w:color w:val="auto"/>
                <w:sz w:val="28"/>
                <w:szCs w:val="22"/>
                <w:highlight w:val="none"/>
                <w:lang w:val="en-US" w:eastAsia="zh-CN"/>
              </w:rPr>
              <w:t>损耗率降至1</w:t>
            </w:r>
            <w:r>
              <w:rPr>
                <w:rFonts w:hint="eastAsia" w:eastAsia="仿宋_GB2312" w:asciiTheme="minorAscii" w:hAnsiTheme="minorAscii" w:cstheme="minorBidi"/>
                <w:b w:val="0"/>
                <w:bCs w:val="0"/>
                <w:color w:val="auto"/>
                <w:sz w:val="28"/>
                <w:szCs w:val="22"/>
                <w:highlight w:val="none"/>
                <w:lang w:val="en-US" w:eastAsia="zh-CN"/>
              </w:rPr>
              <w:t>0</w:t>
            </w:r>
            <w:r>
              <w:rPr>
                <w:rFonts w:hint="default" w:eastAsia="仿宋_GB2312" w:asciiTheme="minorAscii" w:hAnsiTheme="minorAscii" w:cstheme="minorBidi"/>
                <w:b w:val="0"/>
                <w:bCs w:val="0"/>
                <w:color w:val="auto"/>
                <w:sz w:val="28"/>
                <w:szCs w:val="22"/>
                <w:highlight w:val="none"/>
                <w:lang w:val="en-US" w:eastAsia="zh-CN"/>
              </w:rPr>
              <w:t>%以下。研发物流专用节能材料与绿色包装技术，推广新能源冷链车、</w:t>
            </w:r>
            <w:r>
              <w:rPr>
                <w:rFonts w:hint="eastAsia" w:eastAsia="仿宋_GB2312" w:asciiTheme="minorAscii" w:hAnsiTheme="minorAscii" w:cstheme="minorBidi"/>
                <w:b w:val="0"/>
                <w:bCs w:val="0"/>
                <w:color w:val="auto"/>
                <w:sz w:val="28"/>
                <w:szCs w:val="22"/>
                <w:highlight w:val="none"/>
                <w:lang w:val="en-US" w:eastAsia="zh-CN"/>
              </w:rPr>
              <w:t>新能源</w:t>
            </w:r>
            <w:r>
              <w:rPr>
                <w:rFonts w:hint="default" w:eastAsia="仿宋_GB2312" w:asciiTheme="minorAscii" w:hAnsiTheme="minorAscii" w:cstheme="minorBidi"/>
                <w:b w:val="0"/>
                <w:bCs w:val="0"/>
                <w:color w:val="auto"/>
                <w:sz w:val="28"/>
                <w:szCs w:val="22"/>
                <w:highlight w:val="none"/>
                <w:lang w:val="en-US" w:eastAsia="zh-CN"/>
              </w:rPr>
              <w:t>重卡等清洁能源装备，建设光伏物流园区，降低物流环节碳排放。深化供应链协同创新，推动物流平台与</w:t>
            </w:r>
            <w:r>
              <w:rPr>
                <w:rFonts w:hint="eastAsia" w:eastAsia="仿宋_GB2312" w:asciiTheme="minorAscii" w:hAnsiTheme="minorAscii" w:cstheme="minorBidi"/>
                <w:b w:val="0"/>
                <w:bCs w:val="0"/>
                <w:color w:val="auto"/>
                <w:sz w:val="28"/>
                <w:szCs w:val="22"/>
                <w:highlight w:val="none"/>
                <w:lang w:val="en-US" w:eastAsia="zh-CN"/>
              </w:rPr>
              <w:t>产业园区、</w:t>
            </w:r>
            <w:r>
              <w:rPr>
                <w:rFonts w:hint="default" w:eastAsia="仿宋_GB2312" w:asciiTheme="minorAscii" w:hAnsiTheme="minorAscii" w:cstheme="minorBidi"/>
                <w:b w:val="0"/>
                <w:bCs w:val="0"/>
                <w:color w:val="auto"/>
                <w:sz w:val="28"/>
                <w:szCs w:val="22"/>
                <w:highlight w:val="none"/>
                <w:lang w:val="en-US" w:eastAsia="zh-CN"/>
              </w:rPr>
              <w:t>花卉种植基地、蔬菜产区的数据互联，实现需求预测、库存调配、订单履约的智能化协同。攻关智能分拣、无人配送等前沿技术，推动科研成果在陆港、冷链中心等场景落地验证。</w:t>
            </w:r>
          </w:p>
        </w:tc>
      </w:tr>
    </w:tbl>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textAlignment w:val="auto"/>
        <w:outlineLvl w:val="9"/>
        <w:rPr>
          <w:rFonts w:hint="eastAsia" w:eastAsia="仿宋_GB2312" w:asciiTheme="minorAscii" w:hAnsiTheme="minorAscii"/>
          <w:b w:val="0"/>
          <w:bCs w:val="0"/>
          <w:color w:val="auto"/>
          <w:sz w:val="32"/>
          <w:highlight w:val="none"/>
          <w:lang w:val="en-US" w:eastAsia="zh-CN"/>
        </w:rPr>
      </w:pPr>
      <w:r>
        <w:rPr>
          <w:rFonts w:hint="default" w:eastAsia="仿宋_GB2312" w:asciiTheme="minorAscii" w:hAnsiTheme="minorAscii" w:cstheme="minorBidi"/>
          <w:b w:val="0"/>
          <w:bCs w:val="0"/>
          <w:color w:val="auto"/>
          <w:sz w:val="32"/>
          <w:szCs w:val="24"/>
          <w:highlight w:val="none"/>
          <w:lang w:val="en-US" w:eastAsia="zh-CN"/>
        </w:rPr>
        <w:t>强化政策保障与要素支撑，加大财政投入，重点支持冷链技术研发、数字平台建设等项目。完善人才引育机制，联合高校开设物流数字化专业定向培养人才，引进跨境物流、智能仓储等领域高端团队。建立跨部门协调机制，统筹物流、农业、科技等政策资源，优化土地、能耗等要素配置，助力晋宁打造面向南亚东南亚的国际陆港物流枢纽。</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textAlignment w:val="auto"/>
        <w:outlineLvl w:val="4"/>
        <w:rPr>
          <w:rFonts w:hint="default" w:eastAsia="仿宋_GB2312" w:asciiTheme="minorAscii" w:hAnsiTheme="minorAscii"/>
          <w:b w:val="0"/>
          <w:bCs w:val="0"/>
          <w:color w:val="auto"/>
          <w:sz w:val="32"/>
          <w:highlight w:val="none"/>
          <w:lang w:val="en-US" w:eastAsia="zh-CN"/>
        </w:rPr>
      </w:pPr>
      <w:r>
        <w:rPr>
          <w:rFonts w:hint="eastAsia" w:eastAsia="仿宋_GB2312" w:asciiTheme="minorAscii" w:hAnsiTheme="minorAscii"/>
          <w:b w:val="0"/>
          <w:bCs w:val="0"/>
          <w:color w:val="auto"/>
          <w:sz w:val="32"/>
          <w:highlight w:val="none"/>
          <w:lang w:val="en-US" w:eastAsia="zh-CN"/>
        </w:rPr>
        <w:t>（4）技术赋能文化旅游产业品质提升</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outlineLvl w:val="9"/>
        <w:rPr>
          <w:rFonts w:hint="default" w:eastAsia="仿宋_GB2312" w:asciiTheme="minorAscii" w:hAnsiTheme="minorAscii"/>
          <w:b w:val="0"/>
          <w:bCs w:val="0"/>
          <w:color w:val="auto"/>
          <w:sz w:val="32"/>
          <w:highlight w:val="none"/>
          <w:lang w:val="en-US" w:eastAsia="zh-CN"/>
        </w:rPr>
      </w:pPr>
      <w:r>
        <w:rPr>
          <w:rFonts w:hint="default" w:eastAsia="仿宋_GB2312" w:asciiTheme="minorAscii" w:hAnsiTheme="minorAscii"/>
          <w:b w:val="0"/>
          <w:bCs w:val="0"/>
          <w:color w:val="auto"/>
          <w:sz w:val="32"/>
          <w:highlight w:val="none"/>
          <w:lang w:val="en-US" w:eastAsia="zh-CN"/>
        </w:rPr>
        <w:t>以</w:t>
      </w:r>
      <w:r>
        <w:rPr>
          <w:rFonts w:hint="eastAsia" w:eastAsia="仿宋_GB2312" w:asciiTheme="minorAscii" w:hAnsiTheme="minorAscii"/>
          <w:b w:val="0"/>
          <w:bCs w:val="0"/>
          <w:color w:val="auto"/>
          <w:sz w:val="32"/>
          <w:highlight w:val="none"/>
          <w:lang w:val="en-US" w:eastAsia="zh-CN"/>
        </w:rPr>
        <w:t>科技创新</w:t>
      </w:r>
      <w:r>
        <w:rPr>
          <w:rFonts w:hint="default" w:eastAsia="仿宋_GB2312" w:asciiTheme="minorAscii" w:hAnsiTheme="minorAscii"/>
          <w:b w:val="0"/>
          <w:bCs w:val="0"/>
          <w:color w:val="auto"/>
          <w:sz w:val="32"/>
          <w:highlight w:val="none"/>
          <w:lang w:val="en-US" w:eastAsia="zh-CN"/>
        </w:rPr>
        <w:t>构建全域智慧旅居格局，推动文化</w:t>
      </w:r>
      <w:r>
        <w:rPr>
          <w:rFonts w:hint="eastAsia" w:eastAsia="仿宋_GB2312" w:asciiTheme="minorAscii" w:hAnsiTheme="minorAscii"/>
          <w:b w:val="0"/>
          <w:bCs w:val="0"/>
          <w:color w:val="auto"/>
          <w:sz w:val="32"/>
          <w:highlight w:val="none"/>
          <w:lang w:val="en-US" w:eastAsia="zh-CN"/>
        </w:rPr>
        <w:t>旅游与</w:t>
      </w:r>
      <w:r>
        <w:rPr>
          <w:rFonts w:hint="default" w:eastAsia="仿宋_GB2312" w:asciiTheme="minorAscii" w:hAnsiTheme="minorAscii"/>
          <w:b w:val="0"/>
          <w:bCs w:val="0"/>
          <w:color w:val="auto"/>
          <w:sz w:val="32"/>
          <w:highlight w:val="none"/>
          <w:lang w:val="en-US" w:eastAsia="zh-CN"/>
        </w:rPr>
        <w:t>科技</w:t>
      </w:r>
      <w:r>
        <w:rPr>
          <w:rFonts w:hint="eastAsia" w:eastAsia="仿宋_GB2312" w:asciiTheme="minorAscii" w:hAnsiTheme="minorAscii"/>
          <w:b w:val="0"/>
          <w:bCs w:val="0"/>
          <w:color w:val="auto"/>
          <w:sz w:val="32"/>
          <w:highlight w:val="none"/>
          <w:lang w:val="en-US" w:eastAsia="zh-CN"/>
        </w:rPr>
        <w:t>创新</w:t>
      </w:r>
      <w:r>
        <w:rPr>
          <w:rFonts w:hint="default" w:eastAsia="仿宋_GB2312" w:asciiTheme="minorAscii" w:hAnsiTheme="minorAscii"/>
          <w:b w:val="0"/>
          <w:bCs w:val="0"/>
          <w:color w:val="auto"/>
          <w:sz w:val="32"/>
          <w:highlight w:val="none"/>
          <w:lang w:val="en-US" w:eastAsia="zh-CN"/>
        </w:rPr>
        <w:t>融合发展，激活古滇文化、郑和文化与生态资源价值，围绕考古发现数字展陈、文旅综合体沉浸体验、美丽乡村智慧服务、老工业区数字更新等，打造全场景科技赋能的全域旅居项目，让文化与生态价值通过智能交互触手可及</w:t>
      </w:r>
      <w:r>
        <w:rPr>
          <w:rFonts w:hint="eastAsia" w:eastAsia="仿宋_GB2312" w:asciiTheme="minorAscii" w:hAnsiTheme="minorAscii"/>
          <w:b w:val="0"/>
          <w:bCs w:val="0"/>
          <w:color w:val="auto"/>
          <w:sz w:val="32"/>
          <w:highlight w:val="none"/>
          <w:lang w:val="en-US" w:eastAsia="zh-CN"/>
        </w:rPr>
        <w:t>。</w:t>
      </w:r>
    </w:p>
    <w:tbl>
      <w:tblPr>
        <w:tblStyle w:val="20"/>
        <w:tblW w:w="8745" w:type="dxa"/>
        <w:tblInd w:w="7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4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45" w:type="dxa"/>
          </w:tcPr>
          <w:p>
            <w:pPr>
              <w:keepNext w:val="0"/>
              <w:keepLines w:val="0"/>
              <w:pageBreakBefore w:val="0"/>
              <w:widowControl w:val="0"/>
              <w:numPr>
                <w:ilvl w:val="0"/>
                <w:numId w:val="0"/>
              </w:numPr>
              <w:kinsoku/>
              <w:wordWrap/>
              <w:overflowPunct/>
              <w:topLinePunct w:val="0"/>
              <w:autoSpaceDE/>
              <w:autoSpaceDN/>
              <w:bidi w:val="0"/>
              <w:adjustRightInd w:val="0"/>
              <w:snapToGrid/>
              <w:spacing w:line="300" w:lineRule="auto"/>
              <w:ind w:firstLine="1686" w:firstLineChars="600"/>
              <w:jc w:val="both"/>
              <w:textAlignment w:val="auto"/>
              <w:outlineLvl w:val="9"/>
              <w:rPr>
                <w:rFonts w:hint="eastAsia" w:ascii="仿宋_GB2312" w:hAnsi="仿宋_GB2312" w:eastAsia="仿宋_GB2312" w:cs="仿宋_GB2312"/>
                <w:b/>
                <w:bCs/>
                <w:color w:val="auto"/>
                <w:kern w:val="2"/>
                <w:sz w:val="28"/>
                <w:szCs w:val="28"/>
                <w:highlight w:val="yellow"/>
                <w:lang w:val="en-US" w:eastAsia="zh-CN" w:bidi="ar-SA"/>
              </w:rPr>
            </w:pPr>
            <w:r>
              <w:rPr>
                <w:rFonts w:hint="eastAsia" w:ascii="仿宋_GB2312" w:hAnsi="仿宋_GB2312" w:eastAsia="仿宋_GB2312" w:cs="仿宋_GB2312"/>
                <w:b/>
                <w:bCs/>
                <w:color w:val="auto"/>
                <w:sz w:val="28"/>
                <w:szCs w:val="28"/>
                <w:lang w:val="en-US" w:eastAsia="zh-CN"/>
              </w:rPr>
              <w:t>专栏4  文化和旅游业科技创新重点方向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45" w:type="dxa"/>
          </w:tcPr>
          <w:p>
            <w:pPr>
              <w:keepNext w:val="0"/>
              <w:keepLines w:val="0"/>
              <w:pageBreakBefore w:val="0"/>
              <w:widowControl w:val="0"/>
              <w:numPr>
                <w:ilvl w:val="0"/>
                <w:numId w:val="0"/>
              </w:numPr>
              <w:kinsoku/>
              <w:wordWrap/>
              <w:overflowPunct/>
              <w:topLinePunct w:val="0"/>
              <w:autoSpaceDE/>
              <w:autoSpaceDN/>
              <w:bidi w:val="0"/>
              <w:adjustRightInd w:val="0"/>
              <w:snapToGrid w:val="0"/>
              <w:spacing w:line="300" w:lineRule="auto"/>
              <w:ind w:firstLine="562" w:firstLineChars="200"/>
              <w:jc w:val="both"/>
              <w:textAlignment w:val="auto"/>
              <w:outlineLvl w:val="9"/>
              <w:rPr>
                <w:rFonts w:hint="eastAsia" w:ascii="仿宋_GB2312" w:hAnsi="仿宋_GB2312" w:eastAsia="仿宋_GB2312" w:cs="仿宋_GB2312"/>
                <w:b w:val="0"/>
                <w:bCs w:val="0"/>
                <w:color w:val="auto"/>
                <w:kern w:val="2"/>
                <w:sz w:val="28"/>
                <w:szCs w:val="28"/>
                <w:highlight w:val="none"/>
                <w:lang w:val="en-US" w:eastAsia="zh-CN" w:bidi="ar-SA"/>
              </w:rPr>
            </w:pPr>
            <w:r>
              <w:rPr>
                <w:rFonts w:hint="eastAsia" w:ascii="仿宋_GB2312" w:hAnsi="仿宋_GB2312" w:eastAsia="仿宋_GB2312" w:cs="仿宋_GB2312"/>
                <w:b/>
                <w:bCs/>
                <w:color w:val="auto"/>
                <w:kern w:val="2"/>
                <w:sz w:val="28"/>
                <w:szCs w:val="28"/>
                <w:highlight w:val="none"/>
                <w:lang w:val="en-US" w:eastAsia="zh-CN" w:bidi="ar-SA"/>
              </w:rPr>
              <w:t>推进文化遗产数字化基础建设。</w:t>
            </w:r>
            <w:r>
              <w:rPr>
                <w:rFonts w:hint="eastAsia" w:ascii="仿宋_GB2312" w:hAnsi="仿宋_GB2312" w:eastAsia="仿宋_GB2312" w:cs="仿宋_GB2312"/>
                <w:b w:val="0"/>
                <w:bCs w:val="0"/>
                <w:color w:val="auto"/>
                <w:kern w:val="2"/>
                <w:sz w:val="28"/>
                <w:szCs w:val="28"/>
                <w:highlight w:val="none"/>
                <w:lang w:val="en-US" w:eastAsia="zh-CN" w:bidi="ar-SA"/>
              </w:rPr>
              <w:t>依托现有技术资源，联合上级科研单位或专业机构，结合高清摄影技术及三维扫描设备，对石寨山古墓群、河泊所遗址的核心区域及重点文物进行数字化信息采集，建立包含文物形制、纹饰及遗址布局的基础数字档案。引进已趋于成熟的青铜器基础缓蚀、有机质文物简易脱水等实用修复技术，提升本地文物修复实操能力。针对乌铜走银等非遗项目，通过动作捕捉、高清摄像、AI生成等技术全程记录技艺流程，同步采集传承人讲解音频、技艺文字说明及高清影像，建立非遗技艺基础数字档案。</w:t>
            </w:r>
          </w:p>
          <w:p>
            <w:pPr>
              <w:pStyle w:val="18"/>
              <w:keepNext w:val="0"/>
              <w:keepLines w:val="0"/>
              <w:pageBreakBefore w:val="0"/>
              <w:widowControl w:val="0"/>
              <w:kinsoku/>
              <w:wordWrap/>
              <w:overflowPunct/>
              <w:topLinePunct w:val="0"/>
              <w:autoSpaceDE/>
              <w:autoSpaceDN/>
              <w:bidi w:val="0"/>
              <w:adjustRightInd w:val="0"/>
              <w:snapToGrid w:val="0"/>
              <w:spacing w:after="0" w:line="300" w:lineRule="auto"/>
              <w:ind w:left="0" w:leftChars="0" w:firstLine="562" w:firstLineChars="200"/>
              <w:textAlignment w:val="auto"/>
              <w:rPr>
                <w:rFonts w:hint="eastAsia" w:ascii="仿宋_GB2312" w:hAnsi="仿宋_GB2312" w:eastAsia="仿宋_GB2312" w:cs="仿宋_GB2312"/>
                <w:color w:val="auto"/>
                <w:kern w:val="2"/>
                <w:sz w:val="28"/>
                <w:szCs w:val="28"/>
                <w:highlight w:val="none"/>
                <w:lang w:val="en-US" w:eastAsia="zh-CN" w:bidi="ar-SA"/>
              </w:rPr>
            </w:pPr>
            <w:r>
              <w:rPr>
                <w:rFonts w:hint="eastAsia" w:ascii="仿宋_GB2312" w:hAnsi="仿宋_GB2312" w:eastAsia="仿宋_GB2312" w:cs="仿宋_GB2312"/>
                <w:b/>
                <w:bCs/>
                <w:color w:val="auto"/>
                <w:kern w:val="2"/>
                <w:sz w:val="28"/>
                <w:szCs w:val="28"/>
                <w:highlight w:val="none"/>
                <w:lang w:val="en-US" w:eastAsia="zh-CN" w:bidi="ar-SA"/>
              </w:rPr>
              <w:t>智慧旅游服务升级与沉浸式文旅体验创新。</w:t>
            </w:r>
            <w:r>
              <w:rPr>
                <w:rFonts w:hint="eastAsia" w:ascii="仿宋_GB2312" w:hAnsi="仿宋_GB2312" w:eastAsia="仿宋_GB2312" w:cs="仿宋_GB2312"/>
                <w:color w:val="auto"/>
                <w:kern w:val="2"/>
                <w:sz w:val="28"/>
                <w:szCs w:val="28"/>
                <w:highlight w:val="none"/>
                <w:lang w:val="en-US" w:eastAsia="zh-CN" w:bidi="ar-SA"/>
              </w:rPr>
              <w:t>依托古滇名城、郑和公园等文化核心景区，探索打造“AR+LBS”导览系统，游客扫描实景即可触发对应的场景模拟以及古滇青铜铸造工艺全息演示。依托河泊所遗址建设博物馆与数字化展示中心，运用3D扫描、VR技术还原古滇国历史场景，打造沉浸式文化体验空间。依托石寨山国家考古遗址公园，探索利用区块链技术发行古滇文化数字藏品。结合花卉产业，在滇池沿岸打造“智慧花田”光影秀，开发花卉香气识别交互装置，提升观感交错的游览体验。</w:t>
            </w:r>
          </w:p>
          <w:p>
            <w:pPr>
              <w:keepNext w:val="0"/>
              <w:keepLines w:val="0"/>
              <w:pageBreakBefore w:val="0"/>
              <w:widowControl w:val="0"/>
              <w:numPr>
                <w:ilvl w:val="0"/>
                <w:numId w:val="0"/>
              </w:numPr>
              <w:kinsoku/>
              <w:wordWrap/>
              <w:overflowPunct/>
              <w:topLinePunct w:val="0"/>
              <w:autoSpaceDE/>
              <w:autoSpaceDN/>
              <w:bidi w:val="0"/>
              <w:adjustRightInd w:val="0"/>
              <w:snapToGrid w:val="0"/>
              <w:spacing w:line="300" w:lineRule="auto"/>
              <w:ind w:firstLine="562" w:firstLineChars="200"/>
              <w:jc w:val="both"/>
              <w:textAlignment w:val="auto"/>
              <w:outlineLvl w:val="9"/>
              <w:rPr>
                <w:rFonts w:hint="eastAsia" w:ascii="仿宋_GB2312" w:hAnsi="仿宋_GB2312" w:eastAsia="仿宋_GB2312" w:cs="仿宋_GB2312"/>
                <w:color w:val="auto"/>
                <w:sz w:val="32"/>
                <w:szCs w:val="32"/>
                <w:vertAlign w:val="baseline"/>
                <w:lang w:val="en-US" w:eastAsia="zh-CN"/>
              </w:rPr>
            </w:pPr>
            <w:r>
              <w:rPr>
                <w:rFonts w:hint="eastAsia" w:ascii="仿宋_GB2312" w:hAnsi="仿宋_GB2312" w:eastAsia="仿宋_GB2312" w:cs="仿宋_GB2312"/>
                <w:b/>
                <w:bCs/>
                <w:color w:val="auto"/>
                <w:kern w:val="2"/>
                <w:sz w:val="28"/>
                <w:szCs w:val="28"/>
                <w:highlight w:val="none"/>
                <w:lang w:val="en-US" w:eastAsia="zh-CN" w:bidi="ar-SA"/>
              </w:rPr>
              <w:t>瞄准新兴文创形态及IP资源。</w:t>
            </w:r>
            <w:r>
              <w:rPr>
                <w:rFonts w:hint="eastAsia" w:ascii="仿宋_GB2312" w:hAnsi="仿宋_GB2312" w:eastAsia="仿宋_GB2312" w:cs="仿宋_GB2312"/>
                <w:color w:val="auto"/>
                <w:sz w:val="28"/>
                <w:szCs w:val="28"/>
                <w:highlight w:val="none"/>
                <w:lang w:val="en-US" w:eastAsia="zh-CN"/>
              </w:rPr>
              <w:t>紧跟文化与科技跨界融合的发展趋势，发展新文创泛娱产业，前瞻性布局数字文创产业，鼓励文化创意企业的科技创新，支持运用高新技术手段开发文化创意产品。以文化创意内容为核心，依托数字技术进行创作、生产、传播和服务，从设计流程、生产资料和工具、数据知识等方面深层次管理来驱动高效高质的创意资源数字化制造、加工及场景应用，推动先进技术及企业导入与下游应用推广，打造数字文化成长型生态圈。</w:t>
            </w:r>
          </w:p>
        </w:tc>
      </w:tr>
    </w:tbl>
    <w:p>
      <w:pPr>
        <w:pStyle w:val="18"/>
        <w:keepNext w:val="0"/>
        <w:keepLines w:val="0"/>
        <w:pageBreakBefore w:val="0"/>
        <w:widowControl w:val="0"/>
        <w:kinsoku/>
        <w:wordWrap/>
        <w:overflowPunct/>
        <w:topLinePunct w:val="0"/>
        <w:autoSpaceDE/>
        <w:autoSpaceDN/>
        <w:bidi w:val="0"/>
        <w:adjustRightInd/>
        <w:snapToGrid/>
        <w:spacing w:after="0" w:line="560" w:lineRule="exact"/>
        <w:ind w:left="0" w:leftChars="0" w:firstLine="640" w:firstLineChars="200"/>
        <w:textAlignment w:val="auto"/>
        <w:rPr>
          <w:rFonts w:hint="default"/>
          <w:color w:val="auto"/>
          <w:lang w:val="en-US" w:eastAsia="zh-CN"/>
        </w:rPr>
      </w:pPr>
      <w:r>
        <w:rPr>
          <w:rFonts w:hint="eastAsia" w:ascii="仿宋_GB2312" w:hAnsi="仿宋_GB2312" w:eastAsia="仿宋_GB2312" w:cs="仿宋_GB2312"/>
          <w:color w:val="auto"/>
          <w:kern w:val="2"/>
          <w:sz w:val="32"/>
          <w:szCs w:val="32"/>
          <w:lang w:val="en-US" w:eastAsia="zh-CN" w:bidi="ar-SA"/>
        </w:rPr>
        <w:t>强化文化科技融合发展的政策供给与精准扶持，构建高效协同的文化科技融合创新生态。重点建设文化科技企业孵化器、文化大数据实验室等创新载体，定向培育高端人才、领军企业及品牌活动。以国家文化和科技融合示范基地为核心，强化公共服务平台功能，聚力打造特色鲜明的文化科技产业集聚区，推动创新要素高效聚合与产业能级跃升。</w:t>
      </w:r>
    </w:p>
    <w:p>
      <w:pPr>
        <w:numPr>
          <w:ilvl w:val="0"/>
          <w:numId w:val="6"/>
        </w:numPr>
        <w:bidi w:val="0"/>
        <w:spacing w:line="560" w:lineRule="exact"/>
        <w:ind w:left="0" w:leftChars="0" w:firstLine="642" w:firstLineChars="200"/>
        <w:outlineLvl w:val="3"/>
        <w:rPr>
          <w:rFonts w:hint="eastAsia" w:eastAsia="仿宋_GB2312" w:asciiTheme="minorAscii" w:hAnsiTheme="minorAscii"/>
          <w:b/>
          <w:bCs/>
          <w:color w:val="auto"/>
          <w:sz w:val="32"/>
          <w:highlight w:val="none"/>
          <w:lang w:val="en-US" w:eastAsia="zh-CN"/>
        </w:rPr>
      </w:pPr>
      <w:r>
        <w:rPr>
          <w:rFonts w:hint="eastAsia" w:eastAsia="仿宋_GB2312" w:asciiTheme="minorAscii" w:hAnsiTheme="minorAscii"/>
          <w:b/>
          <w:bCs/>
          <w:color w:val="auto"/>
          <w:sz w:val="32"/>
          <w:highlight w:val="none"/>
          <w:lang w:val="en-US" w:eastAsia="zh-CN"/>
        </w:rPr>
        <w:t>聚焦新兴产业攻关前沿技术</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outlineLvl w:val="9"/>
        <w:rPr>
          <w:rFonts w:hint="eastAsia" w:eastAsia="仿宋_GB2312" w:asciiTheme="minorAscii" w:hAnsiTheme="minorAscii"/>
          <w:b w:val="0"/>
          <w:bCs w:val="0"/>
          <w:color w:val="auto"/>
          <w:sz w:val="32"/>
          <w:highlight w:val="none"/>
          <w:lang w:val="en-US" w:eastAsia="zh-CN"/>
        </w:rPr>
      </w:pPr>
      <w:r>
        <w:rPr>
          <w:rFonts w:hint="eastAsia" w:eastAsia="仿宋_GB2312" w:asciiTheme="minorAscii" w:hAnsiTheme="minorAscii"/>
          <w:b w:val="0"/>
          <w:bCs w:val="0"/>
          <w:color w:val="auto"/>
          <w:sz w:val="32"/>
          <w:highlight w:val="none"/>
          <w:lang w:val="en-US" w:eastAsia="zh-CN"/>
        </w:rPr>
        <w:t>以科技创新为核心引擎，围绕先进装备制造、特色无人机、精密光学仪器、新材料研发、健康养生、生物医药等重点产业，推动全方位技术升级与转型。先进装备制造聚焦国产化替代与智能化改造，强化产业链协同；特色无人机聚焦高原适配技术攻关，构建绿色低碳产业集群；精密光学仪器着力高端化发展，完善产业技术链条；新材料研发主攻性能提升，构建自主技术体系；健康养生打造“智慧+健康”生态，推动技术与服务融合；生物医药推动从资源驱动向技术引领跨越，升级中药材培育与生物制造；通过强化产学研协同、技术转化与生态构建，促进各产业突破发展瓶颈，实现从资源依赖向技术引领转型，全面提升核心竞争力与可持续发展能力。</w:t>
      </w:r>
    </w:p>
    <w:tbl>
      <w:tblPr>
        <w:tblStyle w:val="20"/>
        <w:tblW w:w="8789" w:type="dxa"/>
        <w:tblInd w:w="7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97"/>
        <w:gridCol w:w="759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89" w:type="dxa"/>
            <w:gridSpan w:val="2"/>
          </w:tcPr>
          <w:p>
            <w:pPr>
              <w:keepNext w:val="0"/>
              <w:keepLines w:val="0"/>
              <w:pageBreakBefore w:val="0"/>
              <w:widowControl w:val="0"/>
              <w:numPr>
                <w:ilvl w:val="0"/>
                <w:numId w:val="0"/>
              </w:numPr>
              <w:kinsoku/>
              <w:wordWrap/>
              <w:overflowPunct/>
              <w:topLinePunct w:val="0"/>
              <w:autoSpaceDE/>
              <w:autoSpaceDN/>
              <w:bidi w:val="0"/>
              <w:adjustRightInd w:val="0"/>
              <w:snapToGrid/>
              <w:spacing w:line="300" w:lineRule="auto"/>
              <w:jc w:val="center"/>
              <w:textAlignment w:val="auto"/>
              <w:outlineLvl w:val="9"/>
              <w:rPr>
                <w:rFonts w:hint="eastAsia" w:eastAsia="仿宋_GB2312" w:asciiTheme="minorAscii" w:hAnsiTheme="minorAscii"/>
                <w:b/>
                <w:bCs/>
                <w:color w:val="auto"/>
                <w:sz w:val="28"/>
                <w:szCs w:val="28"/>
                <w:highlight w:val="none"/>
                <w:lang w:val="en-US" w:eastAsia="zh-CN"/>
              </w:rPr>
            </w:pPr>
            <w:r>
              <w:rPr>
                <w:rFonts w:hint="eastAsia" w:ascii="仿宋_GB2312" w:hAnsi="仿宋_GB2312" w:eastAsia="仿宋_GB2312" w:cs="仿宋_GB2312"/>
                <w:b/>
                <w:bCs/>
                <w:color w:val="auto"/>
                <w:sz w:val="28"/>
                <w:szCs w:val="28"/>
                <w:lang w:val="en-US" w:eastAsia="zh-CN"/>
              </w:rPr>
              <w:t>专栏5  新兴产业科技创新重点方向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51" w:hRule="atLeast"/>
        </w:trPr>
        <w:tc>
          <w:tcPr>
            <w:tcW w:w="1197" w:type="dxa"/>
            <w:vMerge w:val="restart"/>
            <w:vAlign w:val="center"/>
          </w:tcPr>
          <w:p>
            <w:pPr>
              <w:keepNext w:val="0"/>
              <w:keepLines w:val="0"/>
              <w:pageBreakBefore w:val="0"/>
              <w:widowControl w:val="0"/>
              <w:numPr>
                <w:ilvl w:val="0"/>
                <w:numId w:val="0"/>
              </w:numPr>
              <w:kinsoku/>
              <w:wordWrap/>
              <w:overflowPunct/>
              <w:topLinePunct w:val="0"/>
              <w:autoSpaceDE/>
              <w:autoSpaceDN/>
              <w:bidi w:val="0"/>
              <w:adjustRightInd w:val="0"/>
              <w:snapToGrid w:val="0"/>
              <w:spacing w:line="300" w:lineRule="auto"/>
              <w:jc w:val="center"/>
              <w:textAlignment w:val="auto"/>
              <w:outlineLvl w:val="4"/>
              <w:rPr>
                <w:rFonts w:hint="eastAsia" w:eastAsia="仿宋_GB2312" w:asciiTheme="minorAscii" w:hAnsiTheme="minorAscii"/>
                <w:b/>
                <w:bCs/>
                <w:color w:val="auto"/>
                <w:sz w:val="28"/>
                <w:szCs w:val="28"/>
                <w:highlight w:val="none"/>
                <w:lang w:val="en-US" w:eastAsia="zh-CN"/>
              </w:rPr>
            </w:pPr>
            <w:r>
              <w:rPr>
                <w:rFonts w:hint="eastAsia" w:eastAsia="仿宋_GB2312" w:asciiTheme="minorAscii" w:hAnsiTheme="minorAscii"/>
                <w:b/>
                <w:bCs/>
                <w:color w:val="auto"/>
                <w:sz w:val="28"/>
                <w:szCs w:val="28"/>
                <w:highlight w:val="none"/>
                <w:lang w:val="en-US" w:eastAsia="zh-CN"/>
              </w:rPr>
              <w:t>先进装备制造</w:t>
            </w:r>
          </w:p>
        </w:tc>
        <w:tc>
          <w:tcPr>
            <w:tcW w:w="7592" w:type="dxa"/>
          </w:tcPr>
          <w:p>
            <w:pPr>
              <w:keepNext w:val="0"/>
              <w:keepLines w:val="0"/>
              <w:pageBreakBefore w:val="0"/>
              <w:widowControl w:val="0"/>
              <w:numPr>
                <w:ilvl w:val="0"/>
                <w:numId w:val="0"/>
              </w:numPr>
              <w:kinsoku/>
              <w:wordWrap/>
              <w:overflowPunct/>
              <w:topLinePunct w:val="0"/>
              <w:autoSpaceDE/>
              <w:autoSpaceDN/>
              <w:bidi w:val="0"/>
              <w:adjustRightInd w:val="0"/>
              <w:snapToGrid w:val="0"/>
              <w:spacing w:line="300" w:lineRule="auto"/>
              <w:ind w:firstLine="560" w:firstLineChars="200"/>
              <w:textAlignment w:val="auto"/>
              <w:outlineLvl w:val="4"/>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依托昆明中车轨道交通装备有限公司等行业龙头企业，聚焦轨道交通整车制造，以全产业链协同发展与核心技术自主可控为目标，同步推进传统装备升级与新兴配套产业培育。重点攻关轨道交通车辆核心部件技术瓶颈，同时紧抓“数字昆明”建设契机，开展生产线智能化改造，打造高度集成的数字化装配车间，并通过技术共享、标准统一强化产业链上下游协同，提升本地配套率。</w:t>
            </w:r>
          </w:p>
          <w:p>
            <w:pPr>
              <w:keepNext w:val="0"/>
              <w:keepLines w:val="0"/>
              <w:pageBreakBefore w:val="0"/>
              <w:widowControl w:val="0"/>
              <w:numPr>
                <w:ilvl w:val="0"/>
                <w:numId w:val="0"/>
              </w:numPr>
              <w:kinsoku/>
              <w:wordWrap/>
              <w:overflowPunct/>
              <w:topLinePunct w:val="0"/>
              <w:autoSpaceDE/>
              <w:autoSpaceDN/>
              <w:bidi w:val="0"/>
              <w:adjustRightInd w:val="0"/>
              <w:snapToGrid w:val="0"/>
              <w:spacing w:line="300" w:lineRule="auto"/>
              <w:ind w:firstLine="560" w:firstLineChars="200"/>
              <w:textAlignment w:val="auto"/>
              <w:outlineLvl w:val="4"/>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立足汽车配件、电缆制造等现有产业基础，精准锚定新能源汽车产业方向，围绕核心配套需求集中研发高强度机械铸件、高可靠性制动系统等关键部件，加快建设自动化铸造生产线，引入先进检测设备打造专业化制动系统检测中心。全力打造昆明市先进装备制造产业新增长极，为区域经济高质量发展注入创新动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69" w:hRule="atLeast"/>
        </w:trPr>
        <w:tc>
          <w:tcPr>
            <w:tcW w:w="1197" w:type="dxa"/>
            <w:vMerge w:val="continue"/>
            <w:vAlign w:val="center"/>
          </w:tcPr>
          <w:p>
            <w:pPr>
              <w:keepNext w:val="0"/>
              <w:keepLines w:val="0"/>
              <w:pageBreakBefore w:val="0"/>
              <w:widowControl w:val="0"/>
              <w:kinsoku/>
              <w:wordWrap/>
              <w:overflowPunct/>
              <w:topLinePunct w:val="0"/>
              <w:autoSpaceDE/>
              <w:autoSpaceDN/>
              <w:bidi w:val="0"/>
              <w:adjustRightInd w:val="0"/>
              <w:snapToGrid w:val="0"/>
              <w:spacing w:line="300" w:lineRule="auto"/>
              <w:ind w:firstLine="560" w:firstLineChars="200"/>
              <w:jc w:val="both"/>
              <w:textAlignment w:val="auto"/>
              <w:outlineLvl w:val="9"/>
              <w:rPr>
                <w:color w:val="auto"/>
                <w:sz w:val="28"/>
                <w:szCs w:val="28"/>
              </w:rPr>
            </w:pPr>
          </w:p>
        </w:tc>
        <w:tc>
          <w:tcPr>
            <w:tcW w:w="7592" w:type="dxa"/>
          </w:tcPr>
          <w:p>
            <w:pPr>
              <w:keepNext w:val="0"/>
              <w:keepLines w:val="0"/>
              <w:pageBreakBefore w:val="0"/>
              <w:widowControl w:val="0"/>
              <w:kinsoku/>
              <w:wordWrap/>
              <w:overflowPunct/>
              <w:topLinePunct w:val="0"/>
              <w:autoSpaceDE/>
              <w:autoSpaceDN/>
              <w:bidi w:val="0"/>
              <w:adjustRightInd w:val="0"/>
              <w:snapToGrid w:val="0"/>
              <w:spacing w:line="300" w:lineRule="auto"/>
              <w:ind w:firstLine="640"/>
              <w:jc w:val="both"/>
              <w:textAlignment w:val="auto"/>
              <w:outlineLvl w:val="4"/>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打造高原特色无人机产业集群，联合高校、科研院所及行业龙头企业，聚焦动力系统高原适配、轻量化材料研发、复杂地形智能导航三大核心领域开展协同攻关。</w:t>
            </w:r>
          </w:p>
          <w:p>
            <w:pPr>
              <w:keepNext w:val="0"/>
              <w:keepLines w:val="0"/>
              <w:pageBreakBefore w:val="0"/>
              <w:widowControl w:val="0"/>
              <w:kinsoku/>
              <w:wordWrap/>
              <w:overflowPunct/>
              <w:topLinePunct w:val="0"/>
              <w:autoSpaceDE/>
              <w:autoSpaceDN/>
              <w:bidi w:val="0"/>
              <w:adjustRightInd w:val="0"/>
              <w:snapToGrid w:val="0"/>
              <w:spacing w:line="300" w:lineRule="auto"/>
              <w:ind w:firstLine="640"/>
              <w:jc w:val="both"/>
              <w:textAlignment w:val="auto"/>
              <w:outlineLvl w:val="4"/>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重点突破高功率密度发动机技术，确保在低氧环境下高效运转；研发新型轻量化复合材料，结合3D打印增材制造技术，实现无人机结构件一体化成型与减重增效；开发高性能通信模块与冗余链路，确保无人机在远距离、恶劣天气下稳定传输数据，实现可靠远程控制；构建多源融合导航系统，集成GPS、惯性导航与地形匹配技术，提升复杂地形环境下的自主飞行能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197" w:type="dxa"/>
            <w:vAlign w:val="center"/>
          </w:tcPr>
          <w:p>
            <w:pPr>
              <w:keepNext w:val="0"/>
              <w:keepLines w:val="0"/>
              <w:pageBreakBefore w:val="0"/>
              <w:widowControl w:val="0"/>
              <w:numPr>
                <w:ilvl w:val="0"/>
                <w:numId w:val="0"/>
              </w:numPr>
              <w:kinsoku/>
              <w:wordWrap/>
              <w:overflowPunct/>
              <w:topLinePunct w:val="0"/>
              <w:autoSpaceDE/>
              <w:autoSpaceDN/>
              <w:bidi w:val="0"/>
              <w:adjustRightInd w:val="0"/>
              <w:snapToGrid w:val="0"/>
              <w:spacing w:line="300" w:lineRule="auto"/>
              <w:jc w:val="center"/>
              <w:textAlignment w:val="auto"/>
              <w:outlineLvl w:val="4"/>
              <w:rPr>
                <w:rFonts w:hint="eastAsia" w:eastAsia="仿宋_GB2312" w:asciiTheme="minorAscii" w:hAnsiTheme="minorAscii"/>
                <w:b/>
                <w:bCs/>
                <w:color w:val="auto"/>
                <w:sz w:val="28"/>
                <w:szCs w:val="28"/>
                <w:highlight w:val="none"/>
                <w:lang w:val="en-US" w:eastAsia="zh-CN"/>
              </w:rPr>
            </w:pPr>
            <w:r>
              <w:rPr>
                <w:rFonts w:hint="eastAsia" w:eastAsia="仿宋_GB2312" w:asciiTheme="minorAscii" w:hAnsiTheme="minorAscii"/>
                <w:b/>
                <w:bCs/>
                <w:color w:val="auto"/>
                <w:sz w:val="28"/>
                <w:szCs w:val="28"/>
                <w:highlight w:val="none"/>
                <w:lang w:val="en-US" w:eastAsia="zh-CN"/>
              </w:rPr>
              <w:t>精密光学仪器</w:t>
            </w:r>
          </w:p>
        </w:tc>
        <w:tc>
          <w:tcPr>
            <w:tcW w:w="7592" w:type="dxa"/>
          </w:tcPr>
          <w:p>
            <w:pPr>
              <w:keepNext w:val="0"/>
              <w:keepLines w:val="0"/>
              <w:pageBreakBefore w:val="0"/>
              <w:widowControl w:val="0"/>
              <w:numPr>
                <w:ilvl w:val="0"/>
                <w:numId w:val="0"/>
              </w:numPr>
              <w:kinsoku/>
              <w:wordWrap/>
              <w:overflowPunct/>
              <w:topLinePunct w:val="0"/>
              <w:autoSpaceDE/>
              <w:autoSpaceDN/>
              <w:bidi w:val="0"/>
              <w:adjustRightInd w:val="0"/>
              <w:snapToGrid w:val="0"/>
              <w:spacing w:line="300" w:lineRule="auto"/>
              <w:ind w:firstLine="560" w:firstLineChars="200"/>
              <w:textAlignment w:val="auto"/>
              <w:outlineLvl w:val="4"/>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立足光学产业基础优势，聚焦光学元器件、红外探测器、微通道板、光电倍增管、OLED微型显示器、红外热像仪整机等光电器件等产品领域，攻克多类光电器件核心技术难题。重点突破高精密光学镜片研磨抛光技术、镀膜工艺优化技术、提升敏感元制备与信号处理技术、优化光学系统集成与测温精度控制技术等，全面提升各类产品性能。强化光学元器件的光学均匀性与环境耐受性，提升红外探测器的响应率，优化OLED微型显示器的色彩还原度，增强红外热像仪的成像清晰度与光谱透过率，使全系列光电器件光学性能指标达到国内先进水平。</w:t>
            </w:r>
          </w:p>
          <w:p>
            <w:pPr>
              <w:keepNext w:val="0"/>
              <w:keepLines w:val="0"/>
              <w:pageBreakBefore w:val="0"/>
              <w:widowControl w:val="0"/>
              <w:numPr>
                <w:ilvl w:val="0"/>
                <w:numId w:val="0"/>
              </w:numPr>
              <w:kinsoku/>
              <w:wordWrap/>
              <w:overflowPunct/>
              <w:topLinePunct w:val="0"/>
              <w:autoSpaceDE/>
              <w:autoSpaceDN/>
              <w:bidi w:val="0"/>
              <w:adjustRightInd w:val="0"/>
              <w:snapToGrid w:val="0"/>
              <w:spacing w:line="300" w:lineRule="auto"/>
              <w:ind w:firstLine="560" w:firstLineChars="200"/>
              <w:textAlignment w:val="auto"/>
              <w:outlineLvl w:val="4"/>
              <w:rPr>
                <w:rFonts w:hint="eastAsia" w:eastAsia="仿宋_GB2312" w:asciiTheme="minorAscii" w:hAnsiTheme="minorAscii"/>
                <w:b/>
                <w:bCs/>
                <w:color w:val="auto"/>
                <w:sz w:val="28"/>
                <w:szCs w:val="28"/>
                <w:highlight w:val="none"/>
                <w:lang w:val="en-US" w:eastAsia="zh-CN"/>
              </w:rPr>
            </w:pPr>
            <w:r>
              <w:rPr>
                <w:rFonts w:hint="eastAsia" w:ascii="仿宋_GB2312" w:hAnsi="仿宋_GB2312" w:eastAsia="仿宋_GB2312" w:cs="仿宋_GB2312"/>
                <w:color w:val="auto"/>
                <w:sz w:val="28"/>
                <w:szCs w:val="28"/>
                <w:lang w:val="en-US" w:eastAsia="zh-CN"/>
              </w:rPr>
              <w:t>鼓励企业联合高校院所开展红外光学材料研发。重点针对红外探测器敏感元、红外热像仪光学系统所需材料，探索更先进的光学材料制造工艺，拓展在复杂环境下的应用范围。同时聚焦光学系统集成设计、动态成像优化、环境适应性等核心方向。针对光学元器件的环境耐受性提升需求，推进光电集成模块开发；结合红外热像仪的成像清晰度优化目标，开展智能控制算法研发，实现技术成果落地高端应用场景，完善光学产业高端化发展链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93" w:hRule="atLeast"/>
        </w:trPr>
        <w:tc>
          <w:tcPr>
            <w:tcW w:w="1197" w:type="dxa"/>
            <w:vAlign w:val="center"/>
          </w:tcPr>
          <w:p>
            <w:pPr>
              <w:keepNext w:val="0"/>
              <w:keepLines w:val="0"/>
              <w:pageBreakBefore w:val="0"/>
              <w:widowControl w:val="0"/>
              <w:numPr>
                <w:ilvl w:val="0"/>
                <w:numId w:val="0"/>
              </w:numPr>
              <w:kinsoku/>
              <w:wordWrap/>
              <w:overflowPunct/>
              <w:topLinePunct w:val="0"/>
              <w:autoSpaceDE/>
              <w:autoSpaceDN/>
              <w:bidi w:val="0"/>
              <w:adjustRightInd w:val="0"/>
              <w:snapToGrid w:val="0"/>
              <w:spacing w:line="300" w:lineRule="auto"/>
              <w:jc w:val="center"/>
              <w:textAlignment w:val="auto"/>
              <w:outlineLvl w:val="4"/>
              <w:rPr>
                <w:rFonts w:hint="eastAsia" w:eastAsia="仿宋_GB2312" w:asciiTheme="minorAscii" w:hAnsiTheme="minorAscii"/>
                <w:b/>
                <w:bCs/>
                <w:color w:val="auto"/>
                <w:sz w:val="28"/>
                <w:szCs w:val="28"/>
                <w:highlight w:val="none"/>
                <w:lang w:val="en-US" w:eastAsia="zh-CN"/>
              </w:rPr>
            </w:pPr>
            <w:r>
              <w:rPr>
                <w:rFonts w:hint="eastAsia" w:eastAsia="仿宋_GB2312" w:asciiTheme="minorAscii" w:hAnsiTheme="minorAscii"/>
                <w:b/>
                <w:bCs/>
                <w:color w:val="auto"/>
                <w:sz w:val="28"/>
                <w:szCs w:val="28"/>
                <w:highlight w:val="none"/>
                <w:lang w:val="en-US" w:eastAsia="zh-CN"/>
              </w:rPr>
              <w:t>新材料研发</w:t>
            </w:r>
          </w:p>
        </w:tc>
        <w:tc>
          <w:tcPr>
            <w:tcW w:w="7592" w:type="dxa"/>
          </w:tcPr>
          <w:p>
            <w:pPr>
              <w:keepNext w:val="0"/>
              <w:keepLines w:val="0"/>
              <w:pageBreakBefore w:val="0"/>
              <w:widowControl w:val="0"/>
              <w:numPr>
                <w:ilvl w:val="0"/>
                <w:numId w:val="0"/>
              </w:numPr>
              <w:kinsoku/>
              <w:wordWrap/>
              <w:overflowPunct/>
              <w:topLinePunct w:val="0"/>
              <w:autoSpaceDE/>
              <w:autoSpaceDN/>
              <w:bidi w:val="0"/>
              <w:adjustRightInd w:val="0"/>
              <w:snapToGrid w:val="0"/>
              <w:spacing w:line="300" w:lineRule="auto"/>
              <w:ind w:firstLine="560" w:firstLineChars="200"/>
              <w:textAlignment w:val="auto"/>
              <w:outlineLvl w:val="4"/>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聚焦磷氟化工特色产业科技创新升级，构建高质量产业创新发展体系。</w:t>
            </w:r>
          </w:p>
          <w:p>
            <w:pPr>
              <w:keepNext w:val="0"/>
              <w:keepLines w:val="0"/>
              <w:pageBreakBefore w:val="0"/>
              <w:widowControl w:val="0"/>
              <w:numPr>
                <w:ilvl w:val="0"/>
                <w:numId w:val="0"/>
              </w:numPr>
              <w:kinsoku/>
              <w:wordWrap/>
              <w:overflowPunct/>
              <w:topLinePunct w:val="0"/>
              <w:autoSpaceDE/>
              <w:autoSpaceDN/>
              <w:bidi w:val="0"/>
              <w:adjustRightInd w:val="0"/>
              <w:snapToGrid w:val="0"/>
              <w:spacing w:line="300" w:lineRule="auto"/>
              <w:ind w:firstLine="562" w:firstLineChars="200"/>
              <w:textAlignment w:val="auto"/>
              <w:outlineLvl w:val="4"/>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b/>
                <w:bCs/>
                <w:color w:val="auto"/>
                <w:sz w:val="28"/>
                <w:szCs w:val="28"/>
                <w:lang w:val="en-US" w:eastAsia="zh-CN"/>
              </w:rPr>
              <w:t>磷化工领域，</w:t>
            </w:r>
            <w:r>
              <w:rPr>
                <w:rFonts w:hint="eastAsia" w:ascii="仿宋_GB2312" w:hAnsi="仿宋_GB2312" w:eastAsia="仿宋_GB2312" w:cs="仿宋_GB2312"/>
                <w:color w:val="auto"/>
                <w:sz w:val="28"/>
                <w:szCs w:val="28"/>
                <w:lang w:val="en-US" w:eastAsia="zh-CN"/>
              </w:rPr>
              <w:t>以科技创新赋能黄磷精深加工产业链延伸，重点突破磷系阻燃剂关键核心技术，加速高性能、高附加值含磷增塑剂、净水剂材料等创新产品研发与产业化，推动磷化工产业从基础原料供给端向高端功能材料创造端转型，筑牢区域传统产业科技竞争力。</w:t>
            </w:r>
          </w:p>
          <w:p>
            <w:pPr>
              <w:keepNext w:val="0"/>
              <w:keepLines w:val="0"/>
              <w:pageBreakBefore w:val="0"/>
              <w:widowControl w:val="0"/>
              <w:numPr>
                <w:ilvl w:val="0"/>
                <w:numId w:val="0"/>
              </w:numPr>
              <w:kinsoku/>
              <w:wordWrap/>
              <w:overflowPunct/>
              <w:topLinePunct w:val="0"/>
              <w:autoSpaceDE/>
              <w:autoSpaceDN/>
              <w:bidi w:val="0"/>
              <w:adjustRightInd w:val="0"/>
              <w:snapToGrid w:val="0"/>
              <w:spacing w:line="300" w:lineRule="auto"/>
              <w:ind w:firstLine="562" w:firstLineChars="200"/>
              <w:textAlignment w:val="auto"/>
              <w:outlineLvl w:val="4"/>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b/>
                <w:bCs/>
                <w:color w:val="auto"/>
                <w:sz w:val="28"/>
                <w:szCs w:val="28"/>
                <w:lang w:val="en-US" w:eastAsia="zh-CN"/>
              </w:rPr>
              <w:t>氟化工领域，</w:t>
            </w:r>
            <w:r>
              <w:rPr>
                <w:rFonts w:hint="eastAsia" w:ascii="仿宋_GB2312" w:hAnsi="仿宋_GB2312" w:eastAsia="仿宋_GB2312" w:cs="仿宋_GB2312"/>
                <w:color w:val="auto"/>
                <w:sz w:val="28"/>
                <w:szCs w:val="28"/>
                <w:lang w:val="en-US" w:eastAsia="zh-CN"/>
              </w:rPr>
              <w:t>瞄准电子信息、新能源等高端应用市场的科技需求，重点布局电子级氢氟酸、含氟表面活性剂等高端含氟产品的研发与生产；引进氟化工领域高新技术龙头企业，引导上下游配套企业围绕核心技术开展协同创新，推动产业科技型集聚，打造特色含氟新材料产业集群，最终形成晋宁区“磷氟协同”的高端新材料产业创新发展格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1197" w:type="dxa"/>
            <w:vAlign w:val="center"/>
          </w:tcPr>
          <w:p>
            <w:pPr>
              <w:keepNext w:val="0"/>
              <w:keepLines w:val="0"/>
              <w:pageBreakBefore w:val="0"/>
              <w:widowControl w:val="0"/>
              <w:numPr>
                <w:ilvl w:val="0"/>
                <w:numId w:val="0"/>
              </w:numPr>
              <w:kinsoku/>
              <w:wordWrap/>
              <w:overflowPunct/>
              <w:topLinePunct w:val="0"/>
              <w:autoSpaceDE/>
              <w:autoSpaceDN/>
              <w:bidi w:val="0"/>
              <w:adjustRightInd w:val="0"/>
              <w:snapToGrid w:val="0"/>
              <w:spacing w:line="300" w:lineRule="auto"/>
              <w:jc w:val="center"/>
              <w:textAlignment w:val="auto"/>
              <w:outlineLvl w:val="4"/>
              <w:rPr>
                <w:rFonts w:hint="eastAsia" w:eastAsia="仿宋_GB2312" w:asciiTheme="minorAscii" w:hAnsiTheme="minorAscii"/>
                <w:b/>
                <w:bCs/>
                <w:color w:val="auto"/>
                <w:sz w:val="28"/>
                <w:szCs w:val="28"/>
                <w:highlight w:val="none"/>
                <w:lang w:val="en-US" w:eastAsia="zh-CN"/>
              </w:rPr>
            </w:pPr>
            <w:r>
              <w:rPr>
                <w:rFonts w:hint="eastAsia" w:eastAsia="仿宋_GB2312" w:asciiTheme="minorAscii" w:hAnsiTheme="minorAscii"/>
                <w:b/>
                <w:bCs/>
                <w:color w:val="auto"/>
                <w:sz w:val="28"/>
                <w:szCs w:val="28"/>
                <w:highlight w:val="none"/>
                <w:lang w:val="en-US" w:eastAsia="zh-CN"/>
              </w:rPr>
              <w:t>康养</w:t>
            </w:r>
          </w:p>
          <w:p>
            <w:pPr>
              <w:keepNext w:val="0"/>
              <w:keepLines w:val="0"/>
              <w:pageBreakBefore w:val="0"/>
              <w:widowControl w:val="0"/>
              <w:numPr>
                <w:ilvl w:val="0"/>
                <w:numId w:val="0"/>
              </w:numPr>
              <w:kinsoku/>
              <w:wordWrap/>
              <w:overflowPunct/>
              <w:topLinePunct w:val="0"/>
              <w:autoSpaceDE/>
              <w:autoSpaceDN/>
              <w:bidi w:val="0"/>
              <w:adjustRightInd w:val="0"/>
              <w:snapToGrid w:val="0"/>
              <w:spacing w:line="300" w:lineRule="auto"/>
              <w:jc w:val="center"/>
              <w:textAlignment w:val="auto"/>
              <w:outlineLvl w:val="4"/>
              <w:rPr>
                <w:rFonts w:hint="eastAsia" w:eastAsia="仿宋_GB2312" w:asciiTheme="minorAscii" w:hAnsiTheme="minorAscii"/>
                <w:b/>
                <w:bCs/>
                <w:color w:val="auto"/>
                <w:sz w:val="28"/>
                <w:szCs w:val="28"/>
                <w:highlight w:val="none"/>
                <w:lang w:val="en-US" w:eastAsia="zh-CN"/>
              </w:rPr>
            </w:pPr>
            <w:r>
              <w:rPr>
                <w:rFonts w:hint="eastAsia" w:eastAsia="仿宋_GB2312" w:asciiTheme="minorAscii" w:hAnsiTheme="minorAscii"/>
                <w:b/>
                <w:bCs/>
                <w:color w:val="auto"/>
                <w:sz w:val="28"/>
                <w:szCs w:val="28"/>
                <w:highlight w:val="none"/>
                <w:lang w:val="en-US" w:eastAsia="zh-CN"/>
              </w:rPr>
              <w:t>产业</w:t>
            </w:r>
          </w:p>
        </w:tc>
        <w:tc>
          <w:tcPr>
            <w:tcW w:w="7592" w:type="dxa"/>
          </w:tcPr>
          <w:p>
            <w:pPr>
              <w:keepNext w:val="0"/>
              <w:keepLines w:val="0"/>
              <w:pageBreakBefore w:val="0"/>
              <w:widowControl w:val="0"/>
              <w:numPr>
                <w:ilvl w:val="0"/>
                <w:numId w:val="0"/>
              </w:numPr>
              <w:kinsoku/>
              <w:wordWrap/>
              <w:overflowPunct/>
              <w:topLinePunct w:val="0"/>
              <w:autoSpaceDE/>
              <w:autoSpaceDN/>
              <w:bidi w:val="0"/>
              <w:adjustRightInd w:val="0"/>
              <w:snapToGrid w:val="0"/>
              <w:spacing w:line="300" w:lineRule="auto"/>
              <w:ind w:firstLine="560" w:firstLineChars="200"/>
              <w:textAlignment w:val="auto"/>
              <w:outlineLvl w:val="4"/>
              <w:rPr>
                <w:rFonts w:hint="eastAsia" w:eastAsia="仿宋_GB2312" w:asciiTheme="minorAscii" w:hAnsiTheme="minorAscii"/>
                <w:b/>
                <w:bCs/>
                <w:color w:val="auto"/>
                <w:sz w:val="28"/>
                <w:szCs w:val="28"/>
                <w:highlight w:val="none"/>
                <w:lang w:val="en-US" w:eastAsia="zh-CN"/>
              </w:rPr>
            </w:pPr>
            <w:r>
              <w:rPr>
                <w:rFonts w:hint="eastAsia" w:ascii="仿宋_GB2312" w:hAnsi="仿宋_GB2312" w:eastAsia="仿宋_GB2312" w:cs="仿宋_GB2312"/>
                <w:color w:val="auto"/>
                <w:sz w:val="28"/>
                <w:szCs w:val="28"/>
                <w:lang w:val="en-US" w:eastAsia="zh-CN"/>
              </w:rPr>
              <w:t>依托昆明市康养产业战略布局，以科技创新为核心驱动力，构建“智慧+健康”产业生态。聚焦物联网传感、AI算法等关键技术，打造康养创新发展极。</w:t>
            </w:r>
            <w:r>
              <w:rPr>
                <w:rFonts w:hint="eastAsia" w:ascii="仿宋_GB2312" w:hAnsi="仿宋_GB2312" w:eastAsia="仿宋_GB2312" w:cs="仿宋_GB2312"/>
                <w:b w:val="0"/>
                <w:bCs w:val="0"/>
                <w:color w:val="auto"/>
                <w:sz w:val="28"/>
                <w:szCs w:val="28"/>
                <w:lang w:val="en-US" w:eastAsia="zh-CN"/>
              </w:rPr>
              <w:t>推动AI辅助诊断系统在社区医疗场景的规模化应用，建立</w:t>
            </w:r>
            <w:r>
              <w:rPr>
                <w:rFonts w:hint="eastAsia" w:ascii="仿宋_GB2312" w:hAnsi="仿宋_GB2312" w:eastAsia="仿宋_GB2312" w:cs="仿宋_GB2312"/>
                <w:color w:val="auto"/>
                <w:sz w:val="28"/>
                <w:szCs w:val="28"/>
                <w:lang w:val="en-US" w:eastAsia="zh-CN"/>
              </w:rPr>
              <w:t>云计算健康大数据平台，整合分散医疗数据，形成区域健康画像，支撑精准健康干预服务。引入生物传感器微型化技术，研发可穿戴设备与植入式器械的实时生理数据采集系统，构建覆盖心率、血氧、运动轨迹等指标的动态监测网络；搭建养老场景仿真平台，对用户行为轨迹、健康状态进行实时建模，实现跌倒预警、用药提醒等智能干预。规划建设面向南亚东南亚的全生命周期健康数据中心，通过边缘计算节点实现跨境医疗数据的合规流转，开发多语种健康管理服务接口，形成“技术研发-临床验证-产业转化”的创新闭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1197" w:type="dxa"/>
            <w:vAlign w:val="center"/>
          </w:tcPr>
          <w:p>
            <w:pPr>
              <w:keepNext w:val="0"/>
              <w:keepLines w:val="0"/>
              <w:pageBreakBefore w:val="0"/>
              <w:widowControl w:val="0"/>
              <w:numPr>
                <w:ilvl w:val="0"/>
                <w:numId w:val="0"/>
              </w:numPr>
              <w:kinsoku/>
              <w:wordWrap/>
              <w:overflowPunct/>
              <w:topLinePunct w:val="0"/>
              <w:autoSpaceDE/>
              <w:autoSpaceDN/>
              <w:bidi w:val="0"/>
              <w:adjustRightInd w:val="0"/>
              <w:snapToGrid w:val="0"/>
              <w:spacing w:line="300" w:lineRule="auto"/>
              <w:jc w:val="center"/>
              <w:textAlignment w:val="auto"/>
              <w:outlineLvl w:val="4"/>
              <w:rPr>
                <w:rFonts w:hint="eastAsia" w:eastAsia="仿宋_GB2312" w:asciiTheme="minorAscii" w:hAnsiTheme="minorAscii"/>
                <w:b/>
                <w:bCs/>
                <w:color w:val="auto"/>
                <w:sz w:val="28"/>
                <w:szCs w:val="28"/>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spacing w:line="300" w:lineRule="auto"/>
              <w:jc w:val="center"/>
              <w:textAlignment w:val="auto"/>
              <w:outlineLvl w:val="4"/>
              <w:rPr>
                <w:rFonts w:hint="eastAsia" w:eastAsia="仿宋_GB2312" w:asciiTheme="minorAscii" w:hAnsiTheme="minorAscii"/>
                <w:b/>
                <w:bCs/>
                <w:color w:val="auto"/>
                <w:sz w:val="28"/>
                <w:szCs w:val="28"/>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spacing w:line="300" w:lineRule="auto"/>
              <w:jc w:val="center"/>
              <w:textAlignment w:val="auto"/>
              <w:outlineLvl w:val="4"/>
              <w:rPr>
                <w:rFonts w:hint="eastAsia" w:eastAsia="仿宋_GB2312" w:asciiTheme="minorAscii" w:hAnsiTheme="minorAscii"/>
                <w:b/>
                <w:bCs/>
                <w:color w:val="auto"/>
                <w:sz w:val="28"/>
                <w:szCs w:val="28"/>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spacing w:line="300" w:lineRule="auto"/>
              <w:jc w:val="center"/>
              <w:textAlignment w:val="auto"/>
              <w:outlineLvl w:val="4"/>
              <w:rPr>
                <w:rFonts w:hint="eastAsia" w:eastAsia="仿宋_GB2312" w:asciiTheme="minorAscii" w:hAnsiTheme="minorAscii"/>
                <w:b/>
                <w:bCs/>
                <w:color w:val="auto"/>
                <w:sz w:val="28"/>
                <w:szCs w:val="28"/>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spacing w:line="300" w:lineRule="auto"/>
              <w:jc w:val="center"/>
              <w:textAlignment w:val="auto"/>
              <w:outlineLvl w:val="4"/>
              <w:rPr>
                <w:rFonts w:hint="eastAsia" w:eastAsia="仿宋_GB2312" w:asciiTheme="minorAscii" w:hAnsiTheme="minorAscii"/>
                <w:b/>
                <w:bCs/>
                <w:color w:val="auto"/>
                <w:sz w:val="28"/>
                <w:szCs w:val="28"/>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spacing w:line="300" w:lineRule="auto"/>
              <w:jc w:val="center"/>
              <w:textAlignment w:val="auto"/>
              <w:outlineLvl w:val="4"/>
              <w:rPr>
                <w:rFonts w:hint="eastAsia" w:eastAsia="仿宋_GB2312" w:asciiTheme="minorAscii" w:hAnsiTheme="minorAscii"/>
                <w:b/>
                <w:bCs/>
                <w:color w:val="auto"/>
                <w:sz w:val="28"/>
                <w:szCs w:val="28"/>
                <w:highlight w:val="none"/>
                <w:lang w:val="en-US" w:eastAsia="zh-CN"/>
              </w:rPr>
            </w:pPr>
            <w:r>
              <w:rPr>
                <w:rFonts w:hint="eastAsia" w:eastAsia="仿宋_GB2312" w:asciiTheme="minorAscii" w:hAnsiTheme="minorAscii"/>
                <w:b/>
                <w:bCs/>
                <w:color w:val="auto"/>
                <w:sz w:val="28"/>
                <w:szCs w:val="28"/>
                <w:highlight w:val="none"/>
                <w:lang w:val="en-US" w:eastAsia="zh-CN"/>
              </w:rPr>
              <w:t>生物</w:t>
            </w:r>
          </w:p>
          <w:p>
            <w:pPr>
              <w:keepNext w:val="0"/>
              <w:keepLines w:val="0"/>
              <w:pageBreakBefore w:val="0"/>
              <w:widowControl w:val="0"/>
              <w:numPr>
                <w:ilvl w:val="0"/>
                <w:numId w:val="0"/>
              </w:numPr>
              <w:kinsoku/>
              <w:wordWrap/>
              <w:overflowPunct/>
              <w:topLinePunct w:val="0"/>
              <w:autoSpaceDE/>
              <w:autoSpaceDN/>
              <w:bidi w:val="0"/>
              <w:adjustRightInd w:val="0"/>
              <w:snapToGrid w:val="0"/>
              <w:spacing w:line="300" w:lineRule="auto"/>
              <w:jc w:val="center"/>
              <w:textAlignment w:val="auto"/>
              <w:outlineLvl w:val="4"/>
              <w:rPr>
                <w:rFonts w:hint="eastAsia" w:eastAsia="仿宋_GB2312" w:asciiTheme="minorAscii" w:hAnsiTheme="minorAscii"/>
                <w:b/>
                <w:bCs/>
                <w:color w:val="auto"/>
                <w:sz w:val="28"/>
                <w:szCs w:val="28"/>
                <w:highlight w:val="none"/>
                <w:lang w:val="en-US" w:eastAsia="zh-CN"/>
              </w:rPr>
            </w:pPr>
            <w:r>
              <w:rPr>
                <w:rFonts w:hint="eastAsia" w:eastAsia="仿宋_GB2312" w:asciiTheme="minorAscii" w:hAnsiTheme="minorAscii"/>
                <w:b/>
                <w:bCs/>
                <w:color w:val="auto"/>
                <w:sz w:val="28"/>
                <w:szCs w:val="28"/>
                <w:highlight w:val="none"/>
                <w:lang w:val="en-US" w:eastAsia="zh-CN"/>
              </w:rPr>
              <w:t>医药</w:t>
            </w:r>
          </w:p>
        </w:tc>
        <w:tc>
          <w:tcPr>
            <w:tcW w:w="7592" w:type="dxa"/>
          </w:tcPr>
          <w:p>
            <w:pPr>
              <w:keepNext w:val="0"/>
              <w:keepLines w:val="0"/>
              <w:pageBreakBefore w:val="0"/>
              <w:widowControl w:val="0"/>
              <w:numPr>
                <w:ilvl w:val="0"/>
                <w:numId w:val="0"/>
              </w:numPr>
              <w:kinsoku/>
              <w:wordWrap/>
              <w:overflowPunct/>
              <w:topLinePunct w:val="0"/>
              <w:autoSpaceDE/>
              <w:autoSpaceDN/>
              <w:bidi w:val="0"/>
              <w:adjustRightInd w:val="0"/>
              <w:snapToGrid w:val="0"/>
              <w:spacing w:line="300" w:lineRule="auto"/>
              <w:ind w:firstLine="560" w:firstLineChars="200"/>
              <w:textAlignment w:val="auto"/>
              <w:outlineLvl w:val="4"/>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color w:val="auto"/>
                <w:sz w:val="28"/>
                <w:szCs w:val="28"/>
                <w:lang w:val="en-US" w:eastAsia="zh-CN"/>
              </w:rPr>
              <w:t>聚焦中药材现代化、生物制造技术升级和绿色低碳转型三大战略方向，充分发挥本地中药材种植基地与磷化工产业基础优势，推动产业实现“资源驱动型”向“技术引领型”的跨越升级。</w:t>
            </w:r>
          </w:p>
          <w:p>
            <w:pPr>
              <w:keepNext w:val="0"/>
              <w:keepLines w:val="0"/>
              <w:pageBreakBefore w:val="0"/>
              <w:widowControl w:val="0"/>
              <w:numPr>
                <w:ilvl w:val="0"/>
                <w:numId w:val="0"/>
              </w:numPr>
              <w:kinsoku/>
              <w:wordWrap/>
              <w:overflowPunct/>
              <w:topLinePunct w:val="0"/>
              <w:autoSpaceDE/>
              <w:autoSpaceDN/>
              <w:bidi w:val="0"/>
              <w:adjustRightInd w:val="0"/>
              <w:snapToGrid w:val="0"/>
              <w:spacing w:line="300" w:lineRule="auto"/>
              <w:ind w:firstLine="562" w:firstLineChars="200"/>
              <w:textAlignment w:val="auto"/>
              <w:outlineLvl w:val="4"/>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b/>
                <w:bCs/>
                <w:color w:val="auto"/>
                <w:sz w:val="28"/>
                <w:szCs w:val="28"/>
                <w:lang w:val="en-US" w:eastAsia="zh-CN"/>
              </w:rPr>
              <w:t>中药材现代化领域，</w:t>
            </w:r>
            <w:r>
              <w:rPr>
                <w:rFonts w:hint="eastAsia" w:ascii="仿宋_GB2312" w:hAnsi="仿宋_GB2312" w:eastAsia="仿宋_GB2312" w:cs="仿宋_GB2312"/>
                <w:color w:val="auto"/>
                <w:sz w:val="28"/>
                <w:szCs w:val="28"/>
                <w:lang w:val="en-US" w:eastAsia="zh-CN"/>
              </w:rPr>
              <w:t>重点攻关三七、重楼等道地药材的培育技术，开展优质种质资源筛选与创新，通过基因编辑手段培育产量高、活性成分含量稳定、抗病虫害能力强的新品种。建立标准化种植技术体系，推动中药材种植向智能化、规范化、规模化发展；</w:t>
            </w:r>
          </w:p>
          <w:p>
            <w:pPr>
              <w:keepNext w:val="0"/>
              <w:keepLines w:val="0"/>
              <w:pageBreakBefore w:val="0"/>
              <w:widowControl w:val="0"/>
              <w:numPr>
                <w:ilvl w:val="0"/>
                <w:numId w:val="0"/>
              </w:numPr>
              <w:kinsoku/>
              <w:wordWrap/>
              <w:overflowPunct/>
              <w:topLinePunct w:val="0"/>
              <w:autoSpaceDE/>
              <w:autoSpaceDN/>
              <w:bidi w:val="0"/>
              <w:adjustRightInd w:val="0"/>
              <w:snapToGrid w:val="0"/>
              <w:spacing w:line="300" w:lineRule="auto"/>
              <w:ind w:firstLine="562" w:firstLineChars="200"/>
              <w:textAlignment w:val="auto"/>
              <w:outlineLvl w:val="4"/>
              <w:rPr>
                <w:rFonts w:hint="eastAsia" w:ascii="仿宋_GB2312" w:hAnsi="仿宋_GB2312" w:eastAsia="仿宋_GB2312" w:cs="仿宋_GB2312"/>
                <w:color w:val="auto"/>
                <w:sz w:val="28"/>
                <w:szCs w:val="28"/>
                <w:lang w:val="en-US" w:eastAsia="zh-CN"/>
              </w:rPr>
            </w:pPr>
            <w:r>
              <w:rPr>
                <w:rFonts w:hint="eastAsia" w:ascii="仿宋_GB2312" w:hAnsi="仿宋_GB2312" w:eastAsia="仿宋_GB2312" w:cs="仿宋_GB2312"/>
                <w:b/>
                <w:bCs/>
                <w:color w:val="auto"/>
                <w:sz w:val="28"/>
                <w:szCs w:val="28"/>
                <w:lang w:val="en-US" w:eastAsia="zh-CN"/>
              </w:rPr>
              <w:t>生物制造技术升级，</w:t>
            </w:r>
            <w:r>
              <w:rPr>
                <w:rFonts w:hint="eastAsia" w:ascii="仿宋_GB2312" w:hAnsi="仿宋_GB2312" w:eastAsia="仿宋_GB2312" w:cs="仿宋_GB2312"/>
                <w:color w:val="auto"/>
                <w:sz w:val="28"/>
                <w:szCs w:val="28"/>
                <w:lang w:val="en-US" w:eastAsia="zh-CN"/>
              </w:rPr>
              <w:t>深度挖掘滇池特色微生物资源，依托合成生物学前沿技术，开展功能菌株筛选、代谢途径优化与重构，开发高附加值天然产物及生物基材料。通过合成生物学技术改造微生物，实现珍稀天然药物成分的高效生产，解决传统提取方式资源消耗大、成本高的问题；</w:t>
            </w:r>
          </w:p>
          <w:p>
            <w:pPr>
              <w:keepNext w:val="0"/>
              <w:keepLines w:val="0"/>
              <w:pageBreakBefore w:val="0"/>
              <w:widowControl w:val="0"/>
              <w:numPr>
                <w:ilvl w:val="0"/>
                <w:numId w:val="0"/>
              </w:numPr>
              <w:kinsoku/>
              <w:wordWrap/>
              <w:overflowPunct/>
              <w:topLinePunct w:val="0"/>
              <w:autoSpaceDE/>
              <w:autoSpaceDN/>
              <w:bidi w:val="0"/>
              <w:adjustRightInd w:val="0"/>
              <w:snapToGrid w:val="0"/>
              <w:spacing w:line="300" w:lineRule="auto"/>
              <w:ind w:firstLine="562" w:firstLineChars="200"/>
              <w:textAlignment w:val="auto"/>
              <w:outlineLvl w:val="4"/>
              <w:rPr>
                <w:rFonts w:hint="eastAsia" w:eastAsia="仿宋_GB2312" w:asciiTheme="minorAscii" w:hAnsiTheme="minorAscii"/>
                <w:b/>
                <w:bCs/>
                <w:color w:val="auto"/>
                <w:sz w:val="28"/>
                <w:szCs w:val="28"/>
                <w:highlight w:val="none"/>
                <w:lang w:val="en-US" w:eastAsia="zh-CN"/>
              </w:rPr>
            </w:pPr>
            <w:r>
              <w:rPr>
                <w:rFonts w:hint="eastAsia" w:ascii="仿宋_GB2312" w:hAnsi="仿宋_GB2312" w:eastAsia="仿宋_GB2312" w:cs="仿宋_GB2312"/>
                <w:b/>
                <w:bCs/>
                <w:color w:val="auto"/>
                <w:sz w:val="28"/>
                <w:szCs w:val="28"/>
                <w:lang w:val="en-US" w:eastAsia="zh-CN"/>
              </w:rPr>
              <w:t>绿色低碳转型进程，</w:t>
            </w:r>
            <w:r>
              <w:rPr>
                <w:rFonts w:hint="eastAsia" w:ascii="仿宋_GB2312" w:hAnsi="仿宋_GB2312" w:eastAsia="仿宋_GB2312" w:cs="仿宋_GB2312"/>
                <w:color w:val="auto"/>
                <w:sz w:val="28"/>
                <w:szCs w:val="28"/>
                <w:lang w:val="en-US" w:eastAsia="zh-CN"/>
              </w:rPr>
              <w:t>依托磷化工产业基础，探索生物医药与磷化工产业的协同发展模式，实现资源循环利用与低碳排放。在生物医药生产过程中，引入磷化工产业的先进环保技术与循环经济理念，对生产废弃物进行资源化处理，降低产业发展对环境的影响，打造绿色低碳生物医药产业集群。</w:t>
            </w:r>
          </w:p>
        </w:tc>
      </w:tr>
    </w:tbl>
    <w:p>
      <w:pPr>
        <w:numPr>
          <w:ilvl w:val="0"/>
          <w:numId w:val="6"/>
        </w:numPr>
        <w:bidi w:val="0"/>
        <w:spacing w:line="560" w:lineRule="exact"/>
        <w:ind w:left="0" w:leftChars="0" w:firstLine="642" w:firstLineChars="200"/>
        <w:outlineLvl w:val="3"/>
        <w:rPr>
          <w:rFonts w:hint="eastAsia" w:eastAsia="仿宋_GB2312" w:asciiTheme="minorAscii" w:hAnsiTheme="minorAscii"/>
          <w:b/>
          <w:bCs/>
          <w:color w:val="auto"/>
          <w:sz w:val="32"/>
          <w:highlight w:val="none"/>
          <w:lang w:val="en-US" w:eastAsia="zh-CN"/>
        </w:rPr>
      </w:pPr>
      <w:r>
        <w:rPr>
          <w:rFonts w:hint="eastAsia" w:eastAsia="仿宋_GB2312" w:asciiTheme="minorAscii" w:hAnsiTheme="minorAscii"/>
          <w:b/>
          <w:bCs/>
          <w:color w:val="auto"/>
          <w:sz w:val="32"/>
          <w:highlight w:val="none"/>
          <w:lang w:val="en-US" w:eastAsia="zh-CN"/>
        </w:rPr>
        <w:t>前瞻未来产业布局科技创新</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outlineLvl w:val="4"/>
        <w:rPr>
          <w:rFonts w:hint="eastAsia" w:eastAsia="仿宋_GB2312" w:asciiTheme="minorAscii" w:hAnsiTheme="minorAscii"/>
          <w:b w:val="0"/>
          <w:bCs w:val="0"/>
          <w:color w:val="auto"/>
          <w:sz w:val="32"/>
          <w:highlight w:val="none"/>
          <w:lang w:val="en-US" w:eastAsia="zh-CN"/>
        </w:rPr>
      </w:pPr>
      <w:r>
        <w:rPr>
          <w:rFonts w:hint="eastAsia" w:eastAsia="仿宋_GB2312" w:asciiTheme="minorAscii" w:hAnsiTheme="minorAscii"/>
          <w:b w:val="0"/>
          <w:bCs w:val="0"/>
          <w:color w:val="auto"/>
          <w:sz w:val="32"/>
          <w:highlight w:val="none"/>
          <w:lang w:val="en-US" w:eastAsia="zh-CN"/>
        </w:rPr>
        <w:t>（1）人工智能领域</w:t>
      </w:r>
    </w:p>
    <w:p>
      <w:pPr>
        <w:keepNext w:val="0"/>
        <w:keepLines w:val="0"/>
        <w:pageBreakBefore w:val="0"/>
        <w:widowControl/>
        <w:numPr>
          <w:ilvl w:val="0"/>
          <w:numId w:val="0"/>
        </w:numPr>
        <w:suppressLineNumbers w:val="0"/>
        <w:pBdr>
          <w:bottom w:val="none" w:color="auto" w:sz="0" w:space="0"/>
        </w:pBdr>
        <w:shd w:val="clear" w:fill="FFFFFF"/>
        <w:kinsoku/>
        <w:wordWrap/>
        <w:overflowPunct/>
        <w:topLinePunct w:val="0"/>
        <w:autoSpaceDE/>
        <w:autoSpaceDN/>
        <w:bidi w:val="0"/>
        <w:adjustRightInd/>
        <w:snapToGrid/>
        <w:spacing w:line="560" w:lineRule="exact"/>
        <w:ind w:firstLine="640" w:firstLineChars="200"/>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人工智能领域的前瞻布局应立足本地特色产业基础与资源禀赋，以“AI+产业深度融合”为主线，聚焦花卉、磷化工、文旅康养等优势领域，依托与科技型企业、高校的合作基础，重点突破智能育种、生产流程优化、生态监测等AI技术，推动花卉产业全链条智能化升级；探索AI与磷化工生产、冷链物流的深度融合，开发能耗优化、智能质检等场景应用；同步布局AI赋能的文旅服务创新，开发基于AR/VR的沉浸式体验、滇池生态数字孪生平台等特色应用，建设面向西南的AI行业数据集与算力共享平台，培育“AI+特色资源”新质生产力，打造区域性人工智能技术应用示范标杆。</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outlineLvl w:val="4"/>
        <w:rPr>
          <w:rFonts w:hint="eastAsia" w:eastAsia="仿宋_GB2312" w:asciiTheme="minorAscii" w:hAnsiTheme="minorAscii"/>
          <w:b w:val="0"/>
          <w:bCs w:val="0"/>
          <w:color w:val="auto"/>
          <w:sz w:val="32"/>
          <w:highlight w:val="none"/>
          <w:lang w:val="en-US" w:eastAsia="zh-CN"/>
        </w:rPr>
      </w:pPr>
      <w:r>
        <w:rPr>
          <w:rFonts w:hint="eastAsia" w:eastAsia="仿宋_GB2312" w:asciiTheme="minorAscii" w:hAnsiTheme="minorAscii"/>
          <w:b w:val="0"/>
          <w:bCs w:val="0"/>
          <w:color w:val="auto"/>
          <w:sz w:val="32"/>
          <w:highlight w:val="none"/>
          <w:lang w:val="en-US" w:eastAsia="zh-CN"/>
        </w:rPr>
        <w:t>（2）低空经济领域</w:t>
      </w:r>
    </w:p>
    <w:p>
      <w:pPr>
        <w:keepNext w:val="0"/>
        <w:keepLines w:val="0"/>
        <w:pageBreakBefore w:val="0"/>
        <w:widowControl/>
        <w:numPr>
          <w:ilvl w:val="0"/>
          <w:numId w:val="0"/>
        </w:numPr>
        <w:suppressLineNumbers w:val="0"/>
        <w:pBdr>
          <w:bottom w:val="none" w:color="auto" w:sz="0" w:space="0"/>
        </w:pBdr>
        <w:shd w:val="clear" w:fill="FFFFFF"/>
        <w:kinsoku/>
        <w:wordWrap/>
        <w:overflowPunct/>
        <w:topLinePunct w:val="0"/>
        <w:autoSpaceDE/>
        <w:autoSpaceDN/>
        <w:bidi w:val="0"/>
        <w:adjustRightInd/>
        <w:snapToGrid/>
        <w:spacing w:line="560" w:lineRule="exact"/>
        <w:ind w:firstLine="640" w:firstLineChars="200"/>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以“空天地一体化”场景创新为核心进行低空经济领域的技术前瞻布局。依托本地农业、文旅及生态资源禀赋，聚焦无人机物流、农业植保、生态监测等垂直领域。推动AI与低空飞行器深度融合，开发智能巡检、精准施药等场景应用；</w:t>
      </w:r>
      <w:r>
        <w:rPr>
          <w:rFonts w:hint="eastAsia" w:ascii="仿宋_GB2312" w:hAnsi="仿宋_GB2312" w:eastAsia="仿宋_GB2312" w:cs="仿宋_GB2312"/>
          <w:b w:val="0"/>
          <w:bCs w:val="0"/>
          <w:color w:val="auto"/>
          <w:sz w:val="32"/>
          <w:szCs w:val="32"/>
          <w:lang w:val="en-US" w:eastAsia="zh-CN"/>
        </w:rPr>
        <w:t>智慧物流与供应链打造，布局无人机物流配送网络，重点拓展生鲜冷链、医疗物资等高频运输场景；开发低空观光、文化遗址数字化等创新应用，丰富旅游体验；</w:t>
      </w:r>
      <w:r>
        <w:rPr>
          <w:rFonts w:hint="eastAsia" w:ascii="仿宋_GB2312" w:hAnsi="仿宋_GB2312" w:eastAsia="仿宋_GB2312" w:cs="仿宋_GB2312"/>
          <w:color w:val="auto"/>
          <w:sz w:val="32"/>
          <w:szCs w:val="32"/>
          <w:lang w:val="en-US" w:eastAsia="zh-CN"/>
        </w:rPr>
        <w:t>结合滇池流域治理需求，探索低空遥感监测水质变化、森林防火预警等生态保护场景，建设面向滇中城市群的无人机应急物流网络；同步布局低空数字平台与空域管理智能系统，依托昆明国际航空枢纽优势，建设区域性高原低空飞行器制造与测试基地，打造低空经济示范区，培育融合新业态。</w:t>
      </w:r>
    </w:p>
    <w:p>
      <w:pPr>
        <w:keepNext w:val="0"/>
        <w:keepLines w:val="0"/>
        <w:pageBreakBefore w:val="0"/>
        <w:widowControl/>
        <w:numPr>
          <w:ilvl w:val="0"/>
          <w:numId w:val="0"/>
        </w:numPr>
        <w:suppressLineNumbers w:val="0"/>
        <w:pBdr>
          <w:bottom w:val="none" w:color="auto" w:sz="0" w:space="0"/>
        </w:pBdr>
        <w:shd w:val="clear" w:fill="FFFFFF"/>
        <w:kinsoku/>
        <w:wordWrap/>
        <w:overflowPunct/>
        <w:topLinePunct w:val="0"/>
        <w:autoSpaceDE/>
        <w:autoSpaceDN/>
        <w:bidi w:val="0"/>
        <w:adjustRightInd/>
        <w:snapToGrid/>
        <w:spacing w:line="560" w:lineRule="exact"/>
        <w:ind w:firstLine="640" w:firstLineChars="200"/>
        <w:textAlignment w:val="auto"/>
        <w:outlineLvl w:val="4"/>
        <w:rPr>
          <w:rFonts w:hint="eastAsia" w:ascii="仿宋_GB2312" w:hAnsi="仿宋_GB2312" w:eastAsia="仿宋_GB2312" w:cs="仿宋_GB2312"/>
          <w:b w:val="0"/>
          <w:bCs w:val="0"/>
          <w:color w:val="auto"/>
          <w:kern w:val="2"/>
          <w:sz w:val="32"/>
          <w:szCs w:val="32"/>
          <w:lang w:val="en-US" w:eastAsia="zh-CN" w:bidi="ar-SA"/>
        </w:rPr>
      </w:pPr>
      <w:r>
        <w:rPr>
          <w:rFonts w:hint="eastAsia" w:eastAsia="仿宋_GB2312" w:asciiTheme="minorAscii" w:hAnsiTheme="minorAscii"/>
          <w:b w:val="0"/>
          <w:bCs w:val="0"/>
          <w:color w:val="auto"/>
          <w:sz w:val="32"/>
          <w:highlight w:val="none"/>
          <w:lang w:val="en-US" w:eastAsia="zh-CN"/>
        </w:rPr>
        <w:t>（3）生物科技领域</w:t>
      </w:r>
      <w:r>
        <w:rPr>
          <w:rFonts w:hint="eastAsia" w:ascii="仿宋_GB2312" w:hAnsi="仿宋_GB2312" w:eastAsia="仿宋_GB2312" w:cs="仿宋_GB2312"/>
          <w:b w:val="0"/>
          <w:bCs w:val="0"/>
          <w:color w:val="auto"/>
          <w:kern w:val="2"/>
          <w:sz w:val="32"/>
          <w:szCs w:val="32"/>
          <w:lang w:val="en-US" w:eastAsia="zh-CN" w:bidi="ar-SA"/>
        </w:rPr>
        <w:t>​</w:t>
      </w:r>
    </w:p>
    <w:p>
      <w:pPr>
        <w:keepNext w:val="0"/>
        <w:keepLines w:val="0"/>
        <w:pageBreakBefore w:val="0"/>
        <w:widowControl/>
        <w:numPr>
          <w:ilvl w:val="0"/>
          <w:numId w:val="0"/>
        </w:numPr>
        <w:suppressLineNumbers w:val="0"/>
        <w:pBdr>
          <w:bottom w:val="none" w:color="auto" w:sz="0" w:space="0"/>
        </w:pBdr>
        <w:shd w:val="clear" w:fill="FFFFFF"/>
        <w:kinsoku/>
        <w:wordWrap/>
        <w:overflowPunct/>
        <w:topLinePunct w:val="0"/>
        <w:autoSpaceDE/>
        <w:autoSpaceDN/>
        <w:bidi w:val="0"/>
        <w:adjustRightInd/>
        <w:snapToGrid/>
        <w:spacing w:line="560" w:lineRule="exact"/>
        <w:ind w:firstLine="640" w:firstLineChars="200"/>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依托本地农业、生态及特色产业基础，聚焦合成生物学、生物制造、植物提取物加工等前沿方向，构建资源挖掘、技术突破、场景应用的创新链条。以特色化、品牌化为导向，重点发展植物色素提取、中药制剂、中药提取保健品等生物科技产业；聚焦智慧农业需求，探索植物生长调节剂的智能精准施用技术，拓展其在智慧农业中的场景应用；深度耦合磷化工产业副产物资源，开发生物基可降解材料制备技术；推动微生物发酵工程在新型功能性食品添加剂、医美原料等领域的产业化突破；开展滇池流域特色微生物菌种库建设与功能基因解析，形成生物资源高值化利用的晋宁模式，助力打造环滇池生物制造示范基地。</w:t>
      </w:r>
    </w:p>
    <w:p>
      <w:pPr>
        <w:keepNext w:val="0"/>
        <w:keepLines w:val="0"/>
        <w:pageBreakBefore w:val="0"/>
        <w:widowControl/>
        <w:numPr>
          <w:ilvl w:val="0"/>
          <w:numId w:val="0"/>
        </w:numPr>
        <w:suppressLineNumbers w:val="0"/>
        <w:pBdr>
          <w:bottom w:val="none" w:color="auto" w:sz="0" w:space="0"/>
        </w:pBdr>
        <w:shd w:val="clear" w:fill="FFFFFF"/>
        <w:kinsoku/>
        <w:wordWrap/>
        <w:overflowPunct/>
        <w:topLinePunct w:val="0"/>
        <w:autoSpaceDE/>
        <w:autoSpaceDN/>
        <w:bidi w:val="0"/>
        <w:adjustRightInd/>
        <w:snapToGrid/>
        <w:spacing w:line="560" w:lineRule="exact"/>
        <w:ind w:firstLine="640" w:firstLineChars="200"/>
        <w:textAlignment w:val="auto"/>
        <w:outlineLvl w:val="4"/>
        <w:rPr>
          <w:rFonts w:hint="eastAsia" w:ascii="仿宋_GB2312" w:hAnsi="仿宋_GB2312" w:eastAsia="仿宋_GB2312" w:cs="仿宋_GB2312"/>
          <w:color w:val="auto"/>
          <w:sz w:val="32"/>
          <w:szCs w:val="32"/>
          <w:highlight w:val="none"/>
          <w:lang w:val="en-US" w:eastAsia="zh-CN"/>
        </w:rPr>
      </w:pPr>
      <w:r>
        <w:rPr>
          <w:rFonts w:hint="eastAsia" w:eastAsia="仿宋_GB2312" w:asciiTheme="minorAscii" w:hAnsiTheme="minorAscii"/>
          <w:b w:val="0"/>
          <w:bCs w:val="0"/>
          <w:color w:val="auto"/>
          <w:sz w:val="32"/>
          <w:highlight w:val="none"/>
          <w:lang w:val="en-US" w:eastAsia="zh-CN"/>
        </w:rPr>
        <w:t>（4）</w:t>
      </w:r>
      <w:r>
        <w:rPr>
          <w:rFonts w:hint="eastAsia" w:ascii="仿宋_GB2312" w:hAnsi="仿宋_GB2312" w:eastAsia="仿宋_GB2312" w:cs="仿宋_GB2312"/>
          <w:color w:val="auto"/>
          <w:sz w:val="32"/>
          <w:szCs w:val="32"/>
          <w:highlight w:val="none"/>
          <w:lang w:val="en-US" w:eastAsia="zh-CN"/>
        </w:rPr>
        <w:t>智能辅助驾驶领域</w:t>
      </w:r>
    </w:p>
    <w:p>
      <w:pPr>
        <w:keepNext w:val="0"/>
        <w:keepLines w:val="0"/>
        <w:pageBreakBefore w:val="0"/>
        <w:widowControl/>
        <w:numPr>
          <w:ilvl w:val="0"/>
          <w:numId w:val="0"/>
        </w:numPr>
        <w:suppressLineNumbers w:val="0"/>
        <w:pBdr>
          <w:bottom w:val="none" w:color="auto" w:sz="0" w:space="0"/>
        </w:pBdr>
        <w:shd w:val="clear" w:fill="FFFFFF"/>
        <w:kinsoku/>
        <w:wordWrap/>
        <w:overflowPunct/>
        <w:topLinePunct w:val="0"/>
        <w:autoSpaceDE/>
        <w:autoSpaceDN/>
        <w:bidi w:val="0"/>
        <w:adjustRightInd/>
        <w:snapToGrid/>
        <w:spacing w:line="560" w:lineRule="exact"/>
        <w:ind w:firstLine="640" w:firstLineChars="200"/>
        <w:textAlignment w:val="auto"/>
        <w:outlineLvl w:val="9"/>
        <w:rPr>
          <w:rFonts w:hint="default" w:ascii="仿宋_GB2312" w:hAnsi="仿宋_GB2312" w:eastAsia="仿宋_GB2312" w:cs="仿宋_GB2312"/>
          <w:color w:val="auto"/>
          <w:sz w:val="32"/>
          <w:szCs w:val="32"/>
          <w:highlight w:val="none"/>
          <w:lang w:val="en-US" w:eastAsia="zh-CN"/>
        </w:rPr>
      </w:pPr>
      <w:r>
        <w:rPr>
          <w:rFonts w:hint="default" w:ascii="仿宋_GB2312" w:hAnsi="仿宋_GB2312" w:eastAsia="仿宋_GB2312" w:cs="仿宋_GB2312"/>
          <w:color w:val="auto"/>
          <w:sz w:val="32"/>
          <w:szCs w:val="32"/>
          <w:highlight w:val="none"/>
          <w:lang w:val="en-US" w:eastAsia="zh-CN"/>
        </w:rPr>
        <w:t>紧密结合本地产业特色与交通需求，以场景驱动创新</w:t>
      </w:r>
      <w:r>
        <w:rPr>
          <w:rFonts w:hint="eastAsia" w:ascii="仿宋_GB2312" w:hAnsi="仿宋_GB2312" w:eastAsia="仿宋_GB2312" w:cs="仿宋_GB2312"/>
          <w:color w:val="auto"/>
          <w:sz w:val="32"/>
          <w:szCs w:val="32"/>
          <w:highlight w:val="none"/>
          <w:lang w:val="en-US" w:eastAsia="zh-CN"/>
        </w:rPr>
        <w:t>和</w:t>
      </w:r>
      <w:r>
        <w:rPr>
          <w:rFonts w:hint="default" w:ascii="仿宋_GB2312" w:hAnsi="仿宋_GB2312" w:eastAsia="仿宋_GB2312" w:cs="仿宋_GB2312"/>
          <w:color w:val="auto"/>
          <w:sz w:val="32"/>
          <w:szCs w:val="32"/>
          <w:highlight w:val="none"/>
          <w:lang w:val="en-US" w:eastAsia="zh-CN"/>
        </w:rPr>
        <w:t>技术赋能产业为思路，打造具有高原山地特色的智能辅助驾驶应用示范高地。</w:t>
      </w:r>
    </w:p>
    <w:p>
      <w:pPr>
        <w:keepNext w:val="0"/>
        <w:keepLines w:val="0"/>
        <w:pageBreakBefore w:val="0"/>
        <w:widowControl/>
        <w:numPr>
          <w:ilvl w:val="0"/>
          <w:numId w:val="0"/>
        </w:numPr>
        <w:suppressLineNumbers w:val="0"/>
        <w:pBdr>
          <w:bottom w:val="none" w:color="auto" w:sz="0" w:space="0"/>
        </w:pBdr>
        <w:shd w:val="clear" w:fill="FFFFFF"/>
        <w:kinsoku/>
        <w:wordWrap/>
        <w:overflowPunct/>
        <w:topLinePunct w:val="0"/>
        <w:autoSpaceDE/>
        <w:autoSpaceDN/>
        <w:bidi w:val="0"/>
        <w:adjustRightInd/>
        <w:snapToGrid/>
        <w:spacing w:line="560" w:lineRule="exact"/>
        <w:ind w:firstLine="642" w:firstLineChars="200"/>
        <w:textAlignment w:val="auto"/>
        <w:outlineLvl w:val="9"/>
        <w:rPr>
          <w:rFonts w:hint="default" w:ascii="仿宋_GB2312" w:hAnsi="仿宋_GB2312" w:eastAsia="仿宋_GB2312" w:cs="仿宋_GB2312"/>
          <w:color w:val="auto"/>
          <w:sz w:val="32"/>
          <w:szCs w:val="32"/>
          <w:highlight w:val="none"/>
          <w:lang w:val="en-US" w:eastAsia="zh-CN"/>
        </w:rPr>
      </w:pPr>
      <w:r>
        <w:rPr>
          <w:rFonts w:hint="default" w:ascii="仿宋_GB2312" w:hAnsi="仿宋_GB2312" w:eastAsia="仿宋_GB2312" w:cs="仿宋_GB2312"/>
          <w:b/>
          <w:bCs/>
          <w:color w:val="auto"/>
          <w:sz w:val="32"/>
          <w:szCs w:val="32"/>
          <w:highlight w:val="none"/>
          <w:lang w:val="en-US" w:eastAsia="zh-CN"/>
        </w:rPr>
        <w:t>技术研发层面</w:t>
      </w:r>
      <w:r>
        <w:rPr>
          <w:rFonts w:hint="default" w:ascii="仿宋_GB2312" w:hAnsi="仿宋_GB2312" w:eastAsia="仿宋_GB2312" w:cs="仿宋_GB2312"/>
          <w:color w:val="auto"/>
          <w:sz w:val="32"/>
          <w:szCs w:val="32"/>
          <w:highlight w:val="none"/>
          <w:lang w:val="en-US" w:eastAsia="zh-CN"/>
        </w:rPr>
        <w:t>，联合本地高校、科研机构及智能网联汽车企业</w:t>
      </w:r>
      <w:r>
        <w:rPr>
          <w:rFonts w:hint="eastAsia" w:ascii="仿宋_GB2312" w:hAnsi="仿宋_GB2312" w:eastAsia="仿宋_GB2312" w:cs="仿宋_GB2312"/>
          <w:color w:val="auto"/>
          <w:sz w:val="32"/>
          <w:szCs w:val="32"/>
          <w:highlight w:val="none"/>
          <w:lang w:val="en-US" w:eastAsia="zh-CN"/>
        </w:rPr>
        <w:t>，</w:t>
      </w:r>
      <w:r>
        <w:rPr>
          <w:rFonts w:hint="default" w:ascii="仿宋_GB2312" w:hAnsi="仿宋_GB2312" w:eastAsia="仿宋_GB2312" w:cs="仿宋_GB2312"/>
          <w:color w:val="auto"/>
          <w:sz w:val="32"/>
          <w:szCs w:val="32"/>
          <w:highlight w:val="none"/>
          <w:lang w:val="en-US" w:eastAsia="zh-CN"/>
        </w:rPr>
        <w:t>聚焦高原环境下的传感器适应性优化，针对高原强紫外线、复杂地形地貌等因素，研发高抗干扰、高精准度的激光雷达、毫米波雷达及视觉传感器，提升感知系统在极端条件下的稳定性；开展适用于山地道路的智能辅助驾驶算法研究，开发能精准应对陡坡、急弯、长下坡等复杂路况的路径规划、车速控制与制动辅助算法，</w:t>
      </w:r>
      <w:r>
        <w:rPr>
          <w:rFonts w:hint="eastAsia" w:ascii="仿宋_GB2312" w:hAnsi="仿宋_GB2312" w:eastAsia="仿宋_GB2312" w:cs="仿宋_GB2312"/>
          <w:color w:val="auto"/>
          <w:sz w:val="32"/>
          <w:szCs w:val="32"/>
          <w:highlight w:val="none"/>
          <w:lang w:val="en-US" w:eastAsia="zh-CN"/>
        </w:rPr>
        <w:t>模拟复杂地形进行</w:t>
      </w:r>
      <w:r>
        <w:rPr>
          <w:rFonts w:hint="default" w:ascii="仿宋_GB2312" w:hAnsi="仿宋_GB2312" w:eastAsia="仿宋_GB2312" w:cs="仿宋_GB2312"/>
          <w:color w:val="auto"/>
          <w:sz w:val="32"/>
          <w:szCs w:val="32"/>
          <w:highlight w:val="none"/>
          <w:lang w:val="en-US" w:eastAsia="zh-CN"/>
        </w:rPr>
        <w:t>实车测试，优化算法模型。</w:t>
      </w:r>
    </w:p>
    <w:p>
      <w:pPr>
        <w:keepNext w:val="0"/>
        <w:keepLines w:val="0"/>
        <w:pageBreakBefore w:val="0"/>
        <w:widowControl/>
        <w:numPr>
          <w:ilvl w:val="0"/>
          <w:numId w:val="0"/>
        </w:numPr>
        <w:suppressLineNumbers w:val="0"/>
        <w:pBdr>
          <w:bottom w:val="none" w:color="auto" w:sz="0" w:space="0"/>
        </w:pBdr>
        <w:shd w:val="clear" w:fill="FFFFFF"/>
        <w:kinsoku/>
        <w:wordWrap/>
        <w:overflowPunct/>
        <w:topLinePunct w:val="0"/>
        <w:autoSpaceDE/>
        <w:autoSpaceDN/>
        <w:bidi w:val="0"/>
        <w:adjustRightInd/>
        <w:snapToGrid/>
        <w:spacing w:line="560" w:lineRule="exact"/>
        <w:ind w:firstLine="642" w:firstLineChars="200"/>
        <w:textAlignment w:val="auto"/>
        <w:outlineLvl w:val="9"/>
        <w:rPr>
          <w:rFonts w:hint="default" w:ascii="仿宋_GB2312" w:hAnsi="仿宋_GB2312" w:eastAsia="仿宋_GB2312" w:cs="仿宋_GB2312"/>
          <w:color w:val="auto"/>
          <w:sz w:val="32"/>
          <w:szCs w:val="32"/>
          <w:highlight w:val="none"/>
          <w:lang w:val="en-US" w:eastAsia="zh-CN"/>
        </w:rPr>
      </w:pPr>
      <w:r>
        <w:rPr>
          <w:rFonts w:hint="default" w:ascii="仿宋_GB2312" w:hAnsi="仿宋_GB2312" w:eastAsia="仿宋_GB2312" w:cs="仿宋_GB2312"/>
          <w:b/>
          <w:bCs/>
          <w:color w:val="auto"/>
          <w:sz w:val="32"/>
          <w:szCs w:val="32"/>
          <w:highlight w:val="none"/>
          <w:lang w:val="en-US" w:eastAsia="zh-CN"/>
        </w:rPr>
        <w:t>场景应用</w:t>
      </w:r>
      <w:r>
        <w:rPr>
          <w:rFonts w:hint="eastAsia" w:ascii="仿宋_GB2312" w:hAnsi="仿宋_GB2312" w:eastAsia="仿宋_GB2312" w:cs="仿宋_GB2312"/>
          <w:b/>
          <w:bCs/>
          <w:color w:val="auto"/>
          <w:sz w:val="32"/>
          <w:szCs w:val="32"/>
          <w:highlight w:val="none"/>
          <w:lang w:val="en-US" w:eastAsia="zh-CN"/>
        </w:rPr>
        <w:t>层面</w:t>
      </w:r>
      <w:r>
        <w:rPr>
          <w:rFonts w:hint="default" w:ascii="仿宋_GB2312" w:hAnsi="仿宋_GB2312" w:eastAsia="仿宋_GB2312" w:cs="仿宋_GB2312"/>
          <w:color w:val="auto"/>
          <w:sz w:val="32"/>
          <w:szCs w:val="32"/>
          <w:highlight w:val="none"/>
          <w:lang w:val="en-US" w:eastAsia="zh-CN"/>
        </w:rPr>
        <w:t>，</w:t>
      </w:r>
      <w:r>
        <w:rPr>
          <w:rFonts w:hint="eastAsia" w:ascii="仿宋_GB2312" w:hAnsi="仿宋_GB2312" w:eastAsia="仿宋_GB2312" w:cs="仿宋_GB2312"/>
          <w:color w:val="auto"/>
          <w:sz w:val="32"/>
          <w:szCs w:val="32"/>
          <w:highlight w:val="none"/>
          <w:lang w:val="en-US" w:eastAsia="zh-CN"/>
        </w:rPr>
        <w:t>探索</w:t>
      </w:r>
      <w:r>
        <w:rPr>
          <w:rFonts w:hint="default" w:ascii="仿宋_GB2312" w:hAnsi="仿宋_GB2312" w:eastAsia="仿宋_GB2312" w:cs="仿宋_GB2312"/>
          <w:color w:val="auto"/>
          <w:sz w:val="32"/>
          <w:szCs w:val="32"/>
          <w:highlight w:val="none"/>
          <w:lang w:val="en-US" w:eastAsia="zh-CN"/>
        </w:rPr>
        <w:t>先在物流配送</w:t>
      </w:r>
      <w:r>
        <w:rPr>
          <w:rFonts w:hint="eastAsia" w:ascii="仿宋_GB2312" w:hAnsi="仿宋_GB2312" w:eastAsia="仿宋_GB2312" w:cs="仿宋_GB2312"/>
          <w:color w:val="auto"/>
          <w:sz w:val="32"/>
          <w:szCs w:val="32"/>
          <w:highlight w:val="none"/>
          <w:lang w:val="en-US" w:eastAsia="zh-CN"/>
        </w:rPr>
        <w:t>、无人出租车</w:t>
      </w:r>
      <w:r>
        <w:rPr>
          <w:rFonts w:hint="default" w:ascii="仿宋_GB2312" w:hAnsi="仿宋_GB2312" w:eastAsia="仿宋_GB2312" w:cs="仿宋_GB2312"/>
          <w:color w:val="auto"/>
          <w:sz w:val="32"/>
          <w:szCs w:val="32"/>
          <w:highlight w:val="none"/>
          <w:lang w:val="en-US" w:eastAsia="zh-CN"/>
        </w:rPr>
        <w:t>领域推进智能辅助驾驶技术落地。通过在道路基础设施中嵌入5G通信模块、路侧感知设备，实现</w:t>
      </w:r>
      <w:r>
        <w:rPr>
          <w:rFonts w:hint="eastAsia" w:ascii="仿宋_GB2312" w:hAnsi="仿宋_GB2312" w:eastAsia="仿宋_GB2312" w:cs="仿宋_GB2312"/>
          <w:color w:val="auto"/>
          <w:sz w:val="32"/>
          <w:szCs w:val="32"/>
          <w:highlight w:val="none"/>
          <w:lang w:val="en-US" w:eastAsia="zh-CN"/>
        </w:rPr>
        <w:t>车辆</w:t>
      </w:r>
      <w:r>
        <w:rPr>
          <w:rFonts w:hint="default" w:ascii="仿宋_GB2312" w:hAnsi="仿宋_GB2312" w:eastAsia="仿宋_GB2312" w:cs="仿宋_GB2312"/>
          <w:color w:val="auto"/>
          <w:sz w:val="32"/>
          <w:szCs w:val="32"/>
          <w:highlight w:val="none"/>
          <w:lang w:val="en-US" w:eastAsia="zh-CN"/>
        </w:rPr>
        <w:t>与交通信号灯、道路信息的实时交互，打造智能交通</w:t>
      </w:r>
      <w:r>
        <w:rPr>
          <w:rFonts w:hint="eastAsia" w:ascii="仿宋_GB2312" w:hAnsi="仿宋_GB2312" w:eastAsia="仿宋_GB2312" w:cs="仿宋_GB2312"/>
          <w:color w:val="auto"/>
          <w:sz w:val="32"/>
          <w:szCs w:val="32"/>
          <w:highlight w:val="none"/>
          <w:lang w:val="en-US" w:eastAsia="zh-CN"/>
        </w:rPr>
        <w:t>应用</w:t>
      </w:r>
      <w:r>
        <w:rPr>
          <w:rFonts w:hint="default" w:ascii="仿宋_GB2312" w:hAnsi="仿宋_GB2312" w:eastAsia="仿宋_GB2312" w:cs="仿宋_GB2312"/>
          <w:color w:val="auto"/>
          <w:sz w:val="32"/>
          <w:szCs w:val="32"/>
          <w:highlight w:val="none"/>
          <w:lang w:val="en-US" w:eastAsia="zh-CN"/>
        </w:rPr>
        <w:t>场景。针对花卉、农产品等本地特色物流配送，引入具备智能避障、自适应巡航功能的轻型商用车，</w:t>
      </w:r>
      <w:r>
        <w:rPr>
          <w:rFonts w:hint="eastAsia" w:ascii="仿宋_GB2312" w:hAnsi="仿宋_GB2312" w:eastAsia="仿宋_GB2312" w:cs="仿宋_GB2312"/>
          <w:color w:val="auto"/>
          <w:sz w:val="32"/>
          <w:szCs w:val="32"/>
          <w:highlight w:val="none"/>
          <w:lang w:val="en-US" w:eastAsia="zh-CN"/>
        </w:rPr>
        <w:t>并</w:t>
      </w:r>
      <w:r>
        <w:rPr>
          <w:rFonts w:hint="default" w:ascii="仿宋_GB2312" w:hAnsi="仿宋_GB2312" w:eastAsia="仿宋_GB2312" w:cs="仿宋_GB2312"/>
          <w:color w:val="auto"/>
          <w:sz w:val="32"/>
          <w:szCs w:val="32"/>
          <w:highlight w:val="none"/>
          <w:lang w:val="en-US" w:eastAsia="zh-CN"/>
        </w:rPr>
        <w:t>结合大数据分析优化配送路线，提高配送安全性与时效性，助力本地特色产业供应链升级</w:t>
      </w:r>
      <w:r>
        <w:rPr>
          <w:rFonts w:hint="eastAsia" w:ascii="仿宋_GB2312" w:hAnsi="仿宋_GB2312" w:eastAsia="仿宋_GB2312" w:cs="仿宋_GB2312"/>
          <w:color w:val="auto"/>
          <w:sz w:val="32"/>
          <w:szCs w:val="32"/>
          <w:highlight w:val="none"/>
          <w:lang w:val="en-US" w:eastAsia="zh-CN"/>
        </w:rPr>
        <w:t>。</w:t>
      </w:r>
      <w:r>
        <w:rPr>
          <w:rFonts w:hint="default" w:ascii="仿宋_GB2312" w:hAnsi="仿宋_GB2312" w:eastAsia="仿宋_GB2312" w:cs="仿宋_GB2312"/>
          <w:color w:val="auto"/>
          <w:sz w:val="32"/>
          <w:szCs w:val="32"/>
          <w:highlight w:val="none"/>
          <w:lang w:val="en-US" w:eastAsia="zh-CN"/>
        </w:rPr>
        <w:t>加强与本地旅游产业融合，开发具备智能导览、安全预警功能的景区观光车，提升游客旅游体验，拓展智能辅助驾驶应用场景边界，推动晋宁在智能辅助驾驶领域形成技术研发、产业发展、场景应用相互促进的良性生态。</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textAlignment w:val="auto"/>
        <w:outlineLvl w:val="2"/>
        <w:rPr>
          <w:rFonts w:hint="eastAsia" w:ascii="黑体" w:hAnsi="黑体" w:eastAsia="黑体" w:cs="黑体"/>
          <w:b/>
          <w:color w:val="auto"/>
          <w:kern w:val="2"/>
          <w:sz w:val="32"/>
          <w:szCs w:val="32"/>
          <w:highlight w:val="none"/>
          <w:lang w:val="en-US" w:eastAsia="zh-CN" w:bidi="ar-SA"/>
        </w:rPr>
      </w:pPr>
      <w:bookmarkStart w:id="14" w:name="_Toc20715"/>
      <w:r>
        <w:rPr>
          <w:rFonts w:hint="eastAsia" w:ascii="黑体" w:hAnsi="黑体" w:eastAsia="黑体" w:cs="黑体"/>
          <w:b/>
          <w:color w:val="auto"/>
          <w:kern w:val="2"/>
          <w:sz w:val="32"/>
          <w:szCs w:val="32"/>
          <w:highlight w:val="none"/>
          <w:lang w:val="en-US" w:eastAsia="zh-CN" w:bidi="ar-SA"/>
        </w:rPr>
        <w:t xml:space="preserve">  （三）创新驱动现代基础设施</w:t>
      </w:r>
      <w:bookmarkEnd w:id="14"/>
    </w:p>
    <w:p>
      <w:pPr>
        <w:keepNext w:val="0"/>
        <w:keepLines w:val="0"/>
        <w:pageBreakBefore w:val="0"/>
        <w:widowControl/>
        <w:numPr>
          <w:ilvl w:val="0"/>
          <w:numId w:val="8"/>
        </w:numPr>
        <w:kinsoku/>
        <w:wordWrap/>
        <w:overflowPunct/>
        <w:topLinePunct w:val="0"/>
        <w:autoSpaceDE/>
        <w:autoSpaceDN/>
        <w:bidi w:val="0"/>
        <w:adjustRightInd/>
        <w:snapToGrid/>
        <w:spacing w:line="560" w:lineRule="exact"/>
        <w:ind w:leftChars="0" w:firstLine="642" w:firstLineChars="200"/>
        <w:jc w:val="left"/>
        <w:textAlignment w:val="auto"/>
        <w:outlineLvl w:val="3"/>
        <w:rPr>
          <w:rFonts w:hint="eastAsia" w:eastAsia="仿宋_GB2312" w:asciiTheme="minorAscii" w:hAnsiTheme="minorAscii" w:cstheme="minorBidi"/>
          <w:b/>
          <w:bCs/>
          <w:color w:val="auto"/>
          <w:spacing w:val="0"/>
          <w:kern w:val="2"/>
          <w:sz w:val="32"/>
          <w:szCs w:val="24"/>
          <w:highlight w:val="none"/>
          <w:lang w:val="en-US" w:eastAsia="zh-CN" w:bidi="ar-SA"/>
        </w:rPr>
      </w:pPr>
      <w:r>
        <w:rPr>
          <w:rFonts w:hint="eastAsia" w:eastAsia="仿宋_GB2312" w:asciiTheme="minorAscii" w:hAnsiTheme="minorAscii" w:cstheme="minorBidi"/>
          <w:b/>
          <w:bCs/>
          <w:i w:val="0"/>
          <w:iCs w:val="0"/>
          <w:caps w:val="0"/>
          <w:color w:val="auto"/>
          <w:spacing w:val="0"/>
          <w:sz w:val="32"/>
          <w:szCs w:val="24"/>
          <w:highlight w:val="none"/>
          <w:shd w:val="clear"/>
        </w:rPr>
        <w:t>铸就智慧</w:t>
      </w:r>
      <w:r>
        <w:rPr>
          <w:rFonts w:hint="eastAsia" w:eastAsia="仿宋_GB2312" w:asciiTheme="minorAscii" w:hAnsiTheme="minorAscii" w:cstheme="minorBidi"/>
          <w:b/>
          <w:bCs/>
          <w:i w:val="0"/>
          <w:iCs w:val="0"/>
          <w:caps w:val="0"/>
          <w:color w:val="auto"/>
          <w:spacing w:val="0"/>
          <w:sz w:val="32"/>
          <w:szCs w:val="24"/>
          <w:highlight w:val="none"/>
          <w:shd w:val="clear"/>
          <w:lang w:val="en-US" w:eastAsia="zh-CN"/>
        </w:rPr>
        <w:t>园区</w:t>
      </w:r>
      <w:r>
        <w:rPr>
          <w:rFonts w:hint="eastAsia" w:eastAsia="仿宋_GB2312" w:asciiTheme="minorAscii" w:hAnsiTheme="minorAscii" w:cstheme="minorBidi"/>
          <w:b/>
          <w:bCs/>
          <w:i w:val="0"/>
          <w:iCs w:val="0"/>
          <w:caps w:val="0"/>
          <w:color w:val="auto"/>
          <w:spacing w:val="0"/>
          <w:sz w:val="32"/>
          <w:szCs w:val="24"/>
          <w:highlight w:val="none"/>
          <w:shd w:val="clear"/>
        </w:rPr>
        <w:t>产业发展新基座</w:t>
      </w:r>
    </w:p>
    <w:p>
      <w:pPr>
        <w:numPr>
          <w:ilvl w:val="0"/>
          <w:numId w:val="0"/>
        </w:numPr>
        <w:bidi w:val="0"/>
        <w:spacing w:line="560" w:lineRule="exact"/>
        <w:ind w:left="0" w:leftChars="0" w:firstLine="640" w:firstLineChars="200"/>
        <w:outlineLvl w:val="9"/>
        <w:rPr>
          <w:rFonts w:hint="eastAsia" w:ascii="仿宋_GB2312" w:hAnsi="仿宋_GB2312" w:eastAsia="仿宋_GB2312" w:cs="仿宋_GB2312"/>
          <w:i w:val="0"/>
          <w:iCs w:val="0"/>
          <w:caps w:val="0"/>
          <w:color w:val="auto"/>
          <w:spacing w:val="0"/>
          <w:sz w:val="32"/>
          <w:szCs w:val="32"/>
          <w:highlight w:val="none"/>
          <w:shd w:val="clear"/>
          <w:lang w:val="en-US" w:eastAsia="zh-CN"/>
        </w:rPr>
      </w:pPr>
      <w:r>
        <w:rPr>
          <w:rFonts w:hint="eastAsia" w:ascii="仿宋_GB2312" w:hAnsi="仿宋_GB2312" w:eastAsia="仿宋_GB2312" w:cs="仿宋_GB2312"/>
          <w:i w:val="0"/>
          <w:iCs w:val="0"/>
          <w:caps w:val="0"/>
          <w:color w:val="auto"/>
          <w:spacing w:val="0"/>
          <w:sz w:val="32"/>
          <w:szCs w:val="32"/>
          <w:highlight w:val="none"/>
          <w:shd w:val="clear"/>
          <w:lang w:val="en-US" w:eastAsia="zh-CN"/>
        </w:rPr>
        <w:t>以工业互联网为核心打造智慧园区标杆，统筹传统基础设施升级与现代基础设施建设。</w:t>
      </w:r>
    </w:p>
    <w:p>
      <w:pPr>
        <w:numPr>
          <w:ilvl w:val="0"/>
          <w:numId w:val="0"/>
        </w:numPr>
        <w:bidi w:val="0"/>
        <w:spacing w:line="560" w:lineRule="exact"/>
        <w:ind w:left="0" w:leftChars="0" w:firstLine="640" w:firstLineChars="200"/>
        <w:outlineLvl w:val="9"/>
        <w:rPr>
          <w:rFonts w:hint="eastAsia" w:ascii="仿宋_GB2312" w:hAnsi="仿宋_GB2312" w:eastAsia="仿宋_GB2312" w:cs="仿宋_GB2312"/>
          <w:i w:val="0"/>
          <w:iCs w:val="0"/>
          <w:caps w:val="0"/>
          <w:color w:val="auto"/>
          <w:spacing w:val="0"/>
          <w:sz w:val="32"/>
          <w:szCs w:val="32"/>
          <w:highlight w:val="none"/>
          <w:shd w:val="clear"/>
          <w:lang w:val="en-US" w:eastAsia="zh-CN"/>
        </w:rPr>
      </w:pPr>
      <w:r>
        <w:rPr>
          <w:rFonts w:hint="eastAsia" w:ascii="仿宋_GB2312" w:hAnsi="仿宋_GB2312" w:eastAsia="仿宋_GB2312" w:cs="仿宋_GB2312"/>
          <w:i w:val="0"/>
          <w:iCs w:val="0"/>
          <w:caps w:val="0"/>
          <w:color w:val="auto"/>
          <w:spacing w:val="0"/>
          <w:sz w:val="32"/>
          <w:szCs w:val="32"/>
          <w:highlight w:val="none"/>
          <w:shd w:val="clear"/>
          <w:lang w:val="en-US" w:eastAsia="zh-CN"/>
        </w:rPr>
        <w:t>传统基础设施优化方面，聚焦园区运营基础保障能力提升。升级改造能源供应管网、仓储物流设施、环保处理系统等核心硬件，完善企业生产必需的供水、供电、供气等基础配套；强化安全监管硬件网络布局，为数字化转型筑牢物理根基；优化园区服务配套设施，打通企业服务线下对接通道，实现传统设施与数字化系统的兼容适配，为全域协同管理提供基础支撑。</w:t>
      </w:r>
    </w:p>
    <w:p>
      <w:pPr>
        <w:numPr>
          <w:ilvl w:val="0"/>
          <w:numId w:val="0"/>
        </w:numPr>
        <w:bidi w:val="0"/>
        <w:spacing w:line="560" w:lineRule="exact"/>
        <w:ind w:left="0" w:leftChars="0" w:firstLine="640" w:firstLineChars="200"/>
        <w:outlineLvl w:val="9"/>
        <w:rPr>
          <w:rFonts w:hint="eastAsia" w:ascii="仿宋_GB2312" w:hAnsi="仿宋_GB2312" w:eastAsia="仿宋_GB2312" w:cs="仿宋_GB2312"/>
          <w:i w:val="0"/>
          <w:iCs w:val="0"/>
          <w:caps w:val="0"/>
          <w:color w:val="auto"/>
          <w:spacing w:val="0"/>
          <w:sz w:val="32"/>
          <w:szCs w:val="32"/>
          <w:highlight w:val="none"/>
          <w:shd w:val="clear"/>
        </w:rPr>
      </w:pPr>
      <w:r>
        <w:rPr>
          <w:rFonts w:hint="eastAsia" w:ascii="仿宋_GB2312" w:hAnsi="仿宋_GB2312" w:eastAsia="仿宋_GB2312" w:cs="仿宋_GB2312"/>
          <w:i w:val="0"/>
          <w:iCs w:val="0"/>
          <w:caps w:val="0"/>
          <w:color w:val="auto"/>
          <w:spacing w:val="0"/>
          <w:sz w:val="32"/>
          <w:szCs w:val="32"/>
          <w:highlight w:val="none"/>
          <w:shd w:val="clear"/>
          <w:lang w:val="en-US" w:eastAsia="zh-CN"/>
        </w:rPr>
        <w:t>现代基础设施构建方面，依托科技创新驱动园区智能化升级。搭建全域感知的物联网监测网络，实现跨领域数据互联互通，提升管理服务精准度与产业承载能力；打造园区智慧生产管控系统，打通原料采购、生产加工、成品仓储全流程链路，推动生产效率提升；构建污染物排放监测网络，实现源头预警、过程管控、末端治理的全链条精准治理，确保排放指标稳定优于行业标准。</w:t>
      </w:r>
    </w:p>
    <w:p>
      <w:pPr>
        <w:numPr>
          <w:ilvl w:val="0"/>
          <w:numId w:val="8"/>
        </w:numPr>
        <w:bidi w:val="0"/>
        <w:spacing w:line="560" w:lineRule="exact"/>
        <w:ind w:left="0" w:leftChars="0" w:firstLine="642" w:firstLineChars="200"/>
        <w:outlineLvl w:val="3"/>
        <w:rPr>
          <w:rFonts w:hint="eastAsia" w:eastAsia="仿宋_GB2312" w:asciiTheme="minorAscii" w:hAnsiTheme="minorAscii"/>
          <w:b/>
          <w:bCs/>
          <w:color w:val="auto"/>
          <w:sz w:val="32"/>
          <w:highlight w:val="none"/>
          <w:lang w:val="en-US" w:eastAsia="zh-CN"/>
        </w:rPr>
      </w:pPr>
      <w:r>
        <w:rPr>
          <w:rFonts w:hint="eastAsia" w:eastAsia="仿宋_GB2312" w:asciiTheme="minorAscii" w:hAnsiTheme="minorAscii"/>
          <w:b/>
          <w:bCs/>
          <w:color w:val="auto"/>
          <w:sz w:val="32"/>
          <w:highlight w:val="none"/>
          <w:lang w:val="en-US" w:eastAsia="zh-CN"/>
        </w:rPr>
        <w:t>着力推进现代化基础设施建设</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仿宋_GB2312" w:hAnsi="仿宋_GB2312" w:eastAsia="仿宋_GB2312" w:cs="仿宋_GB2312"/>
          <w:b w:val="0"/>
          <w:bCs w:val="0"/>
          <w:color w:val="auto"/>
          <w:kern w:val="2"/>
          <w:sz w:val="32"/>
          <w:szCs w:val="32"/>
          <w:lang w:val="en-US" w:eastAsia="zh-CN" w:bidi="ar-SA"/>
        </w:rPr>
      </w:pPr>
      <w:r>
        <w:rPr>
          <w:rFonts w:hint="eastAsia" w:ascii="仿宋_GB2312" w:hAnsi="仿宋_GB2312" w:eastAsia="仿宋_GB2312" w:cs="仿宋_GB2312"/>
          <w:b w:val="0"/>
          <w:bCs w:val="0"/>
          <w:color w:val="auto"/>
          <w:kern w:val="2"/>
          <w:sz w:val="32"/>
          <w:szCs w:val="32"/>
          <w:lang w:val="en-US" w:eastAsia="zh-CN" w:bidi="ar-SA"/>
        </w:rPr>
        <w:t>持续优化5G网络布局，在现有基础上，聚焦工业园区数字化转型和乡村振兴战略需求，向工业园区、六街镇、夕阳乡等偏远乡村区域延伸覆盖。通过政策扶持与运营商合作，计划新建不少于4</w:t>
      </w:r>
      <w:r>
        <w:rPr>
          <w:rFonts w:hint="eastAsia" w:ascii="仿宋_GB2312" w:hAnsi="仿宋_GB2312" w:eastAsia="仿宋_GB2312" w:cs="仿宋_GB2312"/>
          <w:b w:val="0"/>
          <w:bCs w:val="0"/>
          <w:color w:val="auto"/>
          <w:kern w:val="2"/>
          <w:sz w:val="32"/>
          <w:szCs w:val="32"/>
          <w:highlight w:val="none"/>
          <w:lang w:val="en-US" w:eastAsia="zh-CN" w:bidi="ar-SA"/>
        </w:rPr>
        <w:t>00个</w:t>
      </w:r>
      <w:r>
        <w:rPr>
          <w:rFonts w:hint="eastAsia" w:ascii="仿宋_GB2312" w:hAnsi="仿宋_GB2312" w:eastAsia="仿宋_GB2312" w:cs="仿宋_GB2312"/>
          <w:b w:val="0"/>
          <w:bCs w:val="0"/>
          <w:color w:val="auto"/>
          <w:kern w:val="2"/>
          <w:sz w:val="32"/>
          <w:szCs w:val="32"/>
          <w:lang w:val="en-US" w:eastAsia="zh-CN" w:bidi="ar-SA"/>
        </w:rPr>
        <w:t>5G基站，在晋城街道、昆阳街道等城区核心地段及古滇名城景区、晋宁区人民医院、昆一中晋宁学校等重点区域，加密5G信号覆盖，消除信号盲区。同步推进老旧小区光纤网络改造工程，针对建成时间较长的住宅区，投入专项资金，铺设新型低损耗光缆，新增光缆线路</w:t>
      </w:r>
      <w:r>
        <w:rPr>
          <w:rFonts w:hint="eastAsia" w:ascii="仿宋_GB2312" w:hAnsi="仿宋_GB2312" w:eastAsia="仿宋_GB2312" w:cs="仿宋_GB2312"/>
          <w:b w:val="0"/>
          <w:bCs w:val="0"/>
          <w:color w:val="auto"/>
          <w:kern w:val="2"/>
          <w:sz w:val="32"/>
          <w:szCs w:val="32"/>
          <w:highlight w:val="none"/>
          <w:lang w:val="en-US" w:eastAsia="zh-CN" w:bidi="ar-SA"/>
        </w:rPr>
        <w:t>200公里</w:t>
      </w:r>
      <w:r>
        <w:rPr>
          <w:rFonts w:hint="eastAsia" w:ascii="仿宋_GB2312" w:hAnsi="仿宋_GB2312" w:eastAsia="仿宋_GB2312" w:cs="仿宋_GB2312"/>
          <w:b w:val="0"/>
          <w:bCs w:val="0"/>
          <w:color w:val="auto"/>
          <w:kern w:val="2"/>
          <w:sz w:val="32"/>
          <w:szCs w:val="32"/>
          <w:lang w:val="en-US" w:eastAsia="zh-CN" w:bidi="ar-SA"/>
        </w:rPr>
        <w:t>，全面提升网络传输速率与稳定性。</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outlineLvl w:val="9"/>
        <w:rPr>
          <w:rFonts w:hint="eastAsia" w:eastAsia="仿宋_GB2312" w:asciiTheme="minorAscii" w:hAnsiTheme="minorAscii"/>
          <w:b/>
          <w:bCs/>
          <w:color w:val="auto"/>
          <w:sz w:val="32"/>
          <w:highlight w:val="none"/>
          <w:lang w:val="en-US" w:eastAsia="zh-CN"/>
        </w:rPr>
      </w:pPr>
      <w:r>
        <w:rPr>
          <w:rFonts w:hint="eastAsia" w:ascii="仿宋_GB2312" w:hAnsi="仿宋_GB2312" w:eastAsia="仿宋_GB2312" w:cs="仿宋_GB2312"/>
          <w:b w:val="0"/>
          <w:bCs w:val="0"/>
          <w:color w:val="auto"/>
          <w:kern w:val="2"/>
          <w:sz w:val="32"/>
          <w:szCs w:val="32"/>
          <w:lang w:val="en-US" w:eastAsia="zh-CN" w:bidi="ar-SA"/>
        </w:rPr>
        <w:t>优化光纤接入设备，完善网络架构，将重点场所千兆宽带覆盖率提升至</w:t>
      </w:r>
      <w:r>
        <w:rPr>
          <w:rFonts w:hint="eastAsia" w:ascii="仿宋_GB2312" w:hAnsi="仿宋_GB2312" w:eastAsia="仿宋_GB2312" w:cs="仿宋_GB2312"/>
          <w:b w:val="0"/>
          <w:bCs w:val="0"/>
          <w:color w:val="auto"/>
          <w:kern w:val="2"/>
          <w:sz w:val="32"/>
          <w:szCs w:val="32"/>
          <w:highlight w:val="none"/>
          <w:lang w:val="en-US" w:eastAsia="zh-CN" w:bidi="ar-SA"/>
        </w:rPr>
        <w:t>90%以上</w:t>
      </w:r>
      <w:r>
        <w:rPr>
          <w:rFonts w:hint="eastAsia" w:ascii="仿宋_GB2312" w:hAnsi="仿宋_GB2312" w:eastAsia="仿宋_GB2312" w:cs="仿宋_GB2312"/>
          <w:b w:val="0"/>
          <w:bCs w:val="0"/>
          <w:color w:val="auto"/>
          <w:kern w:val="2"/>
          <w:sz w:val="32"/>
          <w:szCs w:val="32"/>
          <w:lang w:val="en-US" w:eastAsia="zh-CN" w:bidi="ar-SA"/>
        </w:rPr>
        <w:t>，为居民提供高速、稳定的网络服务，同时满足企业大数据传输、云服务应用等需求，为数字经济发展筑牢网络基础。推进能源供应网络升级，在电力领域推广智能电表、配电自动化技术，实现用电数据实时采集与故障快速响应；在燃气供应方面，部署智能燃气表与泄漏监测传感器，保障用气安全。</w:t>
      </w:r>
    </w:p>
    <w:p>
      <w:pPr>
        <w:numPr>
          <w:ilvl w:val="0"/>
          <w:numId w:val="8"/>
        </w:numPr>
        <w:bidi w:val="0"/>
        <w:spacing w:line="560" w:lineRule="exact"/>
        <w:ind w:left="0" w:leftChars="0" w:firstLine="642" w:firstLineChars="200"/>
        <w:outlineLvl w:val="3"/>
        <w:rPr>
          <w:rFonts w:hint="eastAsia" w:eastAsia="仿宋_GB2312" w:asciiTheme="minorAscii" w:hAnsiTheme="minorAscii"/>
          <w:b/>
          <w:bCs/>
          <w:color w:val="auto"/>
          <w:sz w:val="32"/>
          <w:highlight w:val="none"/>
          <w:lang w:val="en-US" w:eastAsia="zh-CN"/>
        </w:rPr>
      </w:pPr>
      <w:r>
        <w:rPr>
          <w:rFonts w:hint="eastAsia" w:eastAsia="仿宋_GB2312" w:asciiTheme="minorAscii" w:hAnsiTheme="minorAscii"/>
          <w:b/>
          <w:bCs/>
          <w:color w:val="auto"/>
          <w:sz w:val="32"/>
          <w:highlight w:val="none"/>
          <w:lang w:val="en-US" w:eastAsia="zh-CN"/>
        </w:rPr>
        <w:t>智慧城市技术攻关与应用深化</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outlineLvl w:val="9"/>
        <w:rPr>
          <w:rFonts w:hint="eastAsia" w:ascii="仿宋_GB2312" w:hAnsi="仿宋_GB2312" w:eastAsia="仿宋_GB2312" w:cs="仿宋_GB2312"/>
          <w:b w:val="0"/>
          <w:bCs w:val="0"/>
          <w:color w:val="auto"/>
          <w:kern w:val="2"/>
          <w:sz w:val="32"/>
          <w:szCs w:val="32"/>
          <w:lang w:val="en-US" w:eastAsia="zh-CN" w:bidi="ar-SA"/>
        </w:rPr>
      </w:pPr>
      <w:r>
        <w:rPr>
          <w:rFonts w:hint="eastAsia" w:ascii="仿宋_GB2312" w:hAnsi="仿宋_GB2312" w:eastAsia="仿宋_GB2312" w:cs="仿宋_GB2312"/>
          <w:b w:val="0"/>
          <w:bCs w:val="0"/>
          <w:color w:val="auto"/>
          <w:kern w:val="2"/>
          <w:sz w:val="32"/>
          <w:szCs w:val="32"/>
          <w:lang w:val="en-US" w:eastAsia="zh-CN" w:bidi="ar-SA"/>
        </w:rPr>
        <w:t>推进智慧城市建设，一是夯实数字底座，建强统一数据平台和高速网络，打通各部门数据壁垒；二是优先落地实用场景，实现化工园区智能监测、城市交通动态调度、民生服务“掌上办”等，用技术解决实际问题；三是联动政企资源，鼓励本地企业参与技术研发，让智慧应用接地气、可持续，构建“全域感知、安全互联、数据决策、场景应用”的智慧城市创新生态。</w:t>
      </w:r>
    </w:p>
    <w:tbl>
      <w:tblPr>
        <w:tblStyle w:val="20"/>
        <w:tblW w:w="8760" w:type="dxa"/>
        <w:tblInd w:w="9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60" w:type="dxa"/>
          </w:tcPr>
          <w:p>
            <w:pPr>
              <w:keepNext w:val="0"/>
              <w:keepLines w:val="0"/>
              <w:pageBreakBefore w:val="0"/>
              <w:widowControl w:val="0"/>
              <w:numPr>
                <w:ilvl w:val="0"/>
                <w:numId w:val="0"/>
              </w:numPr>
              <w:kinsoku/>
              <w:wordWrap/>
              <w:overflowPunct/>
              <w:topLinePunct w:val="0"/>
              <w:autoSpaceDE/>
              <w:autoSpaceDN/>
              <w:bidi w:val="0"/>
              <w:adjustRightInd w:val="0"/>
              <w:snapToGrid/>
              <w:spacing w:line="300" w:lineRule="auto"/>
              <w:ind w:firstLine="0" w:firstLineChars="0"/>
              <w:jc w:val="center"/>
              <w:textAlignment w:val="auto"/>
              <w:outlineLvl w:val="9"/>
              <w:rPr>
                <w:rFonts w:hint="eastAsia" w:ascii="仿宋_GB2312" w:hAnsi="仿宋_GB2312" w:eastAsia="仿宋_GB2312" w:cs="仿宋_GB2312"/>
                <w:b/>
                <w:bCs/>
                <w:color w:val="auto"/>
                <w:kern w:val="2"/>
                <w:sz w:val="28"/>
                <w:szCs w:val="28"/>
                <w:lang w:val="en-US" w:eastAsia="zh-CN" w:bidi="ar-SA"/>
              </w:rPr>
            </w:pPr>
            <w:r>
              <w:rPr>
                <w:rFonts w:hint="eastAsia" w:ascii="仿宋_GB2312" w:hAnsi="仿宋_GB2312" w:eastAsia="仿宋_GB2312" w:cs="仿宋_GB2312"/>
                <w:b/>
                <w:bCs/>
                <w:color w:val="auto"/>
                <w:kern w:val="2"/>
                <w:sz w:val="28"/>
                <w:szCs w:val="28"/>
                <w:lang w:val="en-US" w:eastAsia="zh-CN" w:bidi="ar-SA"/>
              </w:rPr>
              <w:t>专栏6  智慧城市应用场景打造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60" w:type="dxa"/>
          </w:tcPr>
          <w:p>
            <w:pPr>
              <w:keepNext w:val="0"/>
              <w:keepLines w:val="0"/>
              <w:pageBreakBefore w:val="0"/>
              <w:widowControl w:val="0"/>
              <w:numPr>
                <w:ilvl w:val="0"/>
                <w:numId w:val="0"/>
              </w:numPr>
              <w:kinsoku/>
              <w:wordWrap/>
              <w:overflowPunct/>
              <w:topLinePunct w:val="0"/>
              <w:autoSpaceDE/>
              <w:autoSpaceDN/>
              <w:bidi w:val="0"/>
              <w:adjustRightInd w:val="0"/>
              <w:snapToGrid w:val="0"/>
              <w:spacing w:line="300" w:lineRule="auto"/>
              <w:ind w:firstLine="562" w:firstLineChars="200"/>
              <w:jc w:val="both"/>
              <w:textAlignment w:val="auto"/>
              <w:outlineLvl w:val="9"/>
              <w:rPr>
                <w:rFonts w:hint="eastAsia" w:ascii="仿宋_GB2312" w:hAnsi="仿宋_GB2312" w:eastAsia="仿宋_GB2312" w:cs="仿宋_GB2312"/>
                <w:b w:val="0"/>
                <w:bCs w:val="0"/>
                <w:color w:val="auto"/>
                <w:kern w:val="2"/>
                <w:sz w:val="28"/>
                <w:szCs w:val="28"/>
                <w:lang w:val="en-US" w:eastAsia="zh-CN" w:bidi="ar-SA"/>
              </w:rPr>
            </w:pPr>
            <w:r>
              <w:rPr>
                <w:rFonts w:hint="eastAsia" w:ascii="仿宋_GB2312" w:hAnsi="仿宋_GB2312" w:eastAsia="仿宋_GB2312" w:cs="仿宋_GB2312"/>
                <w:b/>
                <w:bCs/>
                <w:color w:val="auto"/>
                <w:kern w:val="2"/>
                <w:sz w:val="28"/>
                <w:szCs w:val="28"/>
                <w:lang w:val="en-US" w:eastAsia="zh-CN" w:bidi="ar-SA"/>
              </w:rPr>
              <w:t>感知层，</w:t>
            </w:r>
            <w:r>
              <w:rPr>
                <w:rFonts w:hint="eastAsia" w:ascii="仿宋_GB2312" w:hAnsi="仿宋_GB2312" w:eastAsia="仿宋_GB2312" w:cs="仿宋_GB2312"/>
                <w:b w:val="0"/>
                <w:bCs w:val="0"/>
                <w:color w:val="auto"/>
                <w:kern w:val="2"/>
                <w:sz w:val="28"/>
                <w:szCs w:val="28"/>
                <w:lang w:val="en-US" w:eastAsia="zh-CN" w:bidi="ar-SA"/>
              </w:rPr>
              <w:t>突破非传感器感知技术，研发基于卫星遥感、无人机巡检与城市声纹分析的复合感知系统，重点解决滇池水质动态监测、古滇文化遗址保护等场景的复杂环境感知难题，部署智能路灯、地下管网探地雷达等新型感知终端，形成空天地一体化感知网络。</w:t>
            </w:r>
          </w:p>
          <w:p>
            <w:pPr>
              <w:keepNext w:val="0"/>
              <w:keepLines w:val="0"/>
              <w:pageBreakBefore w:val="0"/>
              <w:widowControl w:val="0"/>
              <w:numPr>
                <w:ilvl w:val="0"/>
                <w:numId w:val="0"/>
              </w:numPr>
              <w:kinsoku/>
              <w:wordWrap/>
              <w:overflowPunct/>
              <w:topLinePunct w:val="0"/>
              <w:autoSpaceDE/>
              <w:autoSpaceDN/>
              <w:bidi w:val="0"/>
              <w:adjustRightInd w:val="0"/>
              <w:snapToGrid w:val="0"/>
              <w:spacing w:line="300" w:lineRule="auto"/>
              <w:ind w:firstLine="562" w:firstLineChars="200"/>
              <w:jc w:val="both"/>
              <w:textAlignment w:val="auto"/>
              <w:outlineLvl w:val="9"/>
              <w:rPr>
                <w:rFonts w:hint="eastAsia" w:ascii="仿宋_GB2312" w:hAnsi="仿宋_GB2312" w:eastAsia="仿宋_GB2312" w:cs="仿宋_GB2312"/>
                <w:b w:val="0"/>
                <w:bCs w:val="0"/>
                <w:color w:val="auto"/>
                <w:kern w:val="2"/>
                <w:sz w:val="28"/>
                <w:szCs w:val="28"/>
                <w:lang w:val="en-US" w:eastAsia="zh-CN" w:bidi="ar-SA"/>
              </w:rPr>
            </w:pPr>
            <w:r>
              <w:rPr>
                <w:rFonts w:hint="eastAsia" w:ascii="仿宋_GB2312" w:hAnsi="仿宋_GB2312" w:eastAsia="仿宋_GB2312" w:cs="仿宋_GB2312"/>
                <w:b/>
                <w:bCs/>
                <w:color w:val="auto"/>
                <w:kern w:val="2"/>
                <w:sz w:val="28"/>
                <w:szCs w:val="28"/>
                <w:lang w:val="en-US" w:eastAsia="zh-CN" w:bidi="ar-SA"/>
              </w:rPr>
              <w:t>传输层，</w:t>
            </w:r>
            <w:r>
              <w:rPr>
                <w:rFonts w:hint="eastAsia" w:ascii="仿宋_GB2312" w:hAnsi="仿宋_GB2312" w:eastAsia="仿宋_GB2312" w:cs="仿宋_GB2312"/>
                <w:b w:val="0"/>
                <w:bCs w:val="0"/>
                <w:color w:val="auto"/>
                <w:kern w:val="2"/>
                <w:sz w:val="28"/>
                <w:szCs w:val="28"/>
                <w:lang w:val="en-US" w:eastAsia="zh-CN" w:bidi="ar-SA"/>
              </w:rPr>
              <w:t>构建“边缘计算+区块链”的数据安全体系，开发面向智能楼宇能耗管理、地下管网健康监测的轻量化加密传输协议，建立城市物联网设备身份认证系统，实现数据“可用不可见”的可信流通。</w:t>
            </w:r>
          </w:p>
          <w:p>
            <w:pPr>
              <w:keepNext w:val="0"/>
              <w:keepLines w:val="0"/>
              <w:pageBreakBefore w:val="0"/>
              <w:widowControl w:val="0"/>
              <w:numPr>
                <w:ilvl w:val="0"/>
                <w:numId w:val="0"/>
              </w:numPr>
              <w:kinsoku/>
              <w:wordWrap/>
              <w:overflowPunct/>
              <w:topLinePunct w:val="0"/>
              <w:autoSpaceDE/>
              <w:autoSpaceDN/>
              <w:bidi w:val="0"/>
              <w:adjustRightInd w:val="0"/>
              <w:snapToGrid w:val="0"/>
              <w:spacing w:line="300" w:lineRule="auto"/>
              <w:ind w:firstLine="562" w:firstLineChars="200"/>
              <w:jc w:val="both"/>
              <w:textAlignment w:val="auto"/>
              <w:outlineLvl w:val="9"/>
              <w:rPr>
                <w:rFonts w:hint="eastAsia" w:ascii="仿宋_GB2312" w:hAnsi="仿宋_GB2312" w:eastAsia="仿宋_GB2312" w:cs="仿宋_GB2312"/>
                <w:b w:val="0"/>
                <w:bCs w:val="0"/>
                <w:color w:val="auto"/>
                <w:kern w:val="2"/>
                <w:sz w:val="28"/>
                <w:szCs w:val="28"/>
                <w:lang w:val="en-US" w:eastAsia="zh-CN" w:bidi="ar-SA"/>
              </w:rPr>
            </w:pPr>
            <w:r>
              <w:rPr>
                <w:rFonts w:hint="eastAsia" w:ascii="仿宋_GB2312" w:hAnsi="仿宋_GB2312" w:eastAsia="仿宋_GB2312" w:cs="仿宋_GB2312"/>
                <w:b/>
                <w:bCs/>
                <w:color w:val="auto"/>
                <w:kern w:val="2"/>
                <w:sz w:val="28"/>
                <w:szCs w:val="28"/>
                <w:lang w:val="en-US" w:eastAsia="zh-CN" w:bidi="ar-SA"/>
              </w:rPr>
              <w:t>数据层，</w:t>
            </w:r>
            <w:r>
              <w:rPr>
                <w:rFonts w:hint="eastAsia" w:ascii="仿宋_GB2312" w:hAnsi="仿宋_GB2312" w:eastAsia="仿宋_GB2312" w:cs="仿宋_GB2312"/>
                <w:b w:val="0"/>
                <w:bCs w:val="0"/>
                <w:color w:val="auto"/>
                <w:kern w:val="2"/>
                <w:sz w:val="28"/>
                <w:szCs w:val="28"/>
                <w:lang w:val="en-US" w:eastAsia="zh-CN" w:bidi="ar-SA"/>
              </w:rPr>
              <w:t>建设城市级多模态数据融合平台，集成时空大数据、物联网实时流数据与政务结构化数据，突破跨域数据语义对齐与隐私计算技术，支撑城市灾害链式预警、交通流量仿真推演等场景应用。</w:t>
            </w:r>
          </w:p>
          <w:p>
            <w:pPr>
              <w:keepNext w:val="0"/>
              <w:keepLines w:val="0"/>
              <w:pageBreakBefore w:val="0"/>
              <w:widowControl w:val="0"/>
              <w:numPr>
                <w:ilvl w:val="0"/>
                <w:numId w:val="0"/>
              </w:numPr>
              <w:kinsoku/>
              <w:wordWrap/>
              <w:overflowPunct/>
              <w:topLinePunct w:val="0"/>
              <w:autoSpaceDE/>
              <w:autoSpaceDN/>
              <w:bidi w:val="0"/>
              <w:adjustRightInd w:val="0"/>
              <w:snapToGrid w:val="0"/>
              <w:spacing w:line="300" w:lineRule="auto"/>
              <w:ind w:firstLine="562" w:firstLineChars="200"/>
              <w:jc w:val="both"/>
              <w:textAlignment w:val="auto"/>
              <w:outlineLvl w:val="9"/>
              <w:rPr>
                <w:rFonts w:hint="eastAsia" w:ascii="仿宋_GB2312" w:hAnsi="仿宋_GB2312" w:eastAsia="仿宋_GB2312" w:cs="仿宋_GB2312"/>
                <w:b w:val="0"/>
                <w:bCs w:val="0"/>
                <w:color w:val="auto"/>
                <w:kern w:val="2"/>
                <w:sz w:val="32"/>
                <w:szCs w:val="32"/>
                <w:vertAlign w:val="baseline"/>
                <w:lang w:val="en-US" w:eastAsia="zh-CN" w:bidi="ar-SA"/>
              </w:rPr>
            </w:pPr>
            <w:r>
              <w:rPr>
                <w:rFonts w:hint="eastAsia" w:ascii="仿宋_GB2312" w:hAnsi="仿宋_GB2312" w:eastAsia="仿宋_GB2312" w:cs="仿宋_GB2312"/>
                <w:b/>
                <w:bCs/>
                <w:color w:val="auto"/>
                <w:kern w:val="2"/>
                <w:sz w:val="28"/>
                <w:szCs w:val="28"/>
                <w:lang w:val="en-US" w:eastAsia="zh-CN" w:bidi="ar-SA"/>
              </w:rPr>
              <w:t>应用层，</w:t>
            </w:r>
            <w:r>
              <w:rPr>
                <w:rFonts w:hint="eastAsia" w:ascii="仿宋_GB2312" w:hAnsi="仿宋_GB2312" w:eastAsia="仿宋_GB2312" w:cs="仿宋_GB2312"/>
                <w:b w:val="0"/>
                <w:bCs w:val="0"/>
                <w:color w:val="auto"/>
                <w:kern w:val="2"/>
                <w:sz w:val="28"/>
                <w:szCs w:val="28"/>
                <w:lang w:val="en-US" w:eastAsia="zh-CN" w:bidi="ar-SA"/>
              </w:rPr>
              <w:t>支持智慧康养数字孪生系统，帮助整合医疗、养老、环境数据实现个性化健康管理；助力构建智慧农业协同平台，通过多光谱传感器与AI病虫害识别技术提升花卉、蔬菜种植智能化水平；支撑建设“数字孪生古城”保护系统，运用三维激光扫描与BIM技术实现遗址动态监测与虚拟修复；充分保障</w:t>
            </w:r>
            <w:r>
              <w:rPr>
                <w:rFonts w:hint="eastAsia" w:ascii="仿宋_GB2312" w:hAnsi="仿宋_GB2312" w:eastAsia="仿宋_GB2312" w:cs="仿宋_GB2312"/>
                <w:color w:val="auto"/>
                <w:sz w:val="28"/>
                <w:szCs w:val="28"/>
                <w:lang w:val="en-US" w:eastAsia="zh-CN"/>
              </w:rPr>
              <w:t>现代物流领域，实现货运集装箱状态、通关数据、跨境支付信息的实时同步；支持</w:t>
            </w:r>
            <w:r>
              <w:rPr>
                <w:rFonts w:hint="eastAsia" w:ascii="仿宋_GB2312" w:hAnsi="仿宋_GB2312" w:eastAsia="仿宋_GB2312" w:cs="仿宋_GB2312"/>
                <w:b w:val="0"/>
                <w:bCs w:val="0"/>
                <w:color w:val="auto"/>
                <w:kern w:val="2"/>
                <w:sz w:val="28"/>
                <w:szCs w:val="28"/>
                <w:lang w:val="en-US" w:eastAsia="zh-CN" w:bidi="ar-SA"/>
              </w:rPr>
              <w:t>完善智慧政务平台，优化线上办事流程，推广电子证照互认共享，引入电子签名、在线身份核验技术，提升政务服务便捷性与安全性，切实推动基础设施建设提质增效。</w:t>
            </w:r>
          </w:p>
        </w:tc>
      </w:tr>
    </w:tbl>
    <w:p>
      <w:pPr>
        <w:keepNext w:val="0"/>
        <w:keepLines w:val="0"/>
        <w:pageBreakBefore w:val="0"/>
        <w:widowControl/>
        <w:numPr>
          <w:ilvl w:val="0"/>
          <w:numId w:val="8"/>
        </w:numPr>
        <w:kinsoku/>
        <w:wordWrap/>
        <w:overflowPunct/>
        <w:topLinePunct w:val="0"/>
        <w:autoSpaceDE/>
        <w:autoSpaceDN/>
        <w:bidi w:val="0"/>
        <w:adjustRightInd/>
        <w:snapToGrid/>
        <w:spacing w:line="560" w:lineRule="exact"/>
        <w:ind w:firstLine="642" w:firstLineChars="200"/>
        <w:textAlignment w:val="auto"/>
        <w:outlineLvl w:val="3"/>
        <w:rPr>
          <w:rFonts w:hint="eastAsia" w:eastAsia="仿宋_GB2312" w:asciiTheme="minorAscii" w:hAnsiTheme="minorAscii" w:cstheme="minorBidi"/>
          <w:b/>
          <w:bCs/>
          <w:color w:val="auto"/>
          <w:kern w:val="2"/>
          <w:sz w:val="32"/>
          <w:szCs w:val="24"/>
          <w:highlight w:val="none"/>
          <w:lang w:val="en-US" w:eastAsia="zh-CN" w:bidi="ar-SA"/>
        </w:rPr>
      </w:pPr>
      <w:bookmarkStart w:id="15" w:name="_Toc24717"/>
      <w:r>
        <w:rPr>
          <w:rFonts w:hint="eastAsia" w:eastAsia="仿宋_GB2312" w:asciiTheme="minorAscii" w:hAnsiTheme="minorAscii" w:cstheme="minorBidi"/>
          <w:b/>
          <w:bCs/>
          <w:color w:val="auto"/>
          <w:kern w:val="2"/>
          <w:sz w:val="32"/>
          <w:szCs w:val="24"/>
          <w:highlight w:val="none"/>
          <w:lang w:val="en-US" w:eastAsia="zh-CN" w:bidi="ar-SA"/>
        </w:rPr>
        <w:t>全方位推进现代电力网络建设</w:t>
      </w:r>
    </w:p>
    <w:p>
      <w:pPr>
        <w:keepNext w:val="0"/>
        <w:keepLines w:val="0"/>
        <w:pageBreakBefore w:val="0"/>
        <w:widowControl/>
        <w:numPr>
          <w:ilvl w:val="-1"/>
          <w:numId w:val="0"/>
        </w:numPr>
        <w:kinsoku/>
        <w:wordWrap/>
        <w:overflowPunct/>
        <w:topLinePunct w:val="0"/>
        <w:autoSpaceDE/>
        <w:autoSpaceDN/>
        <w:bidi w:val="0"/>
        <w:adjustRightInd/>
        <w:snapToGrid/>
        <w:spacing w:line="560" w:lineRule="exact"/>
        <w:ind w:leftChars="0" w:firstLine="640" w:firstLineChars="200"/>
        <w:textAlignment w:val="auto"/>
        <w:outlineLvl w:val="9"/>
        <w:rPr>
          <w:rFonts w:hint="eastAsia" w:ascii="仿宋_GB2312" w:hAnsi="仿宋_GB2312" w:eastAsia="仿宋_GB2312" w:cs="仿宋_GB2312"/>
          <w:b w:val="0"/>
          <w:bCs w:val="0"/>
          <w:color w:val="auto"/>
          <w:kern w:val="2"/>
          <w:sz w:val="32"/>
          <w:szCs w:val="32"/>
          <w:highlight w:val="none"/>
          <w:lang w:val="en-US" w:eastAsia="zh-CN" w:bidi="ar-SA"/>
        </w:rPr>
      </w:pPr>
      <w:r>
        <w:rPr>
          <w:rFonts w:hint="eastAsia" w:ascii="仿宋_GB2312" w:hAnsi="仿宋_GB2312" w:eastAsia="仿宋_GB2312" w:cs="仿宋_GB2312"/>
          <w:b w:val="0"/>
          <w:bCs w:val="0"/>
          <w:color w:val="auto"/>
          <w:kern w:val="2"/>
          <w:sz w:val="32"/>
          <w:szCs w:val="32"/>
          <w:highlight w:val="none"/>
          <w:lang w:val="en-US" w:eastAsia="zh-CN" w:bidi="ar-SA"/>
        </w:rPr>
        <w:t>智能化升级电网架构。加大对电网智能化改造的投入，引入智能传感、大数据分析等技术，构建智能电网监测与运维体系。实时监测设备运行状态，通过数据分析提前预判故障风险，将故障处理时间缩短50%以上。建设电力物联网平台，整合电网设备、用户用电数据，实现电力资源精准调配，提升供电可靠性。针对工业园区用电需求，</w:t>
      </w:r>
      <w:r>
        <w:rPr>
          <w:rFonts w:hint="eastAsia" w:ascii="仿宋_GB2312" w:hAnsi="仿宋_GB2312" w:eastAsia="仿宋_GB2312" w:cs="仿宋_GB2312"/>
          <w:b w:val="0"/>
          <w:bCs w:val="0"/>
          <w:color w:val="auto"/>
          <w:kern w:val="2"/>
          <w:sz w:val="32"/>
          <w:szCs w:val="32"/>
          <w:lang w:val="en-US" w:eastAsia="zh-CN" w:bidi="ar-SA"/>
        </w:rPr>
        <w:t>探索</w:t>
      </w:r>
      <w:r>
        <w:rPr>
          <w:rFonts w:hint="eastAsia" w:ascii="仿宋_GB2312" w:hAnsi="仿宋_GB2312" w:eastAsia="仿宋_GB2312" w:cs="仿宋_GB2312"/>
          <w:b w:val="0"/>
          <w:bCs w:val="0"/>
          <w:color w:val="auto"/>
          <w:kern w:val="2"/>
          <w:sz w:val="32"/>
          <w:szCs w:val="32"/>
          <w:highlight w:val="none"/>
          <w:lang w:val="en-US" w:eastAsia="zh-CN" w:bidi="ar-SA"/>
        </w:rPr>
        <w:t>数字孪生技术模拟电网运行，优化供电方案，确保重点产业用电无忧。</w:t>
      </w:r>
    </w:p>
    <w:p>
      <w:pPr>
        <w:keepNext w:val="0"/>
        <w:keepLines w:val="0"/>
        <w:pageBreakBefore w:val="0"/>
        <w:widowControl/>
        <w:numPr>
          <w:ilvl w:val="-1"/>
          <w:numId w:val="0"/>
        </w:numPr>
        <w:kinsoku/>
        <w:wordWrap/>
        <w:overflowPunct/>
        <w:topLinePunct w:val="0"/>
        <w:autoSpaceDE/>
        <w:autoSpaceDN/>
        <w:bidi w:val="0"/>
        <w:adjustRightInd/>
        <w:snapToGrid/>
        <w:spacing w:line="560" w:lineRule="exact"/>
        <w:ind w:leftChars="0" w:firstLine="640" w:firstLineChars="200"/>
        <w:textAlignment w:val="auto"/>
        <w:outlineLvl w:val="9"/>
        <w:rPr>
          <w:rFonts w:hint="eastAsia" w:ascii="仿宋_GB2312" w:hAnsi="仿宋_GB2312" w:eastAsia="仿宋_GB2312" w:cs="仿宋_GB2312"/>
          <w:b w:val="0"/>
          <w:bCs w:val="0"/>
          <w:color w:val="auto"/>
          <w:kern w:val="2"/>
          <w:sz w:val="32"/>
          <w:szCs w:val="32"/>
          <w:highlight w:val="none"/>
          <w:lang w:val="en-US" w:eastAsia="zh-CN" w:bidi="ar-SA"/>
        </w:rPr>
      </w:pPr>
      <w:r>
        <w:rPr>
          <w:rFonts w:hint="eastAsia" w:ascii="仿宋_GB2312" w:hAnsi="仿宋_GB2312" w:eastAsia="仿宋_GB2312" w:cs="仿宋_GB2312"/>
          <w:b w:val="0"/>
          <w:bCs w:val="0"/>
          <w:color w:val="auto"/>
          <w:kern w:val="2"/>
          <w:sz w:val="32"/>
          <w:szCs w:val="32"/>
          <w:highlight w:val="none"/>
          <w:lang w:val="en-US" w:eastAsia="zh-CN" w:bidi="ar-SA"/>
        </w:rPr>
        <w:t>创新电力服务模式</w:t>
      </w:r>
      <w:r>
        <w:rPr>
          <w:rFonts w:hint="eastAsia" w:ascii="仿宋_GB2312" w:hAnsi="仿宋_GB2312" w:eastAsia="仿宋_GB2312" w:cs="仿宋_GB2312"/>
          <w:b w:val="0"/>
          <w:bCs w:val="0"/>
          <w:color w:val="auto"/>
          <w:kern w:val="2"/>
          <w:sz w:val="32"/>
          <w:szCs w:val="32"/>
          <w:lang w:val="en-US" w:eastAsia="zh-CN" w:bidi="ar-SA"/>
        </w:rPr>
        <w:t>。</w:t>
      </w:r>
      <w:r>
        <w:rPr>
          <w:rFonts w:hint="eastAsia" w:ascii="仿宋_GB2312" w:hAnsi="仿宋_GB2312" w:eastAsia="仿宋_GB2312" w:cs="仿宋_GB2312"/>
          <w:b w:val="0"/>
          <w:bCs w:val="0"/>
          <w:color w:val="auto"/>
          <w:kern w:val="2"/>
          <w:sz w:val="32"/>
          <w:szCs w:val="32"/>
          <w:highlight w:val="none"/>
          <w:lang w:val="en-US" w:eastAsia="zh-CN" w:bidi="ar-SA"/>
        </w:rPr>
        <w:t>开发“电力+大数据”服务平台，为企业提供能耗分析、节能改造建议等增值服务，助力企业降低用电成本。探索“虚拟电厂”运营模式，整合分布式电源、储能、可控负荷资源，通过市场化手段参与电力需求响应，提升电网灵活性与应急保障能力。</w:t>
      </w:r>
    </w:p>
    <w:p>
      <w:pPr>
        <w:keepNext w:val="0"/>
        <w:keepLines w:val="0"/>
        <w:pageBreakBefore w:val="0"/>
        <w:widowControl/>
        <w:numPr>
          <w:ilvl w:val="-1"/>
          <w:numId w:val="0"/>
        </w:numPr>
        <w:kinsoku/>
        <w:wordWrap/>
        <w:overflowPunct/>
        <w:topLinePunct w:val="0"/>
        <w:autoSpaceDE/>
        <w:autoSpaceDN/>
        <w:bidi w:val="0"/>
        <w:adjustRightInd/>
        <w:snapToGrid/>
        <w:spacing w:line="560" w:lineRule="exact"/>
        <w:ind w:leftChars="0" w:firstLine="640" w:firstLineChars="200"/>
        <w:textAlignment w:val="auto"/>
        <w:outlineLvl w:val="9"/>
        <w:rPr>
          <w:rFonts w:hint="eastAsia" w:eastAsia="仿宋_GB2312" w:asciiTheme="minorAscii" w:hAnsiTheme="minorAscii" w:cstheme="minorBidi"/>
          <w:b/>
          <w:bCs/>
          <w:color w:val="auto"/>
          <w:kern w:val="2"/>
          <w:sz w:val="32"/>
          <w:szCs w:val="24"/>
          <w:highlight w:val="none"/>
          <w:lang w:val="en-US" w:eastAsia="zh-CN" w:bidi="ar-SA"/>
        </w:rPr>
      </w:pPr>
      <w:r>
        <w:rPr>
          <w:rFonts w:hint="eastAsia" w:ascii="仿宋_GB2312" w:hAnsi="仿宋_GB2312" w:eastAsia="仿宋_GB2312" w:cs="仿宋_GB2312"/>
          <w:b w:val="0"/>
          <w:bCs w:val="0"/>
          <w:color w:val="auto"/>
          <w:kern w:val="2"/>
          <w:sz w:val="32"/>
          <w:szCs w:val="32"/>
          <w:highlight w:val="none"/>
          <w:lang w:val="en-US" w:eastAsia="zh-CN" w:bidi="ar-SA"/>
        </w:rPr>
        <w:t>强化电力安全保障</w:t>
      </w:r>
      <w:r>
        <w:rPr>
          <w:rFonts w:hint="eastAsia" w:ascii="仿宋_GB2312" w:hAnsi="仿宋_GB2312" w:eastAsia="仿宋_GB2312" w:cs="仿宋_GB2312"/>
          <w:b w:val="0"/>
          <w:bCs w:val="0"/>
          <w:color w:val="auto"/>
          <w:kern w:val="2"/>
          <w:sz w:val="32"/>
          <w:szCs w:val="32"/>
          <w:lang w:val="en-US" w:eastAsia="zh-CN" w:bidi="ar-SA"/>
        </w:rPr>
        <w:t>。</w:t>
      </w:r>
      <w:r>
        <w:rPr>
          <w:rFonts w:hint="eastAsia" w:ascii="仿宋_GB2312" w:hAnsi="仿宋_GB2312" w:eastAsia="仿宋_GB2312" w:cs="仿宋_GB2312"/>
          <w:b w:val="0"/>
          <w:bCs w:val="0"/>
          <w:color w:val="auto"/>
          <w:kern w:val="2"/>
          <w:sz w:val="32"/>
          <w:szCs w:val="32"/>
          <w:highlight w:val="none"/>
          <w:lang w:val="en-US" w:eastAsia="zh-CN" w:bidi="ar-SA"/>
        </w:rPr>
        <w:t>利用5G、卫星通信等技术构建电力通信网络“双保险”，确保极端天气下电力通信畅通。部署电力设施智能安防系统，通过图像识别、入侵检测技术防范外力破坏。开展电网防灾减灾科技攻关，研发针对山火、冰冻等自然灾害的预警与防护技术，提升电网在极端环境下的抗灾能力。加强与科研机构合作，建立电力安全技术创新实验室，推动电力安全技术成果转化应用。</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2" w:firstLineChars="200"/>
        <w:textAlignment w:val="auto"/>
        <w:outlineLvl w:val="2"/>
        <w:rPr>
          <w:rFonts w:hint="eastAsia" w:ascii="黑体" w:hAnsi="黑体" w:eastAsia="黑体" w:cs="黑体"/>
          <w:b/>
          <w:color w:val="auto"/>
          <w:kern w:val="2"/>
          <w:sz w:val="32"/>
          <w:szCs w:val="32"/>
          <w:highlight w:val="none"/>
          <w:lang w:val="en-US" w:eastAsia="zh-CN" w:bidi="ar-SA"/>
        </w:rPr>
      </w:pPr>
      <w:r>
        <w:rPr>
          <w:rFonts w:hint="eastAsia" w:ascii="黑体" w:hAnsi="黑体" w:eastAsia="黑体" w:cs="黑体"/>
          <w:b/>
          <w:color w:val="auto"/>
          <w:kern w:val="2"/>
          <w:sz w:val="32"/>
          <w:szCs w:val="32"/>
          <w:highlight w:val="none"/>
          <w:lang w:val="en-US" w:eastAsia="zh-CN" w:bidi="ar-SA"/>
        </w:rPr>
        <w:t>（四）强化科技赋能民生福祉</w:t>
      </w:r>
      <w:bookmarkEnd w:id="15"/>
    </w:p>
    <w:p>
      <w:pPr>
        <w:keepNext w:val="0"/>
        <w:keepLines w:val="0"/>
        <w:pageBreakBefore w:val="0"/>
        <w:widowControl w:val="0"/>
        <w:numPr>
          <w:ilvl w:val="0"/>
          <w:numId w:val="0"/>
        </w:numPr>
        <w:kinsoku/>
        <w:wordWrap/>
        <w:overflowPunct/>
        <w:topLinePunct w:val="0"/>
        <w:autoSpaceDE/>
        <w:autoSpaceDN/>
        <w:bidi w:val="0"/>
        <w:adjustRightInd/>
        <w:snapToGrid/>
        <w:spacing w:beforeLines="0" w:beforeAutospacing="0" w:afterLines="0" w:afterAutospacing="0" w:line="560" w:lineRule="exact"/>
        <w:ind w:firstLine="640" w:firstLineChars="200"/>
        <w:jc w:val="both"/>
        <w:textAlignment w:val="auto"/>
        <w:outlineLvl w:val="9"/>
        <w:rPr>
          <w:rFonts w:hint="eastAsia" w:ascii="黑体" w:hAnsi="黑体" w:eastAsia="黑体" w:cs="黑体"/>
          <w:b/>
          <w:color w:val="auto"/>
          <w:kern w:val="2"/>
          <w:sz w:val="32"/>
          <w:szCs w:val="32"/>
          <w:highlight w:val="none"/>
          <w:lang w:val="en-US" w:eastAsia="zh-CN" w:bidi="ar-SA"/>
        </w:rPr>
      </w:pPr>
      <w:r>
        <w:rPr>
          <w:rFonts w:hint="eastAsia" w:ascii="仿宋_GB2312" w:hAnsi="仿宋_GB2312" w:eastAsia="仿宋_GB2312" w:cs="仿宋_GB2312"/>
          <w:color w:val="auto"/>
          <w:sz w:val="32"/>
          <w:szCs w:val="32"/>
          <w:lang w:val="en-US" w:eastAsia="zh-CN"/>
        </w:rPr>
        <w:t>深化实施科技创新赋能民生工程，加快推动科技创新在医疗服务、创新创业、科技扶贫与乡村振兴等民生领域的应用。持续注入科技支撑，系统推进城市医疗健康功能提质、人文活力激发、科技扶贫与乡村振兴见效，让科技创新红利精准惠及民生各领域，持续增强群众获得感与幸福感。</w:t>
      </w:r>
    </w:p>
    <w:p>
      <w:pPr>
        <w:numPr>
          <w:ilvl w:val="0"/>
          <w:numId w:val="9"/>
        </w:numPr>
        <w:bidi w:val="0"/>
        <w:spacing w:beforeLines="0" w:afterLines="0" w:line="560" w:lineRule="exact"/>
        <w:ind w:left="0" w:leftChars="0" w:firstLine="642" w:firstLineChars="200"/>
        <w:outlineLvl w:val="3"/>
        <w:rPr>
          <w:rFonts w:hint="default" w:eastAsia="仿宋_GB2312" w:asciiTheme="minorAscii" w:hAnsiTheme="minorAscii"/>
          <w:b/>
          <w:bCs/>
          <w:color w:val="auto"/>
          <w:sz w:val="32"/>
          <w:highlight w:val="none"/>
          <w:lang w:val="en-US" w:eastAsia="zh-CN"/>
        </w:rPr>
      </w:pPr>
      <w:r>
        <w:rPr>
          <w:rFonts w:hint="eastAsia" w:eastAsia="仿宋_GB2312" w:asciiTheme="minorAscii" w:hAnsiTheme="minorAscii" w:cstheme="minorBidi"/>
          <w:b/>
          <w:bCs/>
          <w:i w:val="0"/>
          <w:iCs w:val="0"/>
          <w:caps w:val="0"/>
          <w:color w:val="auto"/>
          <w:spacing w:val="0"/>
          <w:sz w:val="32"/>
          <w:szCs w:val="24"/>
          <w:highlight w:val="none"/>
          <w:shd w:val="clear" w:fill="auto"/>
        </w:rPr>
        <w:t>科技创新赋能医疗服务</w:t>
      </w:r>
      <w:r>
        <w:rPr>
          <w:rFonts w:hint="eastAsia" w:eastAsia="仿宋_GB2312" w:asciiTheme="minorAscii" w:hAnsiTheme="minorAscii" w:cstheme="minorBidi"/>
          <w:b/>
          <w:bCs/>
          <w:i w:val="0"/>
          <w:iCs w:val="0"/>
          <w:caps w:val="0"/>
          <w:color w:val="auto"/>
          <w:spacing w:val="0"/>
          <w:sz w:val="32"/>
          <w:szCs w:val="24"/>
          <w:highlight w:val="none"/>
          <w:shd w:val="clear" w:fill="auto"/>
          <w:lang w:val="en-US" w:eastAsia="zh-CN"/>
        </w:rPr>
        <w:t>提质</w:t>
      </w:r>
    </w:p>
    <w:p>
      <w:pPr>
        <w:pStyle w:val="18"/>
        <w:keepNext w:val="0"/>
        <w:keepLines w:val="0"/>
        <w:pageBreakBefore w:val="0"/>
        <w:widowControl w:val="0"/>
        <w:kinsoku/>
        <w:wordWrap/>
        <w:overflowPunct/>
        <w:topLinePunct w:val="0"/>
        <w:autoSpaceDE/>
        <w:autoSpaceDN/>
        <w:bidi w:val="0"/>
        <w:adjustRightInd/>
        <w:snapToGrid/>
        <w:spacing w:beforeLines="0" w:after="0" w:afterLines="0" w:line="560" w:lineRule="exact"/>
        <w:ind w:left="0" w:leftChars="0" w:firstLine="642" w:firstLineChars="200"/>
        <w:textAlignment w:val="auto"/>
        <w:rPr>
          <w:rFonts w:hint="eastAsia" w:ascii="仿宋_GB2312" w:hAnsi="仿宋_GB2312" w:eastAsia="仿宋_GB2312" w:cs="仿宋_GB2312"/>
          <w:color w:val="auto"/>
          <w:kern w:val="2"/>
          <w:sz w:val="32"/>
          <w:szCs w:val="32"/>
          <w:highlight w:val="red"/>
          <w:lang w:val="en-US" w:eastAsia="zh-CN" w:bidi="ar-SA"/>
        </w:rPr>
      </w:pPr>
      <w:r>
        <w:rPr>
          <w:rFonts w:hint="eastAsia" w:ascii="仿宋_GB2312" w:hAnsi="仿宋_GB2312" w:eastAsia="仿宋_GB2312" w:cs="仿宋_GB2312"/>
          <w:b/>
          <w:bCs/>
          <w:color w:val="auto"/>
          <w:kern w:val="2"/>
          <w:sz w:val="32"/>
          <w:szCs w:val="32"/>
          <w:lang w:val="en-US" w:eastAsia="zh-CN" w:bidi="ar-SA"/>
        </w:rPr>
        <w:t>开展重大传染病防控的科研攻关。</w:t>
      </w:r>
      <w:r>
        <w:rPr>
          <w:rFonts w:hint="eastAsia" w:ascii="仿宋_GB2312" w:hAnsi="仿宋_GB2312" w:eastAsia="仿宋_GB2312" w:cs="仿宋_GB2312"/>
          <w:color w:val="auto"/>
          <w:kern w:val="2"/>
          <w:sz w:val="32"/>
          <w:szCs w:val="32"/>
          <w:lang w:val="en-US" w:eastAsia="zh-CN" w:bidi="ar-SA"/>
        </w:rPr>
        <w:t>依托紧密型医共体建设成果，构建“监测预警—快速响应—精准救治”的全链条防控体系。一方面，强化呼吸道传染病等疾病的核酸检测能力，确保基层医疗机构能在短时间内完成样本送检并反馈初筛结果。另一方面，针对中老铁路跨境传播风险</w:t>
      </w:r>
      <w:r>
        <w:rPr>
          <w:rFonts w:hint="eastAsia" w:ascii="仿宋_GB2312" w:hAnsi="仿宋_GB2312" w:eastAsia="仿宋_GB2312" w:cs="仿宋_GB2312"/>
          <w:color w:val="auto"/>
          <w:kern w:val="2"/>
          <w:sz w:val="32"/>
          <w:szCs w:val="32"/>
          <w:highlight w:val="none"/>
          <w:lang w:val="en-US" w:eastAsia="zh-CN" w:bidi="ar-SA"/>
        </w:rPr>
        <w:t>，探索与万象、磨憨口岸建立跨境传染病联防联控机制，共享病例数据与防控技术，阻断境外病原体的跨境传播链。</w:t>
      </w:r>
    </w:p>
    <w:p>
      <w:pPr>
        <w:pStyle w:val="18"/>
        <w:keepNext w:val="0"/>
        <w:keepLines w:val="0"/>
        <w:pageBreakBefore w:val="0"/>
        <w:widowControl w:val="0"/>
        <w:kinsoku/>
        <w:wordWrap/>
        <w:overflowPunct/>
        <w:topLinePunct w:val="0"/>
        <w:autoSpaceDE/>
        <w:autoSpaceDN/>
        <w:bidi w:val="0"/>
        <w:adjustRightInd/>
        <w:snapToGrid/>
        <w:spacing w:beforeLines="0" w:after="0" w:afterLines="0" w:line="560" w:lineRule="exact"/>
        <w:ind w:left="0" w:leftChars="0" w:firstLine="642" w:firstLineChars="200"/>
        <w:textAlignment w:val="auto"/>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b/>
          <w:bCs/>
          <w:color w:val="auto"/>
          <w:kern w:val="2"/>
          <w:sz w:val="32"/>
          <w:szCs w:val="32"/>
          <w:lang w:val="en-US" w:eastAsia="zh-CN" w:bidi="ar-SA"/>
        </w:rPr>
        <w:t>慢性病全周期防治与健康管理优化。</w:t>
      </w:r>
      <w:r>
        <w:rPr>
          <w:rFonts w:hint="eastAsia" w:ascii="仿宋_GB2312" w:hAnsi="仿宋_GB2312" w:eastAsia="仿宋_GB2312" w:cs="仿宋_GB2312"/>
          <w:color w:val="auto"/>
          <w:kern w:val="2"/>
          <w:sz w:val="32"/>
          <w:szCs w:val="32"/>
          <w:lang w:val="en-US" w:eastAsia="zh-CN" w:bidi="ar-SA"/>
        </w:rPr>
        <w:t>搭建基层医疗机构慢病管理基础平台，整合门诊诊疗、体检及居民自测基础健康数据，实现慢性病患者从筛查、诊疗到随访的全流程数据可追溯。配置移动健康筛查车，针对老年人、慢性病患者等重点人群开展“流动式”免费健康筛查，同步完善纸质健康档案电子化录入，建立规范统一的电子健康档案数据库。建立上下级医院专科协作机制，以上级医院专科医生定期下沉指导、远程会诊基础通道为核心，针对癌症及心脑血管疾病开展标准化早筛服务，统一筛查流程、共享检查报告提升早诊效率。</w:t>
      </w:r>
    </w:p>
    <w:p>
      <w:pPr>
        <w:pStyle w:val="17"/>
        <w:keepNext w:val="0"/>
        <w:keepLines w:val="0"/>
        <w:pageBreakBefore w:val="0"/>
        <w:widowControl w:val="0"/>
        <w:kinsoku/>
        <w:wordWrap/>
        <w:overflowPunct/>
        <w:topLinePunct w:val="0"/>
        <w:autoSpaceDE/>
        <w:autoSpaceDN/>
        <w:bidi w:val="0"/>
        <w:adjustRightInd/>
        <w:snapToGrid/>
        <w:spacing w:beforeLines="0" w:after="0" w:afterLines="0" w:line="560" w:lineRule="exact"/>
        <w:ind w:left="0" w:leftChars="0" w:firstLine="642" w:firstLineChars="200"/>
        <w:textAlignment w:val="auto"/>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b/>
          <w:bCs/>
          <w:color w:val="auto"/>
          <w:kern w:val="2"/>
          <w:sz w:val="32"/>
          <w:szCs w:val="32"/>
          <w:lang w:val="en-US" w:eastAsia="zh-CN" w:bidi="ar-SA"/>
        </w:rPr>
        <w:t>开展职业病精准防控与应急救治机制。</w:t>
      </w:r>
      <w:r>
        <w:rPr>
          <w:rFonts w:hint="eastAsia" w:ascii="仿宋_GB2312" w:hAnsi="仿宋_GB2312" w:eastAsia="仿宋_GB2312" w:cs="仿宋_GB2312"/>
          <w:color w:val="auto"/>
          <w:kern w:val="2"/>
          <w:sz w:val="32"/>
          <w:szCs w:val="32"/>
          <w:lang w:val="en-US" w:eastAsia="zh-CN" w:bidi="ar-SA"/>
        </w:rPr>
        <w:t>针对磷化工等传统行业，引入智能筛查技术实现高危岗位年度筛查全覆盖；构建园区物联网监管平台，实时监测粉尘、氟化氢浓度，通过AI预警提升尘肺病、化学灼伤等职业病的早期防治效能；针对花卉行业，推动花卉主产区移动式智能筛查站的建设，配备便携设备实现“采样—检测—干预”一站式服务，开发农药中毒应急救治网络，确保中毒患者在30分钟内得到有效处置。</w:t>
      </w:r>
    </w:p>
    <w:p>
      <w:pPr>
        <w:pStyle w:val="17"/>
        <w:keepNext w:val="0"/>
        <w:keepLines w:val="0"/>
        <w:pageBreakBefore w:val="0"/>
        <w:widowControl w:val="0"/>
        <w:kinsoku/>
        <w:wordWrap/>
        <w:overflowPunct/>
        <w:topLinePunct w:val="0"/>
        <w:autoSpaceDE/>
        <w:autoSpaceDN/>
        <w:bidi w:val="0"/>
        <w:adjustRightInd/>
        <w:snapToGrid/>
        <w:spacing w:beforeLines="0" w:after="0" w:afterLines="0" w:line="560" w:lineRule="exact"/>
        <w:ind w:left="0" w:leftChars="0" w:firstLine="642" w:firstLineChars="200"/>
        <w:textAlignment w:val="auto"/>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b/>
          <w:bCs/>
          <w:color w:val="auto"/>
          <w:kern w:val="2"/>
          <w:sz w:val="32"/>
          <w:szCs w:val="32"/>
          <w:lang w:val="en-US" w:eastAsia="zh-CN" w:bidi="ar-SA"/>
        </w:rPr>
        <w:t>推动数字化智慧医疗技术示范应用。</w:t>
      </w:r>
      <w:r>
        <w:rPr>
          <w:rFonts w:hint="eastAsia" w:ascii="仿宋_GB2312" w:hAnsi="仿宋_GB2312" w:eastAsia="仿宋_GB2312" w:cs="仿宋_GB2312"/>
          <w:color w:val="auto"/>
          <w:kern w:val="2"/>
          <w:sz w:val="32"/>
          <w:szCs w:val="32"/>
          <w:lang w:val="en-US" w:eastAsia="zh-CN" w:bidi="ar-SA"/>
        </w:rPr>
        <w:t>开展智能医学影像识别、人工智能辅助诊疗等先进技术和产品在多种医疗场景下的应用。引入人工智能、5G、云计算、物联网等技术，加快推进互联网医院建设，开发智能化的新型诊疗解决方案，构建多学科交叉融合的移动医疗和远程医疗服务体系。推进智能健康装备、可穿戴医疗设备的便民应用。</w:t>
      </w:r>
    </w:p>
    <w:p>
      <w:pPr>
        <w:numPr>
          <w:ilvl w:val="0"/>
          <w:numId w:val="9"/>
        </w:numPr>
        <w:bidi w:val="0"/>
        <w:spacing w:beforeLines="0" w:afterLines="0" w:line="560" w:lineRule="exact"/>
        <w:ind w:left="0" w:leftChars="0" w:firstLine="642" w:firstLineChars="200"/>
        <w:outlineLvl w:val="3"/>
        <w:rPr>
          <w:rFonts w:hint="default" w:eastAsia="仿宋_GB2312" w:asciiTheme="minorAscii" w:hAnsiTheme="minorAscii"/>
          <w:b/>
          <w:bCs/>
          <w:color w:val="auto"/>
          <w:sz w:val="32"/>
          <w:highlight w:val="none"/>
          <w:lang w:val="en-US" w:eastAsia="zh-CN"/>
        </w:rPr>
      </w:pPr>
      <w:r>
        <w:rPr>
          <w:rFonts w:hint="eastAsia" w:eastAsia="仿宋_GB2312" w:asciiTheme="minorAscii" w:hAnsiTheme="minorAscii"/>
          <w:b/>
          <w:bCs/>
          <w:color w:val="auto"/>
          <w:sz w:val="32"/>
          <w:highlight w:val="none"/>
          <w:lang w:val="en-US" w:eastAsia="zh-CN"/>
        </w:rPr>
        <w:t>科技驱动创新创业生态建设</w:t>
      </w:r>
    </w:p>
    <w:p>
      <w:pPr>
        <w:keepNext w:val="0"/>
        <w:keepLines w:val="0"/>
        <w:pageBreakBefore w:val="0"/>
        <w:widowControl w:val="0"/>
        <w:kinsoku/>
        <w:wordWrap/>
        <w:overflowPunct/>
        <w:topLinePunct w:val="0"/>
        <w:autoSpaceDE/>
        <w:autoSpaceDN/>
        <w:bidi w:val="0"/>
        <w:adjustRightInd/>
        <w:snapToGrid/>
        <w:spacing w:beforeLines="0" w:afterLines="0" w:line="560" w:lineRule="exact"/>
        <w:ind w:firstLine="642" w:firstLineChars="200"/>
        <w:jc w:val="left"/>
        <w:textAlignment w:val="auto"/>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b/>
          <w:bCs/>
          <w:color w:val="auto"/>
          <w:kern w:val="2"/>
          <w:sz w:val="32"/>
          <w:szCs w:val="32"/>
          <w:lang w:val="en-US" w:eastAsia="zh-CN" w:bidi="ar-SA"/>
        </w:rPr>
        <w:t>强化企业创新主体与孵化生态构建。</w:t>
      </w:r>
      <w:r>
        <w:rPr>
          <w:rFonts w:hint="eastAsia" w:ascii="仿宋_GB2312" w:hAnsi="仿宋_GB2312" w:eastAsia="仿宋_GB2312" w:cs="仿宋_GB2312"/>
          <w:color w:val="auto"/>
          <w:kern w:val="2"/>
          <w:sz w:val="32"/>
          <w:szCs w:val="32"/>
          <w:lang w:val="en-US" w:eastAsia="zh-CN" w:bidi="ar-SA"/>
        </w:rPr>
        <w:t>加快构建以企业为核心的技术创新体系，引导本地龙头企业加大研发投入，探索“产学研用”协同机制，重点培育技术领先、成长性强的创新型企业集群与科技“小巨人”企业，支持民营企业向“专、精、特、新”方向转型。建设多元化科技众创空间，构建涵盖企业主导型、“科技+融资”型、开放空间型等多模式的新型孵化器，配套建设面向中小科技企业的公共服务平台，提供研发设计、检验检测、知识产权等全周期服务，打造“创业苗圃—孵化器—加速器”贯通的创新孵化链条。</w:t>
      </w:r>
    </w:p>
    <w:p>
      <w:pPr>
        <w:keepNext w:val="0"/>
        <w:keepLines w:val="0"/>
        <w:pageBreakBefore w:val="0"/>
        <w:widowControl w:val="0"/>
        <w:kinsoku/>
        <w:wordWrap/>
        <w:overflowPunct/>
        <w:topLinePunct w:val="0"/>
        <w:autoSpaceDE/>
        <w:autoSpaceDN/>
        <w:bidi w:val="0"/>
        <w:adjustRightInd/>
        <w:snapToGrid/>
        <w:spacing w:beforeLines="0" w:afterLines="0" w:line="560" w:lineRule="exact"/>
        <w:ind w:firstLine="642" w:firstLineChars="200"/>
        <w:jc w:val="left"/>
        <w:textAlignment w:val="auto"/>
        <w:rPr>
          <w:rFonts w:hint="eastAsia"/>
          <w:color w:val="auto"/>
          <w:lang w:val="en-US" w:eastAsia="zh-CN"/>
        </w:rPr>
      </w:pPr>
      <w:r>
        <w:rPr>
          <w:rFonts w:hint="eastAsia" w:ascii="仿宋_GB2312" w:hAnsi="仿宋_GB2312" w:eastAsia="仿宋_GB2312" w:cs="仿宋_GB2312"/>
          <w:b/>
          <w:bCs/>
          <w:color w:val="auto"/>
          <w:kern w:val="2"/>
          <w:sz w:val="32"/>
          <w:szCs w:val="32"/>
          <w:lang w:val="en-US" w:eastAsia="zh-CN" w:bidi="ar-SA"/>
        </w:rPr>
        <w:t>深化产学研协同与创新服务网络。</w:t>
      </w:r>
      <w:r>
        <w:rPr>
          <w:rFonts w:hint="eastAsia" w:ascii="仿宋_GB2312" w:hAnsi="仿宋_GB2312" w:eastAsia="仿宋_GB2312" w:cs="仿宋_GB2312"/>
          <w:color w:val="auto"/>
          <w:kern w:val="2"/>
          <w:sz w:val="32"/>
          <w:szCs w:val="32"/>
          <w:lang w:val="en-US" w:eastAsia="zh-CN" w:bidi="ar-SA"/>
        </w:rPr>
        <w:t>鼓励区内科技企业孵化器、高新技术企业联合省内外高校院所、行业龙头企业，共建技术创新联盟与产学研联合体，围绕产业关键技术攻关、成果转化落地形成协同创新合力。重点打造科技型中小企业创业投资、科技服务、人才交流等公共服务平台，完善“政产学研用”对接机制，为小微企业成长、大学生创业提供政策咨询、融资对接、创业培训等专业化服务，为晋宁产业升级和高质量发展注入动能。</w:t>
      </w:r>
    </w:p>
    <w:p>
      <w:pPr>
        <w:numPr>
          <w:ilvl w:val="0"/>
          <w:numId w:val="9"/>
        </w:numPr>
        <w:bidi w:val="0"/>
        <w:spacing w:beforeLines="0" w:afterLines="0" w:line="560" w:lineRule="exact"/>
        <w:ind w:left="0" w:leftChars="0" w:firstLine="642" w:firstLineChars="200"/>
        <w:outlineLvl w:val="3"/>
        <w:rPr>
          <w:rFonts w:hint="eastAsia" w:eastAsia="仿宋_GB2312" w:asciiTheme="minorAscii" w:hAnsiTheme="minorAscii"/>
          <w:b/>
          <w:bCs/>
          <w:color w:val="auto"/>
          <w:sz w:val="32"/>
          <w:highlight w:val="none"/>
          <w:lang w:val="en-US" w:eastAsia="zh-CN"/>
        </w:rPr>
      </w:pPr>
      <w:r>
        <w:rPr>
          <w:rFonts w:hint="eastAsia" w:eastAsia="仿宋_GB2312" w:asciiTheme="minorAscii" w:hAnsiTheme="minorAscii"/>
          <w:b/>
          <w:bCs/>
          <w:color w:val="auto"/>
          <w:sz w:val="32"/>
          <w:highlight w:val="none"/>
          <w:lang w:val="en-US" w:eastAsia="zh-CN"/>
        </w:rPr>
        <w:t>科技扶贫与乡村振兴</w:t>
      </w:r>
    </w:p>
    <w:p>
      <w:pPr>
        <w:keepNext w:val="0"/>
        <w:keepLines w:val="0"/>
        <w:pageBreakBefore w:val="0"/>
        <w:widowControl w:val="0"/>
        <w:kinsoku/>
        <w:wordWrap/>
        <w:overflowPunct/>
        <w:topLinePunct w:val="0"/>
        <w:autoSpaceDE/>
        <w:autoSpaceDN/>
        <w:bidi w:val="0"/>
        <w:adjustRightInd/>
        <w:snapToGrid/>
        <w:spacing w:beforeLines="0" w:afterLines="0" w:line="560" w:lineRule="exact"/>
        <w:ind w:firstLine="642" w:firstLineChars="200"/>
        <w:jc w:val="left"/>
        <w:textAlignment w:val="auto"/>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b/>
          <w:bCs/>
          <w:color w:val="auto"/>
          <w:kern w:val="2"/>
          <w:sz w:val="32"/>
          <w:szCs w:val="32"/>
          <w:lang w:val="en-US" w:eastAsia="zh-CN" w:bidi="ar-SA"/>
        </w:rPr>
        <w:t>特色产业与科技赋能。</w:t>
      </w:r>
      <w:r>
        <w:rPr>
          <w:rFonts w:hint="eastAsia" w:ascii="仿宋_GB2312" w:hAnsi="仿宋_GB2312" w:eastAsia="仿宋_GB2312" w:cs="仿宋_GB2312"/>
          <w:color w:val="auto"/>
          <w:kern w:val="2"/>
          <w:sz w:val="32"/>
          <w:szCs w:val="32"/>
          <w:lang w:val="en-US" w:eastAsia="zh-CN" w:bidi="ar-SA"/>
        </w:rPr>
        <w:t>强化农技协桥梁纽带作用，扶持基层农技协发展。在中药材、蔬菜、花卉等领域推广智能水肥一体化、立体栽培等新种植技术，引进高附加值品种；建设标准化示范基地，通过“协会+基地+农户”机制带动产业结构调整，实现规模化种植。鼓励协会牵头组建产业联盟，制定特色农产品团体标准，搭建质量追溯体系，推动与电商平台、批发市场精准对接，提升农产品商品化率和附加值。</w:t>
      </w:r>
    </w:p>
    <w:p>
      <w:pPr>
        <w:keepNext w:val="0"/>
        <w:keepLines w:val="0"/>
        <w:pageBreakBefore w:val="0"/>
        <w:widowControl w:val="0"/>
        <w:kinsoku/>
        <w:wordWrap/>
        <w:overflowPunct/>
        <w:topLinePunct w:val="0"/>
        <w:autoSpaceDE/>
        <w:autoSpaceDN/>
        <w:bidi w:val="0"/>
        <w:adjustRightInd/>
        <w:snapToGrid/>
        <w:spacing w:beforeLines="0" w:afterLines="0" w:line="560" w:lineRule="exact"/>
        <w:ind w:firstLine="642" w:firstLineChars="200"/>
        <w:jc w:val="left"/>
        <w:textAlignment w:val="auto"/>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b/>
          <w:bCs/>
          <w:color w:val="auto"/>
          <w:kern w:val="2"/>
          <w:sz w:val="32"/>
          <w:szCs w:val="32"/>
          <w:lang w:val="en-US" w:eastAsia="zh-CN" w:bidi="ar-SA"/>
        </w:rPr>
        <w:t>民生改善关键技术应用。</w:t>
      </w:r>
      <w:r>
        <w:rPr>
          <w:rFonts w:hint="eastAsia" w:ascii="仿宋_GB2312" w:hAnsi="仿宋_GB2312" w:eastAsia="仿宋_GB2312" w:cs="仿宋_GB2312"/>
          <w:color w:val="auto"/>
          <w:kern w:val="2"/>
          <w:sz w:val="32"/>
          <w:szCs w:val="32"/>
          <w:lang w:val="en-US" w:eastAsia="zh-CN" w:bidi="ar-SA"/>
        </w:rPr>
        <w:t>针对资源禀赋差异精准施策。推广光伏应用、智慧灌溉及配套储能设备，解决农田灌溉难题；布局农产品深加工技术链条，建设产地预冷中心和自动化加工生产线，引入先进工艺延长特色农产品保鲜期；同步推进农业废弃物资源化利用技术，建成综合处理站点，为乡村产业提质和民生改善提供全链条技术支撑。</w:t>
      </w:r>
    </w:p>
    <w:p>
      <w:pPr>
        <w:keepNext w:val="0"/>
        <w:keepLines w:val="0"/>
        <w:pageBreakBefore w:val="0"/>
        <w:widowControl w:val="0"/>
        <w:kinsoku/>
        <w:wordWrap/>
        <w:overflowPunct/>
        <w:topLinePunct w:val="0"/>
        <w:autoSpaceDE/>
        <w:autoSpaceDN/>
        <w:bidi w:val="0"/>
        <w:adjustRightInd/>
        <w:snapToGrid/>
        <w:spacing w:beforeLines="0" w:afterLines="0" w:line="560" w:lineRule="exact"/>
        <w:ind w:firstLine="642" w:firstLineChars="200"/>
        <w:jc w:val="left"/>
        <w:textAlignment w:val="auto"/>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b/>
          <w:bCs/>
          <w:color w:val="auto"/>
          <w:kern w:val="2"/>
          <w:sz w:val="32"/>
          <w:szCs w:val="32"/>
          <w:lang w:val="en-US" w:eastAsia="zh-CN" w:bidi="ar-SA"/>
        </w:rPr>
        <w:t>科技服务与人才下沉。</w:t>
      </w:r>
      <w:r>
        <w:rPr>
          <w:rFonts w:hint="eastAsia" w:ascii="仿宋_GB2312" w:hAnsi="仿宋_GB2312" w:eastAsia="仿宋_GB2312" w:cs="仿宋_GB2312"/>
          <w:color w:val="auto"/>
          <w:kern w:val="2"/>
          <w:sz w:val="32"/>
          <w:szCs w:val="32"/>
          <w:lang w:val="en-US" w:eastAsia="zh-CN" w:bidi="ar-SA"/>
        </w:rPr>
        <w:t>深化农函大培训品牌效应，结合山区产业结构与市场需求，开设花卉栽培、农机维修、中式烹饪、家政服务等定向培训班。创新“课堂+基地+市场”三段式教学，将农函大课程嵌入各农业科技小院的实训课程。健全农民技术职称评定机制，建立由高校教授、企业工程师、乡土专家组成的评审委员会，重点评定种植、养殖、农产品加工等领域实用人才，纳入区人才库管理并给予项目申报、创业贴息等政策倾斜。</w:t>
      </w:r>
    </w:p>
    <w:p>
      <w:pPr>
        <w:keepNext w:val="0"/>
        <w:keepLines w:val="0"/>
        <w:pageBreakBefore w:val="0"/>
        <w:widowControl w:val="0"/>
        <w:kinsoku/>
        <w:wordWrap/>
        <w:overflowPunct/>
        <w:topLinePunct w:val="0"/>
        <w:autoSpaceDE/>
        <w:autoSpaceDN/>
        <w:bidi w:val="0"/>
        <w:adjustRightInd/>
        <w:snapToGrid/>
        <w:spacing w:beforeLines="0" w:afterLines="0" w:line="560" w:lineRule="exact"/>
        <w:ind w:firstLine="642" w:firstLineChars="200"/>
        <w:jc w:val="left"/>
        <w:textAlignment w:val="auto"/>
        <w:rPr>
          <w:rFonts w:hint="eastAsia" w:ascii="黑体" w:hAnsi="黑体" w:eastAsia="黑体" w:cs="黑体"/>
          <w:b/>
          <w:color w:val="auto"/>
          <w:kern w:val="2"/>
          <w:sz w:val="32"/>
          <w:szCs w:val="32"/>
          <w:highlight w:val="none"/>
          <w:lang w:val="en-US" w:eastAsia="zh-CN" w:bidi="ar-SA"/>
        </w:rPr>
      </w:pPr>
      <w:r>
        <w:rPr>
          <w:rFonts w:hint="eastAsia" w:ascii="仿宋_GB2312" w:hAnsi="仿宋_GB2312" w:eastAsia="仿宋_GB2312" w:cs="仿宋_GB2312"/>
          <w:b/>
          <w:bCs/>
          <w:color w:val="auto"/>
          <w:kern w:val="2"/>
          <w:sz w:val="32"/>
          <w:szCs w:val="32"/>
          <w:lang w:val="en-US" w:eastAsia="zh-CN" w:bidi="ar-SA"/>
        </w:rPr>
        <w:t>数字技术与乡村振兴。</w:t>
      </w:r>
      <w:r>
        <w:rPr>
          <w:rFonts w:hint="eastAsia" w:ascii="仿宋_GB2312" w:hAnsi="仿宋_GB2312" w:eastAsia="仿宋_GB2312" w:cs="仿宋_GB2312"/>
          <w:color w:val="auto"/>
          <w:kern w:val="2"/>
          <w:sz w:val="32"/>
          <w:szCs w:val="32"/>
          <w:lang w:val="en-US" w:eastAsia="zh-CN" w:bidi="ar-SA"/>
        </w:rPr>
        <w:t>全面推进5G网络、农业物联网传感器等数字基础设施建设，搭建农业大数据平台实现农情智能监测与决策；整合智能分拣、冷链物流系统提升农产品线上流通效率；试点“数字孪生乡村”项目，探索三维建模与AR技术赋能乡村规划和文旅体验；探索实施“新农人数字技能培育工程”，联合电商平台开展直播带货培训，打造“短视频+直播”营销队伍，推动山区农产品网络销售与数字技术应用深度结合，为乡村振兴注入数字动能。</w:t>
      </w:r>
    </w:p>
    <w:p>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560" w:lineRule="exact"/>
        <w:textAlignment w:val="auto"/>
        <w:outlineLvl w:val="2"/>
        <w:rPr>
          <w:rFonts w:hint="eastAsia" w:ascii="黑体" w:hAnsi="黑体" w:eastAsia="黑体" w:cs="黑体"/>
          <w:b/>
          <w:color w:val="auto"/>
          <w:kern w:val="2"/>
          <w:sz w:val="32"/>
          <w:szCs w:val="32"/>
          <w:highlight w:val="none"/>
          <w:lang w:val="en-US" w:eastAsia="zh-CN" w:bidi="ar-SA"/>
        </w:rPr>
      </w:pPr>
      <w:bookmarkStart w:id="16" w:name="_Toc27146"/>
      <w:r>
        <w:rPr>
          <w:rFonts w:hint="eastAsia" w:ascii="黑体" w:hAnsi="黑体" w:eastAsia="黑体" w:cs="黑体"/>
          <w:b/>
          <w:color w:val="auto"/>
          <w:kern w:val="2"/>
          <w:sz w:val="32"/>
          <w:szCs w:val="32"/>
          <w:highlight w:val="none"/>
          <w:lang w:val="en-US" w:eastAsia="zh-CN" w:bidi="ar-SA"/>
        </w:rPr>
        <w:t xml:space="preserve">    （五）科技创新赋能生态保护</w:t>
      </w:r>
      <w:bookmarkEnd w:id="16"/>
    </w:p>
    <w:p>
      <w:pPr>
        <w:numPr>
          <w:ilvl w:val="0"/>
          <w:numId w:val="10"/>
        </w:numPr>
        <w:bidi w:val="0"/>
        <w:spacing w:beforeLines="0" w:afterLines="0" w:line="560" w:lineRule="exact"/>
        <w:ind w:left="0" w:leftChars="0" w:firstLine="642" w:firstLineChars="200"/>
        <w:outlineLvl w:val="3"/>
        <w:rPr>
          <w:rFonts w:hint="default" w:eastAsia="仿宋_GB2312" w:asciiTheme="minorAscii" w:hAnsiTheme="minorAscii"/>
          <w:b/>
          <w:bCs/>
          <w:color w:val="auto"/>
          <w:sz w:val="32"/>
          <w:highlight w:val="none"/>
          <w:lang w:val="en-US" w:eastAsia="zh-CN"/>
        </w:rPr>
      </w:pPr>
      <w:r>
        <w:rPr>
          <w:rFonts w:hint="eastAsia" w:eastAsia="仿宋_GB2312" w:asciiTheme="minorAscii" w:hAnsiTheme="minorAscii"/>
          <w:b/>
          <w:bCs/>
          <w:color w:val="auto"/>
          <w:sz w:val="32"/>
          <w:highlight w:val="none"/>
          <w:lang w:val="en-US" w:eastAsia="zh-CN"/>
        </w:rPr>
        <w:t>绿色低碳领域创新技术攻关</w:t>
      </w:r>
    </w:p>
    <w:p>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560" w:lineRule="exact"/>
        <w:ind w:firstLine="640" w:firstLineChars="200"/>
        <w:jc w:val="both"/>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绿色低碳领域科技创新围绕磷化工、花卉农业、文旅康养、现代物流等主导产业，重点开展以下绿色低碳关键技术攻关：</w:t>
      </w:r>
      <w:r>
        <w:rPr>
          <w:rFonts w:hint="eastAsia" w:ascii="仿宋_GB2312" w:hAnsi="仿宋_GB2312" w:eastAsia="仿宋_GB2312" w:cs="仿宋_GB2312"/>
          <w:b/>
          <w:bCs/>
          <w:color w:val="auto"/>
          <w:sz w:val="32"/>
          <w:szCs w:val="32"/>
          <w:lang w:val="en-US" w:eastAsia="zh-CN"/>
        </w:rPr>
        <w:t>磷化工</w:t>
      </w:r>
      <w:r>
        <w:rPr>
          <w:rFonts w:hint="eastAsia" w:ascii="仿宋_GB2312" w:hAnsi="仿宋_GB2312" w:eastAsia="仿宋_GB2312" w:cs="仿宋_GB2312"/>
          <w:color w:val="auto"/>
          <w:sz w:val="32"/>
          <w:szCs w:val="32"/>
          <w:lang w:val="en-US" w:eastAsia="zh-CN"/>
        </w:rPr>
        <w:t>领域，突破高效选矿与资源回收、矿山绿色开采、磷石膏制备高强建材等关键技术，实现绿色工业；</w:t>
      </w:r>
      <w:r>
        <w:rPr>
          <w:rFonts w:hint="eastAsia" w:ascii="仿宋_GB2312" w:hAnsi="仿宋_GB2312" w:eastAsia="仿宋_GB2312" w:cs="仿宋_GB2312"/>
          <w:b/>
          <w:bCs/>
          <w:color w:val="auto"/>
          <w:sz w:val="32"/>
          <w:szCs w:val="32"/>
          <w:lang w:val="en-US" w:eastAsia="zh-CN"/>
        </w:rPr>
        <w:t>农业花卉</w:t>
      </w:r>
      <w:r>
        <w:rPr>
          <w:rFonts w:hint="eastAsia" w:ascii="仿宋_GB2312" w:hAnsi="仿宋_GB2312" w:eastAsia="仿宋_GB2312" w:cs="仿宋_GB2312"/>
          <w:color w:val="auto"/>
          <w:sz w:val="32"/>
          <w:szCs w:val="32"/>
          <w:lang w:val="en-US" w:eastAsia="zh-CN"/>
        </w:rPr>
        <w:t>领域，探索智能环境调控、水肥循环、废弃物资源化利用技术，实现绿色节能农业；</w:t>
      </w:r>
      <w:r>
        <w:rPr>
          <w:rFonts w:hint="eastAsia" w:ascii="仿宋_GB2312" w:hAnsi="仿宋_GB2312" w:eastAsia="仿宋_GB2312" w:cs="仿宋_GB2312"/>
          <w:b/>
          <w:bCs/>
          <w:color w:val="auto"/>
          <w:sz w:val="32"/>
          <w:szCs w:val="32"/>
          <w:lang w:val="en-US" w:eastAsia="zh-CN"/>
        </w:rPr>
        <w:t>文旅康养</w:t>
      </w:r>
      <w:r>
        <w:rPr>
          <w:rFonts w:hint="eastAsia" w:ascii="仿宋_GB2312" w:hAnsi="仿宋_GB2312" w:eastAsia="仿宋_GB2312" w:cs="仿宋_GB2312"/>
          <w:color w:val="auto"/>
          <w:sz w:val="32"/>
          <w:szCs w:val="32"/>
          <w:lang w:val="en-US" w:eastAsia="zh-CN"/>
        </w:rPr>
        <w:t>领域，探索绿色建筑、循环建造以及分布式光伏与储能协同技术，推动零碳社区与生态碳汇价值转化；</w:t>
      </w:r>
      <w:r>
        <w:rPr>
          <w:rFonts w:hint="eastAsia" w:ascii="仿宋_GB2312" w:hAnsi="仿宋_GB2312" w:eastAsia="仿宋_GB2312" w:cs="仿宋_GB2312"/>
          <w:b/>
          <w:bCs/>
          <w:color w:val="auto"/>
          <w:sz w:val="32"/>
          <w:szCs w:val="32"/>
          <w:lang w:val="en-US" w:eastAsia="zh-CN"/>
        </w:rPr>
        <w:t>现代物流</w:t>
      </w:r>
      <w:r>
        <w:rPr>
          <w:rFonts w:hint="eastAsia" w:ascii="仿宋_GB2312" w:hAnsi="仿宋_GB2312" w:eastAsia="仿宋_GB2312" w:cs="仿宋_GB2312"/>
          <w:color w:val="auto"/>
          <w:sz w:val="32"/>
          <w:szCs w:val="32"/>
          <w:lang w:val="en-US" w:eastAsia="zh-CN"/>
        </w:rPr>
        <w:t>领域，探索新能源运输装备应用、绿色仓储设施建设等技术，打造陆港枢纽与绿色供应链深度融合的产业格局。</w:t>
      </w:r>
    </w:p>
    <w:p>
      <w:pPr>
        <w:keepNext w:val="0"/>
        <w:keepLines w:val="0"/>
        <w:pageBreakBefore w:val="0"/>
        <w:widowControl w:val="0"/>
        <w:numPr>
          <w:ilvl w:val="-1"/>
          <w:numId w:val="0"/>
        </w:numPr>
        <w:kinsoku/>
        <w:wordWrap/>
        <w:overflowPunct/>
        <w:topLinePunct w:val="0"/>
        <w:autoSpaceDE/>
        <w:autoSpaceDN/>
        <w:bidi w:val="0"/>
        <w:adjustRightInd/>
        <w:snapToGrid/>
        <w:spacing w:beforeLines="0" w:afterLines="0" w:line="560" w:lineRule="exact"/>
        <w:ind w:firstLine="640" w:firstLineChars="200"/>
        <w:jc w:val="left"/>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b w:val="0"/>
          <w:bCs w:val="0"/>
          <w:color w:val="auto"/>
          <w:kern w:val="2"/>
          <w:sz w:val="32"/>
          <w:szCs w:val="32"/>
          <w:lang w:val="en-US" w:eastAsia="zh-CN" w:bidi="ar-SA"/>
        </w:rPr>
        <w:t>共性技术支撑。探索</w:t>
      </w:r>
      <w:r>
        <w:rPr>
          <w:rFonts w:hint="eastAsia" w:ascii="仿宋_GB2312" w:hAnsi="仿宋_GB2312" w:eastAsia="仿宋_GB2312" w:cs="仿宋_GB2312"/>
          <w:color w:val="auto"/>
          <w:kern w:val="2"/>
          <w:sz w:val="32"/>
          <w:szCs w:val="32"/>
          <w:lang w:val="en-US" w:eastAsia="zh-CN" w:bidi="ar-SA"/>
        </w:rPr>
        <w:t>分布式能源协同调度技术，实现光伏、储能、充电桩等分布式能源的快速协调控制，提升区域能源利用效率10%</w:t>
      </w:r>
      <w:r>
        <w:rPr>
          <w:rFonts w:hint="eastAsia" w:ascii="仿宋_GB2312" w:hAnsi="仿宋_GB2312" w:eastAsia="仿宋_GB2312" w:cs="仿宋_GB2312"/>
          <w:color w:val="auto"/>
          <w:kern w:val="2"/>
          <w:sz w:val="32"/>
          <w:szCs w:val="32"/>
          <w:highlight w:val="none"/>
          <w:lang w:val="en-US" w:eastAsia="zh-CN" w:bidi="ar-SA"/>
        </w:rPr>
        <w:t>以上</w:t>
      </w:r>
      <w:r>
        <w:rPr>
          <w:rFonts w:hint="eastAsia" w:ascii="仿宋_GB2312" w:hAnsi="仿宋_GB2312" w:eastAsia="仿宋_GB2312" w:cs="仿宋_GB2312"/>
          <w:color w:val="auto"/>
          <w:kern w:val="2"/>
          <w:sz w:val="32"/>
          <w:szCs w:val="32"/>
          <w:lang w:val="en-US" w:eastAsia="zh-CN" w:bidi="ar-SA"/>
        </w:rPr>
        <w:t>；探索碳资产数字化管理技术，开发企业碳账户系统，集成生产、运输、销售全链条碳排放数据，为企业提供碳盘查、碳交易、碳减排一体化解决方案。</w:t>
      </w:r>
    </w:p>
    <w:p>
      <w:pPr>
        <w:numPr>
          <w:ilvl w:val="0"/>
          <w:numId w:val="10"/>
        </w:numPr>
        <w:bidi w:val="0"/>
        <w:spacing w:beforeLines="0" w:afterLines="0" w:line="560" w:lineRule="exact"/>
        <w:ind w:left="0" w:leftChars="0" w:firstLine="642" w:firstLineChars="200"/>
        <w:outlineLvl w:val="3"/>
        <w:rPr>
          <w:rFonts w:hint="eastAsia" w:eastAsia="仿宋_GB2312" w:asciiTheme="minorAscii" w:hAnsiTheme="minorAscii"/>
          <w:b/>
          <w:bCs/>
          <w:color w:val="auto"/>
          <w:sz w:val="32"/>
          <w:highlight w:val="none"/>
          <w:lang w:val="en-US" w:eastAsia="zh-CN"/>
        </w:rPr>
      </w:pPr>
      <w:r>
        <w:rPr>
          <w:rFonts w:hint="eastAsia" w:eastAsia="仿宋_GB2312" w:asciiTheme="minorAscii" w:hAnsiTheme="minorAscii"/>
          <w:b/>
          <w:bCs/>
          <w:color w:val="auto"/>
          <w:sz w:val="32"/>
          <w:highlight w:val="none"/>
          <w:lang w:val="en-US" w:eastAsia="zh-CN"/>
        </w:rPr>
        <w:t>生态保护与治理的科创实践</w:t>
      </w:r>
    </w:p>
    <w:p>
      <w:pPr>
        <w:keepNext w:val="0"/>
        <w:keepLines w:val="0"/>
        <w:pageBreakBefore w:val="0"/>
        <w:widowControl w:val="0"/>
        <w:kinsoku/>
        <w:wordWrap/>
        <w:overflowPunct/>
        <w:topLinePunct w:val="0"/>
        <w:autoSpaceDE/>
        <w:autoSpaceDN/>
        <w:bidi w:val="0"/>
        <w:adjustRightInd/>
        <w:snapToGrid/>
        <w:spacing w:beforeLines="0" w:afterLines="0" w:line="560" w:lineRule="exact"/>
        <w:ind w:firstLine="640" w:firstLineChars="200"/>
        <w:jc w:val="left"/>
        <w:textAlignment w:val="auto"/>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highlight w:val="none"/>
          <w:lang w:val="en-US" w:eastAsia="zh-CN" w:bidi="ar-SA"/>
        </w:rPr>
        <w:t>推进滇池流域生态系统修复，以区域差异为导向实施精准施策，以科技创新为支撑深化基础研究与应用技术攻关，全面提升系统治理效能。在滇池流</w:t>
      </w:r>
      <w:r>
        <w:rPr>
          <w:rFonts w:hint="eastAsia" w:ascii="仿宋_GB2312" w:hAnsi="仿宋_GB2312" w:eastAsia="仿宋_GB2312" w:cs="仿宋_GB2312"/>
          <w:color w:val="auto"/>
          <w:kern w:val="2"/>
          <w:sz w:val="32"/>
          <w:szCs w:val="32"/>
          <w:lang w:val="en-US" w:eastAsia="zh-CN" w:bidi="ar-SA"/>
        </w:rPr>
        <w:t>域智慧治理、矿山生态修复、农业面源污染防控、生物多样性保护等领域，推广应用智能监测网络、AI技术、生态修复技术及数字化管理，深度融合生态保护与发展。</w:t>
      </w:r>
    </w:p>
    <w:tbl>
      <w:tblPr>
        <w:tblStyle w:val="20"/>
        <w:tblW w:w="874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4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49" w:type="dxa"/>
          </w:tcPr>
          <w:p>
            <w:pPr>
              <w:keepNext w:val="0"/>
              <w:keepLines w:val="0"/>
              <w:pageBreakBefore w:val="0"/>
              <w:widowControl w:val="0"/>
              <w:kinsoku/>
              <w:wordWrap/>
              <w:overflowPunct/>
              <w:topLinePunct w:val="0"/>
              <w:autoSpaceDE/>
              <w:autoSpaceDN/>
              <w:bidi w:val="0"/>
              <w:adjustRightInd w:val="0"/>
              <w:snapToGrid/>
              <w:spacing w:beforeLines="0" w:afterLines="0" w:line="300" w:lineRule="auto"/>
              <w:ind w:firstLine="562" w:firstLineChars="200"/>
              <w:jc w:val="center"/>
              <w:textAlignment w:val="auto"/>
              <w:rPr>
                <w:rFonts w:hint="eastAsia" w:ascii="仿宋_GB2312" w:hAnsi="仿宋_GB2312" w:eastAsia="仿宋_GB2312" w:cs="仿宋_GB2312"/>
                <w:b/>
                <w:bCs/>
                <w:color w:val="auto"/>
                <w:kern w:val="2"/>
                <w:sz w:val="28"/>
                <w:szCs w:val="28"/>
                <w:lang w:val="en-US" w:eastAsia="zh-CN" w:bidi="ar-SA"/>
              </w:rPr>
            </w:pPr>
            <w:r>
              <w:rPr>
                <w:rFonts w:hint="eastAsia" w:ascii="仿宋_GB2312" w:hAnsi="仿宋_GB2312" w:eastAsia="仿宋_GB2312" w:cs="仿宋_GB2312"/>
                <w:b/>
                <w:bCs/>
                <w:color w:val="auto"/>
                <w:kern w:val="2"/>
                <w:sz w:val="28"/>
                <w:szCs w:val="28"/>
                <w:lang w:val="en-US" w:eastAsia="zh-CN" w:bidi="ar-SA"/>
              </w:rPr>
              <w:t>专栏7  生态保护与治理重点方向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49" w:type="dxa"/>
          </w:tcPr>
          <w:p>
            <w:pPr>
              <w:keepNext w:val="0"/>
              <w:keepLines w:val="0"/>
              <w:pageBreakBefore w:val="0"/>
              <w:widowControl w:val="0"/>
              <w:kinsoku/>
              <w:wordWrap/>
              <w:overflowPunct/>
              <w:topLinePunct w:val="0"/>
              <w:autoSpaceDE/>
              <w:autoSpaceDN/>
              <w:bidi w:val="0"/>
              <w:adjustRightInd w:val="0"/>
              <w:snapToGrid w:val="0"/>
              <w:spacing w:beforeLines="0" w:afterLines="0" w:line="300" w:lineRule="auto"/>
              <w:ind w:firstLine="562" w:firstLineChars="200"/>
              <w:jc w:val="left"/>
              <w:textAlignment w:val="auto"/>
              <w:rPr>
                <w:rFonts w:hint="eastAsia" w:ascii="仿宋_GB2312" w:hAnsi="仿宋_GB2312" w:eastAsia="仿宋_GB2312" w:cs="仿宋_GB2312"/>
                <w:color w:val="auto"/>
                <w:kern w:val="2"/>
                <w:sz w:val="28"/>
                <w:szCs w:val="28"/>
                <w:lang w:val="en-US" w:eastAsia="zh-CN" w:bidi="ar-SA"/>
              </w:rPr>
            </w:pPr>
            <w:r>
              <w:rPr>
                <w:rFonts w:hint="eastAsia" w:ascii="仿宋_GB2312" w:hAnsi="仿宋_GB2312" w:eastAsia="仿宋_GB2312" w:cs="仿宋_GB2312"/>
                <w:b/>
                <w:bCs/>
                <w:color w:val="auto"/>
                <w:kern w:val="2"/>
                <w:sz w:val="28"/>
                <w:szCs w:val="28"/>
                <w:lang w:val="en-US" w:eastAsia="zh-CN" w:bidi="ar-SA"/>
              </w:rPr>
              <w:t>滇池流域智慧治理，</w:t>
            </w:r>
            <w:r>
              <w:rPr>
                <w:rFonts w:hint="eastAsia" w:ascii="仿宋_GB2312" w:hAnsi="仿宋_GB2312" w:eastAsia="仿宋_GB2312" w:cs="仿宋_GB2312"/>
                <w:b w:val="0"/>
                <w:bCs w:val="0"/>
                <w:color w:val="auto"/>
                <w:kern w:val="2"/>
                <w:sz w:val="28"/>
                <w:szCs w:val="28"/>
                <w:lang w:val="en-US" w:eastAsia="zh-CN" w:bidi="ar-SA"/>
              </w:rPr>
              <w:t>围绕滇池流域山水林田湖草综合治理和生态功能提升需求，融合卫星遥感与地面传感数据，探索</w:t>
            </w:r>
            <w:r>
              <w:rPr>
                <w:rFonts w:hint="eastAsia" w:ascii="仿宋_GB2312" w:hAnsi="仿宋_GB2312" w:eastAsia="仿宋_GB2312" w:cs="仿宋_GB2312"/>
                <w:color w:val="auto"/>
                <w:kern w:val="2"/>
                <w:sz w:val="28"/>
                <w:szCs w:val="28"/>
                <w:lang w:val="en-US" w:eastAsia="zh-CN" w:bidi="ar-SA"/>
              </w:rPr>
              <w:t>构建立体化监测网络。搭建无人机巡河系统与卫星遥感监测平台，实时追踪入滇河道污染物迁移扩散动态；引入AI藻类暴发预警模型实现提前预警，及时启动应急治理；探索运用微生物菌剂与水生植物组合技术，修复受损湖底生态，增强水体自净能力。</w:t>
            </w:r>
          </w:p>
          <w:p>
            <w:pPr>
              <w:keepNext w:val="0"/>
              <w:keepLines w:val="0"/>
              <w:pageBreakBefore w:val="0"/>
              <w:widowControl w:val="0"/>
              <w:kinsoku/>
              <w:wordWrap/>
              <w:overflowPunct/>
              <w:topLinePunct w:val="0"/>
              <w:autoSpaceDE/>
              <w:autoSpaceDN/>
              <w:bidi w:val="0"/>
              <w:adjustRightInd w:val="0"/>
              <w:snapToGrid w:val="0"/>
              <w:spacing w:beforeLines="0" w:afterLines="0" w:line="300" w:lineRule="auto"/>
              <w:ind w:firstLine="562" w:firstLineChars="200"/>
              <w:jc w:val="left"/>
              <w:textAlignment w:val="auto"/>
              <w:rPr>
                <w:rFonts w:hint="eastAsia" w:ascii="仿宋_GB2312" w:hAnsi="仿宋_GB2312" w:eastAsia="仿宋_GB2312" w:cs="仿宋_GB2312"/>
                <w:color w:val="auto"/>
                <w:kern w:val="2"/>
                <w:sz w:val="28"/>
                <w:szCs w:val="28"/>
                <w:lang w:val="en-US" w:eastAsia="zh-CN" w:bidi="ar-SA"/>
              </w:rPr>
            </w:pPr>
            <w:r>
              <w:rPr>
                <w:rFonts w:hint="eastAsia" w:ascii="仿宋_GB2312" w:hAnsi="仿宋_GB2312" w:eastAsia="仿宋_GB2312" w:cs="仿宋_GB2312"/>
                <w:b/>
                <w:bCs/>
                <w:color w:val="auto"/>
                <w:kern w:val="2"/>
                <w:sz w:val="28"/>
                <w:szCs w:val="28"/>
                <w:lang w:val="en-US" w:eastAsia="zh-CN" w:bidi="ar-SA"/>
              </w:rPr>
              <w:t>矿山生态修复技术突破，</w:t>
            </w:r>
            <w:r>
              <w:rPr>
                <w:rFonts w:hint="eastAsia" w:ascii="仿宋_GB2312" w:hAnsi="仿宋_GB2312" w:eastAsia="仿宋_GB2312" w:cs="仿宋_GB2312"/>
                <w:color w:val="auto"/>
                <w:kern w:val="2"/>
                <w:sz w:val="28"/>
                <w:szCs w:val="28"/>
                <w:lang w:val="en-US" w:eastAsia="zh-CN" w:bidi="ar-SA"/>
              </w:rPr>
              <w:t>搭建绿色矿山数字化管理平台，实现修复过程及修复效益可视化呈现。依托无人机航测、地面传感网络，实时监测评估植被覆盖率、土壤肥力、生物多样性等关键指标，动态优化修复方案。</w:t>
            </w:r>
          </w:p>
          <w:p>
            <w:pPr>
              <w:keepNext w:val="0"/>
              <w:keepLines w:val="0"/>
              <w:pageBreakBefore w:val="0"/>
              <w:widowControl w:val="0"/>
              <w:kinsoku/>
              <w:wordWrap/>
              <w:overflowPunct/>
              <w:topLinePunct w:val="0"/>
              <w:autoSpaceDE/>
              <w:autoSpaceDN/>
              <w:bidi w:val="0"/>
              <w:adjustRightInd w:val="0"/>
              <w:snapToGrid w:val="0"/>
              <w:spacing w:beforeLines="0" w:afterLines="0" w:line="300" w:lineRule="auto"/>
              <w:ind w:firstLine="562" w:firstLineChars="200"/>
              <w:jc w:val="left"/>
              <w:textAlignment w:val="auto"/>
              <w:rPr>
                <w:rFonts w:hint="eastAsia" w:ascii="仿宋_GB2312" w:hAnsi="仿宋_GB2312" w:eastAsia="仿宋_GB2312" w:cs="仿宋_GB2312"/>
                <w:color w:val="auto"/>
                <w:kern w:val="2"/>
                <w:sz w:val="28"/>
                <w:szCs w:val="28"/>
                <w:lang w:val="en-US" w:eastAsia="zh-CN" w:bidi="ar-SA"/>
              </w:rPr>
            </w:pPr>
            <w:r>
              <w:rPr>
                <w:rFonts w:hint="eastAsia" w:ascii="仿宋_GB2312" w:hAnsi="仿宋_GB2312" w:eastAsia="仿宋_GB2312" w:cs="仿宋_GB2312"/>
                <w:b/>
                <w:bCs/>
                <w:color w:val="auto"/>
                <w:kern w:val="2"/>
                <w:sz w:val="28"/>
                <w:szCs w:val="28"/>
                <w:lang w:val="en-US" w:eastAsia="zh-CN" w:bidi="ar-SA"/>
              </w:rPr>
              <w:t>农业面源污染防控创新，</w:t>
            </w:r>
            <w:r>
              <w:rPr>
                <w:rFonts w:hint="eastAsia" w:ascii="仿宋_GB2312" w:hAnsi="仿宋_GB2312" w:eastAsia="仿宋_GB2312" w:cs="仿宋_GB2312"/>
                <w:b w:val="0"/>
                <w:bCs w:val="0"/>
                <w:color w:val="auto"/>
                <w:kern w:val="2"/>
                <w:sz w:val="28"/>
                <w:szCs w:val="28"/>
                <w:lang w:val="en-US" w:eastAsia="zh-CN" w:bidi="ar-SA"/>
              </w:rPr>
              <w:t>应用与开发</w:t>
            </w:r>
            <w:r>
              <w:rPr>
                <w:rFonts w:hint="eastAsia" w:ascii="仿宋_GB2312" w:hAnsi="仿宋_GB2312" w:eastAsia="仿宋_GB2312" w:cs="仿宋_GB2312"/>
                <w:color w:val="auto"/>
                <w:kern w:val="2"/>
                <w:sz w:val="28"/>
                <w:szCs w:val="28"/>
                <w:lang w:val="en-US" w:eastAsia="zh-CN" w:bidi="ar-SA"/>
              </w:rPr>
              <w:t>水肥一体化系统与精准变量施肥技术，推广微喷灌、灌溉施肥调控等技术，打造物联网环境调控种植示范基地，推广蒸发抑制膜、生物降解地膜等新材料，力争减少化肥农药使用量30%以上。</w:t>
            </w:r>
          </w:p>
          <w:p>
            <w:pPr>
              <w:keepNext w:val="0"/>
              <w:keepLines w:val="0"/>
              <w:pageBreakBefore w:val="0"/>
              <w:widowControl w:val="0"/>
              <w:kinsoku/>
              <w:wordWrap/>
              <w:overflowPunct/>
              <w:topLinePunct w:val="0"/>
              <w:autoSpaceDE/>
              <w:autoSpaceDN/>
              <w:bidi w:val="0"/>
              <w:adjustRightInd w:val="0"/>
              <w:snapToGrid w:val="0"/>
              <w:spacing w:beforeLines="0" w:afterLines="0" w:line="300" w:lineRule="auto"/>
              <w:ind w:firstLine="562" w:firstLineChars="200"/>
              <w:jc w:val="left"/>
              <w:textAlignment w:val="auto"/>
              <w:rPr>
                <w:rFonts w:hint="eastAsia" w:ascii="仿宋_GB2312" w:hAnsi="仿宋_GB2312" w:eastAsia="仿宋_GB2312" w:cs="仿宋_GB2312"/>
                <w:color w:val="auto"/>
                <w:kern w:val="2"/>
                <w:sz w:val="32"/>
                <w:szCs w:val="32"/>
                <w:vertAlign w:val="baseline"/>
                <w:lang w:val="en-US" w:eastAsia="zh-CN" w:bidi="ar-SA"/>
              </w:rPr>
            </w:pPr>
            <w:r>
              <w:rPr>
                <w:rFonts w:hint="eastAsia" w:ascii="仿宋_GB2312" w:hAnsi="仿宋_GB2312" w:eastAsia="仿宋_GB2312" w:cs="仿宋_GB2312"/>
                <w:b/>
                <w:bCs/>
                <w:color w:val="auto"/>
                <w:kern w:val="2"/>
                <w:sz w:val="28"/>
                <w:szCs w:val="28"/>
                <w:lang w:val="en-US" w:eastAsia="zh-CN" w:bidi="ar-SA"/>
              </w:rPr>
              <w:t>生物多样性数字保护，</w:t>
            </w:r>
            <w:r>
              <w:rPr>
                <w:rFonts w:hint="eastAsia" w:ascii="仿宋_GB2312" w:hAnsi="仿宋_GB2312" w:eastAsia="仿宋_GB2312" w:cs="仿宋_GB2312"/>
                <w:color w:val="auto"/>
                <w:kern w:val="2"/>
                <w:sz w:val="28"/>
                <w:szCs w:val="28"/>
                <w:lang w:val="en-US" w:eastAsia="zh-CN" w:bidi="ar-SA"/>
              </w:rPr>
              <w:t>搭建滇池流域生物多样性数据库，探索运用AI图像识别技术对鸟类、两栖类物种开展动态监测以实时追踪种群变化，开发古滇文化遗址生态承载力评估模型，为遗产保护与生态协调提供科学支撑。</w:t>
            </w:r>
          </w:p>
        </w:tc>
      </w:tr>
    </w:tbl>
    <w:p>
      <w:pPr>
        <w:keepNext w:val="0"/>
        <w:keepLines w:val="0"/>
        <w:pageBreakBefore w:val="0"/>
        <w:widowControl w:val="0"/>
        <w:kinsoku/>
        <w:wordWrap/>
        <w:overflowPunct/>
        <w:topLinePunct w:val="0"/>
        <w:autoSpaceDE/>
        <w:autoSpaceDN/>
        <w:bidi w:val="0"/>
        <w:adjustRightInd/>
        <w:snapToGrid/>
        <w:spacing w:beforeLines="0" w:afterLines="0" w:line="560" w:lineRule="exact"/>
        <w:ind w:firstLine="640" w:firstLineChars="200"/>
        <w:jc w:val="left"/>
        <w:textAlignment w:val="auto"/>
        <w:rPr>
          <w:rFonts w:hint="eastAsia" w:ascii="仿宋_GB2312" w:hAnsi="仿宋_GB2312" w:eastAsia="仿宋_GB2312" w:cs="仿宋_GB2312"/>
          <w:b w:val="0"/>
          <w:bCs w:val="0"/>
          <w:color w:val="auto"/>
          <w:kern w:val="2"/>
          <w:sz w:val="32"/>
          <w:szCs w:val="32"/>
          <w:lang w:val="en-US" w:eastAsia="zh-CN" w:bidi="ar-SA"/>
        </w:rPr>
      </w:pPr>
      <w:r>
        <w:rPr>
          <w:rFonts w:hint="eastAsia" w:ascii="仿宋_GB2312" w:hAnsi="仿宋_GB2312" w:eastAsia="仿宋_GB2312" w:cs="仿宋_GB2312"/>
          <w:b w:val="0"/>
          <w:bCs w:val="0"/>
          <w:color w:val="auto"/>
          <w:kern w:val="2"/>
          <w:sz w:val="32"/>
          <w:szCs w:val="32"/>
          <w:lang w:val="en-US" w:eastAsia="zh-CN" w:bidi="ar-SA"/>
        </w:rPr>
        <w:t>绿色技术标准构建。制定高原湖泊农业面源污染治理、矿山生态修复等地方标准，建立生态产品价值核算与交易机制，推动GEP核算系统与碳汇交易平台衔接，形成科技创新驱动的生态保护长效机制。</w:t>
      </w:r>
    </w:p>
    <w:p>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560" w:lineRule="exact"/>
        <w:ind w:firstLine="642" w:firstLineChars="200"/>
        <w:textAlignment w:val="auto"/>
        <w:outlineLvl w:val="2"/>
        <w:rPr>
          <w:rFonts w:hint="eastAsia" w:ascii="黑体" w:hAnsi="黑体" w:eastAsia="黑体" w:cs="黑体"/>
          <w:b/>
          <w:color w:val="auto"/>
          <w:kern w:val="2"/>
          <w:sz w:val="32"/>
          <w:szCs w:val="32"/>
          <w:highlight w:val="none"/>
          <w:lang w:val="en-US" w:eastAsia="zh-CN" w:bidi="ar-SA"/>
        </w:rPr>
      </w:pPr>
      <w:bookmarkStart w:id="17" w:name="_Toc13400"/>
      <w:r>
        <w:rPr>
          <w:rFonts w:hint="eastAsia" w:ascii="黑体" w:hAnsi="黑体" w:eastAsia="黑体" w:cs="黑体"/>
          <w:b/>
          <w:color w:val="auto"/>
          <w:kern w:val="2"/>
          <w:sz w:val="32"/>
          <w:szCs w:val="32"/>
          <w:highlight w:val="none"/>
          <w:lang w:val="en-US" w:eastAsia="zh-CN" w:bidi="ar-SA"/>
        </w:rPr>
        <w:t>（六）加速科技成果转移转化</w:t>
      </w:r>
      <w:bookmarkEnd w:id="17"/>
    </w:p>
    <w:p>
      <w:pPr>
        <w:numPr>
          <w:ilvl w:val="0"/>
          <w:numId w:val="11"/>
        </w:numPr>
        <w:bidi w:val="0"/>
        <w:spacing w:beforeLines="0" w:afterLines="0" w:line="560" w:lineRule="exact"/>
        <w:ind w:left="0" w:leftChars="0" w:firstLine="642" w:firstLineChars="200"/>
        <w:outlineLvl w:val="3"/>
        <w:rPr>
          <w:rFonts w:hint="eastAsia" w:eastAsia="仿宋_GB2312" w:asciiTheme="minorAscii" w:hAnsiTheme="minorAscii"/>
          <w:b/>
          <w:bCs/>
          <w:color w:val="auto"/>
          <w:sz w:val="32"/>
          <w:highlight w:val="none"/>
          <w:lang w:val="en-US" w:eastAsia="zh-CN"/>
        </w:rPr>
      </w:pPr>
      <w:r>
        <w:rPr>
          <w:rFonts w:hint="eastAsia" w:eastAsia="仿宋_GB2312" w:asciiTheme="minorAscii" w:hAnsiTheme="minorAscii"/>
          <w:b/>
          <w:bCs/>
          <w:color w:val="auto"/>
          <w:sz w:val="32"/>
          <w:highlight w:val="none"/>
          <w:lang w:val="en-US" w:eastAsia="zh-CN"/>
        </w:rPr>
        <w:t>完善科技孵化育成机制</w:t>
      </w:r>
    </w:p>
    <w:p>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560" w:lineRule="exact"/>
        <w:ind w:firstLine="640" w:firstLineChars="200"/>
        <w:jc w:val="both"/>
        <w:textAlignment w:val="auto"/>
        <w:outlineLvl w:val="9"/>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以晋宁科技成果转化中心为核心载体，提档升格区科技成果转化中心，建立区域科技成果数据库，动态收录本地高校、企业、科研机构的待转化技术及产业需求，形成“成果清单”与“需求清单”双向匹配机制；打通与省、市科技成果转化平台的对接通道，实现技术、人才、资本等创新要素跨层级流动；配套建设技术交易服务平台，推动高校实验室成果向企业生产线转化，打造“成果落地有平台、转化过程有服务、产业育成有支撑”的创新生态，为实施创新驱动发展战略提供关键枢纽支撑。</w:t>
      </w:r>
    </w:p>
    <w:p>
      <w:pPr>
        <w:numPr>
          <w:ilvl w:val="0"/>
          <w:numId w:val="11"/>
        </w:numPr>
        <w:bidi w:val="0"/>
        <w:spacing w:beforeLines="0" w:afterLines="0" w:line="560" w:lineRule="exact"/>
        <w:ind w:left="0" w:leftChars="0" w:firstLine="642" w:firstLineChars="200"/>
        <w:outlineLvl w:val="3"/>
        <w:rPr>
          <w:rFonts w:hint="eastAsia" w:eastAsia="仿宋_GB2312" w:asciiTheme="minorAscii" w:hAnsiTheme="minorAscii"/>
          <w:b/>
          <w:bCs/>
          <w:color w:val="auto"/>
          <w:sz w:val="32"/>
          <w:highlight w:val="none"/>
          <w:lang w:val="en-US" w:eastAsia="zh-CN"/>
        </w:rPr>
      </w:pPr>
      <w:r>
        <w:rPr>
          <w:rFonts w:hint="eastAsia" w:eastAsia="仿宋_GB2312" w:asciiTheme="minorAscii" w:hAnsiTheme="minorAscii"/>
          <w:b/>
          <w:bCs/>
          <w:color w:val="auto"/>
          <w:sz w:val="32"/>
          <w:highlight w:val="none"/>
          <w:lang w:val="en-US" w:eastAsia="zh-CN"/>
        </w:rPr>
        <w:t>健全技术转移服务载体</w:t>
      </w:r>
    </w:p>
    <w:p>
      <w:pPr>
        <w:pStyle w:val="18"/>
        <w:keepNext w:val="0"/>
        <w:keepLines w:val="0"/>
        <w:pageBreakBefore w:val="0"/>
        <w:widowControl w:val="0"/>
        <w:kinsoku/>
        <w:wordWrap/>
        <w:overflowPunct/>
        <w:topLinePunct w:val="0"/>
        <w:autoSpaceDE/>
        <w:autoSpaceDN/>
        <w:bidi w:val="0"/>
        <w:adjustRightInd/>
        <w:snapToGrid/>
        <w:spacing w:beforeLines="0" w:after="0" w:afterLines="0" w:line="560" w:lineRule="exact"/>
        <w:ind w:left="0" w:leftChars="0" w:firstLine="640" w:firstLineChars="200"/>
        <w:textAlignment w:val="auto"/>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结合产业科技创新需求，鼓励省农科院等驻区科研机构强化技术转移机构建设，提升面向磷化工循环利用、花卉种业创新、康养技术转化的专业化服务能力，推动高校专利在产业园区等载体批量落地。搭建技术转移服务平台，集聚知识产权代理、科技成果评估、绿色金融等第三方机构，重点服务磷石膏资源化、高端装备等领域技术转化。依托中老铁路国际物流通道，布局面向东南亚的“跨境技术直通车”，建立花卉品种权跨境交易、磷化工低碳技术输出等专业化渠道，打造立足滇中、辐射南亚东南亚的技术转移枢纽。</w:t>
      </w:r>
    </w:p>
    <w:p>
      <w:pPr>
        <w:numPr>
          <w:ilvl w:val="0"/>
          <w:numId w:val="11"/>
        </w:numPr>
        <w:bidi w:val="0"/>
        <w:spacing w:beforeLines="0" w:afterLines="0" w:line="560" w:lineRule="exact"/>
        <w:ind w:left="0" w:leftChars="0" w:firstLine="642" w:firstLineChars="200"/>
        <w:outlineLvl w:val="3"/>
        <w:rPr>
          <w:rFonts w:hint="eastAsia" w:eastAsia="仿宋_GB2312" w:asciiTheme="minorAscii" w:hAnsiTheme="minorAscii"/>
          <w:b/>
          <w:bCs/>
          <w:color w:val="auto"/>
          <w:sz w:val="32"/>
          <w:highlight w:val="none"/>
          <w:lang w:val="en-US" w:eastAsia="zh-CN"/>
        </w:rPr>
      </w:pPr>
      <w:r>
        <w:rPr>
          <w:rFonts w:hint="eastAsia" w:eastAsia="仿宋_GB2312" w:asciiTheme="minorAscii" w:hAnsiTheme="minorAscii"/>
          <w:b/>
          <w:bCs/>
          <w:color w:val="auto"/>
          <w:sz w:val="32"/>
          <w:highlight w:val="none"/>
          <w:lang w:val="en-US" w:eastAsia="zh-CN"/>
        </w:rPr>
        <w:t>新技术新产品应用示范</w:t>
      </w:r>
    </w:p>
    <w:p>
      <w:pPr>
        <w:pStyle w:val="18"/>
        <w:keepNext w:val="0"/>
        <w:keepLines w:val="0"/>
        <w:pageBreakBefore w:val="0"/>
        <w:widowControl w:val="0"/>
        <w:kinsoku/>
        <w:wordWrap/>
        <w:overflowPunct/>
        <w:topLinePunct w:val="0"/>
        <w:autoSpaceDE/>
        <w:autoSpaceDN/>
        <w:bidi w:val="0"/>
        <w:adjustRightInd/>
        <w:snapToGrid/>
        <w:spacing w:beforeLines="0" w:after="0" w:afterLines="0" w:line="560" w:lineRule="exact"/>
        <w:ind w:left="0" w:leftChars="0" w:firstLine="640" w:firstLineChars="200"/>
        <w:textAlignment w:val="auto"/>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结合晋宁区产业特色与区位优势，加强前瞻性场景设计。探索磷化工循环经济、花卉数字农业等领域的未来科技试验场，支持磷石膏超临界矿化、AI智能温室等技术早期实验验证。聚焦绿色化工、现代花卉、智慧康养、先进装备制造等重点产业，推出“磷石膏建材产业化”“数字花田智慧种植”“区块链健康数据平台”等新技术应用示范场景项目清单，建设一批商业应用示范场景，促进磷矿智能选矿装备、花卉基因编辑种苗、智能康养终端等首套新技术新产品在晋宁首试首用，加速技术的产业化规模化应用。</w:t>
      </w:r>
    </w:p>
    <w:p>
      <w:pPr>
        <w:numPr>
          <w:ilvl w:val="0"/>
          <w:numId w:val="11"/>
        </w:numPr>
        <w:bidi w:val="0"/>
        <w:spacing w:beforeLines="0" w:afterLines="0" w:line="560" w:lineRule="exact"/>
        <w:ind w:left="0" w:leftChars="0" w:firstLine="642" w:firstLineChars="200"/>
        <w:outlineLvl w:val="3"/>
        <w:rPr>
          <w:rFonts w:hint="eastAsia" w:eastAsia="仿宋_GB2312" w:asciiTheme="minorAscii" w:hAnsiTheme="minorAscii"/>
          <w:b/>
          <w:bCs/>
          <w:color w:val="auto"/>
          <w:sz w:val="32"/>
          <w:highlight w:val="none"/>
          <w:lang w:val="en-US" w:eastAsia="zh-CN"/>
        </w:rPr>
      </w:pPr>
      <w:r>
        <w:rPr>
          <w:rFonts w:hint="eastAsia" w:eastAsia="仿宋_GB2312" w:asciiTheme="minorAscii" w:hAnsiTheme="minorAscii"/>
          <w:b/>
          <w:bCs/>
          <w:color w:val="auto"/>
          <w:sz w:val="32"/>
          <w:highlight w:val="none"/>
          <w:lang w:val="en-US" w:eastAsia="zh-CN"/>
        </w:rPr>
        <w:t>科技创新与金融融合</w:t>
      </w:r>
    </w:p>
    <w:p>
      <w:pPr>
        <w:pStyle w:val="18"/>
        <w:keepNext w:val="0"/>
        <w:keepLines w:val="0"/>
        <w:pageBreakBefore w:val="0"/>
        <w:widowControl w:val="0"/>
        <w:kinsoku/>
        <w:wordWrap/>
        <w:overflowPunct/>
        <w:topLinePunct w:val="0"/>
        <w:autoSpaceDE/>
        <w:autoSpaceDN/>
        <w:bidi w:val="0"/>
        <w:adjustRightInd/>
        <w:snapToGrid/>
        <w:spacing w:beforeLines="0" w:after="0" w:afterLines="0" w:line="560" w:lineRule="exact"/>
        <w:ind w:left="0" w:leftChars="0" w:firstLine="640" w:firstLineChars="200"/>
        <w:textAlignment w:val="auto"/>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lang w:val="en-US" w:eastAsia="zh-CN" w:bidi="ar-SA"/>
        </w:rPr>
        <w:t>结合主要产业科技创新需求，构建“政府引导+市场运作+精准滴灌”的科技金融融合生态。设立政府引导基金，重点撬动社会资本投向磷石膏资源化利用、花卉生物育种、智能装备制造、现代物流、精密光学仪器、生物医药等领域，配套设立覆盖概念验证、中试熟化、成果转化等不同阶段的专项基金，形成全周期金融支持链条；引导中小微企业组建产业联盟探索多元化融资模式，完善知识产权证券化、债券融资增信等机制，形成“产业需求导向、金融工具适配、服务</w:t>
      </w:r>
      <w:r>
        <w:rPr>
          <w:rFonts w:hint="eastAsia" w:ascii="仿宋_GB2312" w:hAnsi="仿宋_GB2312" w:eastAsia="仿宋_GB2312" w:cs="仿宋_GB2312"/>
          <w:color w:val="auto"/>
          <w:kern w:val="2"/>
          <w:sz w:val="32"/>
          <w:szCs w:val="32"/>
          <w:highlight w:val="none"/>
          <w:lang w:val="en-US" w:eastAsia="zh-CN" w:bidi="ar-SA"/>
        </w:rPr>
        <w:t>体系协同”的科技金融融合格局。</w:t>
      </w:r>
    </w:p>
    <w:p>
      <w:pPr>
        <w:keepNext w:val="0"/>
        <w:keepLines w:val="0"/>
        <w:pageBreakBefore w:val="0"/>
        <w:widowControl w:val="0"/>
        <w:numPr>
          <w:ilvl w:val="0"/>
          <w:numId w:val="11"/>
        </w:numPr>
        <w:kinsoku/>
        <w:wordWrap/>
        <w:overflowPunct/>
        <w:topLinePunct w:val="0"/>
        <w:autoSpaceDE/>
        <w:autoSpaceDN/>
        <w:bidi w:val="0"/>
        <w:adjustRightInd/>
        <w:snapToGrid/>
        <w:spacing w:beforeLines="0" w:after="0" w:afterLines="0" w:line="560" w:lineRule="exact"/>
        <w:ind w:left="0" w:leftChars="0" w:firstLine="642" w:firstLineChars="200"/>
        <w:textAlignment w:val="auto"/>
        <w:outlineLvl w:val="3"/>
        <w:rPr>
          <w:rFonts w:hint="eastAsia" w:ascii="仿宋_GB2312" w:hAnsi="仿宋_GB2312" w:eastAsia="仿宋_GB2312" w:cs="仿宋_GB2312"/>
          <w:color w:val="auto"/>
          <w:kern w:val="2"/>
          <w:sz w:val="32"/>
          <w:szCs w:val="32"/>
          <w:highlight w:val="none"/>
          <w:lang w:val="en-US" w:eastAsia="zh-CN" w:bidi="ar-SA"/>
        </w:rPr>
      </w:pPr>
      <w:r>
        <w:rPr>
          <w:rFonts w:hint="eastAsia" w:eastAsia="仿宋_GB2312" w:asciiTheme="minorAscii" w:hAnsiTheme="minorAscii"/>
          <w:b/>
          <w:bCs/>
          <w:color w:val="auto"/>
          <w:sz w:val="32"/>
          <w:highlight w:val="none"/>
          <w:lang w:val="en-US" w:eastAsia="zh-CN"/>
        </w:rPr>
        <w:t>园区科技转化生态构建</w:t>
      </w:r>
    </w:p>
    <w:p>
      <w:pPr>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left="0" w:leftChars="0" w:firstLine="640" w:firstLineChars="200"/>
        <w:textAlignment w:val="auto"/>
        <w:outlineLvl w:val="9"/>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i w:val="0"/>
          <w:iCs w:val="0"/>
          <w:caps w:val="0"/>
          <w:color w:val="auto"/>
          <w:spacing w:val="0"/>
          <w:sz w:val="32"/>
          <w:szCs w:val="32"/>
          <w:highlight w:val="none"/>
          <w:shd w:val="clear"/>
          <w:lang w:val="en-US" w:eastAsia="zh-CN"/>
        </w:rPr>
        <w:t>以园区科技成果转移转化为重要纽带，逐步推动大中小企业通过技术入股、联合攻关等成熟模式探索构建“专利共享池”，助力企业间实现技术互补与成果共创，为产业协同发展提供支撑；优先引入拥有核心专利、成果转化率较高的成长性科技型企业，逐步优化园区产业结构与企业质量；探索培育具备科技招商、成果转化能力的专业化园区运营公司，引入市场化的技术转移服务机制，逐步构建覆盖成果产生、交易、落地、产业化环节的全周期科技创新生态，为园区可持续发展注入科创动力。</w:t>
      </w:r>
    </w:p>
    <w:p>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560" w:lineRule="exact"/>
        <w:ind w:firstLine="642" w:firstLineChars="200"/>
        <w:textAlignment w:val="auto"/>
        <w:outlineLvl w:val="2"/>
        <w:rPr>
          <w:rFonts w:hint="eastAsia" w:ascii="黑体" w:hAnsi="黑体" w:eastAsia="黑体" w:cs="黑体"/>
          <w:b/>
          <w:color w:val="auto"/>
          <w:kern w:val="2"/>
          <w:sz w:val="32"/>
          <w:szCs w:val="32"/>
          <w:highlight w:val="none"/>
          <w:lang w:val="en-US" w:eastAsia="zh-CN" w:bidi="ar-SA"/>
        </w:rPr>
      </w:pPr>
      <w:bookmarkStart w:id="18" w:name="_Toc12620"/>
      <w:r>
        <w:rPr>
          <w:rFonts w:hint="eastAsia" w:ascii="黑体" w:hAnsi="黑体" w:eastAsia="黑体" w:cs="黑体"/>
          <w:b/>
          <w:color w:val="auto"/>
          <w:kern w:val="2"/>
          <w:sz w:val="32"/>
          <w:szCs w:val="32"/>
          <w:highlight w:val="none"/>
          <w:lang w:val="en-US" w:eastAsia="zh-CN" w:bidi="ar-SA"/>
        </w:rPr>
        <w:t>（七）加大创新人才培引力度</w:t>
      </w:r>
      <w:bookmarkEnd w:id="18"/>
    </w:p>
    <w:p>
      <w:pPr>
        <w:pStyle w:val="18"/>
        <w:keepNext w:val="0"/>
        <w:keepLines w:val="0"/>
        <w:pageBreakBefore w:val="0"/>
        <w:widowControl w:val="0"/>
        <w:kinsoku/>
        <w:wordWrap/>
        <w:overflowPunct/>
        <w:topLinePunct w:val="0"/>
        <w:autoSpaceDE/>
        <w:autoSpaceDN/>
        <w:bidi w:val="0"/>
        <w:adjustRightInd/>
        <w:snapToGrid w:val="0"/>
        <w:spacing w:beforeLines="0" w:after="0" w:afterLines="0" w:line="560" w:lineRule="exact"/>
        <w:ind w:left="0" w:leftChars="0" w:firstLine="640" w:firstLineChars="200"/>
        <w:jc w:val="left"/>
        <w:textAlignment w:val="auto"/>
        <w:rPr>
          <w:rFonts w:hint="eastAsia" w:ascii="仿宋_GB2312" w:hAnsi="仿宋_GB2312" w:eastAsia="仿宋_GB2312" w:cs="仿宋_GB2312"/>
          <w:b w:val="0"/>
          <w:bCs w:val="0"/>
          <w:color w:val="auto"/>
          <w:kern w:val="2"/>
          <w:sz w:val="32"/>
          <w:szCs w:val="32"/>
          <w:highlight w:val="none"/>
          <w:lang w:val="en-US" w:eastAsia="zh-CN" w:bidi="ar-SA"/>
        </w:rPr>
      </w:pPr>
      <w:r>
        <w:rPr>
          <w:rFonts w:hint="eastAsia" w:ascii="仿宋_GB2312" w:hAnsi="仿宋_GB2312" w:eastAsia="仿宋_GB2312" w:cs="仿宋_GB2312"/>
          <w:color w:val="000000"/>
          <w:sz w:val="32"/>
          <w:szCs w:val="32"/>
          <w:highlight w:val="none"/>
          <w:lang w:val="en-US" w:eastAsia="zh-CN"/>
        </w:rPr>
        <w:t>坚持人才优先发展，聚焦“引、育、留、用”全链条，</w:t>
      </w:r>
      <w:r>
        <w:rPr>
          <w:rFonts w:hint="eastAsia" w:ascii="仿宋_GB2312" w:hAnsi="仿宋_GB2312" w:cs="仿宋_GB2312"/>
          <w:color w:val="000000"/>
          <w:sz w:val="32"/>
          <w:szCs w:val="32"/>
          <w:highlight w:val="none"/>
          <w:lang w:val="en-US" w:eastAsia="zh-CN"/>
        </w:rPr>
        <w:t>衔接</w:t>
      </w:r>
      <w:r>
        <w:rPr>
          <w:rFonts w:hint="eastAsia" w:ascii="仿宋_GB2312" w:hAnsi="仿宋_GB2312" w:eastAsia="仿宋_GB2312" w:cs="仿宋_GB2312"/>
          <w:color w:val="000000"/>
          <w:sz w:val="32"/>
          <w:szCs w:val="32"/>
          <w:highlight w:val="none"/>
          <w:lang w:val="en-US" w:eastAsia="zh-CN"/>
        </w:rPr>
        <w:t>“兴滇英才支持计划”，</w:t>
      </w:r>
      <w:r>
        <w:rPr>
          <w:rFonts w:hint="eastAsia" w:ascii="仿宋_GB2312" w:hAnsi="仿宋_GB2312" w:eastAsia="仿宋_GB2312" w:cs="仿宋_GB2312"/>
          <w:b w:val="0"/>
          <w:bCs w:val="0"/>
          <w:color w:val="000000"/>
          <w:kern w:val="2"/>
          <w:sz w:val="32"/>
          <w:szCs w:val="32"/>
          <w:highlight w:val="none"/>
          <w:lang w:val="en-US" w:eastAsia="zh-CN" w:bidi="ar-SA"/>
        </w:rPr>
        <w:t>深入实施“春城计划”，研究</w:t>
      </w:r>
      <w:r>
        <w:rPr>
          <w:rFonts w:hint="eastAsia" w:ascii="仿宋_GB2312" w:hAnsi="仿宋_GB2312" w:cs="仿宋_GB2312"/>
          <w:b w:val="0"/>
          <w:bCs w:val="0"/>
          <w:color w:val="000000"/>
          <w:kern w:val="2"/>
          <w:sz w:val="32"/>
          <w:szCs w:val="32"/>
          <w:highlight w:val="none"/>
          <w:lang w:val="en-US" w:eastAsia="zh-CN" w:bidi="ar-SA"/>
        </w:rPr>
        <w:t>完善</w:t>
      </w:r>
      <w:r>
        <w:rPr>
          <w:rFonts w:hint="eastAsia" w:ascii="仿宋_GB2312" w:hAnsi="仿宋_GB2312" w:eastAsia="仿宋_GB2312" w:cs="仿宋_GB2312"/>
          <w:b w:val="0"/>
          <w:bCs w:val="0"/>
          <w:color w:val="000000"/>
          <w:kern w:val="2"/>
          <w:sz w:val="32"/>
          <w:szCs w:val="32"/>
          <w:highlight w:val="none"/>
          <w:lang w:val="en-US" w:eastAsia="zh-CN" w:bidi="ar-SA"/>
        </w:rPr>
        <w:t>高层次人才引进政策，</w:t>
      </w:r>
      <w:r>
        <w:rPr>
          <w:rFonts w:hint="eastAsia" w:ascii="仿宋_GB2312" w:hAnsi="仿宋_GB2312" w:eastAsia="仿宋_GB2312" w:cs="仿宋_GB2312"/>
          <w:color w:val="000000"/>
          <w:sz w:val="32"/>
          <w:szCs w:val="32"/>
          <w:highlight w:val="none"/>
        </w:rPr>
        <w:t>实行分层分类、精准支持，提供全周期服务，</w:t>
      </w:r>
      <w:r>
        <w:rPr>
          <w:rFonts w:hint="eastAsia" w:ascii="仿宋_GB2312" w:hAnsi="仿宋_GB2312" w:eastAsia="仿宋_GB2312" w:cs="仿宋_GB2312"/>
          <w:b w:val="0"/>
          <w:bCs w:val="0"/>
          <w:color w:val="000000"/>
          <w:kern w:val="2"/>
          <w:sz w:val="32"/>
          <w:szCs w:val="32"/>
          <w:highlight w:val="none"/>
          <w:lang w:val="en-US" w:eastAsia="zh-CN" w:bidi="ar-SA"/>
        </w:rPr>
        <w:t>打造一批</w:t>
      </w:r>
      <w:r>
        <w:rPr>
          <w:rFonts w:hint="eastAsia" w:ascii="仿宋_GB2312" w:hAnsi="仿宋_GB2312" w:eastAsia="仿宋_GB2312" w:cs="仿宋_GB2312"/>
          <w:color w:val="000000"/>
          <w:sz w:val="32"/>
          <w:szCs w:val="32"/>
          <w:highlight w:val="none"/>
        </w:rPr>
        <w:t>具有国际竞争力的</w:t>
      </w:r>
      <w:r>
        <w:rPr>
          <w:rFonts w:hint="eastAsia" w:ascii="仿宋_GB2312" w:hAnsi="仿宋_GB2312" w:eastAsia="仿宋_GB2312" w:cs="仿宋_GB2312"/>
          <w:b w:val="0"/>
          <w:bCs w:val="0"/>
          <w:color w:val="000000"/>
          <w:kern w:val="2"/>
          <w:sz w:val="32"/>
          <w:szCs w:val="32"/>
          <w:highlight w:val="none"/>
          <w:lang w:val="en-US" w:eastAsia="zh-CN" w:bidi="ar-SA"/>
        </w:rPr>
        <w:t>科技领军人才和创新团队。</w:t>
      </w:r>
    </w:p>
    <w:p>
      <w:pPr>
        <w:pStyle w:val="18"/>
        <w:keepNext w:val="0"/>
        <w:keepLines w:val="0"/>
        <w:pageBreakBefore w:val="0"/>
        <w:widowControl w:val="0"/>
        <w:kinsoku/>
        <w:wordWrap/>
        <w:overflowPunct/>
        <w:topLinePunct w:val="0"/>
        <w:autoSpaceDE/>
        <w:autoSpaceDN/>
        <w:bidi w:val="0"/>
        <w:adjustRightInd/>
        <w:snapToGrid w:val="0"/>
        <w:spacing w:beforeLines="0" w:after="0" w:afterLines="0" w:line="560" w:lineRule="exact"/>
        <w:ind w:left="0" w:leftChars="0" w:firstLine="640" w:firstLineChars="200"/>
        <w:jc w:val="left"/>
        <w:textAlignment w:val="auto"/>
        <w:rPr>
          <w:rFonts w:hint="eastAsia" w:ascii="仿宋_GB2312" w:hAnsi="仿宋_GB2312" w:eastAsia="仿宋_GB2312" w:cs="仿宋_GB2312"/>
          <w:b w:val="0"/>
          <w:bCs w:val="0"/>
          <w:color w:val="auto"/>
          <w:kern w:val="2"/>
          <w:sz w:val="32"/>
          <w:szCs w:val="32"/>
          <w:highlight w:val="none"/>
          <w:lang w:val="en-US" w:eastAsia="zh-CN" w:bidi="ar-SA"/>
        </w:rPr>
      </w:pPr>
      <w:r>
        <w:rPr>
          <w:rFonts w:hint="eastAsia" w:ascii="仿宋_GB2312" w:hAnsi="仿宋_GB2312" w:eastAsia="仿宋_GB2312" w:cs="仿宋_GB2312"/>
          <w:b w:val="0"/>
          <w:bCs w:val="0"/>
          <w:color w:val="auto"/>
          <w:kern w:val="2"/>
          <w:sz w:val="32"/>
          <w:szCs w:val="32"/>
          <w:highlight w:val="none"/>
          <w:lang w:val="en-US" w:eastAsia="zh-CN" w:bidi="ar-SA"/>
        </w:rPr>
        <w:t>实施精准化人才引进策略，以企业为引育主体，聚焦精细磷化工、花卉育种、绿色制造、文化旅游、生物医药等传统产业和新兴产业，搭建覆盖全领域的科技人才体系。绘制各领域“高精尖缺”人才图谱，靶向引进关键技术领军人才与创新团队；深入对接数字信息技术领域科研力量，重点填补区块链、人工智能等技术应用人才缺口；探索“不唯地域、不唯全职”的柔性引才机制，吸引旅居周边地区的隐性专业人才为晋宁发展赋能；探索设立专项人才培育资金，重点用于支持企业引育高层次人才的补贴、人才牵头产业创新项目的研发投入及本土技术人才的培育，为精准引才、长效育才提供资金保障。</w:t>
      </w:r>
    </w:p>
    <w:p>
      <w:pPr>
        <w:pStyle w:val="18"/>
        <w:keepNext w:val="0"/>
        <w:keepLines w:val="0"/>
        <w:pageBreakBefore w:val="0"/>
        <w:widowControl w:val="0"/>
        <w:kinsoku/>
        <w:wordWrap/>
        <w:overflowPunct/>
        <w:topLinePunct w:val="0"/>
        <w:autoSpaceDE/>
        <w:autoSpaceDN/>
        <w:bidi w:val="0"/>
        <w:adjustRightInd/>
        <w:snapToGrid w:val="0"/>
        <w:spacing w:beforeLines="0" w:after="0" w:afterLines="0" w:line="560" w:lineRule="exact"/>
        <w:ind w:left="0" w:leftChars="0" w:firstLine="640" w:firstLineChars="200"/>
        <w:jc w:val="left"/>
        <w:textAlignment w:val="auto"/>
        <w:rPr>
          <w:rFonts w:hint="eastAsia" w:ascii="仿宋_GB2312" w:hAnsi="仿宋_GB2312" w:eastAsia="仿宋_GB2312" w:cs="仿宋_GB2312"/>
          <w:b w:val="0"/>
          <w:bCs w:val="0"/>
          <w:color w:val="auto"/>
          <w:kern w:val="2"/>
          <w:sz w:val="32"/>
          <w:szCs w:val="32"/>
          <w:highlight w:val="none"/>
          <w:lang w:val="en-US" w:eastAsia="zh-CN" w:bidi="ar-SA"/>
        </w:rPr>
      </w:pPr>
      <w:r>
        <w:rPr>
          <w:rFonts w:hint="eastAsia" w:ascii="仿宋_GB2312" w:hAnsi="仿宋_GB2312" w:eastAsia="仿宋_GB2312" w:cs="仿宋_GB2312"/>
          <w:b w:val="0"/>
          <w:bCs w:val="0"/>
          <w:color w:val="auto"/>
          <w:kern w:val="2"/>
          <w:sz w:val="32"/>
          <w:szCs w:val="32"/>
          <w:highlight w:val="none"/>
          <w:lang w:val="en-US" w:eastAsia="zh-CN" w:bidi="ar-SA"/>
        </w:rPr>
        <w:t>创新差异化人才培育模式，围绕不同人才群体与产业需求分层施策。强化中青年学术技术带头人及后备人选考核，依托高校与企业资源开展全产业链培训，定向培育实用型技能人才与高端研发人才；联合高校数据科学、智能装备等相关专业搭建“产学研用”实训基地，聚焦本土人才数字化技能提升；试点青年人才举荐培养制，重点瞄准关键技术领域培育应用型人才；进一步深化“院所校企”合作，探索“校招企用”联动模式，推动大学毕业生来晋发展；针对性培养契合本地产业需求的技术（技能）人才，构建覆盖不同层级、精准匹配产业的人才培育体系。</w:t>
      </w:r>
    </w:p>
    <w:p>
      <w:pPr>
        <w:keepNext w:val="0"/>
        <w:keepLines w:val="0"/>
        <w:pageBreakBefore w:val="0"/>
        <w:widowControl w:val="0"/>
        <w:kinsoku/>
        <w:wordWrap/>
        <w:overflowPunct/>
        <w:topLinePunct w:val="0"/>
        <w:autoSpaceDE/>
        <w:autoSpaceDN/>
        <w:bidi w:val="0"/>
        <w:adjustRightInd/>
        <w:snapToGrid w:val="0"/>
        <w:spacing w:beforeLines="0" w:afterLines="0" w:line="560" w:lineRule="exact"/>
        <w:ind w:firstLine="640" w:firstLineChars="200"/>
        <w:jc w:val="left"/>
        <w:textAlignment w:val="auto"/>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深化人才机制改革与评价创新。推动行业领军人才、技术带头人向产业功能区、产学研实体集聚，鼓励数字信息技术人才参与农业数字化转型、智慧园区建设。完善以业绩和能力为导向的评价方式，对在科技研发、成果转化及数字技术应用中贡献突出的产业创新人才、青年人才加大职称评聘倾斜，构建科学化、社会化、市场化的人才评价机制。​</w:t>
      </w:r>
    </w:p>
    <w:tbl>
      <w:tblPr>
        <w:tblStyle w:val="20"/>
        <w:tblW w:w="883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3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33" w:type="dxa"/>
          </w:tcPr>
          <w:p>
            <w:pPr>
              <w:keepNext w:val="0"/>
              <w:keepLines w:val="0"/>
              <w:pageBreakBefore w:val="0"/>
              <w:widowControl w:val="0"/>
              <w:kinsoku/>
              <w:wordWrap/>
              <w:overflowPunct/>
              <w:topLinePunct w:val="0"/>
              <w:autoSpaceDE/>
              <w:autoSpaceDN/>
              <w:bidi w:val="0"/>
              <w:adjustRightInd w:val="0"/>
              <w:snapToGrid/>
              <w:spacing w:beforeLines="0" w:afterLines="0" w:line="300" w:lineRule="auto"/>
              <w:ind w:firstLine="562" w:firstLineChars="200"/>
              <w:jc w:val="center"/>
              <w:textAlignment w:val="auto"/>
              <w:rPr>
                <w:rFonts w:hint="default" w:ascii="Times New Roman" w:hAnsi="Times New Roman" w:eastAsia="方正仿宋_GBK" w:cs="Times New Roman"/>
                <w:color w:val="auto"/>
                <w:sz w:val="32"/>
                <w:szCs w:val="32"/>
                <w:highlight w:val="none"/>
                <w:vertAlign w:val="baseline"/>
                <w:lang w:val="en-US" w:eastAsia="zh-CN"/>
              </w:rPr>
            </w:pPr>
            <w:r>
              <w:rPr>
                <w:rFonts w:hint="eastAsia" w:ascii="仿宋_GB2312" w:hAnsi="仿宋_GB2312" w:eastAsia="仿宋_GB2312" w:cs="仿宋_GB2312"/>
                <w:b/>
                <w:bCs/>
                <w:color w:val="auto"/>
                <w:sz w:val="28"/>
                <w:szCs w:val="28"/>
                <w:highlight w:val="none"/>
                <w:vertAlign w:val="baseline"/>
                <w:lang w:eastAsia="zh-CN"/>
              </w:rPr>
              <w:t>专栏</w:t>
            </w:r>
            <w:r>
              <w:rPr>
                <w:rFonts w:hint="eastAsia" w:ascii="仿宋_GB2312" w:hAnsi="仿宋_GB2312" w:eastAsia="仿宋_GB2312" w:cs="仿宋_GB2312"/>
                <w:b/>
                <w:bCs/>
                <w:color w:val="auto"/>
                <w:sz w:val="28"/>
                <w:szCs w:val="28"/>
                <w:highlight w:val="none"/>
                <w:vertAlign w:val="baseline"/>
                <w:lang w:val="en-US" w:eastAsia="zh-CN"/>
              </w:rPr>
              <w:t xml:space="preserve">8 </w:t>
            </w:r>
            <w:r>
              <w:rPr>
                <w:rFonts w:hint="eastAsia" w:ascii="仿宋_GB2312" w:hAnsi="仿宋_GB2312" w:eastAsia="仿宋_GB2312" w:cs="仿宋_GB2312"/>
                <w:b/>
                <w:bCs/>
                <w:color w:val="auto"/>
                <w:sz w:val="28"/>
                <w:szCs w:val="28"/>
                <w:highlight w:val="none"/>
                <w:vertAlign w:val="baseline"/>
                <w:lang w:eastAsia="zh-CN"/>
              </w:rPr>
              <w:t xml:space="preserve"> 科技创新人才引培</w:t>
            </w:r>
            <w:r>
              <w:rPr>
                <w:rFonts w:hint="eastAsia" w:ascii="仿宋_GB2312" w:hAnsi="仿宋_GB2312" w:eastAsia="仿宋_GB2312" w:cs="仿宋_GB2312"/>
                <w:b/>
                <w:bCs/>
                <w:color w:val="auto"/>
                <w:sz w:val="28"/>
                <w:szCs w:val="28"/>
                <w:highlight w:val="none"/>
                <w:vertAlign w:val="baseline"/>
                <w:lang w:val="en-US" w:eastAsia="zh-CN"/>
              </w:rPr>
              <w:t>方面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33" w:type="dxa"/>
          </w:tcPr>
          <w:p>
            <w:pPr>
              <w:keepNext w:val="0"/>
              <w:keepLines w:val="0"/>
              <w:pageBreakBefore w:val="0"/>
              <w:widowControl w:val="0"/>
              <w:kinsoku/>
              <w:wordWrap/>
              <w:overflowPunct/>
              <w:topLinePunct w:val="0"/>
              <w:autoSpaceDE/>
              <w:autoSpaceDN/>
              <w:bidi w:val="0"/>
              <w:adjustRightInd w:val="0"/>
              <w:snapToGrid w:val="0"/>
              <w:spacing w:beforeLines="0" w:afterLines="0" w:line="300" w:lineRule="auto"/>
              <w:ind w:firstLine="560" w:firstLineChars="200"/>
              <w:jc w:val="left"/>
              <w:textAlignment w:val="auto"/>
              <w:rPr>
                <w:rFonts w:hint="eastAsia" w:ascii="仿宋_GB2312" w:hAnsi="仿宋_GB2312" w:eastAsia="仿宋_GB2312" w:cs="仿宋_GB2312"/>
                <w:color w:val="auto"/>
                <w:sz w:val="28"/>
                <w:szCs w:val="28"/>
                <w:highlight w:val="none"/>
                <w:vertAlign w:val="baseline"/>
                <w:lang w:eastAsia="zh-CN"/>
              </w:rPr>
            </w:pPr>
            <w:r>
              <w:rPr>
                <w:rFonts w:hint="eastAsia" w:ascii="仿宋_GB2312" w:hAnsi="仿宋_GB2312" w:eastAsia="仿宋_GB2312" w:cs="仿宋_GB2312"/>
                <w:color w:val="auto"/>
                <w:sz w:val="28"/>
                <w:szCs w:val="28"/>
                <w:highlight w:val="none"/>
                <w:vertAlign w:val="baseline"/>
                <w:lang w:eastAsia="zh-CN"/>
              </w:rPr>
              <w:t>围绕精细磷化工、花卉种植、文旅康养等园区核心主导产业，支持企业依托云南省“兴滇英才支持计划”，结合自身技术攻关需求与发展规划，</w:t>
            </w:r>
            <w:r>
              <w:rPr>
                <w:rFonts w:hint="eastAsia" w:ascii="仿宋_GB2312" w:hAnsi="仿宋_GB2312" w:eastAsia="仿宋_GB2312" w:cs="仿宋_GB2312"/>
                <w:color w:val="auto"/>
                <w:sz w:val="28"/>
                <w:szCs w:val="28"/>
                <w:highlight w:val="none"/>
                <w:vertAlign w:val="baseline"/>
                <w:lang w:val="en-US" w:eastAsia="zh-CN"/>
              </w:rPr>
              <w:t>依托企业</w:t>
            </w:r>
            <w:r>
              <w:rPr>
                <w:rFonts w:hint="eastAsia" w:ascii="仿宋_GB2312" w:hAnsi="仿宋_GB2312" w:eastAsia="仿宋_GB2312" w:cs="仿宋_GB2312"/>
                <w:color w:val="auto"/>
                <w:sz w:val="28"/>
                <w:szCs w:val="28"/>
                <w:highlight w:val="none"/>
                <w:vertAlign w:val="baseline"/>
                <w:lang w:eastAsia="zh-CN"/>
              </w:rPr>
              <w:t>靶向引进科技领军人才、产业技术领军人才及创新团队；鼓励企业参与优化高层次人才引育配套政策，推动政策与企业实际需求精准对接，打通人才服务企业实体经济的关键通道，助力企业开展核心技术攻关与科技成果转化，提升产业核心竞争力。</w:t>
            </w:r>
          </w:p>
          <w:p>
            <w:pPr>
              <w:keepNext w:val="0"/>
              <w:keepLines w:val="0"/>
              <w:pageBreakBefore w:val="0"/>
              <w:widowControl w:val="0"/>
              <w:kinsoku/>
              <w:wordWrap/>
              <w:overflowPunct/>
              <w:topLinePunct w:val="0"/>
              <w:autoSpaceDE/>
              <w:autoSpaceDN/>
              <w:bidi w:val="0"/>
              <w:adjustRightInd w:val="0"/>
              <w:snapToGrid w:val="0"/>
              <w:spacing w:beforeLines="0" w:afterLines="0" w:line="300" w:lineRule="auto"/>
              <w:ind w:firstLine="560" w:firstLineChars="200"/>
              <w:jc w:val="left"/>
              <w:textAlignment w:val="auto"/>
              <w:rPr>
                <w:rFonts w:hint="eastAsia" w:ascii="仿宋_GB2312" w:hAnsi="仿宋_GB2312" w:eastAsia="仿宋_GB2312" w:cs="仿宋_GB2312"/>
                <w:color w:val="auto"/>
                <w:sz w:val="28"/>
                <w:szCs w:val="28"/>
                <w:highlight w:val="none"/>
                <w:vertAlign w:val="baseline"/>
                <w:lang w:eastAsia="zh-CN"/>
              </w:rPr>
            </w:pPr>
            <w:r>
              <w:rPr>
                <w:rFonts w:hint="eastAsia" w:ascii="仿宋_GB2312" w:hAnsi="仿宋_GB2312" w:eastAsia="仿宋_GB2312" w:cs="仿宋_GB2312"/>
                <w:color w:val="auto"/>
                <w:sz w:val="28"/>
                <w:szCs w:val="28"/>
                <w:highlight w:val="none"/>
                <w:vertAlign w:val="baseline"/>
                <w:lang w:eastAsia="zh-CN"/>
              </w:rPr>
              <w:t>深化国际及区域科技合作。立足面向南亚东南亚辐射中心定位，争取省级科技特派员驻点支持，加强数字经济、生态治理等领域人才交流；鼓励企业、科研平台与国内外同行建立长效合作机制，聚焦花卉种源创新、跨境物流技术等开展联合攻关。</w:t>
            </w:r>
          </w:p>
          <w:p>
            <w:pPr>
              <w:keepNext w:val="0"/>
              <w:keepLines w:val="0"/>
              <w:pageBreakBefore w:val="0"/>
              <w:widowControl w:val="0"/>
              <w:kinsoku/>
              <w:wordWrap/>
              <w:overflowPunct/>
              <w:topLinePunct w:val="0"/>
              <w:autoSpaceDE/>
              <w:autoSpaceDN/>
              <w:bidi w:val="0"/>
              <w:adjustRightInd w:val="0"/>
              <w:snapToGrid w:val="0"/>
              <w:spacing w:beforeLines="0" w:afterLines="0" w:line="300" w:lineRule="auto"/>
              <w:ind w:firstLine="560" w:firstLineChars="200"/>
              <w:jc w:val="left"/>
              <w:textAlignment w:val="auto"/>
              <w:rPr>
                <w:rFonts w:hint="eastAsia" w:ascii="仿宋_GB2312" w:hAnsi="仿宋_GB2312" w:eastAsia="仿宋_GB2312" w:cs="仿宋_GB2312"/>
                <w:color w:val="auto"/>
                <w:sz w:val="28"/>
                <w:szCs w:val="28"/>
                <w:highlight w:val="none"/>
                <w:vertAlign w:val="baseline"/>
                <w:lang w:eastAsia="zh-CN"/>
              </w:rPr>
            </w:pPr>
            <w:r>
              <w:rPr>
                <w:rFonts w:hint="eastAsia" w:ascii="仿宋_GB2312" w:hAnsi="仿宋_GB2312" w:eastAsia="仿宋_GB2312" w:cs="仿宋_GB2312"/>
                <w:color w:val="auto"/>
                <w:sz w:val="28"/>
                <w:szCs w:val="28"/>
                <w:highlight w:val="none"/>
                <w:vertAlign w:val="baseline"/>
                <w:lang w:eastAsia="zh-CN"/>
              </w:rPr>
              <w:t>构建校地企协同育才体系。联动周边高校共建“产学研用创”融合平台，围绕数字技术应用、</w:t>
            </w:r>
            <w:r>
              <w:rPr>
                <w:rFonts w:hint="eastAsia" w:ascii="仿宋_GB2312" w:hAnsi="仿宋_GB2312" w:eastAsia="仿宋_GB2312" w:cs="仿宋_GB2312"/>
                <w:color w:val="auto"/>
                <w:sz w:val="28"/>
                <w:szCs w:val="28"/>
                <w:highlight w:val="none"/>
                <w:vertAlign w:val="baseline"/>
                <w:lang w:val="en-US" w:eastAsia="zh-CN"/>
              </w:rPr>
              <w:t>农业科技</w:t>
            </w:r>
            <w:r>
              <w:rPr>
                <w:rFonts w:hint="eastAsia" w:ascii="仿宋_GB2312" w:hAnsi="仿宋_GB2312" w:eastAsia="仿宋_GB2312" w:cs="仿宋_GB2312"/>
                <w:color w:val="auto"/>
                <w:sz w:val="28"/>
                <w:szCs w:val="28"/>
                <w:highlight w:val="none"/>
                <w:vertAlign w:val="baseline"/>
                <w:lang w:eastAsia="zh-CN"/>
              </w:rPr>
              <w:t>、智慧康养等领域定制人才培养方案，定向培育精细磷化工、智慧农业等</w:t>
            </w:r>
            <w:r>
              <w:rPr>
                <w:rFonts w:hint="eastAsia" w:ascii="仿宋_GB2312" w:hAnsi="仿宋_GB2312" w:eastAsia="仿宋_GB2312" w:cs="仿宋_GB2312"/>
                <w:color w:val="auto"/>
                <w:sz w:val="28"/>
                <w:szCs w:val="28"/>
                <w:highlight w:val="none"/>
                <w:vertAlign w:val="baseline"/>
                <w:lang w:val="en-US" w:eastAsia="zh-CN"/>
              </w:rPr>
              <w:t>方面</w:t>
            </w:r>
            <w:r>
              <w:rPr>
                <w:rFonts w:hint="eastAsia" w:ascii="仿宋_GB2312" w:hAnsi="仿宋_GB2312" w:eastAsia="仿宋_GB2312" w:cs="仿宋_GB2312"/>
                <w:color w:val="auto"/>
                <w:sz w:val="28"/>
                <w:szCs w:val="28"/>
                <w:highlight w:val="none"/>
                <w:vertAlign w:val="baseline"/>
                <w:lang w:eastAsia="zh-CN"/>
              </w:rPr>
              <w:t>急需的高技能人才，服务科技成果在晋宁落地转化。</w:t>
            </w:r>
          </w:p>
          <w:p>
            <w:pPr>
              <w:keepNext w:val="0"/>
              <w:keepLines w:val="0"/>
              <w:pageBreakBefore w:val="0"/>
              <w:widowControl w:val="0"/>
              <w:kinsoku/>
              <w:wordWrap/>
              <w:overflowPunct/>
              <w:topLinePunct w:val="0"/>
              <w:autoSpaceDE/>
              <w:autoSpaceDN/>
              <w:bidi w:val="0"/>
              <w:adjustRightInd w:val="0"/>
              <w:snapToGrid w:val="0"/>
              <w:spacing w:beforeLines="0" w:afterLines="0" w:line="300" w:lineRule="auto"/>
              <w:ind w:firstLine="560" w:firstLineChars="200"/>
              <w:jc w:val="left"/>
              <w:textAlignment w:val="auto"/>
              <w:rPr>
                <w:rFonts w:hint="eastAsia" w:ascii="仿宋_GB2312" w:hAnsi="仿宋_GB2312" w:eastAsia="仿宋_GB2312" w:cs="仿宋_GB2312"/>
                <w:color w:val="auto"/>
                <w:sz w:val="28"/>
                <w:szCs w:val="28"/>
                <w:highlight w:val="none"/>
                <w:vertAlign w:val="baseline"/>
                <w:lang w:eastAsia="zh-CN"/>
              </w:rPr>
            </w:pPr>
            <w:r>
              <w:rPr>
                <w:rFonts w:hint="eastAsia" w:ascii="仿宋_GB2312" w:hAnsi="仿宋_GB2312" w:eastAsia="仿宋_GB2312" w:cs="仿宋_GB2312"/>
                <w:color w:val="auto"/>
                <w:sz w:val="28"/>
                <w:szCs w:val="28"/>
                <w:highlight w:val="none"/>
                <w:vertAlign w:val="baseline"/>
                <w:lang w:eastAsia="zh-CN"/>
              </w:rPr>
              <w:t>打造“星创天地”人才集聚载体。以</w:t>
            </w:r>
            <w:r>
              <w:rPr>
                <w:rFonts w:hint="eastAsia" w:ascii="仿宋_GB2312" w:hAnsi="仿宋_GB2312" w:eastAsia="仿宋_GB2312" w:cs="仿宋_GB2312"/>
                <w:color w:val="auto"/>
                <w:sz w:val="28"/>
                <w:szCs w:val="28"/>
                <w:highlight w:val="none"/>
                <w:vertAlign w:val="baseline"/>
                <w:lang w:val="en-US" w:eastAsia="zh-CN"/>
              </w:rPr>
              <w:t>区</w:t>
            </w:r>
            <w:r>
              <w:rPr>
                <w:rFonts w:hint="eastAsia" w:ascii="仿宋_GB2312" w:hAnsi="仿宋_GB2312" w:eastAsia="仿宋_GB2312" w:cs="仿宋_GB2312"/>
                <w:color w:val="auto"/>
                <w:sz w:val="28"/>
                <w:szCs w:val="28"/>
                <w:highlight w:val="none"/>
                <w:vertAlign w:val="baseline"/>
                <w:lang w:eastAsia="zh-CN"/>
              </w:rPr>
              <w:t>“星创天地”培育为抓手，聚焦花卉、蔬菜等农业领域搭建创新创业平台，吸引高层次农业科技人才入驻，通过创业项目带动就业，培育一支懂技术、善经营的新型职业农民队伍。</w:t>
            </w:r>
          </w:p>
          <w:p>
            <w:pPr>
              <w:keepNext w:val="0"/>
              <w:keepLines w:val="0"/>
              <w:pageBreakBefore w:val="0"/>
              <w:widowControl w:val="0"/>
              <w:kinsoku/>
              <w:wordWrap/>
              <w:overflowPunct/>
              <w:topLinePunct w:val="0"/>
              <w:autoSpaceDE/>
              <w:autoSpaceDN/>
              <w:bidi w:val="0"/>
              <w:adjustRightInd w:val="0"/>
              <w:snapToGrid w:val="0"/>
              <w:spacing w:beforeLines="0" w:afterLines="0" w:line="300" w:lineRule="auto"/>
              <w:ind w:firstLine="560" w:firstLineChars="200"/>
              <w:jc w:val="left"/>
              <w:textAlignment w:val="auto"/>
              <w:rPr>
                <w:rFonts w:hint="default" w:ascii="仿宋_GB2312" w:hAnsi="仿宋_GB2312" w:eastAsia="仿宋_GB2312" w:cs="仿宋_GB2312"/>
                <w:color w:val="auto"/>
                <w:sz w:val="28"/>
                <w:szCs w:val="28"/>
                <w:highlight w:val="none"/>
                <w:vertAlign w:val="baseline"/>
                <w:lang w:eastAsia="zh-CN"/>
              </w:rPr>
            </w:pPr>
            <w:r>
              <w:rPr>
                <w:rFonts w:hint="eastAsia" w:ascii="仿宋_GB2312" w:hAnsi="仿宋_GB2312" w:eastAsia="仿宋_GB2312" w:cs="仿宋_GB2312"/>
                <w:color w:val="auto"/>
                <w:sz w:val="28"/>
                <w:szCs w:val="28"/>
                <w:highlight w:val="none"/>
                <w:vertAlign w:val="baseline"/>
                <w:lang w:eastAsia="zh-CN"/>
              </w:rPr>
              <w:t>加速本土科技人才成长。完善本土人才培育机制，鼓励区内科技人才申报“兴滇英才”等省级人才项目，推动高校、科研院所人才与地方产业精准对接，促进人才链与创新链、产业链深度融合。</w:t>
            </w:r>
          </w:p>
        </w:tc>
      </w:tr>
    </w:tbl>
    <w:p>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560" w:lineRule="exact"/>
        <w:ind w:firstLine="642" w:firstLineChars="200"/>
        <w:textAlignment w:val="auto"/>
        <w:outlineLvl w:val="2"/>
        <w:rPr>
          <w:rFonts w:hint="eastAsia" w:ascii="黑体" w:hAnsi="黑体" w:eastAsia="黑体" w:cs="黑体"/>
          <w:b/>
          <w:color w:val="auto"/>
          <w:kern w:val="2"/>
          <w:sz w:val="32"/>
          <w:szCs w:val="32"/>
          <w:highlight w:val="none"/>
          <w:lang w:val="en-US" w:eastAsia="zh-CN" w:bidi="ar-SA"/>
        </w:rPr>
      </w:pPr>
      <w:bookmarkStart w:id="19" w:name="_Toc13897"/>
      <w:r>
        <w:rPr>
          <w:rFonts w:hint="eastAsia" w:ascii="黑体" w:hAnsi="黑体" w:eastAsia="黑体" w:cs="黑体"/>
          <w:b/>
          <w:color w:val="auto"/>
          <w:kern w:val="2"/>
          <w:sz w:val="32"/>
          <w:szCs w:val="32"/>
          <w:highlight w:val="none"/>
          <w:lang w:val="en-US" w:eastAsia="zh-CN" w:bidi="ar-SA"/>
        </w:rPr>
        <w:t>（八）完善知识产权保护</w:t>
      </w:r>
      <w:bookmarkEnd w:id="19"/>
      <w:r>
        <w:rPr>
          <w:rFonts w:hint="eastAsia" w:ascii="黑体" w:hAnsi="黑体" w:eastAsia="黑体" w:cs="黑体"/>
          <w:b/>
          <w:color w:val="auto"/>
          <w:kern w:val="2"/>
          <w:sz w:val="32"/>
          <w:szCs w:val="32"/>
          <w:highlight w:val="none"/>
          <w:lang w:val="en-US" w:eastAsia="zh-CN" w:bidi="ar-SA"/>
        </w:rPr>
        <w:t>体系</w:t>
      </w:r>
    </w:p>
    <w:p>
      <w:pPr>
        <w:pStyle w:val="18"/>
        <w:keepNext w:val="0"/>
        <w:keepLines w:val="0"/>
        <w:pageBreakBefore w:val="0"/>
        <w:widowControl w:val="0"/>
        <w:numPr>
          <w:ilvl w:val="0"/>
          <w:numId w:val="12"/>
        </w:numPr>
        <w:kinsoku/>
        <w:wordWrap/>
        <w:overflowPunct/>
        <w:topLinePunct w:val="0"/>
        <w:autoSpaceDE/>
        <w:autoSpaceDN/>
        <w:bidi w:val="0"/>
        <w:adjustRightInd/>
        <w:snapToGrid/>
        <w:spacing w:beforeLines="0" w:after="0" w:afterLines="0" w:line="560" w:lineRule="exact"/>
        <w:ind w:left="0" w:leftChars="0" w:firstLine="642" w:firstLineChars="200"/>
        <w:textAlignment w:val="auto"/>
        <w:outlineLvl w:val="3"/>
        <w:rPr>
          <w:rFonts w:hint="eastAsia" w:ascii="仿宋_GB2312" w:hAnsi="仿宋_GB2312" w:eastAsia="仿宋_GB2312" w:cs="仿宋_GB2312"/>
          <w:b/>
          <w:bCs/>
          <w:color w:val="auto"/>
          <w:kern w:val="2"/>
          <w:sz w:val="32"/>
          <w:szCs w:val="32"/>
          <w:lang w:val="en-US" w:eastAsia="zh-CN" w:bidi="ar-SA"/>
        </w:rPr>
      </w:pPr>
      <w:r>
        <w:rPr>
          <w:rFonts w:hint="eastAsia" w:ascii="仿宋_GB2312" w:hAnsi="仿宋_GB2312" w:eastAsia="仿宋_GB2312" w:cs="仿宋_GB2312"/>
          <w:b/>
          <w:bCs/>
          <w:color w:val="auto"/>
          <w:kern w:val="2"/>
          <w:sz w:val="32"/>
          <w:szCs w:val="32"/>
          <w:lang w:val="en-US" w:eastAsia="zh-CN" w:bidi="ar-SA"/>
        </w:rPr>
        <w:t>促进知识产权保护体系建设</w:t>
      </w:r>
    </w:p>
    <w:p>
      <w:pPr>
        <w:pStyle w:val="18"/>
        <w:keepNext w:val="0"/>
        <w:keepLines w:val="0"/>
        <w:pageBreakBefore w:val="0"/>
        <w:widowControl w:val="0"/>
        <w:numPr>
          <w:ilvl w:val="0"/>
          <w:numId w:val="0"/>
        </w:numPr>
        <w:kinsoku/>
        <w:wordWrap/>
        <w:overflowPunct/>
        <w:topLinePunct w:val="0"/>
        <w:autoSpaceDE/>
        <w:autoSpaceDN/>
        <w:bidi w:val="0"/>
        <w:adjustRightInd/>
        <w:snapToGrid/>
        <w:spacing w:beforeLines="0" w:after="0" w:afterLines="0" w:line="560" w:lineRule="exact"/>
        <w:ind w:firstLine="640" w:firstLineChars="200"/>
        <w:textAlignment w:val="auto"/>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 xml:space="preserve">推动制定企业、园区商业秘密管理规范地方标准，构建分层级、立体化商业秘密保护标准。完善磷化工、花卉、先进装备制造、精密光学设备、生物医药、人工智能等领域的知识产权保护机制。鼓励行业协会、商会、园区建立知识产权自律机制，高标准建设知识产权保护工作站及商业秘密保护示范园区。指导市场主体建立健全知识产权管理制度，提升知识产权保护意识和能力。 </w:t>
      </w:r>
    </w:p>
    <w:p>
      <w:pPr>
        <w:pStyle w:val="18"/>
        <w:keepNext w:val="0"/>
        <w:keepLines w:val="0"/>
        <w:pageBreakBefore w:val="0"/>
        <w:widowControl w:val="0"/>
        <w:numPr>
          <w:ilvl w:val="0"/>
          <w:numId w:val="12"/>
        </w:numPr>
        <w:kinsoku/>
        <w:wordWrap/>
        <w:overflowPunct/>
        <w:topLinePunct w:val="0"/>
        <w:autoSpaceDE/>
        <w:autoSpaceDN/>
        <w:bidi w:val="0"/>
        <w:adjustRightInd/>
        <w:snapToGrid/>
        <w:spacing w:beforeLines="0" w:after="0" w:afterLines="0" w:line="560" w:lineRule="exact"/>
        <w:ind w:left="0" w:leftChars="0" w:firstLine="642" w:firstLineChars="200"/>
        <w:textAlignment w:val="auto"/>
        <w:outlineLvl w:val="3"/>
        <w:rPr>
          <w:rFonts w:hint="eastAsia" w:ascii="仿宋_GB2312" w:hAnsi="仿宋_GB2312" w:eastAsia="仿宋_GB2312" w:cs="仿宋_GB2312"/>
          <w:b/>
          <w:bCs/>
          <w:color w:val="auto"/>
          <w:kern w:val="2"/>
          <w:sz w:val="32"/>
          <w:szCs w:val="32"/>
          <w:lang w:val="en-US" w:eastAsia="zh-CN" w:bidi="ar-SA"/>
        </w:rPr>
      </w:pPr>
      <w:r>
        <w:rPr>
          <w:rFonts w:hint="eastAsia" w:ascii="仿宋_GB2312" w:hAnsi="仿宋_GB2312" w:eastAsia="仿宋_GB2312" w:cs="仿宋_GB2312"/>
          <w:b/>
          <w:bCs/>
          <w:color w:val="auto"/>
          <w:kern w:val="2"/>
          <w:sz w:val="32"/>
          <w:szCs w:val="32"/>
          <w:lang w:val="en-US" w:eastAsia="zh-CN" w:bidi="ar-SA"/>
        </w:rPr>
        <w:t>健全知识产权纠纷多元化解</w:t>
      </w:r>
    </w:p>
    <w:p>
      <w:pPr>
        <w:pStyle w:val="18"/>
        <w:keepNext w:val="0"/>
        <w:keepLines w:val="0"/>
        <w:pageBreakBefore w:val="0"/>
        <w:widowControl w:val="0"/>
        <w:numPr>
          <w:ilvl w:val="0"/>
          <w:numId w:val="0"/>
        </w:numPr>
        <w:kinsoku/>
        <w:wordWrap/>
        <w:overflowPunct/>
        <w:topLinePunct w:val="0"/>
        <w:autoSpaceDE/>
        <w:autoSpaceDN/>
        <w:bidi w:val="0"/>
        <w:adjustRightInd/>
        <w:snapToGrid/>
        <w:spacing w:beforeLines="0" w:after="0" w:afterLines="0" w:line="560" w:lineRule="exact"/>
        <w:ind w:firstLine="640" w:firstLineChars="200"/>
        <w:textAlignment w:val="auto"/>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培育和发展知识产权调解组织、仲裁机构，探索调解仲裁对接机制，引导市场主体优先选择仲裁途径解决知识产权纠纷，打造知识产权仲裁保护高地。开展法律领域的科技创新研究与本土化应用开发，简化诉讼维权流程，打造知识产权领域社会治理应用创新示范区。</w:t>
      </w:r>
    </w:p>
    <w:p>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560" w:lineRule="exact"/>
        <w:ind w:firstLine="321" w:firstLineChars="100"/>
        <w:textAlignment w:val="auto"/>
        <w:outlineLvl w:val="2"/>
        <w:rPr>
          <w:rFonts w:hint="eastAsia" w:ascii="黑体" w:hAnsi="黑体" w:eastAsia="黑体" w:cs="黑体"/>
          <w:b/>
          <w:color w:val="auto"/>
          <w:kern w:val="2"/>
          <w:sz w:val="32"/>
          <w:szCs w:val="32"/>
          <w:highlight w:val="none"/>
          <w:lang w:val="en-US" w:eastAsia="zh-CN" w:bidi="ar-SA"/>
        </w:rPr>
      </w:pPr>
      <w:bookmarkStart w:id="20" w:name="_Toc17784"/>
      <w:r>
        <w:rPr>
          <w:rFonts w:hint="eastAsia" w:ascii="黑体" w:hAnsi="黑体" w:eastAsia="黑体" w:cs="黑体"/>
          <w:b/>
          <w:color w:val="auto"/>
          <w:kern w:val="2"/>
          <w:sz w:val="32"/>
          <w:szCs w:val="32"/>
          <w:highlight w:val="none"/>
          <w:lang w:val="en-US" w:eastAsia="zh-CN" w:bidi="ar-SA"/>
        </w:rPr>
        <w:t>（九）营造良好科学文化氛围</w:t>
      </w:r>
      <w:bookmarkEnd w:id="20"/>
    </w:p>
    <w:p>
      <w:pPr>
        <w:numPr>
          <w:ilvl w:val="0"/>
          <w:numId w:val="13"/>
        </w:numPr>
        <w:bidi w:val="0"/>
        <w:spacing w:beforeLines="0" w:afterLines="0" w:line="560" w:lineRule="exact"/>
        <w:ind w:left="0" w:leftChars="0" w:firstLine="642" w:firstLineChars="200"/>
        <w:outlineLvl w:val="3"/>
        <w:rPr>
          <w:rFonts w:hint="eastAsia" w:eastAsia="仿宋_GB2312" w:asciiTheme="minorAscii" w:hAnsiTheme="minorAscii"/>
          <w:b/>
          <w:bCs/>
          <w:color w:val="auto"/>
          <w:sz w:val="32"/>
          <w:highlight w:val="none"/>
          <w:lang w:val="en-US" w:eastAsia="zh-CN"/>
        </w:rPr>
      </w:pPr>
      <w:r>
        <w:rPr>
          <w:rFonts w:hint="eastAsia" w:eastAsia="仿宋_GB2312" w:asciiTheme="minorAscii" w:hAnsiTheme="minorAscii"/>
          <w:b/>
          <w:bCs/>
          <w:color w:val="auto"/>
          <w:sz w:val="32"/>
          <w:highlight w:val="none"/>
          <w:lang w:val="en-US" w:eastAsia="zh-CN"/>
        </w:rPr>
        <w:t>做实新时代的科协工作</w:t>
      </w:r>
    </w:p>
    <w:p>
      <w:pPr>
        <w:pStyle w:val="18"/>
        <w:keepNext w:val="0"/>
        <w:keepLines w:val="0"/>
        <w:pageBreakBefore w:val="0"/>
        <w:widowControl w:val="0"/>
        <w:kinsoku/>
        <w:wordWrap/>
        <w:overflowPunct/>
        <w:topLinePunct w:val="0"/>
        <w:autoSpaceDE/>
        <w:autoSpaceDN/>
        <w:bidi w:val="0"/>
        <w:adjustRightInd/>
        <w:snapToGrid/>
        <w:spacing w:beforeLines="0" w:after="0" w:afterLines="0" w:line="560" w:lineRule="exact"/>
        <w:ind w:left="0" w:leftChars="0" w:firstLine="640" w:firstLineChars="200"/>
        <w:textAlignment w:val="auto"/>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切实履行为科技工作者服务、为创新驱动发展服务、为提升全民科学素质服务、为党和政府科学决策服务的职责定位，把广大科技工作者紧紧团结在党的周围，充分激发科技创新能量，绽放和实现科技工作者价值，大力弘扬科学精神，营造科技创新生态。加强科普设施建设，鼓励区级及以上科普教育基地开放共享。配合辖区新时代文明建设需要，积极开展各类科技志愿服务活动，协调成立专业化科技志愿服务队。支持举办聚焦科技前沿、国家重大需求、经济发展需求、人民生命健康需求的各类学术交流活动。发挥区科协和学会组织对各类创新要素的柔性联结优势，为企业与政府、高校、科研院所等联合开展科技应用场景研发合作提供链接枢纽，打造创新创业成果交易新模式。</w:t>
      </w:r>
    </w:p>
    <w:p>
      <w:pPr>
        <w:numPr>
          <w:ilvl w:val="0"/>
          <w:numId w:val="13"/>
        </w:numPr>
        <w:bidi w:val="0"/>
        <w:spacing w:beforeLines="0" w:afterLines="0" w:line="560" w:lineRule="exact"/>
        <w:ind w:left="0" w:leftChars="0" w:firstLine="642" w:firstLineChars="200"/>
        <w:outlineLvl w:val="3"/>
        <w:rPr>
          <w:rFonts w:hint="eastAsia" w:eastAsia="仿宋_GB2312" w:asciiTheme="minorAscii" w:hAnsiTheme="minorAscii"/>
          <w:b/>
          <w:bCs/>
          <w:color w:val="auto"/>
          <w:sz w:val="32"/>
          <w:highlight w:val="none"/>
          <w:lang w:val="en-US" w:eastAsia="zh-CN"/>
        </w:rPr>
      </w:pPr>
      <w:r>
        <w:rPr>
          <w:rFonts w:hint="eastAsia" w:eastAsia="仿宋_GB2312" w:asciiTheme="minorAscii" w:hAnsiTheme="minorAscii"/>
          <w:b/>
          <w:bCs/>
          <w:color w:val="auto"/>
          <w:sz w:val="32"/>
          <w:highlight w:val="none"/>
          <w:lang w:val="en-US" w:eastAsia="zh-CN"/>
        </w:rPr>
        <w:t>全面提升公民科学素质</w:t>
      </w:r>
    </w:p>
    <w:p>
      <w:pPr>
        <w:pStyle w:val="18"/>
        <w:keepNext w:val="0"/>
        <w:keepLines w:val="0"/>
        <w:pageBreakBefore w:val="0"/>
        <w:widowControl w:val="0"/>
        <w:kinsoku/>
        <w:wordWrap/>
        <w:overflowPunct/>
        <w:topLinePunct w:val="0"/>
        <w:autoSpaceDE/>
        <w:autoSpaceDN/>
        <w:bidi w:val="0"/>
        <w:adjustRightInd/>
        <w:snapToGrid/>
        <w:spacing w:beforeLines="0" w:after="0" w:afterLines="0" w:line="560" w:lineRule="exact"/>
        <w:ind w:left="0" w:leftChars="0" w:firstLine="640" w:firstLineChars="200"/>
        <w:textAlignment w:val="auto"/>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实施全民科学素质提升行动，分类聚焦重点人群，提供个性化、精准化科普服务，塑造科技向善理念，认真开展</w:t>
      </w:r>
      <w:r>
        <w:rPr>
          <w:rFonts w:hint="eastAsia" w:ascii="仿宋_GB2312" w:hAnsi="仿宋_GB2312" w:eastAsia="仿宋_GB2312" w:cs="仿宋_GB2312"/>
          <w:b/>
          <w:bCs/>
          <w:color w:val="auto"/>
          <w:kern w:val="2"/>
          <w:sz w:val="32"/>
          <w:szCs w:val="32"/>
          <w:lang w:val="en-US" w:eastAsia="zh-CN" w:bidi="ar-SA"/>
        </w:rPr>
        <w:t>科普教育，</w:t>
      </w:r>
      <w:r>
        <w:rPr>
          <w:rFonts w:hint="eastAsia" w:ascii="仿宋_GB2312" w:hAnsi="仿宋_GB2312" w:eastAsia="仿宋_GB2312" w:cs="仿宋_GB2312"/>
          <w:color w:val="auto"/>
          <w:kern w:val="2"/>
          <w:sz w:val="32"/>
          <w:szCs w:val="32"/>
          <w:lang w:val="en-US" w:eastAsia="zh-CN" w:bidi="ar-SA"/>
        </w:rPr>
        <w:t>切实提高公民科学素质。持续开展“科技周”大型科普宣传、科学文化卫生法律“四下乡”、全国科普日等科普宣传活动，坚持科普教育</w:t>
      </w:r>
      <w:r>
        <w:rPr>
          <w:rFonts w:hint="eastAsia" w:ascii="仿宋_GB2312" w:hAnsi="仿宋_GB2312" w:eastAsia="仿宋_GB2312" w:cs="仿宋_GB2312"/>
          <w:b/>
          <w:bCs/>
          <w:color w:val="auto"/>
          <w:kern w:val="2"/>
          <w:sz w:val="32"/>
          <w:szCs w:val="32"/>
          <w:lang w:val="en-US" w:eastAsia="zh-CN" w:bidi="ar-SA"/>
        </w:rPr>
        <w:t>“进社区、进乡村、进校园”</w:t>
      </w:r>
      <w:r>
        <w:rPr>
          <w:rFonts w:hint="eastAsia" w:ascii="仿宋_GB2312" w:hAnsi="仿宋_GB2312" w:eastAsia="仿宋_GB2312" w:cs="仿宋_GB2312"/>
          <w:color w:val="auto"/>
          <w:kern w:val="2"/>
          <w:sz w:val="32"/>
          <w:szCs w:val="32"/>
          <w:lang w:val="en-US" w:eastAsia="zh-CN" w:bidi="ar-SA"/>
        </w:rPr>
        <w:t>。</w:t>
      </w:r>
    </w:p>
    <w:p>
      <w:pPr>
        <w:pStyle w:val="18"/>
        <w:keepNext w:val="0"/>
        <w:keepLines w:val="0"/>
        <w:pageBreakBefore w:val="0"/>
        <w:widowControl w:val="0"/>
        <w:kinsoku/>
        <w:wordWrap/>
        <w:overflowPunct/>
        <w:topLinePunct w:val="0"/>
        <w:autoSpaceDE/>
        <w:autoSpaceDN/>
        <w:bidi w:val="0"/>
        <w:adjustRightInd/>
        <w:snapToGrid/>
        <w:spacing w:beforeLines="0" w:after="0" w:afterLines="0" w:line="560" w:lineRule="exact"/>
        <w:ind w:left="0" w:leftChars="0" w:firstLine="642" w:firstLineChars="200"/>
        <w:textAlignment w:val="auto"/>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b/>
          <w:bCs/>
          <w:color w:val="auto"/>
          <w:kern w:val="2"/>
          <w:sz w:val="32"/>
          <w:szCs w:val="32"/>
          <w:highlight w:val="none"/>
          <w:lang w:val="en-US" w:eastAsia="zh-CN" w:bidi="ar-SA"/>
        </w:rPr>
        <w:t>围绕青少年人群，</w:t>
      </w:r>
      <w:r>
        <w:rPr>
          <w:rFonts w:hint="eastAsia" w:ascii="仿宋_GB2312" w:hAnsi="仿宋_GB2312" w:eastAsia="仿宋_GB2312" w:cs="仿宋_GB2312"/>
          <w:b w:val="0"/>
          <w:bCs w:val="0"/>
          <w:color w:val="auto"/>
          <w:kern w:val="2"/>
          <w:sz w:val="32"/>
          <w:szCs w:val="32"/>
          <w:highlight w:val="none"/>
          <w:lang w:val="en-US" w:eastAsia="zh-CN" w:bidi="ar-SA"/>
        </w:rPr>
        <w:t>加快义务教育优质均衡发展和城乡一体化，在全区学校开足开齐相关科学课程”</w:t>
      </w:r>
      <w:r>
        <w:rPr>
          <w:rFonts w:hint="eastAsia" w:ascii="仿宋_GB2312" w:hAnsi="仿宋_GB2312" w:eastAsia="仿宋_GB2312" w:cs="仿宋_GB2312"/>
          <w:color w:val="auto"/>
          <w:kern w:val="2"/>
          <w:sz w:val="32"/>
          <w:szCs w:val="32"/>
          <w:highlight w:val="none"/>
          <w:lang w:val="en-US" w:eastAsia="zh-CN" w:bidi="ar-SA"/>
        </w:rPr>
        <w:t>，</w:t>
      </w:r>
      <w:r>
        <w:rPr>
          <w:rFonts w:hint="eastAsia" w:ascii="仿宋_GB2312" w:hAnsi="仿宋_GB2312" w:eastAsia="仿宋_GB2312" w:cs="仿宋_GB2312"/>
          <w:color w:val="auto"/>
          <w:kern w:val="2"/>
          <w:sz w:val="32"/>
          <w:szCs w:val="32"/>
          <w:lang w:val="en-US" w:eastAsia="zh-CN" w:bidi="ar-SA"/>
        </w:rPr>
        <w:t>并围绕信息化建设辅助素质教育，培养学生科技创新能力。每年组织学生参加省、市举办的青少年科技创新大赛。建立学校、社会和家庭协同育人、校内外科学教育资源有效衔接机制，加强对未成年人科学兴趣的引导，呵护青少年好奇心和求知欲。</w:t>
      </w:r>
    </w:p>
    <w:p>
      <w:pPr>
        <w:pStyle w:val="18"/>
        <w:keepNext w:val="0"/>
        <w:keepLines w:val="0"/>
        <w:pageBreakBefore w:val="0"/>
        <w:widowControl w:val="0"/>
        <w:kinsoku/>
        <w:wordWrap/>
        <w:overflowPunct/>
        <w:topLinePunct w:val="0"/>
        <w:autoSpaceDE/>
        <w:autoSpaceDN/>
        <w:bidi w:val="0"/>
        <w:adjustRightInd/>
        <w:snapToGrid/>
        <w:spacing w:beforeLines="0" w:after="0" w:afterLines="0" w:line="560" w:lineRule="exact"/>
        <w:ind w:left="0" w:leftChars="0" w:firstLine="642" w:firstLineChars="200"/>
        <w:textAlignment w:val="auto"/>
        <w:rPr>
          <w:rFonts w:hint="eastAsia"/>
          <w:lang w:val="en-US" w:eastAsia="zh-CN"/>
        </w:rPr>
      </w:pPr>
      <w:r>
        <w:rPr>
          <w:rFonts w:hint="eastAsia" w:ascii="仿宋_GB2312" w:hAnsi="仿宋_GB2312" w:eastAsia="仿宋_GB2312" w:cs="仿宋_GB2312"/>
          <w:b/>
          <w:bCs/>
          <w:color w:val="auto"/>
          <w:kern w:val="2"/>
          <w:sz w:val="32"/>
          <w:szCs w:val="32"/>
          <w:lang w:val="en-US" w:eastAsia="zh-CN" w:bidi="ar-SA"/>
        </w:rPr>
        <w:t>围绕社区居民，</w:t>
      </w:r>
      <w:r>
        <w:rPr>
          <w:rFonts w:hint="eastAsia" w:ascii="仿宋_GB2312" w:hAnsi="仿宋_GB2312" w:eastAsia="仿宋_GB2312" w:cs="仿宋_GB2312"/>
          <w:color w:val="auto"/>
          <w:kern w:val="2"/>
          <w:sz w:val="32"/>
          <w:szCs w:val="32"/>
          <w:lang w:val="en-US" w:eastAsia="zh-CN" w:bidi="ar-SA"/>
        </w:rPr>
        <w:t>聚焦不同年龄层和生活需求提供精准科普服务。针对老年人开展智能设备使用、健康养生误区解读、防诈骗科普等培训；为中青年普及家庭消防安全、绿色节能、应急避险、垃圾分类等实用知识；面向儿童开展亲子科普实验、科学绘本共读、科普手工等互动活动。</w:t>
      </w:r>
    </w:p>
    <w:p>
      <w:pPr>
        <w:pStyle w:val="18"/>
        <w:keepNext w:val="0"/>
        <w:keepLines w:val="0"/>
        <w:pageBreakBefore w:val="0"/>
        <w:widowControl w:val="0"/>
        <w:kinsoku/>
        <w:wordWrap/>
        <w:overflowPunct/>
        <w:topLinePunct w:val="0"/>
        <w:autoSpaceDE/>
        <w:autoSpaceDN/>
        <w:bidi w:val="0"/>
        <w:adjustRightInd/>
        <w:snapToGrid/>
        <w:spacing w:beforeLines="0" w:after="0" w:afterLines="0" w:line="560" w:lineRule="exact"/>
        <w:ind w:left="0" w:leftChars="0" w:firstLine="642" w:firstLineChars="200"/>
        <w:textAlignment w:val="auto"/>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b/>
          <w:bCs/>
          <w:color w:val="auto"/>
          <w:kern w:val="2"/>
          <w:sz w:val="32"/>
          <w:szCs w:val="32"/>
          <w:lang w:val="en-US" w:eastAsia="zh-CN" w:bidi="ar-SA"/>
        </w:rPr>
        <w:t>围绕</w:t>
      </w:r>
      <w:r>
        <w:rPr>
          <w:rFonts w:hint="eastAsia" w:ascii="仿宋_GB2312" w:hAnsi="仿宋_GB2312" w:eastAsia="仿宋_GB2312" w:cs="仿宋_GB2312"/>
          <w:b/>
          <w:bCs/>
          <w:color w:val="auto"/>
          <w:kern w:val="2"/>
          <w:sz w:val="32"/>
          <w:szCs w:val="32"/>
          <w:highlight w:val="none"/>
          <w:lang w:val="en-US" w:eastAsia="zh-CN" w:bidi="ar-SA"/>
        </w:rPr>
        <w:t>城镇劳动者和农民</w:t>
      </w:r>
      <w:r>
        <w:rPr>
          <w:rFonts w:hint="eastAsia" w:ascii="仿宋_GB2312" w:hAnsi="仿宋_GB2312" w:eastAsia="仿宋_GB2312" w:cs="仿宋_GB2312"/>
          <w:b/>
          <w:bCs/>
          <w:color w:val="auto"/>
          <w:kern w:val="2"/>
          <w:sz w:val="32"/>
          <w:szCs w:val="32"/>
          <w:lang w:val="en-US" w:eastAsia="zh-CN" w:bidi="ar-SA"/>
        </w:rPr>
        <w:t>，</w:t>
      </w:r>
      <w:r>
        <w:rPr>
          <w:rFonts w:hint="eastAsia" w:ascii="仿宋_GB2312" w:hAnsi="仿宋_GB2312" w:eastAsia="仿宋_GB2312" w:cs="仿宋_GB2312"/>
          <w:color w:val="auto"/>
          <w:kern w:val="2"/>
          <w:sz w:val="32"/>
          <w:szCs w:val="32"/>
          <w:lang w:val="en-US" w:eastAsia="zh-CN" w:bidi="ar-SA"/>
        </w:rPr>
        <w:t>紧贴安全生产、职业病防治、惠企政策等内容进行科技宣传，并有序组织多行业多工种项目职业技能竞赛，大力弘扬劳模精神、劳动精神、工匠精神。</w:t>
      </w:r>
    </w:p>
    <w:p>
      <w:pPr>
        <w:pStyle w:val="17"/>
        <w:spacing w:beforeLines="0" w:after="0" w:afterLines="0" w:line="560" w:lineRule="exact"/>
        <w:ind w:left="0" w:leftChars="0" w:firstLine="642" w:firstLineChars="200"/>
        <w:rPr>
          <w:rFonts w:hint="eastAsia"/>
          <w:color w:val="auto"/>
          <w:lang w:val="en-US" w:eastAsia="zh-CN"/>
        </w:rPr>
      </w:pPr>
      <w:r>
        <w:rPr>
          <w:rFonts w:hint="eastAsia" w:ascii="仿宋_GB2312" w:hAnsi="仿宋_GB2312" w:eastAsia="仿宋_GB2312" w:cs="仿宋_GB2312"/>
          <w:b/>
          <w:bCs/>
          <w:color w:val="auto"/>
          <w:kern w:val="2"/>
          <w:sz w:val="32"/>
          <w:szCs w:val="32"/>
          <w:lang w:val="en-US" w:eastAsia="zh-CN" w:bidi="ar-SA"/>
        </w:rPr>
        <w:t>围绕领导干部和公务员，</w:t>
      </w:r>
      <w:r>
        <w:rPr>
          <w:rFonts w:hint="eastAsia" w:ascii="仿宋_GB2312" w:hAnsi="仿宋_GB2312" w:eastAsia="仿宋_GB2312" w:cs="仿宋_GB2312"/>
          <w:color w:val="auto"/>
          <w:kern w:val="2"/>
          <w:sz w:val="32"/>
          <w:szCs w:val="32"/>
          <w:lang w:val="en-US" w:eastAsia="zh-CN" w:bidi="ar-SA"/>
        </w:rPr>
        <w:t>在教育培训中加强前沿科技知识和全球科技发展趋势学习，进一步提高科学决策能力和科学治理能力。</w:t>
      </w:r>
    </w:p>
    <w:p>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560" w:lineRule="exact"/>
        <w:ind w:firstLine="642" w:firstLineChars="200"/>
        <w:textAlignment w:val="auto"/>
        <w:outlineLvl w:val="2"/>
        <w:rPr>
          <w:rFonts w:hint="eastAsia" w:ascii="黑体" w:hAnsi="黑体" w:eastAsia="黑体" w:cs="黑体"/>
          <w:b/>
          <w:color w:val="auto"/>
          <w:kern w:val="2"/>
          <w:sz w:val="32"/>
          <w:szCs w:val="32"/>
          <w:highlight w:val="none"/>
          <w:lang w:val="en-US" w:eastAsia="zh-CN" w:bidi="ar-SA"/>
        </w:rPr>
      </w:pPr>
      <w:bookmarkStart w:id="21" w:name="_Toc18537"/>
      <w:r>
        <w:rPr>
          <w:rFonts w:hint="eastAsia" w:ascii="黑体" w:hAnsi="黑体" w:eastAsia="黑体" w:cs="黑体"/>
          <w:b/>
          <w:color w:val="auto"/>
          <w:kern w:val="2"/>
          <w:sz w:val="32"/>
          <w:szCs w:val="32"/>
          <w:highlight w:val="none"/>
          <w:lang w:val="en-US" w:eastAsia="zh-CN" w:bidi="ar-SA"/>
        </w:rPr>
        <w:t>（十）深化科技体制持续改革</w:t>
      </w:r>
      <w:bookmarkEnd w:id="21"/>
    </w:p>
    <w:p>
      <w:pPr>
        <w:pStyle w:val="18"/>
        <w:keepNext w:val="0"/>
        <w:keepLines w:val="0"/>
        <w:pageBreakBefore w:val="0"/>
        <w:widowControl w:val="0"/>
        <w:kinsoku/>
        <w:wordWrap/>
        <w:overflowPunct/>
        <w:topLinePunct w:val="0"/>
        <w:autoSpaceDE/>
        <w:autoSpaceDN/>
        <w:bidi w:val="0"/>
        <w:adjustRightInd/>
        <w:snapToGrid/>
        <w:spacing w:beforeLines="0" w:after="0" w:afterLines="0" w:line="560" w:lineRule="exact"/>
        <w:ind w:left="0" w:leftChars="0"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kern w:val="2"/>
          <w:sz w:val="32"/>
          <w:szCs w:val="32"/>
          <w:lang w:val="en-US" w:eastAsia="zh-CN" w:bidi="ar-SA"/>
        </w:rPr>
        <w:t>坚持以总体国家安全观为指导，加强科技安全治理建设，完善科技安全预警监测机制，强化跨行业、跨部门科技安全风险联防联控，提高科技在重大安全事件中的应急反应能力。支持创新主体积极参与央地协同的重大关键核心技术攻关项目。探索建立市区攻关的联动机制，推动遴选、设立一批优质科技攻关项目。探索企业牵头、应用导向的科技攻关模式，支持科技领军企业牵头组建创新联合体，完善利益分配机制。支持龙头企业与国家、省自然科学基金合作设立企业创新发展联合基金，引导高校、研究机构围绕产业技术创新面临的深层次科学难题开展研究。探索设立承接重大项目在晋后续研究和产业化的专项支持计划。构建关键核心技术攻关的高效组织体系。</w:t>
      </w:r>
    </w:p>
    <w:p>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560" w:lineRule="exact"/>
        <w:ind w:left="630" w:leftChars="0"/>
        <w:textAlignment w:val="auto"/>
        <w:outlineLvl w:val="1"/>
        <w:rPr>
          <w:rFonts w:hint="eastAsia" w:ascii="黑体" w:hAnsi="黑体" w:eastAsia="黑体" w:cs="黑体"/>
          <w:b/>
          <w:bCs w:val="0"/>
          <w:color w:val="auto"/>
          <w:kern w:val="44"/>
          <w:sz w:val="32"/>
          <w:szCs w:val="32"/>
          <w:highlight w:val="none"/>
          <w:lang w:val="en-US" w:eastAsia="zh-CN" w:bidi="ar-SA"/>
        </w:rPr>
      </w:pPr>
      <w:bookmarkStart w:id="22" w:name="_Toc19788"/>
      <w:r>
        <w:rPr>
          <w:rFonts w:hint="eastAsia" w:ascii="黑体" w:hAnsi="黑体" w:eastAsia="黑体" w:cs="黑体"/>
          <w:b/>
          <w:bCs w:val="0"/>
          <w:color w:val="auto"/>
          <w:kern w:val="44"/>
          <w:sz w:val="32"/>
          <w:szCs w:val="32"/>
          <w:highlight w:val="none"/>
          <w:lang w:val="en-US" w:eastAsia="zh-CN" w:bidi="ar-SA"/>
        </w:rPr>
        <w:t>五、保障措施</w:t>
      </w:r>
      <w:bookmarkEnd w:id="22"/>
    </w:p>
    <w:p>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560" w:lineRule="exact"/>
        <w:ind w:firstLine="642" w:firstLineChars="200"/>
        <w:textAlignment w:val="auto"/>
        <w:outlineLvl w:val="2"/>
        <w:rPr>
          <w:rFonts w:hint="eastAsia" w:ascii="黑体" w:hAnsi="黑体" w:eastAsia="黑体" w:cs="黑体"/>
          <w:b/>
          <w:color w:val="auto"/>
          <w:kern w:val="2"/>
          <w:sz w:val="32"/>
          <w:szCs w:val="32"/>
          <w:highlight w:val="none"/>
          <w:lang w:val="en-US" w:eastAsia="zh-CN" w:bidi="ar-SA"/>
        </w:rPr>
      </w:pPr>
      <w:bookmarkStart w:id="23" w:name="_Toc30705"/>
      <w:r>
        <w:rPr>
          <w:rFonts w:hint="eastAsia" w:ascii="黑体" w:hAnsi="黑体" w:eastAsia="黑体" w:cs="黑体"/>
          <w:b/>
          <w:color w:val="auto"/>
          <w:kern w:val="2"/>
          <w:sz w:val="32"/>
          <w:szCs w:val="32"/>
          <w:highlight w:val="none"/>
          <w:lang w:val="en-US" w:eastAsia="zh-CN" w:bidi="ar-SA"/>
        </w:rPr>
        <w:t>（一）强化组织领导工作</w:t>
      </w:r>
      <w:bookmarkEnd w:id="23"/>
    </w:p>
    <w:p>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560" w:lineRule="exact"/>
        <w:ind w:firstLine="640" w:firstLineChars="200"/>
        <w:jc w:val="both"/>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科学制定科技创新规划实施的路线图与时间表，将科技创新重要指标分解纳入年度指标体系，设置年度目标，并做好年度间的综合平衡。深入推进“上下联动、横向协调、多方参与”的协调机制，以科技能力提升与科技成果转化为核心，加强战略谋划，建立健全科技发展统筹协调推进机制。推动市、区科技创新一体化协同，区级各部门、街道、镇（乡）、园区间相互配合，创新平台间功能互补，创新基础设施共建共享，新兴产业发展协同共赢，努力形成科技管理系统“一盘棋”的良好工作局面。</w:t>
      </w:r>
    </w:p>
    <w:p>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560" w:lineRule="exact"/>
        <w:ind w:firstLine="642" w:firstLineChars="200"/>
        <w:textAlignment w:val="auto"/>
        <w:outlineLvl w:val="2"/>
        <w:rPr>
          <w:rFonts w:hint="eastAsia" w:ascii="黑体" w:hAnsi="黑体" w:eastAsia="黑体" w:cs="黑体"/>
          <w:b/>
          <w:color w:val="auto"/>
          <w:kern w:val="2"/>
          <w:sz w:val="32"/>
          <w:szCs w:val="32"/>
          <w:highlight w:val="none"/>
          <w:lang w:val="en-US" w:eastAsia="zh-CN" w:bidi="ar-SA"/>
        </w:rPr>
      </w:pPr>
      <w:bookmarkStart w:id="24" w:name="_Toc25800"/>
      <w:r>
        <w:rPr>
          <w:rFonts w:hint="eastAsia" w:ascii="黑体" w:hAnsi="黑体" w:eastAsia="黑体" w:cs="黑体"/>
          <w:b/>
          <w:color w:val="auto"/>
          <w:kern w:val="2"/>
          <w:sz w:val="32"/>
          <w:szCs w:val="32"/>
          <w:highlight w:val="none"/>
          <w:lang w:val="en-US" w:eastAsia="zh-CN" w:bidi="ar-SA"/>
        </w:rPr>
        <w:t>（二）强化创新政策保障</w:t>
      </w:r>
      <w:bookmarkEnd w:id="24"/>
    </w:p>
    <w:p>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560" w:lineRule="exact"/>
        <w:ind w:firstLine="640" w:firstLineChars="200"/>
        <w:jc w:val="both"/>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在用好用足省、市给予的各项科技政策的基础上，围绕晋宁全域创新协同高质量发展，制定新时期晋宁科技创新支撑高质量发展的若干政策措施，重点聚焦创新主体培育、研发投入增长、以科技服务业促进成果转化、打造新型研发机构等方面的配套政策和实施细则。根据各类创新主体成长特性分层分级精准施策，以人为本激励创新，出台具有针对性和实效性的扶持措施。建设科技人才绿色服务通道，优化发展环境、接轨国际标准，增强科技人才培引效能。</w:t>
      </w:r>
    </w:p>
    <w:p>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560" w:lineRule="exact"/>
        <w:ind w:firstLine="640" w:firstLineChars="200"/>
        <w:jc w:val="both"/>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加强区级财政科学技术支出科目配置的统筹协调，聚焦全市科技创新发展重大战略任务，发挥财政导向作用，完善对创新机构的持续稳定投入机制；加强空间资源保障，积极推进辖区内园区建设，释放更多科研空间，鼓励园区利用闲置空间，打造科技楼宇，鼓励各级政府与高等院校共建大学科技创新园，为科技创新、成果转化提供空间。</w:t>
      </w:r>
    </w:p>
    <w:p>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560" w:lineRule="exact"/>
        <w:ind w:firstLine="642" w:firstLineChars="200"/>
        <w:textAlignment w:val="auto"/>
        <w:outlineLvl w:val="2"/>
        <w:rPr>
          <w:rFonts w:hint="eastAsia" w:ascii="黑体" w:hAnsi="黑体" w:eastAsia="黑体" w:cs="黑体"/>
          <w:b/>
          <w:color w:val="auto"/>
          <w:kern w:val="2"/>
          <w:sz w:val="32"/>
          <w:szCs w:val="32"/>
          <w:highlight w:val="none"/>
          <w:lang w:val="en-US" w:eastAsia="zh-CN" w:bidi="ar-SA"/>
        </w:rPr>
      </w:pPr>
      <w:bookmarkStart w:id="25" w:name="_Toc19940"/>
      <w:r>
        <w:rPr>
          <w:rFonts w:hint="eastAsia" w:ascii="黑体" w:hAnsi="黑体" w:eastAsia="黑体" w:cs="黑体"/>
          <w:b/>
          <w:color w:val="auto"/>
          <w:kern w:val="2"/>
          <w:sz w:val="32"/>
          <w:szCs w:val="32"/>
          <w:highlight w:val="none"/>
          <w:lang w:val="en-US" w:eastAsia="zh-CN" w:bidi="ar-SA"/>
        </w:rPr>
        <w:t>（三）强化规划督查考核</w:t>
      </w:r>
      <w:bookmarkEnd w:id="25"/>
    </w:p>
    <w:p>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560" w:lineRule="exact"/>
        <w:ind w:firstLine="640" w:firstLineChars="200"/>
        <w:jc w:val="both"/>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建立健全规划实施动态监测、定期评估制度，根据形势变化和发展需要对规划进行必要的调整完善，确保规划的科学性。加强不同规划之间、年度计划与规划之间的衔接, 确保规划提出的各项任务落到实处。建立绩效考评机制，落实主体责任，对重点任务、代表性指标纳入区对各街道、乡、镇年度绩效考核。健全决策、执行、评价相对分开、互相监督的运行机制，强化对规划实施进展情况的监督和问责机制。做好重点任务和重大问题的跟进研究和政策储备，确保规划目标和任务顺利实施。</w:t>
      </w:r>
    </w:p>
    <w:p>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560" w:lineRule="exact"/>
        <w:ind w:firstLine="642" w:firstLineChars="200"/>
        <w:textAlignment w:val="auto"/>
        <w:outlineLvl w:val="2"/>
        <w:rPr>
          <w:rFonts w:hint="eastAsia" w:ascii="黑体" w:hAnsi="黑体" w:eastAsia="黑体" w:cs="黑体"/>
          <w:b/>
          <w:color w:val="auto"/>
          <w:kern w:val="2"/>
          <w:sz w:val="32"/>
          <w:szCs w:val="32"/>
          <w:highlight w:val="none"/>
          <w:lang w:val="en-US" w:eastAsia="zh-CN" w:bidi="ar-SA"/>
        </w:rPr>
      </w:pPr>
      <w:bookmarkStart w:id="26" w:name="_Toc25049"/>
      <w:r>
        <w:rPr>
          <w:rFonts w:hint="eastAsia" w:ascii="黑体" w:hAnsi="黑体" w:eastAsia="黑体" w:cs="黑体"/>
          <w:b/>
          <w:color w:val="auto"/>
          <w:kern w:val="2"/>
          <w:sz w:val="32"/>
          <w:szCs w:val="32"/>
          <w:highlight w:val="none"/>
          <w:lang w:val="en-US" w:eastAsia="zh-CN" w:bidi="ar-SA"/>
        </w:rPr>
        <w:t>（四）强化保障措施落实</w:t>
      </w:r>
      <w:bookmarkEnd w:id="26"/>
    </w:p>
    <w:p>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560" w:lineRule="exact"/>
        <w:ind w:firstLine="640" w:firstLineChars="200"/>
        <w:jc w:val="both"/>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为促进科技创新规划顺利实施，强化责任落实和监督机制，由科技行政部门牵头对科技创新规划目标、重点任务作进一步分解，落实具体实施单位。科技行政部门在规划实施过程中，应当注重加强组织协调工作，特别是对国家、省、市中长期科技、人才规划纲要的统筹落实。</w:t>
      </w:r>
    </w:p>
    <w:p>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560" w:lineRule="exact"/>
        <w:ind w:firstLine="640" w:firstLineChars="200"/>
        <w:jc w:val="both"/>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建立健全科技创新规划监测评估制度和动态调整机制，通过监测评估，及时掌握规划的实施进展情况，为科技创新规划的动态调整提供依据；重视开展科技发展战略研究，强化科技统计监测和评估、科技成果登记、科技培训和科技保密工作；加大科技创新宣传力度，为全社会积极参与科技创新规划的有效实施提供舆论基础，确保科技创新规划的有效实施。</w:t>
      </w:r>
    </w:p>
    <w:p>
      <w:pPr>
        <w:keepNext w:val="0"/>
        <w:keepLines w:val="0"/>
        <w:pageBreakBefore w:val="0"/>
        <w:kinsoku/>
        <w:wordWrap/>
        <w:overflowPunct/>
        <w:topLinePunct w:val="0"/>
        <w:autoSpaceDE/>
        <w:autoSpaceDN/>
        <w:bidi w:val="0"/>
        <w:spacing w:line="560" w:lineRule="exact"/>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br w:type="page"/>
      </w:r>
    </w:p>
    <w:p>
      <w:pPr>
        <w:keepNext w:val="0"/>
        <w:keepLines w:val="0"/>
        <w:pageBreakBefore w:val="0"/>
        <w:kinsoku/>
        <w:wordWrap/>
        <w:overflowPunct/>
        <w:topLinePunct w:val="0"/>
        <w:autoSpaceDE/>
        <w:autoSpaceDN/>
        <w:bidi w:val="0"/>
        <w:spacing w:line="560" w:lineRule="exact"/>
        <w:rPr>
          <w:rFonts w:hint="eastAsia" w:ascii="仿宋_GB2312" w:hAnsi="仿宋_GB2312" w:eastAsia="仿宋_GB2312" w:cs="仿宋_GB2312"/>
          <w:color w:val="auto"/>
          <w:sz w:val="32"/>
          <w:szCs w:val="32"/>
          <w:lang w:val="en-US" w:eastAsia="zh-CN"/>
        </w:rPr>
        <w:sectPr>
          <w:footerReference r:id="rId5" w:type="default"/>
          <w:pgSz w:w="11906" w:h="16838"/>
          <w:pgMar w:top="1440" w:right="1474" w:bottom="1440" w:left="1587" w:header="851" w:footer="992" w:gutter="0"/>
          <w:pgNumType w:fmt="numberInDash" w:start="1"/>
          <w:cols w:space="425" w:num="1"/>
          <w:docGrid w:type="lines" w:linePitch="312" w:charSpace="0"/>
        </w:sectPr>
      </w:pPr>
    </w:p>
    <w:p>
      <w:pPr>
        <w:pStyle w:val="6"/>
        <w:jc w:val="left"/>
        <w:rPr>
          <w:rFonts w:hint="eastAsia" w:ascii="黑体" w:hAnsi="黑体" w:eastAsia="黑体" w:cs="黑体"/>
          <w:color w:val="auto"/>
          <w:sz w:val="28"/>
          <w:szCs w:val="40"/>
          <w:lang w:eastAsia="zh-CN"/>
        </w:rPr>
      </w:pPr>
      <w:r>
        <w:rPr>
          <w:rFonts w:hint="eastAsia" w:ascii="仿宋_GB2312" w:hAnsi="仿宋_GB2312" w:eastAsia="仿宋_GB2312" w:cs="仿宋_GB2312"/>
          <w:color w:val="auto"/>
          <w:sz w:val="32"/>
          <w:szCs w:val="44"/>
          <w:lang w:val="en-US" w:eastAsia="zh-CN"/>
        </w:rPr>
        <w:t xml:space="preserve">附表：                  </w:t>
      </w:r>
      <w:r>
        <w:rPr>
          <w:rFonts w:hint="eastAsia" w:ascii="黑体" w:hAnsi="黑体" w:eastAsia="黑体" w:cs="黑体"/>
          <w:color w:val="auto"/>
          <w:sz w:val="32"/>
          <w:szCs w:val="44"/>
          <w:lang w:val="en-US" w:eastAsia="zh-CN"/>
        </w:rPr>
        <w:t xml:space="preserve"> </w:t>
      </w:r>
      <w:r>
        <w:rPr>
          <w:rFonts w:hint="eastAsia" w:ascii="黑体" w:hAnsi="黑体" w:eastAsia="黑体" w:cs="黑体"/>
          <w:color w:val="auto"/>
          <w:sz w:val="32"/>
          <w:szCs w:val="44"/>
          <w:lang w:eastAsia="zh-CN"/>
        </w:rPr>
        <w:t>“十五五”时期科技创新类重大项目表</w:t>
      </w:r>
    </w:p>
    <w:tbl>
      <w:tblPr>
        <w:tblStyle w:val="19"/>
        <w:tblW w:w="4996"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461"/>
        <w:gridCol w:w="685"/>
        <w:gridCol w:w="1462"/>
        <w:gridCol w:w="3545"/>
        <w:gridCol w:w="830"/>
        <w:gridCol w:w="2089"/>
        <w:gridCol w:w="799"/>
        <w:gridCol w:w="1038"/>
        <w:gridCol w:w="325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spacing w:line="240" w:lineRule="auto"/>
              <w:jc w:val="center"/>
              <w:textAlignment w:val="center"/>
              <w:rPr>
                <w:rFonts w:hint="eastAsia" w:ascii="仿宋_GB2312" w:hAnsi="仿宋_GB2312" w:eastAsia="仿宋_GB2312" w:cs="仿宋_GB2312"/>
                <w:b/>
                <w:bCs/>
                <w:i w:val="0"/>
                <w:iCs w:val="0"/>
                <w:color w:val="auto"/>
                <w:sz w:val="24"/>
                <w:szCs w:val="24"/>
                <w:u w:val="none"/>
              </w:rPr>
            </w:pPr>
            <w:r>
              <w:rPr>
                <w:rFonts w:hint="eastAsia" w:ascii="仿宋_GB2312" w:hAnsi="仿宋_GB2312" w:eastAsia="仿宋_GB2312" w:cs="仿宋_GB2312"/>
                <w:b/>
                <w:bCs/>
                <w:i w:val="0"/>
                <w:iCs w:val="0"/>
                <w:color w:val="auto"/>
                <w:kern w:val="0"/>
                <w:sz w:val="24"/>
                <w:szCs w:val="24"/>
                <w:u w:val="none"/>
                <w:lang w:val="en-US" w:eastAsia="zh-CN" w:bidi="ar"/>
              </w:rPr>
              <w:t>序号</w:t>
            </w:r>
          </w:p>
        </w:tc>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spacing w:line="240" w:lineRule="auto"/>
              <w:jc w:val="center"/>
              <w:textAlignment w:val="center"/>
              <w:rPr>
                <w:rFonts w:hint="eastAsia" w:ascii="仿宋_GB2312" w:hAnsi="仿宋_GB2312" w:eastAsia="仿宋_GB2312" w:cs="仿宋_GB2312"/>
                <w:b/>
                <w:bCs/>
                <w:i w:val="0"/>
                <w:iCs w:val="0"/>
                <w:color w:val="auto"/>
                <w:sz w:val="24"/>
                <w:szCs w:val="24"/>
                <w:u w:val="none"/>
              </w:rPr>
            </w:pPr>
            <w:r>
              <w:rPr>
                <w:rFonts w:hint="eastAsia" w:ascii="仿宋_GB2312" w:hAnsi="仿宋_GB2312" w:eastAsia="仿宋_GB2312" w:cs="仿宋_GB2312"/>
                <w:b/>
                <w:bCs/>
                <w:i w:val="0"/>
                <w:iCs w:val="0"/>
                <w:color w:val="auto"/>
                <w:kern w:val="0"/>
                <w:sz w:val="24"/>
                <w:szCs w:val="24"/>
                <w:u w:val="none"/>
                <w:lang w:val="en-US" w:eastAsia="zh-CN" w:bidi="ar"/>
              </w:rPr>
              <w:t>项目类型</w:t>
            </w:r>
          </w:p>
        </w:tc>
        <w:tc>
          <w:tcPr>
            <w:tcW w:w="51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spacing w:line="240" w:lineRule="auto"/>
              <w:jc w:val="center"/>
              <w:textAlignment w:val="center"/>
              <w:rPr>
                <w:rFonts w:hint="eastAsia" w:ascii="仿宋_GB2312" w:hAnsi="仿宋_GB2312" w:eastAsia="仿宋_GB2312" w:cs="仿宋_GB2312"/>
                <w:b/>
                <w:bCs/>
                <w:i w:val="0"/>
                <w:iCs w:val="0"/>
                <w:color w:val="auto"/>
                <w:sz w:val="24"/>
                <w:szCs w:val="24"/>
                <w:u w:val="none"/>
              </w:rPr>
            </w:pPr>
            <w:r>
              <w:rPr>
                <w:rFonts w:hint="eastAsia" w:ascii="仿宋_GB2312" w:hAnsi="仿宋_GB2312" w:eastAsia="仿宋_GB2312" w:cs="仿宋_GB2312"/>
                <w:b/>
                <w:bCs/>
                <w:i w:val="0"/>
                <w:iCs w:val="0"/>
                <w:color w:val="auto"/>
                <w:kern w:val="0"/>
                <w:sz w:val="24"/>
                <w:szCs w:val="24"/>
                <w:u w:val="none"/>
                <w:lang w:val="en-US" w:eastAsia="zh-CN" w:bidi="ar"/>
              </w:rPr>
              <w:t>项目名称</w:t>
            </w:r>
          </w:p>
        </w:tc>
        <w:tc>
          <w:tcPr>
            <w:tcW w:w="125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spacing w:line="240" w:lineRule="auto"/>
              <w:jc w:val="center"/>
              <w:textAlignment w:val="center"/>
              <w:rPr>
                <w:rFonts w:hint="eastAsia" w:ascii="仿宋_GB2312" w:hAnsi="仿宋_GB2312" w:eastAsia="仿宋_GB2312" w:cs="仿宋_GB2312"/>
                <w:b/>
                <w:bCs/>
                <w:i w:val="0"/>
                <w:iCs w:val="0"/>
                <w:color w:val="auto"/>
                <w:sz w:val="24"/>
                <w:szCs w:val="24"/>
                <w:u w:val="none"/>
              </w:rPr>
            </w:pPr>
            <w:r>
              <w:rPr>
                <w:rFonts w:hint="eastAsia" w:ascii="仿宋_GB2312" w:hAnsi="仿宋_GB2312" w:eastAsia="仿宋_GB2312" w:cs="仿宋_GB2312"/>
                <w:b/>
                <w:bCs/>
                <w:i w:val="0"/>
                <w:iCs w:val="0"/>
                <w:color w:val="auto"/>
                <w:kern w:val="0"/>
                <w:sz w:val="24"/>
                <w:szCs w:val="24"/>
                <w:u w:val="none"/>
                <w:lang w:val="en-US" w:eastAsia="zh-CN" w:bidi="ar"/>
              </w:rPr>
              <w:t>主要内容</w:t>
            </w:r>
          </w:p>
        </w:tc>
        <w:tc>
          <w:tcPr>
            <w:tcW w:w="29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spacing w:line="240" w:lineRule="auto"/>
              <w:jc w:val="center"/>
              <w:textAlignment w:val="center"/>
              <w:rPr>
                <w:rFonts w:hint="eastAsia" w:ascii="仿宋_GB2312" w:hAnsi="仿宋_GB2312" w:eastAsia="仿宋_GB2312" w:cs="仿宋_GB2312"/>
                <w:b/>
                <w:bCs/>
                <w:i w:val="0"/>
                <w:iCs w:val="0"/>
                <w:color w:val="auto"/>
                <w:sz w:val="24"/>
                <w:szCs w:val="24"/>
                <w:u w:val="none"/>
              </w:rPr>
            </w:pPr>
            <w:r>
              <w:rPr>
                <w:rFonts w:hint="eastAsia" w:ascii="仿宋_GB2312" w:hAnsi="仿宋_GB2312" w:eastAsia="仿宋_GB2312" w:cs="仿宋_GB2312"/>
                <w:b/>
                <w:bCs/>
                <w:i w:val="0"/>
                <w:iCs w:val="0"/>
                <w:color w:val="auto"/>
                <w:kern w:val="0"/>
                <w:sz w:val="24"/>
                <w:szCs w:val="24"/>
                <w:u w:val="none"/>
                <w:lang w:val="en-US" w:eastAsia="zh-CN" w:bidi="ar"/>
              </w:rPr>
              <w:t>建设性质</w:t>
            </w:r>
          </w:p>
        </w:tc>
        <w:tc>
          <w:tcPr>
            <w:tcW w:w="73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spacing w:line="240" w:lineRule="auto"/>
              <w:jc w:val="center"/>
              <w:textAlignment w:val="center"/>
              <w:rPr>
                <w:rFonts w:hint="eastAsia" w:ascii="仿宋_GB2312" w:hAnsi="仿宋_GB2312" w:eastAsia="仿宋_GB2312" w:cs="仿宋_GB2312"/>
                <w:b/>
                <w:bCs/>
                <w:i w:val="0"/>
                <w:iCs w:val="0"/>
                <w:color w:val="auto"/>
                <w:sz w:val="24"/>
                <w:szCs w:val="24"/>
                <w:u w:val="none"/>
              </w:rPr>
            </w:pPr>
            <w:r>
              <w:rPr>
                <w:rFonts w:hint="eastAsia" w:ascii="仿宋_GB2312" w:hAnsi="仿宋_GB2312" w:eastAsia="仿宋_GB2312" w:cs="仿宋_GB2312"/>
                <w:b/>
                <w:bCs/>
                <w:i w:val="0"/>
                <w:iCs w:val="0"/>
                <w:color w:val="auto"/>
                <w:kern w:val="0"/>
                <w:sz w:val="24"/>
                <w:szCs w:val="24"/>
                <w:u w:val="none"/>
                <w:lang w:val="en-US" w:eastAsia="zh-CN" w:bidi="ar"/>
              </w:rPr>
              <w:t>资金来源</w:t>
            </w:r>
          </w:p>
        </w:tc>
        <w:tc>
          <w:tcPr>
            <w:tcW w:w="28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spacing w:line="240" w:lineRule="auto"/>
              <w:jc w:val="center"/>
              <w:textAlignment w:val="center"/>
              <w:rPr>
                <w:rFonts w:hint="default" w:ascii="仿宋_GB2312" w:hAnsi="仿宋_GB2312" w:eastAsia="仿宋_GB2312" w:cs="仿宋_GB2312"/>
                <w:b/>
                <w:bCs/>
                <w:i w:val="0"/>
                <w:iCs w:val="0"/>
                <w:color w:val="auto"/>
                <w:kern w:val="0"/>
                <w:sz w:val="24"/>
                <w:szCs w:val="24"/>
                <w:u w:val="none"/>
                <w:lang w:val="en-US" w:eastAsia="zh-CN" w:bidi="ar"/>
              </w:rPr>
            </w:pPr>
            <w:r>
              <w:rPr>
                <w:rFonts w:hint="eastAsia" w:ascii="仿宋_GB2312" w:hAnsi="仿宋_GB2312" w:eastAsia="仿宋_GB2312" w:cs="仿宋_GB2312"/>
                <w:b/>
                <w:bCs/>
                <w:i w:val="0"/>
                <w:iCs w:val="0"/>
                <w:color w:val="auto"/>
                <w:kern w:val="0"/>
                <w:sz w:val="24"/>
                <w:szCs w:val="24"/>
                <w:u w:val="none"/>
                <w:lang w:val="en-US" w:eastAsia="zh-CN" w:bidi="ar"/>
              </w:rPr>
              <w:t>投资额</w:t>
            </w:r>
          </w:p>
        </w:tc>
        <w:tc>
          <w:tcPr>
            <w:tcW w:w="36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spacing w:line="240" w:lineRule="auto"/>
              <w:jc w:val="center"/>
              <w:textAlignment w:val="center"/>
              <w:rPr>
                <w:rFonts w:hint="default" w:ascii="仿宋_GB2312" w:hAnsi="仿宋_GB2312" w:eastAsia="仿宋_GB2312" w:cs="仿宋_GB2312"/>
                <w:b/>
                <w:bCs/>
                <w:i w:val="0"/>
                <w:iCs w:val="0"/>
                <w:color w:val="auto"/>
                <w:kern w:val="0"/>
                <w:sz w:val="24"/>
                <w:szCs w:val="24"/>
                <w:u w:val="none"/>
                <w:lang w:val="en-US" w:eastAsia="zh-CN" w:bidi="ar"/>
              </w:rPr>
            </w:pPr>
            <w:r>
              <w:rPr>
                <w:rFonts w:hint="eastAsia" w:ascii="仿宋_GB2312" w:hAnsi="仿宋_GB2312" w:eastAsia="仿宋_GB2312" w:cs="仿宋_GB2312"/>
                <w:b/>
                <w:bCs/>
                <w:i w:val="0"/>
                <w:iCs w:val="0"/>
                <w:color w:val="auto"/>
                <w:kern w:val="0"/>
                <w:sz w:val="24"/>
                <w:szCs w:val="24"/>
                <w:u w:val="none"/>
                <w:lang w:val="en-US" w:eastAsia="zh-CN" w:bidi="ar"/>
              </w:rPr>
              <w:t>项目推进情况</w:t>
            </w:r>
          </w:p>
        </w:tc>
        <w:tc>
          <w:tcPr>
            <w:tcW w:w="114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spacing w:line="240" w:lineRule="auto"/>
              <w:jc w:val="center"/>
              <w:textAlignment w:val="center"/>
              <w:rPr>
                <w:rFonts w:hint="eastAsia" w:ascii="仿宋_GB2312" w:hAnsi="仿宋_GB2312" w:eastAsia="仿宋_GB2312" w:cs="仿宋_GB2312"/>
                <w:b/>
                <w:bCs/>
                <w:i w:val="0"/>
                <w:iCs w:val="0"/>
                <w:color w:val="auto"/>
                <w:sz w:val="24"/>
                <w:szCs w:val="24"/>
                <w:u w:val="none"/>
              </w:rPr>
            </w:pPr>
            <w:r>
              <w:rPr>
                <w:rFonts w:hint="eastAsia" w:ascii="仿宋_GB2312" w:hAnsi="仿宋_GB2312" w:eastAsia="仿宋_GB2312" w:cs="仿宋_GB2312"/>
                <w:b/>
                <w:bCs/>
                <w:i w:val="0"/>
                <w:iCs w:val="0"/>
                <w:color w:val="auto"/>
                <w:kern w:val="0"/>
                <w:sz w:val="24"/>
                <w:szCs w:val="24"/>
                <w:u w:val="none"/>
                <w:lang w:val="en-US" w:eastAsia="zh-CN" w:bidi="ar"/>
              </w:rPr>
              <w:t>支持政策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spacing w:line="240" w:lineRule="auto"/>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1</w:t>
            </w:r>
          </w:p>
        </w:tc>
        <w:tc>
          <w:tcPr>
            <w:tcW w:w="242" w:type="pct"/>
            <w:vMerge w:val="restart"/>
            <w:tcBorders>
              <w:top w:val="single" w:color="000000" w:sz="4" w:space="0"/>
              <w:left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spacing w:line="240" w:lineRule="auto"/>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农业</w:t>
            </w:r>
          </w:p>
        </w:tc>
        <w:tc>
          <w:tcPr>
            <w:tcW w:w="51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spacing w:line="240" w:lineRule="auto"/>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花卉种业研发</w:t>
            </w:r>
          </w:p>
        </w:tc>
        <w:tc>
          <w:tcPr>
            <w:tcW w:w="125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spacing w:line="240" w:lineRule="auto"/>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主要从云花种质基因库、种质资源收集中心、花卉新品种研发繁育中心、种质保存鉴定中心等4个方面进行研发。</w:t>
            </w:r>
          </w:p>
        </w:tc>
        <w:tc>
          <w:tcPr>
            <w:tcW w:w="29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spacing w:line="240" w:lineRule="auto"/>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新建</w:t>
            </w:r>
          </w:p>
        </w:tc>
        <w:tc>
          <w:tcPr>
            <w:tcW w:w="73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spacing w:line="240" w:lineRule="auto"/>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专项扶持资金/社会资本/金融信贷</w:t>
            </w:r>
          </w:p>
        </w:tc>
        <w:tc>
          <w:tcPr>
            <w:tcW w:w="28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p>
        </w:tc>
        <w:tc>
          <w:tcPr>
            <w:tcW w:w="36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p>
        </w:tc>
        <w:tc>
          <w:tcPr>
            <w:tcW w:w="114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spacing w:line="240" w:lineRule="auto"/>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1.《全国花卉产业发展规划（2021—2035年）》；2、《关于推进花卉业高质量发展的指导意见》</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spacing w:line="240" w:lineRule="auto"/>
              <w:jc w:val="center"/>
              <w:textAlignment w:val="center"/>
              <w:rPr>
                <w:rFonts w:hint="default"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2</w:t>
            </w:r>
          </w:p>
        </w:tc>
        <w:tc>
          <w:tcPr>
            <w:tcW w:w="242" w:type="pct"/>
            <w:vMerge w:val="continue"/>
            <w:tcBorders>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spacing w:line="240" w:lineRule="auto"/>
              <w:jc w:val="center"/>
              <w:rPr>
                <w:rFonts w:hint="eastAsia" w:ascii="仿宋_GB2312" w:hAnsi="仿宋_GB2312" w:eastAsia="仿宋_GB2312" w:cs="仿宋_GB2312"/>
                <w:i w:val="0"/>
                <w:iCs w:val="0"/>
                <w:color w:val="auto"/>
                <w:sz w:val="24"/>
                <w:szCs w:val="24"/>
                <w:u w:val="none"/>
              </w:rPr>
            </w:pPr>
          </w:p>
        </w:tc>
        <w:tc>
          <w:tcPr>
            <w:tcW w:w="51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spacing w:line="240" w:lineRule="auto"/>
              <w:jc w:val="center"/>
              <w:textAlignment w:val="center"/>
              <w:rPr>
                <w:rFonts w:hint="eastAsia" w:ascii="仿宋_GB2312" w:hAnsi="仿宋_GB2312" w:eastAsia="仿宋_GB2312" w:cs="仿宋_GB2312"/>
                <w:i w:val="0"/>
                <w:iCs w:val="0"/>
                <w:color w:val="auto"/>
                <w:kern w:val="0"/>
                <w:sz w:val="24"/>
                <w:szCs w:val="24"/>
                <w:highlight w:val="none"/>
                <w:u w:val="none"/>
                <w:lang w:val="en-US" w:eastAsia="zh-CN" w:bidi="ar"/>
              </w:rPr>
            </w:pPr>
            <w:r>
              <w:rPr>
                <w:rFonts w:hint="eastAsia" w:ascii="仿宋_GB2312" w:hAnsi="仿宋_GB2312" w:eastAsia="仿宋_GB2312" w:cs="仿宋_GB2312"/>
                <w:i w:val="0"/>
                <w:iCs w:val="0"/>
                <w:color w:val="auto"/>
                <w:kern w:val="0"/>
                <w:sz w:val="24"/>
                <w:szCs w:val="24"/>
                <w:highlight w:val="none"/>
                <w:u w:val="none"/>
                <w:lang w:val="en-US" w:eastAsia="zh-CN" w:bidi="ar"/>
              </w:rPr>
              <w:t>晋宁区花卉智能体项目</w:t>
            </w:r>
          </w:p>
        </w:tc>
        <w:tc>
          <w:tcPr>
            <w:tcW w:w="125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spacing w:line="240" w:lineRule="auto"/>
              <w:jc w:val="center"/>
              <w:textAlignment w:val="center"/>
              <w:rPr>
                <w:rFonts w:hint="eastAsia" w:ascii="仿宋_GB2312" w:hAnsi="仿宋_GB2312" w:eastAsia="仿宋_GB2312" w:cs="仿宋_GB2312"/>
                <w:i w:val="0"/>
                <w:iCs w:val="0"/>
                <w:color w:val="auto"/>
                <w:kern w:val="0"/>
                <w:sz w:val="24"/>
                <w:szCs w:val="24"/>
                <w:highlight w:val="none"/>
                <w:u w:val="none"/>
                <w:lang w:val="en-US" w:eastAsia="zh-CN" w:bidi="ar"/>
              </w:rPr>
            </w:pPr>
            <w:r>
              <w:rPr>
                <w:rFonts w:hint="eastAsia" w:ascii="仿宋_GB2312" w:hAnsi="仿宋_GB2312" w:eastAsia="仿宋_GB2312" w:cs="仿宋_GB2312"/>
                <w:i w:val="0"/>
                <w:iCs w:val="0"/>
                <w:color w:val="auto"/>
                <w:kern w:val="0"/>
                <w:sz w:val="24"/>
                <w:szCs w:val="24"/>
                <w:highlight w:val="none"/>
                <w:u w:val="none"/>
                <w:lang w:val="en-US" w:eastAsia="zh-CN" w:bidi="ar"/>
              </w:rPr>
              <w:t>依托晋宁区花卉产业优势，通过对育种端、生产端、销售端的资源整合，搭建花卉智能体数据系统，该系统包括但不限于对数据进行智能监测、智能控制、智能运维、智能服务、系统集成与互通互联等。</w:t>
            </w:r>
          </w:p>
        </w:tc>
        <w:tc>
          <w:tcPr>
            <w:tcW w:w="29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spacing w:line="240" w:lineRule="auto"/>
              <w:jc w:val="center"/>
              <w:textAlignment w:val="center"/>
              <w:rPr>
                <w:rFonts w:hint="eastAsia" w:ascii="仿宋_GB2312" w:hAnsi="仿宋_GB2312" w:eastAsia="仿宋_GB2312" w:cs="仿宋_GB2312"/>
                <w:i w:val="0"/>
                <w:iCs w:val="0"/>
                <w:color w:val="auto"/>
                <w:kern w:val="0"/>
                <w:sz w:val="24"/>
                <w:szCs w:val="24"/>
                <w:highlight w:val="none"/>
                <w:u w:val="none"/>
                <w:lang w:val="en-US" w:eastAsia="zh-CN" w:bidi="ar"/>
              </w:rPr>
            </w:pPr>
            <w:r>
              <w:rPr>
                <w:rFonts w:hint="eastAsia" w:ascii="仿宋_GB2312" w:hAnsi="仿宋_GB2312" w:eastAsia="仿宋_GB2312" w:cs="仿宋_GB2312"/>
                <w:i w:val="0"/>
                <w:iCs w:val="0"/>
                <w:color w:val="auto"/>
                <w:kern w:val="0"/>
                <w:sz w:val="24"/>
                <w:szCs w:val="24"/>
                <w:highlight w:val="none"/>
                <w:u w:val="none"/>
                <w:lang w:val="en-US" w:eastAsia="zh-CN" w:bidi="ar"/>
              </w:rPr>
              <w:t>新建</w:t>
            </w:r>
          </w:p>
        </w:tc>
        <w:tc>
          <w:tcPr>
            <w:tcW w:w="73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spacing w:line="240" w:lineRule="auto"/>
              <w:jc w:val="center"/>
              <w:textAlignment w:val="center"/>
              <w:rPr>
                <w:rFonts w:hint="eastAsia" w:ascii="仿宋_GB2312" w:hAnsi="仿宋_GB2312" w:eastAsia="仿宋_GB2312" w:cs="仿宋_GB2312"/>
                <w:i w:val="0"/>
                <w:iCs w:val="0"/>
                <w:color w:val="auto"/>
                <w:kern w:val="0"/>
                <w:sz w:val="24"/>
                <w:szCs w:val="24"/>
                <w:highlight w:val="none"/>
                <w:u w:val="none"/>
                <w:lang w:val="en-US" w:eastAsia="zh-CN" w:bidi="ar"/>
              </w:rPr>
            </w:pPr>
            <w:r>
              <w:rPr>
                <w:rFonts w:hint="eastAsia" w:ascii="仿宋_GB2312" w:hAnsi="仿宋_GB2312" w:eastAsia="仿宋_GB2312" w:cs="仿宋_GB2312"/>
                <w:i w:val="0"/>
                <w:iCs w:val="0"/>
                <w:color w:val="auto"/>
                <w:kern w:val="0"/>
                <w:sz w:val="24"/>
                <w:szCs w:val="24"/>
                <w:highlight w:val="none"/>
                <w:u w:val="none"/>
                <w:lang w:val="en-US" w:eastAsia="zh-CN" w:bidi="ar"/>
              </w:rPr>
              <w:t>中央预算内投资/地方政府专项债</w:t>
            </w:r>
          </w:p>
        </w:tc>
        <w:tc>
          <w:tcPr>
            <w:tcW w:w="28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spacing w:line="240" w:lineRule="auto"/>
              <w:jc w:val="center"/>
              <w:textAlignment w:val="center"/>
              <w:rPr>
                <w:rFonts w:hint="eastAsia" w:ascii="仿宋_GB2312" w:hAnsi="仿宋_GB2312" w:eastAsia="仿宋_GB2312" w:cs="仿宋_GB2312"/>
                <w:i w:val="0"/>
                <w:iCs w:val="0"/>
                <w:color w:val="auto"/>
                <w:kern w:val="0"/>
                <w:sz w:val="24"/>
                <w:szCs w:val="24"/>
                <w:highlight w:val="none"/>
                <w:u w:val="none"/>
                <w:lang w:val="en-US" w:eastAsia="zh-CN" w:bidi="ar"/>
              </w:rPr>
            </w:pPr>
          </w:p>
        </w:tc>
        <w:tc>
          <w:tcPr>
            <w:tcW w:w="36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spacing w:line="240" w:lineRule="auto"/>
              <w:jc w:val="center"/>
              <w:textAlignment w:val="center"/>
              <w:rPr>
                <w:rFonts w:hint="eastAsia" w:ascii="仿宋_GB2312" w:hAnsi="仿宋_GB2312" w:eastAsia="仿宋_GB2312" w:cs="仿宋_GB2312"/>
                <w:i w:val="0"/>
                <w:iCs w:val="0"/>
                <w:color w:val="auto"/>
                <w:kern w:val="0"/>
                <w:sz w:val="24"/>
                <w:szCs w:val="24"/>
                <w:highlight w:val="none"/>
                <w:u w:val="none"/>
                <w:lang w:val="en-US" w:eastAsia="zh-CN" w:bidi="ar"/>
              </w:rPr>
            </w:pPr>
          </w:p>
        </w:tc>
        <w:tc>
          <w:tcPr>
            <w:tcW w:w="114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spacing w:line="240" w:lineRule="auto"/>
              <w:jc w:val="center"/>
              <w:textAlignment w:val="center"/>
              <w:rPr>
                <w:rFonts w:hint="eastAsia" w:ascii="仿宋_GB2312" w:hAnsi="仿宋_GB2312" w:eastAsia="仿宋_GB2312" w:cs="仿宋_GB2312"/>
                <w:i w:val="0"/>
                <w:iCs w:val="0"/>
                <w:color w:val="auto"/>
                <w:kern w:val="0"/>
                <w:sz w:val="24"/>
                <w:szCs w:val="24"/>
                <w:highlight w:val="none"/>
                <w:u w:val="none"/>
                <w:lang w:val="en-US" w:eastAsia="zh-CN" w:bidi="ar"/>
              </w:rPr>
            </w:pPr>
            <w:r>
              <w:rPr>
                <w:rFonts w:hint="eastAsia" w:ascii="仿宋_GB2312" w:hAnsi="仿宋_GB2312" w:eastAsia="仿宋_GB2312" w:cs="仿宋_GB2312"/>
                <w:i w:val="0"/>
                <w:iCs w:val="0"/>
                <w:color w:val="auto"/>
                <w:kern w:val="0"/>
                <w:sz w:val="24"/>
                <w:szCs w:val="24"/>
                <w:highlight w:val="none"/>
                <w:u w:val="none"/>
                <w:lang w:val="en-US" w:eastAsia="zh-CN" w:bidi="ar"/>
              </w:rPr>
              <w:t>《云南省“十四五”数字农业农村发展规划》；2、《云南省“十四五”农业农村现代化发展规划》明确提出了大力发展农产品电商产业；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48" w:hRule="atLeast"/>
        </w:trPr>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spacing w:line="240" w:lineRule="auto"/>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3</w:t>
            </w:r>
          </w:p>
        </w:tc>
        <w:tc>
          <w:tcPr>
            <w:tcW w:w="24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spacing w:line="240" w:lineRule="auto"/>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工业</w:t>
            </w:r>
          </w:p>
        </w:tc>
        <w:tc>
          <w:tcPr>
            <w:tcW w:w="51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spacing w:line="240" w:lineRule="auto"/>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磷化工产业绿色创新与应用</w:t>
            </w:r>
          </w:p>
        </w:tc>
        <w:tc>
          <w:tcPr>
            <w:tcW w:w="125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spacing w:line="240" w:lineRule="auto"/>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依托晋宁区作为省级精细磷化工产业示范基地的基础，建设磷化工绿色工艺研发中心。</w:t>
            </w:r>
          </w:p>
        </w:tc>
        <w:tc>
          <w:tcPr>
            <w:tcW w:w="29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spacing w:line="240" w:lineRule="auto"/>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新建</w:t>
            </w:r>
          </w:p>
        </w:tc>
        <w:tc>
          <w:tcPr>
            <w:tcW w:w="73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spacing w:line="240" w:lineRule="auto"/>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省市级财政资金</w:t>
            </w:r>
          </w:p>
        </w:tc>
        <w:tc>
          <w:tcPr>
            <w:tcW w:w="28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p>
        </w:tc>
        <w:tc>
          <w:tcPr>
            <w:tcW w:w="36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p>
        </w:tc>
        <w:tc>
          <w:tcPr>
            <w:tcW w:w="114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spacing w:line="240" w:lineRule="auto"/>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1.《云南省全面推进磷石膏综合利用工作方案》；2、《昆明市全面加强磷石膏综合利用三年攻坚行动方案（2023—2025年）》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spacing w:line="240" w:lineRule="auto"/>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4</w:t>
            </w:r>
          </w:p>
        </w:tc>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spacing w:line="240" w:lineRule="auto"/>
              <w:jc w:val="center"/>
              <w:rPr>
                <w:rFonts w:hint="eastAsia" w:ascii="仿宋_GB2312" w:hAnsi="仿宋_GB2312" w:eastAsia="仿宋_GB2312" w:cs="仿宋_GB2312"/>
                <w:i w:val="0"/>
                <w:iCs w:val="0"/>
                <w:color w:val="auto"/>
                <w:sz w:val="24"/>
                <w:szCs w:val="24"/>
                <w:u w:val="none"/>
              </w:rPr>
            </w:pPr>
          </w:p>
        </w:tc>
        <w:tc>
          <w:tcPr>
            <w:tcW w:w="51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spacing w:line="240" w:lineRule="auto"/>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磷石膏无害化处理及综合利用</w:t>
            </w:r>
          </w:p>
        </w:tc>
        <w:tc>
          <w:tcPr>
            <w:tcW w:w="125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spacing w:line="240" w:lineRule="auto"/>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研发多种磷石膏高附加值的利用途径，规划磷石膏无害化装置建设及磷尾矿处理项目，完善配套。</w:t>
            </w:r>
          </w:p>
        </w:tc>
        <w:tc>
          <w:tcPr>
            <w:tcW w:w="29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spacing w:line="240" w:lineRule="auto"/>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新建</w:t>
            </w:r>
          </w:p>
        </w:tc>
        <w:tc>
          <w:tcPr>
            <w:tcW w:w="73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spacing w:line="240" w:lineRule="auto"/>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省市级财政资金/社会资本/金融信贷</w:t>
            </w:r>
          </w:p>
        </w:tc>
        <w:tc>
          <w:tcPr>
            <w:tcW w:w="28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p>
        </w:tc>
        <w:tc>
          <w:tcPr>
            <w:tcW w:w="36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p>
        </w:tc>
        <w:tc>
          <w:tcPr>
            <w:tcW w:w="114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spacing w:line="240" w:lineRule="auto"/>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1.《云南省磷石膏综合利用省级财政以奖代补实施方案》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5" w:hRule="atLeast"/>
        </w:trPr>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spacing w:line="240" w:lineRule="auto"/>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5</w:t>
            </w:r>
          </w:p>
        </w:tc>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spacing w:line="240" w:lineRule="auto"/>
              <w:jc w:val="center"/>
              <w:rPr>
                <w:rFonts w:hint="eastAsia" w:ascii="仿宋_GB2312" w:hAnsi="仿宋_GB2312" w:eastAsia="仿宋_GB2312" w:cs="仿宋_GB2312"/>
                <w:i w:val="0"/>
                <w:iCs w:val="0"/>
                <w:color w:val="auto"/>
                <w:sz w:val="24"/>
                <w:szCs w:val="24"/>
                <w:u w:val="none"/>
              </w:rPr>
            </w:pPr>
          </w:p>
        </w:tc>
        <w:tc>
          <w:tcPr>
            <w:tcW w:w="51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spacing w:line="240" w:lineRule="auto"/>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数字文化遗产保护与展示</w:t>
            </w:r>
          </w:p>
        </w:tc>
        <w:tc>
          <w:tcPr>
            <w:tcW w:w="125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spacing w:line="240" w:lineRule="auto"/>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利用数字化技术，对晋宁区的非遗文化进行保护、修复和展示。通过3D扫描、虚拟现实等技术，让游客能够近距离、全方位地欣赏文化遗产的魅力。</w:t>
            </w:r>
          </w:p>
        </w:tc>
        <w:tc>
          <w:tcPr>
            <w:tcW w:w="29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spacing w:line="240" w:lineRule="auto"/>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新建</w:t>
            </w:r>
          </w:p>
        </w:tc>
        <w:tc>
          <w:tcPr>
            <w:tcW w:w="73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spacing w:line="240" w:lineRule="auto"/>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中央预算内资金</w:t>
            </w:r>
          </w:p>
        </w:tc>
        <w:tc>
          <w:tcPr>
            <w:tcW w:w="28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p>
        </w:tc>
        <w:tc>
          <w:tcPr>
            <w:tcW w:w="36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p>
        </w:tc>
        <w:tc>
          <w:tcPr>
            <w:tcW w:w="114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spacing w:line="240" w:lineRule="auto"/>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1.《文化和旅游部关于推动非物质文化遗产与旅游深度融合发展的通知》（2023）；2、《关于进一步加强非物质文化遗产保护工作的实施意见》；3、《云南文化和旅游强省建设三年行动（2023—2025年）》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spacing w:line="240" w:lineRule="auto"/>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6</w:t>
            </w:r>
          </w:p>
        </w:tc>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spacing w:line="240" w:lineRule="auto"/>
              <w:jc w:val="center"/>
              <w:rPr>
                <w:rFonts w:hint="eastAsia" w:ascii="仿宋_GB2312" w:hAnsi="仿宋_GB2312" w:eastAsia="仿宋_GB2312" w:cs="仿宋_GB2312"/>
                <w:i w:val="0"/>
                <w:iCs w:val="0"/>
                <w:color w:val="auto"/>
                <w:sz w:val="24"/>
                <w:szCs w:val="24"/>
                <w:u w:val="none"/>
              </w:rPr>
            </w:pPr>
          </w:p>
        </w:tc>
        <w:tc>
          <w:tcPr>
            <w:tcW w:w="51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spacing w:line="240" w:lineRule="auto"/>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sz w:val="24"/>
                <w:szCs w:val="24"/>
                <w:u w:val="none"/>
                <w:lang w:val="en-US" w:eastAsia="zh-CN"/>
              </w:rPr>
              <w:t>数智陆港综合化信息建设项目</w:t>
            </w:r>
          </w:p>
        </w:tc>
        <w:tc>
          <w:tcPr>
            <w:tcW w:w="125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spacing w:line="240" w:lineRule="auto"/>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建设信息交流中心、物流信息发布中心、物流数据中心等满足物流枢纽功能。</w:t>
            </w:r>
          </w:p>
        </w:tc>
        <w:tc>
          <w:tcPr>
            <w:tcW w:w="29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spacing w:line="240" w:lineRule="auto"/>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新建</w:t>
            </w:r>
          </w:p>
        </w:tc>
        <w:tc>
          <w:tcPr>
            <w:tcW w:w="73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spacing w:line="240" w:lineRule="auto"/>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中央预算内投资/地方政府专项债券</w:t>
            </w:r>
          </w:p>
        </w:tc>
        <w:tc>
          <w:tcPr>
            <w:tcW w:w="28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spacing w:line="240" w:lineRule="auto"/>
              <w:jc w:val="center"/>
              <w:rPr>
                <w:rFonts w:hint="eastAsia" w:ascii="仿宋_GB2312" w:hAnsi="仿宋_GB2312" w:eastAsia="仿宋_GB2312" w:cs="仿宋_GB2312"/>
                <w:i w:val="0"/>
                <w:iCs w:val="0"/>
                <w:color w:val="auto"/>
                <w:sz w:val="24"/>
                <w:szCs w:val="24"/>
                <w:u w:val="none"/>
              </w:rPr>
            </w:pPr>
          </w:p>
        </w:tc>
        <w:tc>
          <w:tcPr>
            <w:tcW w:w="36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spacing w:line="240" w:lineRule="auto"/>
              <w:jc w:val="center"/>
              <w:rPr>
                <w:rFonts w:hint="default" w:ascii="仿宋_GB2312" w:hAnsi="仿宋_GB2312" w:eastAsia="仿宋_GB2312" w:cs="仿宋_GB2312"/>
                <w:i w:val="0"/>
                <w:iCs w:val="0"/>
                <w:color w:val="auto"/>
                <w:sz w:val="24"/>
                <w:szCs w:val="24"/>
                <w:u w:val="none"/>
                <w:lang w:val="en-US" w:eastAsia="zh-CN"/>
              </w:rPr>
            </w:pPr>
          </w:p>
        </w:tc>
        <w:tc>
          <w:tcPr>
            <w:tcW w:w="114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spacing w:line="240" w:lineRule="auto"/>
              <w:jc w:val="center"/>
              <w:rPr>
                <w:rFonts w:hint="eastAsia" w:ascii="仿宋_GB2312" w:hAnsi="仿宋_GB2312" w:eastAsia="仿宋_GB2312" w:cs="仿宋_GB2312"/>
                <w:i w:val="0"/>
                <w:iCs w:val="0"/>
                <w:color w:val="auto"/>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0" w:hRule="atLeast"/>
        </w:trPr>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spacing w:line="240" w:lineRule="auto"/>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7</w:t>
            </w:r>
          </w:p>
        </w:tc>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spacing w:line="240" w:lineRule="auto"/>
              <w:jc w:val="center"/>
              <w:rPr>
                <w:rFonts w:hint="eastAsia" w:ascii="仿宋_GB2312" w:hAnsi="仿宋_GB2312" w:eastAsia="仿宋_GB2312" w:cs="仿宋_GB2312"/>
                <w:i w:val="0"/>
                <w:iCs w:val="0"/>
                <w:color w:val="auto"/>
                <w:sz w:val="24"/>
                <w:szCs w:val="24"/>
                <w:u w:val="none"/>
              </w:rPr>
            </w:pPr>
          </w:p>
        </w:tc>
        <w:tc>
          <w:tcPr>
            <w:tcW w:w="51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spacing w:line="240" w:lineRule="auto"/>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数字农业大脑</w:t>
            </w:r>
          </w:p>
        </w:tc>
        <w:tc>
          <w:tcPr>
            <w:tcW w:w="125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spacing w:line="240" w:lineRule="auto"/>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整合晋宁花卉、蔬菜等农业产业数据，运用大数据、人工智能技术构建农业大脑。</w:t>
            </w:r>
          </w:p>
        </w:tc>
        <w:tc>
          <w:tcPr>
            <w:tcW w:w="29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spacing w:line="240" w:lineRule="auto"/>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新建</w:t>
            </w:r>
          </w:p>
        </w:tc>
        <w:tc>
          <w:tcPr>
            <w:tcW w:w="73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spacing w:line="240" w:lineRule="auto"/>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中央预算内投资/地方政府专项债</w:t>
            </w:r>
          </w:p>
        </w:tc>
        <w:tc>
          <w:tcPr>
            <w:tcW w:w="28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p>
        </w:tc>
        <w:tc>
          <w:tcPr>
            <w:tcW w:w="36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p>
        </w:tc>
        <w:tc>
          <w:tcPr>
            <w:tcW w:w="114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spacing w:line="240" w:lineRule="auto"/>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1.《云南省人民政府办公厅印发关于大力推动数字经济加快发展若干政策措施的通知》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spacing w:line="240" w:lineRule="auto"/>
              <w:jc w:val="center"/>
              <w:textAlignment w:val="center"/>
              <w:rPr>
                <w:rFonts w:hint="default" w:ascii="仿宋_GB2312" w:hAnsi="仿宋_GB2312" w:eastAsia="仿宋_GB2312" w:cs="仿宋_GB2312"/>
                <w:i w:val="0"/>
                <w:iCs w:val="0"/>
                <w:color w:val="auto"/>
                <w:sz w:val="24"/>
                <w:szCs w:val="24"/>
                <w:u w:val="none"/>
                <w:lang w:val="en-US"/>
              </w:rPr>
            </w:pPr>
            <w:r>
              <w:rPr>
                <w:rFonts w:hint="eastAsia" w:ascii="仿宋_GB2312" w:hAnsi="仿宋_GB2312" w:eastAsia="仿宋_GB2312" w:cs="仿宋_GB2312"/>
                <w:i w:val="0"/>
                <w:iCs w:val="0"/>
                <w:color w:val="auto"/>
                <w:kern w:val="0"/>
                <w:sz w:val="24"/>
                <w:szCs w:val="24"/>
                <w:u w:val="none"/>
                <w:lang w:val="en-US" w:eastAsia="zh-CN" w:bidi="ar"/>
              </w:rPr>
              <w:t>8</w:t>
            </w:r>
          </w:p>
        </w:tc>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spacing w:line="240" w:lineRule="auto"/>
              <w:jc w:val="center"/>
              <w:rPr>
                <w:rFonts w:hint="eastAsia" w:ascii="仿宋_GB2312" w:hAnsi="仿宋_GB2312" w:eastAsia="仿宋_GB2312" w:cs="仿宋_GB2312"/>
                <w:i w:val="0"/>
                <w:iCs w:val="0"/>
                <w:color w:val="auto"/>
                <w:sz w:val="24"/>
                <w:szCs w:val="24"/>
                <w:u w:val="none"/>
              </w:rPr>
            </w:pPr>
          </w:p>
        </w:tc>
        <w:tc>
          <w:tcPr>
            <w:tcW w:w="51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spacing w:line="240" w:lineRule="auto"/>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数字农业与农村电商项目</w:t>
            </w:r>
          </w:p>
        </w:tc>
        <w:tc>
          <w:tcPr>
            <w:tcW w:w="125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spacing w:line="240" w:lineRule="auto"/>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利用大数据、人工智能等技术，建设数字农业平台，提升农业生产效率和管理水平。同时电商、直播与物流联合发展。</w:t>
            </w:r>
          </w:p>
        </w:tc>
        <w:tc>
          <w:tcPr>
            <w:tcW w:w="29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spacing w:line="240" w:lineRule="auto"/>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新建</w:t>
            </w:r>
          </w:p>
        </w:tc>
        <w:tc>
          <w:tcPr>
            <w:tcW w:w="73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spacing w:line="240" w:lineRule="auto"/>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政府专项资金/产业投资基金</w:t>
            </w:r>
          </w:p>
        </w:tc>
        <w:tc>
          <w:tcPr>
            <w:tcW w:w="28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p>
        </w:tc>
        <w:tc>
          <w:tcPr>
            <w:tcW w:w="36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p>
        </w:tc>
        <w:tc>
          <w:tcPr>
            <w:tcW w:w="114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spacing w:line="240" w:lineRule="auto"/>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《云南省“十四五”数字农业农村发展规划》；2、《云南省“十四五”农业农村现代化发展规划》明确提出了大力发展农产品电商产业；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spacing w:line="240" w:lineRule="auto"/>
              <w:jc w:val="center"/>
              <w:textAlignment w:val="center"/>
              <w:rPr>
                <w:rFonts w:hint="default" w:ascii="仿宋_GB2312" w:hAnsi="仿宋_GB2312" w:eastAsia="仿宋_GB2312" w:cs="仿宋_GB2312"/>
                <w:i w:val="0"/>
                <w:iCs w:val="0"/>
                <w:color w:val="auto"/>
                <w:sz w:val="24"/>
                <w:szCs w:val="24"/>
                <w:u w:val="none"/>
                <w:lang w:val="en-US"/>
              </w:rPr>
            </w:pPr>
            <w:r>
              <w:rPr>
                <w:rFonts w:hint="eastAsia" w:ascii="仿宋_GB2312" w:hAnsi="仿宋_GB2312" w:eastAsia="仿宋_GB2312" w:cs="仿宋_GB2312"/>
                <w:i w:val="0"/>
                <w:iCs w:val="0"/>
                <w:color w:val="auto"/>
                <w:kern w:val="0"/>
                <w:sz w:val="24"/>
                <w:szCs w:val="24"/>
                <w:u w:val="none"/>
                <w:lang w:val="en-US" w:eastAsia="zh-CN" w:bidi="ar"/>
              </w:rPr>
              <w:t>9</w:t>
            </w:r>
          </w:p>
        </w:tc>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spacing w:line="240" w:lineRule="auto"/>
              <w:jc w:val="center"/>
              <w:rPr>
                <w:rFonts w:hint="eastAsia" w:ascii="仿宋_GB2312" w:hAnsi="仿宋_GB2312" w:eastAsia="仿宋_GB2312" w:cs="仿宋_GB2312"/>
                <w:i w:val="0"/>
                <w:iCs w:val="0"/>
                <w:color w:val="auto"/>
                <w:sz w:val="24"/>
                <w:szCs w:val="24"/>
                <w:u w:val="none"/>
              </w:rPr>
            </w:pPr>
          </w:p>
        </w:tc>
        <w:tc>
          <w:tcPr>
            <w:tcW w:w="51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云南现代花卉产业智能化转型试点建设项目</w:t>
            </w:r>
          </w:p>
        </w:tc>
        <w:tc>
          <w:tcPr>
            <w:tcW w:w="125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1.建设AI辅助选种系统平台 以花卉为主的AI辅助选种实验室建设，包括AI选种操作管理系统、种质资源数据库、测序基因数据库、表型数据库以及算法模型。 2.建设AI生产管理服务平台 包括AI大模型+农业智能助手开放服务平台、AI生产数字化管理系统、温室智能装备、生产Saas系统、花卉AI生产模型构建与模型管理、花卉行业数据库。 3.建设AI花卉市场辅助分析平台 包括市场信息数据采集监测系统、算法模型及测试服务、市场分析发布平台。 4.建设AI智慧生产应用场景示范 包括智能温室展示、花卉AI生产数字化管理系统展示、生产Saas系统展示、AI辅助生产算法模型展示、花卉种植展示、检测系统。</w:t>
            </w:r>
          </w:p>
        </w:tc>
        <w:tc>
          <w:tcPr>
            <w:tcW w:w="29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spacing w:line="240" w:lineRule="auto"/>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新建</w:t>
            </w:r>
          </w:p>
        </w:tc>
        <w:tc>
          <w:tcPr>
            <w:tcW w:w="73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spacing w:line="240" w:lineRule="auto"/>
              <w:jc w:val="center"/>
              <w:textAlignment w:val="center"/>
              <w:rPr>
                <w:rFonts w:hint="default" w:ascii="仿宋_GB2312" w:hAnsi="仿宋_GB2312" w:eastAsia="仿宋_GB2312" w:cs="仿宋_GB2312"/>
                <w:i w:val="0"/>
                <w:iCs w:val="0"/>
                <w:color w:val="auto"/>
                <w:sz w:val="24"/>
                <w:szCs w:val="24"/>
                <w:u w:val="none"/>
                <w:lang w:val="en-US"/>
              </w:rPr>
            </w:pPr>
            <w:r>
              <w:rPr>
                <w:rFonts w:hint="eastAsia" w:ascii="仿宋_GB2312" w:hAnsi="仿宋_GB2312" w:eastAsia="仿宋_GB2312" w:cs="仿宋_GB2312"/>
                <w:i w:val="0"/>
                <w:iCs w:val="0"/>
                <w:color w:val="auto"/>
                <w:kern w:val="0"/>
                <w:sz w:val="24"/>
                <w:szCs w:val="24"/>
                <w:u w:val="none"/>
                <w:lang w:val="en-US" w:eastAsia="zh-CN" w:bidi="ar"/>
              </w:rPr>
              <w:t>政府专项资金/产业投资基金/中央预算</w:t>
            </w:r>
          </w:p>
        </w:tc>
        <w:tc>
          <w:tcPr>
            <w:tcW w:w="28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spacing w:line="240" w:lineRule="auto"/>
              <w:jc w:val="center"/>
              <w:rPr>
                <w:rFonts w:hint="eastAsia" w:ascii="仿宋_GB2312" w:hAnsi="仿宋_GB2312" w:eastAsia="仿宋_GB2312" w:cs="仿宋_GB2312"/>
                <w:i w:val="0"/>
                <w:iCs w:val="0"/>
                <w:color w:val="auto"/>
                <w:sz w:val="24"/>
                <w:szCs w:val="24"/>
                <w:u w:val="none"/>
              </w:rPr>
            </w:pPr>
          </w:p>
        </w:tc>
        <w:tc>
          <w:tcPr>
            <w:tcW w:w="36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spacing w:line="240" w:lineRule="auto"/>
              <w:jc w:val="center"/>
              <w:rPr>
                <w:rFonts w:hint="eastAsia" w:ascii="仿宋_GB2312" w:hAnsi="仿宋_GB2312" w:eastAsia="仿宋_GB2312" w:cs="仿宋_GB2312"/>
                <w:i w:val="0"/>
                <w:iCs w:val="0"/>
                <w:color w:val="auto"/>
                <w:sz w:val="24"/>
                <w:szCs w:val="24"/>
                <w:u w:val="none"/>
              </w:rPr>
            </w:pPr>
          </w:p>
        </w:tc>
        <w:tc>
          <w:tcPr>
            <w:tcW w:w="114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spacing w:line="240" w:lineRule="auto"/>
              <w:jc w:val="center"/>
              <w:rPr>
                <w:rFonts w:hint="eastAsia" w:ascii="仿宋_GB2312" w:hAnsi="仿宋_GB2312" w:eastAsia="仿宋_GB2312" w:cs="仿宋_GB2312"/>
                <w:i w:val="0"/>
                <w:iCs w:val="0"/>
                <w:color w:val="auto"/>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spacing w:line="240" w:lineRule="auto"/>
              <w:jc w:val="center"/>
              <w:textAlignment w:val="center"/>
              <w:rPr>
                <w:rFonts w:hint="default" w:ascii="仿宋_GB2312" w:hAnsi="仿宋_GB2312" w:eastAsia="仿宋_GB2312" w:cs="仿宋_GB2312"/>
                <w:i w:val="0"/>
                <w:iCs w:val="0"/>
                <w:color w:val="auto"/>
                <w:sz w:val="24"/>
                <w:szCs w:val="24"/>
                <w:u w:val="none"/>
                <w:lang w:val="en-US"/>
              </w:rPr>
            </w:pPr>
            <w:r>
              <w:rPr>
                <w:rFonts w:hint="eastAsia" w:ascii="仿宋_GB2312" w:hAnsi="仿宋_GB2312" w:eastAsia="仿宋_GB2312" w:cs="仿宋_GB2312"/>
                <w:i w:val="0"/>
                <w:iCs w:val="0"/>
                <w:color w:val="auto"/>
                <w:kern w:val="0"/>
                <w:sz w:val="24"/>
                <w:szCs w:val="24"/>
                <w:u w:val="none"/>
                <w:lang w:val="en-US" w:eastAsia="zh-CN" w:bidi="ar"/>
              </w:rPr>
              <w:t>10</w:t>
            </w:r>
          </w:p>
        </w:tc>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spacing w:line="240" w:lineRule="auto"/>
              <w:jc w:val="center"/>
              <w:rPr>
                <w:rFonts w:hint="eastAsia" w:ascii="仿宋_GB2312" w:hAnsi="仿宋_GB2312" w:eastAsia="仿宋_GB2312" w:cs="仿宋_GB2312"/>
                <w:i w:val="0"/>
                <w:iCs w:val="0"/>
                <w:color w:val="auto"/>
                <w:sz w:val="24"/>
                <w:szCs w:val="24"/>
                <w:u w:val="none"/>
              </w:rPr>
            </w:pPr>
          </w:p>
        </w:tc>
        <w:tc>
          <w:tcPr>
            <w:tcW w:w="51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spacing w:line="240" w:lineRule="auto"/>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花卉产业数字化平台</w:t>
            </w:r>
          </w:p>
        </w:tc>
        <w:tc>
          <w:tcPr>
            <w:tcW w:w="125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spacing w:line="240" w:lineRule="auto"/>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在现有花卉产业AI试验示范项目基础上，进一步打造集种植、销售、物流等环节于一体的花卉产业数字化平台。</w:t>
            </w:r>
          </w:p>
        </w:tc>
        <w:tc>
          <w:tcPr>
            <w:tcW w:w="29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spacing w:line="240" w:lineRule="auto"/>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新建</w:t>
            </w:r>
          </w:p>
        </w:tc>
        <w:tc>
          <w:tcPr>
            <w:tcW w:w="73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spacing w:line="240" w:lineRule="auto"/>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政府专项资金/产业投资基金</w:t>
            </w:r>
          </w:p>
        </w:tc>
        <w:tc>
          <w:tcPr>
            <w:tcW w:w="28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spacing w:line="240" w:lineRule="auto"/>
              <w:jc w:val="center"/>
              <w:rPr>
                <w:rFonts w:hint="eastAsia" w:ascii="仿宋_GB2312" w:hAnsi="仿宋_GB2312" w:eastAsia="仿宋_GB2312" w:cs="仿宋_GB2312"/>
                <w:i w:val="0"/>
                <w:iCs w:val="0"/>
                <w:color w:val="auto"/>
                <w:sz w:val="24"/>
                <w:szCs w:val="24"/>
                <w:u w:val="none"/>
              </w:rPr>
            </w:pPr>
          </w:p>
        </w:tc>
        <w:tc>
          <w:tcPr>
            <w:tcW w:w="36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spacing w:line="240" w:lineRule="auto"/>
              <w:jc w:val="center"/>
              <w:rPr>
                <w:rFonts w:hint="eastAsia" w:ascii="仿宋_GB2312" w:hAnsi="仿宋_GB2312" w:eastAsia="仿宋_GB2312" w:cs="仿宋_GB2312"/>
                <w:i w:val="0"/>
                <w:iCs w:val="0"/>
                <w:color w:val="auto"/>
                <w:sz w:val="24"/>
                <w:szCs w:val="24"/>
                <w:u w:val="none"/>
              </w:rPr>
            </w:pPr>
          </w:p>
        </w:tc>
        <w:tc>
          <w:tcPr>
            <w:tcW w:w="114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spacing w:line="240" w:lineRule="auto"/>
              <w:jc w:val="center"/>
              <w:rPr>
                <w:rFonts w:hint="eastAsia" w:ascii="仿宋_GB2312" w:hAnsi="仿宋_GB2312" w:eastAsia="仿宋_GB2312" w:cs="仿宋_GB2312"/>
                <w:i w:val="0"/>
                <w:iCs w:val="0"/>
                <w:color w:val="auto"/>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02" w:hRule="atLeast"/>
        </w:trPr>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spacing w:line="240" w:lineRule="auto"/>
              <w:jc w:val="center"/>
              <w:textAlignment w:val="center"/>
              <w:rPr>
                <w:rFonts w:hint="default" w:ascii="仿宋_GB2312" w:hAnsi="仿宋_GB2312" w:eastAsia="仿宋_GB2312" w:cs="仿宋_GB2312"/>
                <w:i w:val="0"/>
                <w:iCs w:val="0"/>
                <w:color w:val="auto"/>
                <w:sz w:val="24"/>
                <w:szCs w:val="24"/>
                <w:u w:val="none"/>
                <w:lang w:val="en-US"/>
              </w:rPr>
            </w:pPr>
            <w:r>
              <w:rPr>
                <w:rFonts w:hint="eastAsia" w:ascii="仿宋_GB2312" w:hAnsi="仿宋_GB2312" w:eastAsia="仿宋_GB2312" w:cs="仿宋_GB2312"/>
                <w:i w:val="0"/>
                <w:iCs w:val="0"/>
                <w:color w:val="auto"/>
                <w:kern w:val="0"/>
                <w:sz w:val="24"/>
                <w:szCs w:val="24"/>
                <w:u w:val="none"/>
                <w:lang w:val="en-US" w:eastAsia="zh-CN" w:bidi="ar"/>
              </w:rPr>
              <w:t>11</w:t>
            </w:r>
          </w:p>
        </w:tc>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spacing w:line="240" w:lineRule="auto"/>
              <w:jc w:val="center"/>
              <w:rPr>
                <w:rFonts w:hint="eastAsia" w:ascii="仿宋_GB2312" w:hAnsi="仿宋_GB2312" w:eastAsia="仿宋_GB2312" w:cs="仿宋_GB2312"/>
                <w:i w:val="0"/>
                <w:iCs w:val="0"/>
                <w:color w:val="auto"/>
                <w:sz w:val="24"/>
                <w:szCs w:val="24"/>
                <w:u w:val="none"/>
              </w:rPr>
            </w:pPr>
          </w:p>
        </w:tc>
        <w:tc>
          <w:tcPr>
            <w:tcW w:w="516" w:type="pct"/>
            <w:tcBorders>
              <w:top w:val="single" w:color="000000" w:sz="4" w:space="0"/>
              <w:left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spacing w:line="240" w:lineRule="auto"/>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工业互联网平台</w:t>
            </w:r>
          </w:p>
        </w:tc>
        <w:tc>
          <w:tcPr>
            <w:tcW w:w="1251" w:type="pct"/>
            <w:tcBorders>
              <w:top w:val="single" w:color="000000" w:sz="4" w:space="0"/>
              <w:left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spacing w:line="240" w:lineRule="auto"/>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推动晋宁区的装备制造、新材料、新型建材等工业企业接入工业互联网平台。</w:t>
            </w:r>
          </w:p>
        </w:tc>
        <w:tc>
          <w:tcPr>
            <w:tcW w:w="293" w:type="pct"/>
            <w:tcBorders>
              <w:top w:val="single" w:color="000000" w:sz="4" w:space="0"/>
              <w:left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spacing w:line="240" w:lineRule="auto"/>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新建</w:t>
            </w:r>
          </w:p>
        </w:tc>
        <w:tc>
          <w:tcPr>
            <w:tcW w:w="737" w:type="pct"/>
            <w:tcBorders>
              <w:top w:val="single" w:color="000000" w:sz="4" w:space="0"/>
              <w:left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spacing w:line="240" w:lineRule="auto"/>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政府专项资金/产业投资基金</w:t>
            </w:r>
          </w:p>
        </w:tc>
        <w:tc>
          <w:tcPr>
            <w:tcW w:w="282" w:type="pct"/>
            <w:tcBorders>
              <w:top w:val="single" w:color="000000" w:sz="4" w:space="0"/>
              <w:left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p>
        </w:tc>
        <w:tc>
          <w:tcPr>
            <w:tcW w:w="366" w:type="pct"/>
            <w:tcBorders>
              <w:top w:val="single" w:color="000000" w:sz="4" w:space="0"/>
              <w:left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p>
        </w:tc>
        <w:tc>
          <w:tcPr>
            <w:tcW w:w="114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spacing w:line="240" w:lineRule="auto"/>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1.《原材料工业数字化转型工作方案（2024—2026年）》；2、《推进磷资源高效高值利用实施方案》；3、《云南省激励工业企业技术改造若干措施》；4、《云南省行业级大数据中心建设指南（2022年试行版》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spacing w:line="240" w:lineRule="auto"/>
              <w:jc w:val="center"/>
              <w:textAlignment w:val="center"/>
              <w:rPr>
                <w:rFonts w:hint="default" w:ascii="仿宋_GB2312" w:hAnsi="仿宋_GB2312" w:eastAsia="仿宋_GB2312" w:cs="仿宋_GB2312"/>
                <w:i w:val="0"/>
                <w:iCs w:val="0"/>
                <w:color w:val="auto"/>
                <w:sz w:val="24"/>
                <w:szCs w:val="24"/>
                <w:u w:val="none"/>
                <w:lang w:val="en-US"/>
              </w:rPr>
            </w:pPr>
            <w:r>
              <w:rPr>
                <w:rFonts w:hint="eastAsia" w:ascii="仿宋_GB2312" w:hAnsi="仿宋_GB2312" w:eastAsia="仿宋_GB2312" w:cs="仿宋_GB2312"/>
                <w:i w:val="0"/>
                <w:iCs w:val="0"/>
                <w:color w:val="auto"/>
                <w:kern w:val="0"/>
                <w:sz w:val="24"/>
                <w:szCs w:val="24"/>
                <w:u w:val="none"/>
                <w:lang w:val="en-US" w:eastAsia="zh-CN" w:bidi="ar"/>
              </w:rPr>
              <w:t>12</w:t>
            </w:r>
          </w:p>
        </w:tc>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spacing w:line="240" w:lineRule="auto"/>
              <w:jc w:val="center"/>
              <w:rPr>
                <w:rFonts w:hint="eastAsia" w:ascii="仿宋_GB2312" w:hAnsi="仿宋_GB2312" w:eastAsia="仿宋_GB2312" w:cs="仿宋_GB2312"/>
                <w:i w:val="0"/>
                <w:iCs w:val="0"/>
                <w:color w:val="auto"/>
                <w:sz w:val="24"/>
                <w:szCs w:val="24"/>
                <w:u w:val="none"/>
              </w:rPr>
            </w:pPr>
          </w:p>
        </w:tc>
        <w:tc>
          <w:tcPr>
            <w:tcW w:w="51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spacing w:line="240" w:lineRule="auto"/>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智慧物流信息平台</w:t>
            </w:r>
          </w:p>
        </w:tc>
        <w:tc>
          <w:tcPr>
            <w:tcW w:w="125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spacing w:line="240" w:lineRule="auto"/>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利用物联网、大数据等技术，构建晋宁区的智慧物流信息平台。</w:t>
            </w:r>
          </w:p>
        </w:tc>
        <w:tc>
          <w:tcPr>
            <w:tcW w:w="29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spacing w:line="240" w:lineRule="auto"/>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新建</w:t>
            </w:r>
          </w:p>
        </w:tc>
        <w:tc>
          <w:tcPr>
            <w:tcW w:w="73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spacing w:line="240" w:lineRule="auto"/>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政府专项资金/产业投资基金</w:t>
            </w:r>
          </w:p>
        </w:tc>
        <w:tc>
          <w:tcPr>
            <w:tcW w:w="28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p>
        </w:tc>
        <w:tc>
          <w:tcPr>
            <w:tcW w:w="36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p>
        </w:tc>
        <w:tc>
          <w:tcPr>
            <w:tcW w:w="114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spacing w:line="240" w:lineRule="auto"/>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1.《关于智慧物流配送体系建设的实施意见》</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spacing w:line="240" w:lineRule="auto"/>
              <w:jc w:val="center"/>
              <w:textAlignment w:val="center"/>
              <w:rPr>
                <w:rFonts w:hint="default" w:ascii="仿宋_GB2312" w:hAnsi="仿宋_GB2312" w:eastAsia="仿宋_GB2312" w:cs="仿宋_GB2312"/>
                <w:i w:val="0"/>
                <w:iCs w:val="0"/>
                <w:color w:val="auto"/>
                <w:sz w:val="24"/>
                <w:szCs w:val="24"/>
                <w:u w:val="none"/>
                <w:lang w:val="en-US"/>
              </w:rPr>
            </w:pPr>
            <w:r>
              <w:rPr>
                <w:rFonts w:hint="eastAsia" w:ascii="仿宋_GB2312" w:hAnsi="仿宋_GB2312" w:eastAsia="仿宋_GB2312" w:cs="仿宋_GB2312"/>
                <w:i w:val="0"/>
                <w:iCs w:val="0"/>
                <w:color w:val="auto"/>
                <w:kern w:val="0"/>
                <w:sz w:val="24"/>
                <w:szCs w:val="24"/>
                <w:u w:val="none"/>
                <w:lang w:val="en-US" w:eastAsia="zh-CN" w:bidi="ar"/>
              </w:rPr>
              <w:t>13</w:t>
            </w:r>
          </w:p>
        </w:tc>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spacing w:line="240" w:lineRule="auto"/>
              <w:jc w:val="center"/>
              <w:rPr>
                <w:rFonts w:hint="eastAsia" w:ascii="仿宋_GB2312" w:hAnsi="仿宋_GB2312" w:eastAsia="仿宋_GB2312" w:cs="仿宋_GB2312"/>
                <w:i w:val="0"/>
                <w:iCs w:val="0"/>
                <w:color w:val="auto"/>
                <w:sz w:val="24"/>
                <w:szCs w:val="24"/>
                <w:u w:val="none"/>
              </w:rPr>
            </w:pPr>
          </w:p>
        </w:tc>
        <w:tc>
          <w:tcPr>
            <w:tcW w:w="51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spacing w:line="240" w:lineRule="auto"/>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跨境电商数字化服务平台</w:t>
            </w:r>
          </w:p>
        </w:tc>
        <w:tc>
          <w:tcPr>
            <w:tcW w:w="125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spacing w:line="240" w:lineRule="auto"/>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依托腾俊国际陆港及晋宁的区位优势，构建跨境电商数字化服务平台。</w:t>
            </w:r>
          </w:p>
        </w:tc>
        <w:tc>
          <w:tcPr>
            <w:tcW w:w="29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spacing w:line="240" w:lineRule="auto"/>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新建</w:t>
            </w:r>
          </w:p>
        </w:tc>
        <w:tc>
          <w:tcPr>
            <w:tcW w:w="73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spacing w:line="240" w:lineRule="auto"/>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政府专项补贴（奖金）</w:t>
            </w:r>
          </w:p>
        </w:tc>
        <w:tc>
          <w:tcPr>
            <w:tcW w:w="28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p>
        </w:tc>
        <w:tc>
          <w:tcPr>
            <w:tcW w:w="36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p>
        </w:tc>
        <w:tc>
          <w:tcPr>
            <w:tcW w:w="114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spacing w:line="240" w:lineRule="auto"/>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1.《云南省人民政府办公厅印发关于大力推动数字经济加快发展若干政策措施的通知》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spacing w:line="240" w:lineRule="auto"/>
              <w:jc w:val="center"/>
              <w:textAlignment w:val="center"/>
              <w:rPr>
                <w:rFonts w:hint="default" w:ascii="仿宋_GB2312" w:hAnsi="仿宋_GB2312" w:eastAsia="仿宋_GB2312" w:cs="仿宋_GB2312"/>
                <w:i w:val="0"/>
                <w:iCs w:val="0"/>
                <w:color w:val="auto"/>
                <w:sz w:val="24"/>
                <w:szCs w:val="24"/>
                <w:u w:val="none"/>
                <w:lang w:val="en-US"/>
              </w:rPr>
            </w:pPr>
            <w:r>
              <w:rPr>
                <w:rFonts w:hint="eastAsia" w:ascii="仿宋_GB2312" w:hAnsi="仿宋_GB2312" w:eastAsia="仿宋_GB2312" w:cs="仿宋_GB2312"/>
                <w:i w:val="0"/>
                <w:iCs w:val="0"/>
                <w:color w:val="auto"/>
                <w:kern w:val="0"/>
                <w:sz w:val="24"/>
                <w:szCs w:val="24"/>
                <w:u w:val="none"/>
                <w:lang w:val="en-US" w:eastAsia="zh-CN" w:bidi="ar"/>
              </w:rPr>
              <w:t>14</w:t>
            </w:r>
          </w:p>
        </w:tc>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spacing w:line="240" w:lineRule="auto"/>
              <w:jc w:val="center"/>
              <w:rPr>
                <w:rFonts w:hint="eastAsia" w:ascii="仿宋_GB2312" w:hAnsi="仿宋_GB2312" w:eastAsia="仿宋_GB2312" w:cs="仿宋_GB2312"/>
                <w:i w:val="0"/>
                <w:iCs w:val="0"/>
                <w:color w:val="auto"/>
                <w:sz w:val="24"/>
                <w:szCs w:val="24"/>
                <w:u w:val="none"/>
              </w:rPr>
            </w:pPr>
          </w:p>
        </w:tc>
        <w:tc>
          <w:tcPr>
            <w:tcW w:w="51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r>
              <w:rPr>
                <w:rFonts w:hint="eastAsia" w:ascii="仿宋_GB2312" w:hAnsi="仿宋_GB2312" w:eastAsia="仿宋_GB2312" w:cs="仿宋_GB2312"/>
                <w:i w:val="0"/>
                <w:iCs w:val="0"/>
                <w:color w:val="auto"/>
                <w:kern w:val="0"/>
                <w:sz w:val="24"/>
                <w:szCs w:val="24"/>
                <w:u w:val="none"/>
                <w:lang w:val="en-US" w:eastAsia="zh-CN" w:bidi="ar"/>
              </w:rPr>
              <w:t>低空服务</w:t>
            </w:r>
          </w:p>
          <w:p>
            <w:pPr>
              <w:keepNext w:val="0"/>
              <w:keepLines w:val="0"/>
              <w:pageBreakBefore w:val="0"/>
              <w:widowControl/>
              <w:suppressLineNumbers w:val="0"/>
              <w:kinsoku/>
              <w:wordWrap/>
              <w:overflowPunct/>
              <w:topLinePunct w:val="0"/>
              <w:autoSpaceDE/>
              <w:autoSpaceDN/>
              <w:bidi w:val="0"/>
              <w:spacing w:line="240" w:lineRule="auto"/>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配套</w:t>
            </w:r>
          </w:p>
        </w:tc>
        <w:tc>
          <w:tcPr>
            <w:tcW w:w="125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spacing w:line="240" w:lineRule="auto"/>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引进无人机制造、组装、使用培训的相关企业进入，形成无人机产业链。</w:t>
            </w:r>
          </w:p>
        </w:tc>
        <w:tc>
          <w:tcPr>
            <w:tcW w:w="29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spacing w:line="240" w:lineRule="auto"/>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新建</w:t>
            </w:r>
          </w:p>
        </w:tc>
        <w:tc>
          <w:tcPr>
            <w:tcW w:w="73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spacing w:line="240" w:lineRule="auto"/>
              <w:jc w:val="center"/>
              <w:rPr>
                <w:rFonts w:hint="eastAsia" w:ascii="仿宋_GB2312" w:hAnsi="仿宋_GB2312" w:eastAsia="仿宋_GB2312" w:cs="仿宋_GB2312"/>
                <w:i w:val="0"/>
                <w:iCs w:val="0"/>
                <w:color w:val="auto"/>
                <w:sz w:val="24"/>
                <w:szCs w:val="24"/>
                <w:u w:val="none"/>
              </w:rPr>
            </w:pPr>
          </w:p>
        </w:tc>
        <w:tc>
          <w:tcPr>
            <w:tcW w:w="28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spacing w:line="240" w:lineRule="auto"/>
              <w:jc w:val="center"/>
              <w:rPr>
                <w:rFonts w:hint="eastAsia" w:ascii="仿宋_GB2312" w:hAnsi="仿宋_GB2312" w:eastAsia="仿宋_GB2312" w:cs="仿宋_GB2312"/>
                <w:i w:val="0"/>
                <w:iCs w:val="0"/>
                <w:color w:val="auto"/>
                <w:sz w:val="24"/>
                <w:szCs w:val="24"/>
                <w:u w:val="none"/>
              </w:rPr>
            </w:pPr>
          </w:p>
        </w:tc>
        <w:tc>
          <w:tcPr>
            <w:tcW w:w="36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spacing w:line="240" w:lineRule="auto"/>
              <w:jc w:val="center"/>
              <w:rPr>
                <w:rFonts w:hint="eastAsia" w:ascii="仿宋_GB2312" w:hAnsi="仿宋_GB2312" w:eastAsia="仿宋_GB2312" w:cs="仿宋_GB2312"/>
                <w:i w:val="0"/>
                <w:iCs w:val="0"/>
                <w:color w:val="auto"/>
                <w:sz w:val="24"/>
                <w:szCs w:val="24"/>
                <w:u w:val="none"/>
              </w:rPr>
            </w:pPr>
          </w:p>
        </w:tc>
        <w:tc>
          <w:tcPr>
            <w:tcW w:w="114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spacing w:line="240" w:lineRule="auto"/>
              <w:jc w:val="center"/>
              <w:rPr>
                <w:rFonts w:hint="eastAsia" w:ascii="仿宋_GB2312" w:hAnsi="仿宋_GB2312" w:eastAsia="仿宋_GB2312" w:cs="仿宋_GB2312"/>
                <w:i w:val="0"/>
                <w:iCs w:val="0"/>
                <w:color w:val="auto"/>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spacing w:line="240" w:lineRule="auto"/>
              <w:jc w:val="center"/>
              <w:textAlignment w:val="center"/>
              <w:rPr>
                <w:rFonts w:hint="default" w:ascii="仿宋_GB2312" w:hAnsi="仿宋_GB2312" w:eastAsia="仿宋_GB2312" w:cs="仿宋_GB2312"/>
                <w:i w:val="0"/>
                <w:iCs w:val="0"/>
                <w:color w:val="auto"/>
                <w:sz w:val="24"/>
                <w:szCs w:val="24"/>
                <w:u w:val="none"/>
                <w:lang w:val="en-US"/>
              </w:rPr>
            </w:pPr>
            <w:r>
              <w:rPr>
                <w:rFonts w:hint="eastAsia" w:ascii="仿宋_GB2312" w:hAnsi="仿宋_GB2312" w:eastAsia="仿宋_GB2312" w:cs="仿宋_GB2312"/>
                <w:i w:val="0"/>
                <w:iCs w:val="0"/>
                <w:color w:val="auto"/>
                <w:kern w:val="0"/>
                <w:sz w:val="24"/>
                <w:szCs w:val="24"/>
                <w:u w:val="none"/>
                <w:lang w:val="en-US" w:eastAsia="zh-CN" w:bidi="ar"/>
              </w:rPr>
              <w:t>15</w:t>
            </w:r>
          </w:p>
        </w:tc>
        <w:tc>
          <w:tcPr>
            <w:tcW w:w="24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spacing w:line="240" w:lineRule="auto"/>
              <w:jc w:val="center"/>
              <w:rPr>
                <w:rFonts w:hint="eastAsia" w:ascii="仿宋_GB2312" w:hAnsi="仿宋_GB2312" w:eastAsia="仿宋_GB2312" w:cs="仿宋_GB2312"/>
                <w:i w:val="0"/>
                <w:iCs w:val="0"/>
                <w:color w:val="auto"/>
                <w:sz w:val="24"/>
                <w:szCs w:val="24"/>
                <w:u w:val="none"/>
              </w:rPr>
            </w:pPr>
          </w:p>
        </w:tc>
        <w:tc>
          <w:tcPr>
            <w:tcW w:w="51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spacing w:line="240" w:lineRule="auto"/>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绿色低碳技术研发与应用推广</w:t>
            </w:r>
          </w:p>
        </w:tc>
        <w:tc>
          <w:tcPr>
            <w:tcW w:w="125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spacing w:line="240" w:lineRule="auto"/>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设立绿色低碳技术研发专项资金，鼓励企业、高校和科研机构开展绿色低碳技术研发。</w:t>
            </w:r>
          </w:p>
        </w:tc>
        <w:tc>
          <w:tcPr>
            <w:tcW w:w="29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spacing w:line="240" w:lineRule="auto"/>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新建</w:t>
            </w:r>
          </w:p>
        </w:tc>
        <w:tc>
          <w:tcPr>
            <w:tcW w:w="73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spacing w:line="240" w:lineRule="auto"/>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中央财政专项资金/省市级专项资金</w:t>
            </w:r>
          </w:p>
        </w:tc>
        <w:tc>
          <w:tcPr>
            <w:tcW w:w="28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p>
        </w:tc>
        <w:tc>
          <w:tcPr>
            <w:tcW w:w="36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spacing w:line="240" w:lineRule="auto"/>
              <w:jc w:val="center"/>
              <w:textAlignment w:val="center"/>
              <w:rPr>
                <w:rFonts w:hint="eastAsia" w:ascii="仿宋_GB2312" w:hAnsi="仿宋_GB2312" w:eastAsia="仿宋_GB2312" w:cs="仿宋_GB2312"/>
                <w:i w:val="0"/>
                <w:iCs w:val="0"/>
                <w:color w:val="auto"/>
                <w:kern w:val="0"/>
                <w:sz w:val="24"/>
                <w:szCs w:val="24"/>
                <w:u w:val="none"/>
                <w:lang w:val="en-US" w:eastAsia="zh-CN" w:bidi="ar"/>
              </w:rPr>
            </w:pPr>
          </w:p>
        </w:tc>
        <w:tc>
          <w:tcPr>
            <w:tcW w:w="114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spacing w:line="240" w:lineRule="auto"/>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1.《绿色低碳先进技术示范工程实施方案》；2、《关于进一步强化金融支持绿色低碳发展的指导意见》；3、《昆明市“十四五”节能减排综合工作实施方案》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16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spacing w:line="240" w:lineRule="auto"/>
              <w:jc w:val="center"/>
              <w:textAlignment w:val="center"/>
              <w:rPr>
                <w:rFonts w:hint="default" w:ascii="仿宋_GB2312" w:hAnsi="仿宋_GB2312" w:eastAsia="仿宋_GB2312" w:cs="仿宋_GB2312"/>
                <w:i w:val="0"/>
                <w:iCs w:val="0"/>
                <w:color w:val="auto"/>
                <w:sz w:val="24"/>
                <w:szCs w:val="24"/>
                <w:u w:val="none"/>
                <w:lang w:val="en-US"/>
              </w:rPr>
            </w:pPr>
            <w:r>
              <w:rPr>
                <w:rFonts w:hint="eastAsia" w:ascii="仿宋_GB2312" w:hAnsi="仿宋_GB2312" w:eastAsia="仿宋_GB2312" w:cs="仿宋_GB2312"/>
                <w:i w:val="0"/>
                <w:iCs w:val="0"/>
                <w:color w:val="auto"/>
                <w:kern w:val="0"/>
                <w:sz w:val="24"/>
                <w:szCs w:val="24"/>
                <w:u w:val="none"/>
                <w:lang w:val="en-US" w:eastAsia="zh-CN" w:bidi="ar"/>
              </w:rPr>
              <w:t>16</w:t>
            </w:r>
          </w:p>
        </w:tc>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spacing w:line="240" w:lineRule="auto"/>
              <w:jc w:val="center"/>
              <w:textAlignment w:val="center"/>
              <w:rPr>
                <w:rFonts w:hint="eastAsia" w:ascii="仿宋_GB2312" w:hAnsi="仿宋_GB2312" w:eastAsia="仿宋_GB2312" w:cs="仿宋_GB2312"/>
                <w:i w:val="0"/>
                <w:iCs w:val="0"/>
                <w:color w:val="auto"/>
                <w:sz w:val="24"/>
                <w:szCs w:val="24"/>
                <w:u w:val="none"/>
              </w:rPr>
            </w:pPr>
            <w:r>
              <w:rPr>
                <w:rFonts w:hint="eastAsia" w:ascii="仿宋_GB2312" w:hAnsi="仿宋_GB2312" w:eastAsia="仿宋_GB2312" w:cs="仿宋_GB2312"/>
                <w:i w:val="0"/>
                <w:iCs w:val="0"/>
                <w:color w:val="auto"/>
                <w:kern w:val="0"/>
                <w:sz w:val="24"/>
                <w:szCs w:val="24"/>
                <w:u w:val="none"/>
                <w:lang w:val="en-US" w:eastAsia="zh-CN" w:bidi="ar"/>
              </w:rPr>
              <w:t>教育医疗</w:t>
            </w:r>
          </w:p>
        </w:tc>
        <w:tc>
          <w:tcPr>
            <w:tcW w:w="51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spacing w:line="240" w:lineRule="auto"/>
              <w:jc w:val="center"/>
              <w:textAlignment w:val="center"/>
              <w:rPr>
                <w:rFonts w:hint="eastAsia" w:ascii="仿宋_GB2312" w:hAnsi="仿宋_GB2312" w:eastAsia="仿宋_GB2312" w:cs="仿宋_GB2312"/>
                <w:i w:val="0"/>
                <w:iCs w:val="0"/>
                <w:color w:val="auto"/>
                <w:sz w:val="24"/>
                <w:szCs w:val="24"/>
                <w:highlight w:val="none"/>
                <w:u w:val="none"/>
              </w:rPr>
            </w:pPr>
            <w:r>
              <w:rPr>
                <w:rFonts w:hint="eastAsia" w:ascii="仿宋_GB2312" w:hAnsi="仿宋_GB2312" w:eastAsia="仿宋_GB2312" w:cs="仿宋_GB2312"/>
                <w:i w:val="0"/>
                <w:iCs w:val="0"/>
                <w:color w:val="auto"/>
                <w:kern w:val="0"/>
                <w:sz w:val="24"/>
                <w:szCs w:val="24"/>
                <w:highlight w:val="none"/>
                <w:u w:val="none"/>
                <w:lang w:val="en-US" w:eastAsia="zh-CN" w:bidi="ar"/>
              </w:rPr>
              <w:t>晋宁区中小学数字校园建设</w:t>
            </w:r>
          </w:p>
        </w:tc>
        <w:tc>
          <w:tcPr>
            <w:tcW w:w="1251"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spacing w:line="240" w:lineRule="auto"/>
              <w:jc w:val="center"/>
              <w:textAlignment w:val="center"/>
              <w:rPr>
                <w:rFonts w:hint="eastAsia" w:ascii="仿宋_GB2312" w:hAnsi="仿宋_GB2312" w:eastAsia="仿宋_GB2312" w:cs="仿宋_GB2312"/>
                <w:i w:val="0"/>
                <w:iCs w:val="0"/>
                <w:color w:val="auto"/>
                <w:sz w:val="24"/>
                <w:szCs w:val="24"/>
                <w:highlight w:val="none"/>
                <w:u w:val="none"/>
              </w:rPr>
            </w:pPr>
            <w:r>
              <w:rPr>
                <w:rFonts w:hint="eastAsia" w:ascii="仿宋_GB2312" w:hAnsi="仿宋_GB2312" w:eastAsia="仿宋_GB2312" w:cs="仿宋_GB2312"/>
                <w:i w:val="0"/>
                <w:iCs w:val="0"/>
                <w:color w:val="auto"/>
                <w:kern w:val="0"/>
                <w:sz w:val="24"/>
                <w:szCs w:val="24"/>
                <w:highlight w:val="none"/>
                <w:u w:val="none"/>
                <w:lang w:val="en-US" w:eastAsia="zh-CN" w:bidi="ar"/>
              </w:rPr>
              <w:t>建设标准数字教室、互动直录播教室等智慧校园系统。建设新高考改革支撑业务平台，建设智慧操场。</w:t>
            </w:r>
          </w:p>
        </w:tc>
        <w:tc>
          <w:tcPr>
            <w:tcW w:w="293"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spacing w:line="240" w:lineRule="auto"/>
              <w:jc w:val="center"/>
              <w:textAlignment w:val="center"/>
              <w:rPr>
                <w:rFonts w:hint="eastAsia" w:ascii="仿宋_GB2312" w:hAnsi="仿宋_GB2312" w:eastAsia="仿宋_GB2312" w:cs="仿宋_GB2312"/>
                <w:i w:val="0"/>
                <w:iCs w:val="0"/>
                <w:color w:val="auto"/>
                <w:sz w:val="24"/>
                <w:szCs w:val="24"/>
                <w:highlight w:val="none"/>
                <w:u w:val="none"/>
              </w:rPr>
            </w:pPr>
            <w:r>
              <w:rPr>
                <w:rFonts w:hint="eastAsia" w:ascii="仿宋_GB2312" w:hAnsi="仿宋_GB2312" w:eastAsia="仿宋_GB2312" w:cs="仿宋_GB2312"/>
                <w:i w:val="0"/>
                <w:iCs w:val="0"/>
                <w:color w:val="auto"/>
                <w:kern w:val="0"/>
                <w:sz w:val="24"/>
                <w:szCs w:val="24"/>
                <w:highlight w:val="none"/>
                <w:u w:val="none"/>
                <w:lang w:val="en-US" w:eastAsia="zh-CN" w:bidi="ar"/>
              </w:rPr>
              <w:t>新建</w:t>
            </w:r>
          </w:p>
        </w:tc>
        <w:tc>
          <w:tcPr>
            <w:tcW w:w="73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spacing w:line="240" w:lineRule="auto"/>
              <w:jc w:val="center"/>
              <w:textAlignment w:val="center"/>
              <w:rPr>
                <w:rFonts w:hint="eastAsia" w:ascii="仿宋_GB2312" w:hAnsi="仿宋_GB2312" w:eastAsia="仿宋_GB2312" w:cs="仿宋_GB2312"/>
                <w:i w:val="0"/>
                <w:iCs w:val="0"/>
                <w:color w:val="auto"/>
                <w:kern w:val="0"/>
                <w:sz w:val="24"/>
                <w:szCs w:val="24"/>
                <w:highlight w:val="none"/>
                <w:u w:val="none"/>
                <w:lang w:val="en-US" w:eastAsia="zh-CN" w:bidi="ar"/>
              </w:rPr>
            </w:pPr>
            <w:r>
              <w:rPr>
                <w:rFonts w:hint="eastAsia" w:ascii="仿宋_GB2312" w:hAnsi="仿宋_GB2312" w:eastAsia="仿宋_GB2312" w:cs="仿宋_GB2312"/>
                <w:i w:val="0"/>
                <w:iCs w:val="0"/>
                <w:color w:val="auto"/>
                <w:kern w:val="0"/>
                <w:sz w:val="24"/>
                <w:szCs w:val="24"/>
                <w:highlight w:val="none"/>
                <w:u w:val="none"/>
                <w:lang w:val="en-US" w:eastAsia="zh-CN" w:bidi="ar"/>
              </w:rPr>
              <w:t>中央财政资金/</w:t>
            </w:r>
          </w:p>
          <w:p>
            <w:pPr>
              <w:keepNext w:val="0"/>
              <w:keepLines w:val="0"/>
              <w:pageBreakBefore w:val="0"/>
              <w:widowControl/>
              <w:suppressLineNumbers w:val="0"/>
              <w:kinsoku/>
              <w:wordWrap/>
              <w:overflowPunct/>
              <w:topLinePunct w:val="0"/>
              <w:autoSpaceDE/>
              <w:autoSpaceDN/>
              <w:bidi w:val="0"/>
              <w:spacing w:line="240" w:lineRule="auto"/>
              <w:jc w:val="center"/>
              <w:textAlignment w:val="center"/>
              <w:rPr>
                <w:rFonts w:hint="eastAsia" w:ascii="仿宋_GB2312" w:hAnsi="仿宋_GB2312" w:eastAsia="仿宋_GB2312" w:cs="仿宋_GB2312"/>
                <w:i w:val="0"/>
                <w:iCs w:val="0"/>
                <w:color w:val="auto"/>
                <w:sz w:val="24"/>
                <w:szCs w:val="24"/>
                <w:highlight w:val="none"/>
                <w:u w:val="none"/>
              </w:rPr>
            </w:pPr>
            <w:r>
              <w:rPr>
                <w:rFonts w:hint="eastAsia" w:ascii="仿宋_GB2312" w:hAnsi="仿宋_GB2312" w:eastAsia="仿宋_GB2312" w:cs="仿宋_GB2312"/>
                <w:i w:val="0"/>
                <w:iCs w:val="0"/>
                <w:color w:val="auto"/>
                <w:kern w:val="0"/>
                <w:sz w:val="24"/>
                <w:szCs w:val="24"/>
                <w:highlight w:val="none"/>
                <w:u w:val="none"/>
                <w:lang w:val="en-US" w:eastAsia="zh-CN" w:bidi="ar"/>
              </w:rPr>
              <w:t>省市级财政资金/</w:t>
            </w:r>
            <w:r>
              <w:rPr>
                <w:rFonts w:hint="eastAsia" w:ascii="仿宋_GB2312" w:hAnsi="仿宋_GB2312" w:eastAsia="仿宋_GB2312" w:cs="仿宋_GB2312"/>
                <w:i w:val="0"/>
                <w:iCs w:val="0"/>
                <w:color w:val="auto"/>
                <w:kern w:val="0"/>
                <w:sz w:val="24"/>
                <w:szCs w:val="24"/>
                <w:highlight w:val="none"/>
                <w:u w:val="none"/>
                <w:lang w:val="en-US" w:eastAsia="zh-CN" w:bidi="ar"/>
              </w:rPr>
              <w:br w:type="textWrapping"/>
            </w:r>
            <w:r>
              <w:rPr>
                <w:rFonts w:hint="eastAsia" w:ascii="仿宋_GB2312" w:hAnsi="仿宋_GB2312" w:eastAsia="仿宋_GB2312" w:cs="仿宋_GB2312"/>
                <w:i w:val="0"/>
                <w:iCs w:val="0"/>
                <w:color w:val="auto"/>
                <w:kern w:val="0"/>
                <w:sz w:val="24"/>
                <w:szCs w:val="24"/>
                <w:highlight w:val="none"/>
                <w:u w:val="none"/>
                <w:lang w:val="en-US" w:eastAsia="zh-CN" w:bidi="ar"/>
              </w:rPr>
              <w:t>地方财政资金/地方专项资金</w:t>
            </w:r>
          </w:p>
        </w:tc>
        <w:tc>
          <w:tcPr>
            <w:tcW w:w="28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spacing w:line="240" w:lineRule="auto"/>
              <w:jc w:val="center"/>
              <w:textAlignment w:val="center"/>
              <w:rPr>
                <w:rFonts w:hint="eastAsia" w:ascii="仿宋_GB2312" w:hAnsi="仿宋_GB2312" w:eastAsia="仿宋_GB2312" w:cs="仿宋_GB2312"/>
                <w:i w:val="0"/>
                <w:iCs w:val="0"/>
                <w:color w:val="auto"/>
                <w:kern w:val="0"/>
                <w:sz w:val="24"/>
                <w:szCs w:val="24"/>
                <w:highlight w:val="none"/>
                <w:u w:val="none"/>
                <w:lang w:val="en-US" w:eastAsia="zh-CN" w:bidi="ar"/>
              </w:rPr>
            </w:pPr>
          </w:p>
        </w:tc>
        <w:tc>
          <w:tcPr>
            <w:tcW w:w="36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spacing w:line="240" w:lineRule="auto"/>
              <w:jc w:val="center"/>
              <w:textAlignment w:val="center"/>
              <w:rPr>
                <w:rFonts w:hint="eastAsia" w:ascii="仿宋_GB2312" w:hAnsi="仿宋_GB2312" w:eastAsia="仿宋_GB2312" w:cs="仿宋_GB2312"/>
                <w:i w:val="0"/>
                <w:iCs w:val="0"/>
                <w:color w:val="auto"/>
                <w:kern w:val="0"/>
                <w:sz w:val="24"/>
                <w:szCs w:val="24"/>
                <w:highlight w:val="none"/>
                <w:u w:val="none"/>
                <w:lang w:val="en-US" w:eastAsia="zh-CN" w:bidi="ar"/>
              </w:rPr>
            </w:pPr>
          </w:p>
        </w:tc>
        <w:tc>
          <w:tcPr>
            <w:tcW w:w="114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spacing w:line="240" w:lineRule="auto"/>
              <w:jc w:val="center"/>
              <w:textAlignment w:val="center"/>
              <w:rPr>
                <w:rFonts w:hint="eastAsia" w:ascii="仿宋_GB2312" w:hAnsi="仿宋_GB2312" w:eastAsia="仿宋_GB2312" w:cs="仿宋_GB2312"/>
                <w:i w:val="0"/>
                <w:iCs w:val="0"/>
                <w:color w:val="auto"/>
                <w:sz w:val="24"/>
                <w:szCs w:val="24"/>
                <w:highlight w:val="none"/>
                <w:u w:val="none"/>
              </w:rPr>
            </w:pPr>
            <w:r>
              <w:rPr>
                <w:rFonts w:hint="eastAsia" w:ascii="仿宋_GB2312" w:hAnsi="仿宋_GB2312" w:eastAsia="仿宋_GB2312" w:cs="仿宋_GB2312"/>
                <w:i w:val="0"/>
                <w:iCs w:val="0"/>
                <w:color w:val="auto"/>
                <w:kern w:val="0"/>
                <w:sz w:val="24"/>
                <w:szCs w:val="24"/>
                <w:highlight w:val="none"/>
                <w:u w:val="none"/>
                <w:lang w:val="en-US" w:eastAsia="zh-CN" w:bidi="ar"/>
              </w:rPr>
              <w:t>1.《社会领域中央预算内投资相关专项管理办法（发改社会规〔2024〕284号）》；2、《云南省人民政府办公厅关于深化医教协同进一步推进医学教育改革与发展的实施意见》；3、《云南省教育高质量发展三年行动计划（2023—2025年）》（2023）</w:t>
            </w:r>
          </w:p>
        </w:tc>
      </w:tr>
    </w:tbl>
    <w:p>
      <w:pPr>
        <w:rPr>
          <w:rFonts w:hint="eastAsia" w:ascii="仿宋_GB2312" w:hAnsi="仿宋_GB2312" w:eastAsia="仿宋_GB2312" w:cs="仿宋_GB2312"/>
          <w:color w:val="auto"/>
          <w:sz w:val="32"/>
          <w:szCs w:val="32"/>
          <w:lang w:val="en-US" w:eastAsia="zh-CN"/>
        </w:rPr>
        <w:sectPr>
          <w:type w:val="continuous"/>
          <w:pgSz w:w="16838" w:h="11906" w:orient="landscape"/>
          <w:pgMar w:top="1800" w:right="1440" w:bottom="1800" w:left="1440" w:header="851" w:footer="992" w:gutter="0"/>
          <w:pgNumType w:fmt="numberInDash"/>
          <w:cols w:space="425" w:num="1"/>
          <w:docGrid w:type="lines" w:linePitch="312" w:charSpace="0"/>
        </w:sectPr>
      </w:pPr>
    </w:p>
    <w:p>
      <w:pPr>
        <w:rPr>
          <w:rFonts w:hint="default" w:ascii="仿宋_GB2312" w:hAnsi="仿宋_GB2312" w:eastAsia="仿宋_GB2312" w:cs="仿宋_GB2312"/>
          <w:b w:val="0"/>
          <w:bCs w:val="0"/>
          <w:color w:val="auto"/>
          <w:sz w:val="32"/>
          <w:szCs w:val="32"/>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0"/>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仿宋_GB2312">
    <w:altName w:val="方正仿宋_GBK"/>
    <w:panose1 w:val="02010609030101010101"/>
    <w:charset w:val="86"/>
    <w:family w:val="auto"/>
    <w:pitch w:val="default"/>
    <w:sig w:usb0="00000000" w:usb1="00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方正小标宋_GBK">
    <w:panose1 w:val="02000000000000000000"/>
    <w:charset w:val="86"/>
    <w:family w:val="auto"/>
    <w:pitch w:val="default"/>
    <w:sig w:usb0="00000001" w:usb1="08000000" w:usb2="00000000" w:usb3="00000000" w:csb0="00040000" w:csb1="00000000"/>
  </w:font>
  <w:font w:name="国标黑体">
    <w:panose1 w:val="02000500000000000000"/>
    <w:charset w:val="86"/>
    <w:family w:val="auto"/>
    <w:pitch w:val="default"/>
    <w:sig w:usb0="00000001" w:usb1="08000000" w:usb2="00000000" w:usb3="00000000" w:csb0="00040000" w:csb1="00000000"/>
  </w:font>
  <w:font w:name="仿宋">
    <w:altName w:val="方正仿宋_GBK"/>
    <w:panose1 w:val="02010609060101010101"/>
    <w:charset w:val="86"/>
    <w:family w:val="auto"/>
    <w:pitch w:val="default"/>
    <w:sig w:usb0="00000000" w:usb1="00000000" w:usb2="00000016" w:usb3="00000000" w:csb0="00040001" w:csb1="00000000"/>
  </w:font>
  <w:font w:name="方正仿宋_GB2312">
    <w:altName w:val="方正仿宋_GBK"/>
    <w:panose1 w:val="02000000000000000000"/>
    <w:charset w:val="86"/>
    <w:family w:val="auto"/>
    <w:pitch w:val="default"/>
    <w:sig w:usb0="00000000" w:usb1="00000000" w:usb2="00000012" w:usb3="00000000" w:csb0="00040001" w:csb1="00000000"/>
  </w:font>
  <w:font w:name="Liberation Serif">
    <w:panose1 w:val="02020603050405020304"/>
    <w:charset w:val="00"/>
    <w:family w:val="auto"/>
    <w:pitch w:val="default"/>
    <w:sig w:usb0="A00002AF" w:usb1="500078FB" w:usb2="00000000" w:usb3="00000000" w:csb0="6000009F" w:csb1="DFD70000"/>
  </w:font>
  <w:font w:name="DejaVu Math TeX Gyre">
    <w:panose1 w:val="02000503000000000000"/>
    <w:charset w:val="00"/>
    <w:family w:val="auto"/>
    <w:pitch w:val="default"/>
    <w:sig w:usb0="A10000EF" w:usb1="4201F9EE" w:usb2="02000000" w:usb3="00000000" w:csb0="60000193" w:csb1="0DD40000"/>
  </w:font>
  <w:font w:name="国标宋体-GB/T 2312">
    <w:panose1 w:val="02000500000000000000"/>
    <w:charset w:val="86"/>
    <w:family w:val="auto"/>
    <w:pitch w:val="default"/>
    <w:sig w:usb0="00000001" w:usb1="08000000" w:usb2="00000000" w:usb3="00000000" w:csb0="00040000" w:csb1="00000000"/>
  </w:font>
  <w:font w:name="国标宋体-超大字符集">
    <w:panose1 w:val="03000509000000000000"/>
    <w:charset w:val="86"/>
    <w:family w:val="auto"/>
    <w:pitch w:val="default"/>
    <w:sig w:usb0="00000001" w:usb1="08000000" w:usb2="00000000" w:usb3="00000000" w:csb0="00040001" w:csb1="00000000"/>
  </w:font>
  <w:font w:name="国标楷体-GB/T 2312">
    <w:panose1 w:val="02000500000000000000"/>
    <w:charset w:val="86"/>
    <w:family w:val="auto"/>
    <w:pitch w:val="default"/>
    <w:sig w:usb0="00000001" w:usb1="08000000" w:usb2="00000000" w:usb3="00000000" w:csb0="00040000" w:csb1="00000000"/>
  </w:font>
  <w:font w:name="国标楷体">
    <w:panose1 w:val="02000500000000000000"/>
    <w:charset w:val="86"/>
    <w:family w:val="auto"/>
    <w:pitch w:val="default"/>
    <w:sig w:usb0="00000001" w:usb1="08000000" w:usb2="00000000" w:usb3="00000000" w:csb0="00040000" w:csb1="00000000"/>
  </w:font>
  <w:font w:name="MathJax_Vector">
    <w:panose1 w:val="02000603000000000000"/>
    <w:charset w:val="00"/>
    <w:family w:val="auto"/>
    <w:pitch w:val="default"/>
    <w:sig w:usb0="00000001" w:usb1="0000002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kgka0MQIAAGEEAAAOAAAAZHJz&#10;L2Uyb0RvYy54bWytVEuOEzEQ3SNxB8t70kkQoyhKZxQmCkKKmJECYu243WlL/sl20h0OADdgxYY9&#10;58o5eO5PBg0sZsHGXXaVX/m9qurFbaMVOQkfpDU5nYzGlAjDbSHNIaefPm5ezSgJkZmCKWtETs8i&#10;0NvlyxeL2s3F1FZWFcITgJgwr11OqxjdPMsCr4RmYWSdMHCW1msWsfWHrPCsBrpW2XQ8vslq6wvn&#10;LRch4HTdOWmP6J8DaMtScrG2/KiFiR2qF4pFUAqVdIEu29eWpeDxviyDiETlFExjuyIJ7H1as+WC&#10;zQ+euUry/gnsOU94wkkzaZD0CrVmkZGjl39Bacm9DbaMI2511hFpFQGLyfiJNruKOdFygdTBXUUP&#10;/w+Wfzg9eCKLnE4pMUyj4Jfv3y4/fl1+fiXTJE/twhxRO4e42Ly1DZpmOA84TKyb0uv0BR8CP8Q9&#10;X8UVTSQ8XZpNZ7MxXBy+YQP87PG68yG+E1aTZOTUo3qtqOy0DbELHUJSNmM3Uqm2gsqQOqc3r9+M&#10;2wtXD8CVQY5EontssmKzb3pme1ucQczbrjOC4xuJ5FsW4gPzaAU8GMMS77GUyiKJ7S1KKuu//Os8&#10;xaNC8FJSo7VyajBJlKj3BpUDYBwMPxj7wTBHfWfRqxMMoeOtiQs+qsEsvdWfMUGrlAMuZjgy5TQO&#10;5l3s2hsTyMVq1QYdnZeHqruAvnMsbs3O8ZQmCRnc6hghZqtxEqhTpdcNnddWqZ+S1Np/7tuoxz/D&#10;8jd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WAAAAZHJzL1BLAQIUABQAAAAIAIdO4kCzSVju0AAAAAUBAAAPAAAAAAAAAAEAIAAAADgAAABk&#10;cnMvZG93bnJldi54bWxQSwECFAAUAAAACACHTuJAJIJGtDECAABhBAAADgAAAAAAAAABACAAAAA1&#10;AQAAZHJzL2Uyb0RvYy54bWxQSwUGAAAAAAYABgBZAQAA2AUAAAAA&#10;">
              <v:fill on="f" focussize="0,0"/>
              <v:stroke on="f" weight="0.5pt"/>
              <v:imagedata o:title=""/>
              <o:lock v:ext="edit" aspectratio="f"/>
              <v:textbox inset="0mm,0mm,0mm,0mm" style="mso-fit-shape-to-text:t;">
                <w:txbxContent>
                  <w:p>
                    <w:pPr>
                      <w:pStyle w:val="12"/>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2"/>
                          </w:pPr>
                          <w:r>
                            <w:fldChar w:fldCharType="begin"/>
                          </w:r>
                          <w:r>
                            <w:instrText xml:space="preserve"> PAGE  \* MERGEFORMAT </w:instrText>
                          </w:r>
                          <w:r>
                            <w:fldChar w:fldCharType="separate"/>
                          </w:r>
                          <w:r>
                            <w:t>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C6jDgrMgIAAGEEAAAOAAAAZHJz&#10;L2Uyb0RvYy54bWytVM2O0zAQviPxDpbvNGlZVlXVdFW2KkKq2JUWxNl1nCaS/2S7TcoDwBtw4sKd&#10;5+pz8NlpumjhsAcuztgz/sbfNzOZ33RKkoNwvjG6oONRTonQ3JSN3hX008f1qyklPjBdMmm0KOhR&#10;eHqzePli3tqZmJjayFI4AhDtZ60taB2CnWWZ57VQzI+MFRrOyjjFArZul5WOtUBXMpvk+XXWGlda&#10;Z7jwHqer3knPiO45gKaqGi5Whu+V0KFHdUKyAEq+bqyni/TaqhI83FWVF4HIgoJpSCuSwN7GNVvM&#10;2WznmK0bfn4Ce84TnnBSrNFIeoFascDI3jV/QamGO+NNFUbcqKwnkhQBi3H+RJuHmlmRuEBqby+i&#10;+/8Hyz8c7h1pyoJeUaKZQsFP37+dfvw6/fxKrqI8rfUzRD1YxIXurenQNMO5x2Fk3VVOxS/4EPgh&#10;7vEirugC4fHSdDKd5nBx+IYN8LPH69b58E4YRaJRUIfqJVHZYeNDHzqExGzarBspUwWlJm1Br1+/&#10;ydOFiwfgUiNHJNE/Nlqh23ZnZltTHkHMmb4zvOXrBsk3zId75tAKeDCGJdxhqaRBEnO2KKmN+/Kv&#10;8xiPCsFLSYvWKqjGJFEi32tUDoBhMNxgbAdD79WtQa+OMYSWJxMXXJCDWTmjPmOCljEHXExzZCpo&#10;GMzb0Lc3JpCL5TIF7a1rdnV/AX1nWdjoB8tjmiikt8t9gJhJ4yhQr8pZN3ReqtJ5SmJr/7lPUY9/&#10;hsVv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FgAAAGRycy9QSwECFAAUAAAACACHTuJAs0lY7tAAAAAFAQAADwAAAAAAAAABACAAAAA4AAAA&#10;ZHJzL2Rvd25yZXYueG1sUEsBAhQAFAAAAAgAh07iQLqMOCsyAgAAYQQAAA4AAAAAAAAAAQAgAAAA&#10;NQEAAGRycy9lMm9Eb2MueG1sUEsFBgAAAAAGAAYAWQEAANkFAAAAAA==&#10;">
              <v:fill on="f" focussize="0,0"/>
              <v:stroke on="f" weight="0.5pt"/>
              <v:imagedata o:title=""/>
              <o:lock v:ext="edit" aspectratio="f"/>
              <v:textbox inset="0mm,0mm,0mm,0mm" style="mso-fit-shape-to-text:t;">
                <w:txbxContent>
                  <w:p>
                    <w:pPr>
                      <w:pStyle w:val="12"/>
                    </w:pPr>
                    <w:r>
                      <w:fldChar w:fldCharType="begin"/>
                    </w:r>
                    <w:r>
                      <w:instrText xml:space="preserve"> PAGE  \* MERGEFORMAT </w:instrText>
                    </w:r>
                    <w:r>
                      <w:fldChar w:fldCharType="separate"/>
                    </w:r>
                    <w:r>
                      <w:t>5</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A0BC8CC"/>
    <w:multiLevelType w:val="singleLevel"/>
    <w:tmpl w:val="8A0BC8CC"/>
    <w:lvl w:ilvl="0" w:tentative="0">
      <w:start w:val="1"/>
      <w:numFmt w:val="decimal"/>
      <w:suff w:val="nothing"/>
      <w:lvlText w:val="%1．"/>
      <w:lvlJc w:val="left"/>
      <w:pPr>
        <w:ind w:left="0" w:firstLine="400"/>
      </w:pPr>
      <w:rPr>
        <w:rFonts w:hint="default"/>
      </w:rPr>
    </w:lvl>
  </w:abstractNum>
  <w:abstractNum w:abstractNumId="1">
    <w:nsid w:val="B584FFFC"/>
    <w:multiLevelType w:val="singleLevel"/>
    <w:tmpl w:val="B584FFFC"/>
    <w:lvl w:ilvl="0" w:tentative="0">
      <w:start w:val="1"/>
      <w:numFmt w:val="decimal"/>
      <w:suff w:val="nothing"/>
      <w:lvlText w:val="%1．"/>
      <w:lvlJc w:val="left"/>
      <w:pPr>
        <w:ind w:left="0" w:firstLine="400"/>
      </w:pPr>
      <w:rPr>
        <w:rFonts w:hint="default"/>
      </w:rPr>
    </w:lvl>
  </w:abstractNum>
  <w:abstractNum w:abstractNumId="2">
    <w:nsid w:val="C3F1581C"/>
    <w:multiLevelType w:val="singleLevel"/>
    <w:tmpl w:val="C3F1581C"/>
    <w:lvl w:ilvl="0" w:tentative="0">
      <w:start w:val="1"/>
      <w:numFmt w:val="decimal"/>
      <w:suff w:val="nothing"/>
      <w:lvlText w:val="（%1）"/>
      <w:lvlJc w:val="left"/>
    </w:lvl>
  </w:abstractNum>
  <w:abstractNum w:abstractNumId="3">
    <w:nsid w:val="C84237F4"/>
    <w:multiLevelType w:val="singleLevel"/>
    <w:tmpl w:val="C84237F4"/>
    <w:lvl w:ilvl="0" w:tentative="0">
      <w:start w:val="1"/>
      <w:numFmt w:val="decimal"/>
      <w:lvlText w:val="%1."/>
      <w:lvlJc w:val="left"/>
      <w:pPr>
        <w:tabs>
          <w:tab w:val="left" w:pos="312"/>
        </w:tabs>
      </w:pPr>
    </w:lvl>
  </w:abstractNum>
  <w:abstractNum w:abstractNumId="4">
    <w:nsid w:val="E4DA32E3"/>
    <w:multiLevelType w:val="singleLevel"/>
    <w:tmpl w:val="E4DA32E3"/>
    <w:lvl w:ilvl="0" w:tentative="0">
      <w:start w:val="1"/>
      <w:numFmt w:val="decimal"/>
      <w:suff w:val="nothing"/>
      <w:lvlText w:val="%1．"/>
      <w:lvlJc w:val="left"/>
      <w:pPr>
        <w:ind w:left="0" w:firstLine="400"/>
      </w:pPr>
      <w:rPr>
        <w:rFonts w:hint="default"/>
      </w:rPr>
    </w:lvl>
  </w:abstractNum>
  <w:abstractNum w:abstractNumId="5">
    <w:nsid w:val="F2B020A8"/>
    <w:multiLevelType w:val="singleLevel"/>
    <w:tmpl w:val="F2B020A8"/>
    <w:lvl w:ilvl="0" w:tentative="0">
      <w:start w:val="1"/>
      <w:numFmt w:val="decimal"/>
      <w:suff w:val="nothing"/>
      <w:lvlText w:val="%1．"/>
      <w:lvlJc w:val="left"/>
      <w:pPr>
        <w:ind w:left="0" w:firstLine="400"/>
      </w:pPr>
      <w:rPr>
        <w:rFonts w:hint="default"/>
      </w:rPr>
    </w:lvl>
  </w:abstractNum>
  <w:abstractNum w:abstractNumId="6">
    <w:nsid w:val="08277CF8"/>
    <w:multiLevelType w:val="singleLevel"/>
    <w:tmpl w:val="08277CF8"/>
    <w:lvl w:ilvl="0" w:tentative="0">
      <w:start w:val="1"/>
      <w:numFmt w:val="decimal"/>
      <w:suff w:val="nothing"/>
      <w:lvlText w:val="%1．"/>
      <w:lvlJc w:val="left"/>
      <w:pPr>
        <w:ind w:left="0" w:firstLine="400"/>
      </w:pPr>
      <w:rPr>
        <w:rFonts w:hint="default"/>
      </w:rPr>
    </w:lvl>
  </w:abstractNum>
  <w:abstractNum w:abstractNumId="7">
    <w:nsid w:val="1311020F"/>
    <w:multiLevelType w:val="singleLevel"/>
    <w:tmpl w:val="1311020F"/>
    <w:lvl w:ilvl="0" w:tentative="0">
      <w:start w:val="1"/>
      <w:numFmt w:val="decimal"/>
      <w:suff w:val="nothing"/>
      <w:lvlText w:val="%1．"/>
      <w:lvlJc w:val="left"/>
      <w:pPr>
        <w:ind w:left="0" w:firstLine="400"/>
      </w:pPr>
      <w:rPr>
        <w:rFonts w:hint="default"/>
      </w:rPr>
    </w:lvl>
  </w:abstractNum>
  <w:abstractNum w:abstractNumId="8">
    <w:nsid w:val="26A1C324"/>
    <w:multiLevelType w:val="singleLevel"/>
    <w:tmpl w:val="26A1C324"/>
    <w:lvl w:ilvl="0" w:tentative="0">
      <w:start w:val="1"/>
      <w:numFmt w:val="decimal"/>
      <w:suff w:val="nothing"/>
      <w:lvlText w:val="%1．"/>
      <w:lvlJc w:val="left"/>
      <w:pPr>
        <w:ind w:left="0" w:firstLine="400"/>
      </w:pPr>
      <w:rPr>
        <w:rFonts w:hint="default"/>
      </w:rPr>
    </w:lvl>
  </w:abstractNum>
  <w:abstractNum w:abstractNumId="9">
    <w:nsid w:val="4719B311"/>
    <w:multiLevelType w:val="singleLevel"/>
    <w:tmpl w:val="4719B311"/>
    <w:lvl w:ilvl="0" w:tentative="0">
      <w:start w:val="1"/>
      <w:numFmt w:val="decimal"/>
      <w:suff w:val="nothing"/>
      <w:lvlText w:val="%1．"/>
      <w:lvlJc w:val="left"/>
      <w:pPr>
        <w:ind w:left="0" w:firstLine="400"/>
      </w:pPr>
      <w:rPr>
        <w:rFonts w:hint="default"/>
      </w:rPr>
    </w:lvl>
  </w:abstractNum>
  <w:abstractNum w:abstractNumId="10">
    <w:nsid w:val="512D26C9"/>
    <w:multiLevelType w:val="singleLevel"/>
    <w:tmpl w:val="512D26C9"/>
    <w:lvl w:ilvl="0" w:tentative="0">
      <w:start w:val="1"/>
      <w:numFmt w:val="decimal"/>
      <w:suff w:val="nothing"/>
      <w:lvlText w:val="%1．"/>
      <w:lvlJc w:val="left"/>
      <w:pPr>
        <w:ind w:left="0" w:firstLine="400"/>
      </w:pPr>
      <w:rPr>
        <w:rFonts w:hint="default"/>
      </w:rPr>
    </w:lvl>
  </w:abstractNum>
  <w:abstractNum w:abstractNumId="11">
    <w:nsid w:val="66614B79"/>
    <w:multiLevelType w:val="singleLevel"/>
    <w:tmpl w:val="66614B79"/>
    <w:lvl w:ilvl="0" w:tentative="0">
      <w:start w:val="1"/>
      <w:numFmt w:val="decimal"/>
      <w:suff w:val="nothing"/>
      <w:lvlText w:val="%1．"/>
      <w:lvlJc w:val="left"/>
      <w:pPr>
        <w:ind w:left="0" w:firstLine="400"/>
      </w:pPr>
      <w:rPr>
        <w:rFonts w:hint="default"/>
      </w:rPr>
    </w:lvl>
  </w:abstractNum>
  <w:abstractNum w:abstractNumId="12">
    <w:nsid w:val="77EE2804"/>
    <w:multiLevelType w:val="singleLevel"/>
    <w:tmpl w:val="77EE2804"/>
    <w:lvl w:ilvl="0" w:tentative="0">
      <w:start w:val="1"/>
      <w:numFmt w:val="decimal"/>
      <w:suff w:val="nothing"/>
      <w:lvlText w:val="%1．"/>
      <w:lvlJc w:val="left"/>
      <w:pPr>
        <w:ind w:left="0" w:firstLine="400"/>
      </w:pPr>
      <w:rPr>
        <w:rFonts w:hint="default"/>
      </w:rPr>
    </w:lvl>
  </w:abstractNum>
  <w:num w:numId="1">
    <w:abstractNumId w:val="10"/>
  </w:num>
  <w:num w:numId="2">
    <w:abstractNumId w:val="1"/>
  </w:num>
  <w:num w:numId="3">
    <w:abstractNumId w:val="5"/>
  </w:num>
  <w:num w:numId="4">
    <w:abstractNumId w:val="12"/>
  </w:num>
  <w:num w:numId="5">
    <w:abstractNumId w:val="0"/>
  </w:num>
  <w:num w:numId="6">
    <w:abstractNumId w:val="8"/>
  </w:num>
  <w:num w:numId="7">
    <w:abstractNumId w:val="2"/>
  </w:num>
  <w:num w:numId="8">
    <w:abstractNumId w:val="9"/>
  </w:num>
  <w:num w:numId="9">
    <w:abstractNumId w:val="11"/>
  </w:num>
  <w:num w:numId="10">
    <w:abstractNumId w:val="6"/>
  </w:num>
  <w:num w:numId="11">
    <w:abstractNumId w:val="7"/>
  </w:num>
  <w:num w:numId="12">
    <w:abstractNumId w:val="3"/>
  </w:num>
  <w:num w:numId="1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1930C7"/>
    <w:rsid w:val="002E687C"/>
    <w:rsid w:val="004E616D"/>
    <w:rsid w:val="005319D6"/>
    <w:rsid w:val="005F1379"/>
    <w:rsid w:val="007E4CA5"/>
    <w:rsid w:val="00B406C6"/>
    <w:rsid w:val="00F46D15"/>
    <w:rsid w:val="01176EA7"/>
    <w:rsid w:val="016B5C4B"/>
    <w:rsid w:val="017B7436"/>
    <w:rsid w:val="019A3E71"/>
    <w:rsid w:val="01A55F55"/>
    <w:rsid w:val="01BA61B0"/>
    <w:rsid w:val="01C40DDD"/>
    <w:rsid w:val="02263D3E"/>
    <w:rsid w:val="023C4E17"/>
    <w:rsid w:val="024C2B81"/>
    <w:rsid w:val="025F0B06"/>
    <w:rsid w:val="026E0D49"/>
    <w:rsid w:val="028311D2"/>
    <w:rsid w:val="02964B7A"/>
    <w:rsid w:val="02CD5334"/>
    <w:rsid w:val="03035935"/>
    <w:rsid w:val="032E26CA"/>
    <w:rsid w:val="032F68E0"/>
    <w:rsid w:val="03435D9C"/>
    <w:rsid w:val="03451AAA"/>
    <w:rsid w:val="036A5693"/>
    <w:rsid w:val="037C7496"/>
    <w:rsid w:val="03802AE2"/>
    <w:rsid w:val="03C50E3C"/>
    <w:rsid w:val="040879FA"/>
    <w:rsid w:val="041F268D"/>
    <w:rsid w:val="04240D29"/>
    <w:rsid w:val="04E8786E"/>
    <w:rsid w:val="04EE7F1F"/>
    <w:rsid w:val="04F35535"/>
    <w:rsid w:val="04F437AB"/>
    <w:rsid w:val="04FB0466"/>
    <w:rsid w:val="04FF212C"/>
    <w:rsid w:val="05322502"/>
    <w:rsid w:val="053A13B6"/>
    <w:rsid w:val="053C6BFA"/>
    <w:rsid w:val="054F4E62"/>
    <w:rsid w:val="055B39D1"/>
    <w:rsid w:val="05D2339D"/>
    <w:rsid w:val="05FD1270"/>
    <w:rsid w:val="0639166E"/>
    <w:rsid w:val="064129D2"/>
    <w:rsid w:val="064630EF"/>
    <w:rsid w:val="06710E08"/>
    <w:rsid w:val="06801ECA"/>
    <w:rsid w:val="068A3C77"/>
    <w:rsid w:val="068B011B"/>
    <w:rsid w:val="06F35BF5"/>
    <w:rsid w:val="072E6ADC"/>
    <w:rsid w:val="073D0CEA"/>
    <w:rsid w:val="07414234"/>
    <w:rsid w:val="074958E1"/>
    <w:rsid w:val="074B1905"/>
    <w:rsid w:val="07623099"/>
    <w:rsid w:val="07A052AB"/>
    <w:rsid w:val="07A72049"/>
    <w:rsid w:val="080F6B2A"/>
    <w:rsid w:val="08144141"/>
    <w:rsid w:val="08147C9D"/>
    <w:rsid w:val="082F2309"/>
    <w:rsid w:val="086F4203"/>
    <w:rsid w:val="088017D6"/>
    <w:rsid w:val="08D80F57"/>
    <w:rsid w:val="08F024B8"/>
    <w:rsid w:val="0918072C"/>
    <w:rsid w:val="09297778"/>
    <w:rsid w:val="093525C0"/>
    <w:rsid w:val="09412D13"/>
    <w:rsid w:val="09504FF4"/>
    <w:rsid w:val="095E38C5"/>
    <w:rsid w:val="09606B8F"/>
    <w:rsid w:val="09641372"/>
    <w:rsid w:val="098C48BA"/>
    <w:rsid w:val="09AD03A9"/>
    <w:rsid w:val="09B6253B"/>
    <w:rsid w:val="09BA2AC6"/>
    <w:rsid w:val="09E77828"/>
    <w:rsid w:val="09EA6F07"/>
    <w:rsid w:val="0A1C3CB4"/>
    <w:rsid w:val="0A2046E9"/>
    <w:rsid w:val="0A295572"/>
    <w:rsid w:val="0A4D7496"/>
    <w:rsid w:val="0A595E3B"/>
    <w:rsid w:val="0A652A31"/>
    <w:rsid w:val="0A73514E"/>
    <w:rsid w:val="0A7C6E62"/>
    <w:rsid w:val="0A9D5CC9"/>
    <w:rsid w:val="0A9F4195"/>
    <w:rsid w:val="0AA45E2D"/>
    <w:rsid w:val="0AE0030A"/>
    <w:rsid w:val="0AE147AE"/>
    <w:rsid w:val="0AEC00ED"/>
    <w:rsid w:val="0AF97C07"/>
    <w:rsid w:val="0B1343EC"/>
    <w:rsid w:val="0B3406F1"/>
    <w:rsid w:val="0BB84DE3"/>
    <w:rsid w:val="0BBD73A7"/>
    <w:rsid w:val="0BC52BC6"/>
    <w:rsid w:val="0C007B04"/>
    <w:rsid w:val="0C0A1AE2"/>
    <w:rsid w:val="0C2A7A8F"/>
    <w:rsid w:val="0C2D166C"/>
    <w:rsid w:val="0C50326D"/>
    <w:rsid w:val="0C656D19"/>
    <w:rsid w:val="0C6738AA"/>
    <w:rsid w:val="0CAC4948"/>
    <w:rsid w:val="0CAE6912"/>
    <w:rsid w:val="0CC021A1"/>
    <w:rsid w:val="0CDE073E"/>
    <w:rsid w:val="0D0B5B12"/>
    <w:rsid w:val="0D246BD4"/>
    <w:rsid w:val="0D731909"/>
    <w:rsid w:val="0D804905"/>
    <w:rsid w:val="0D955AA3"/>
    <w:rsid w:val="0DBC243A"/>
    <w:rsid w:val="0DDC6028"/>
    <w:rsid w:val="0DDD6D83"/>
    <w:rsid w:val="0E3B7B03"/>
    <w:rsid w:val="0E43308A"/>
    <w:rsid w:val="0E6C0832"/>
    <w:rsid w:val="0E7B2B5D"/>
    <w:rsid w:val="0E884F40"/>
    <w:rsid w:val="0EAF6971"/>
    <w:rsid w:val="0ED9579C"/>
    <w:rsid w:val="0EDF67AA"/>
    <w:rsid w:val="0F0A1DF9"/>
    <w:rsid w:val="0F0F255C"/>
    <w:rsid w:val="0F346C56"/>
    <w:rsid w:val="0F411D39"/>
    <w:rsid w:val="0F690013"/>
    <w:rsid w:val="0F786D63"/>
    <w:rsid w:val="0F7E6C80"/>
    <w:rsid w:val="0F89519D"/>
    <w:rsid w:val="0FA933C0"/>
    <w:rsid w:val="10041E73"/>
    <w:rsid w:val="100E76C7"/>
    <w:rsid w:val="10246D81"/>
    <w:rsid w:val="10384A53"/>
    <w:rsid w:val="1042375E"/>
    <w:rsid w:val="105552F6"/>
    <w:rsid w:val="10596B94"/>
    <w:rsid w:val="106F0166"/>
    <w:rsid w:val="10877756"/>
    <w:rsid w:val="10BB15FD"/>
    <w:rsid w:val="10E017B4"/>
    <w:rsid w:val="10F94956"/>
    <w:rsid w:val="10F978E2"/>
    <w:rsid w:val="1109680C"/>
    <w:rsid w:val="111C721B"/>
    <w:rsid w:val="112C24FB"/>
    <w:rsid w:val="11884070"/>
    <w:rsid w:val="11E03486"/>
    <w:rsid w:val="11EE77B0"/>
    <w:rsid w:val="11F72B09"/>
    <w:rsid w:val="11FA6155"/>
    <w:rsid w:val="12150170"/>
    <w:rsid w:val="121E0096"/>
    <w:rsid w:val="121E62E8"/>
    <w:rsid w:val="122338FE"/>
    <w:rsid w:val="12371157"/>
    <w:rsid w:val="126637EB"/>
    <w:rsid w:val="126D5709"/>
    <w:rsid w:val="127C6B6A"/>
    <w:rsid w:val="127D400D"/>
    <w:rsid w:val="129E4D32"/>
    <w:rsid w:val="12C7072D"/>
    <w:rsid w:val="13323BDB"/>
    <w:rsid w:val="13703793"/>
    <w:rsid w:val="137C2798"/>
    <w:rsid w:val="1385580F"/>
    <w:rsid w:val="13883CE7"/>
    <w:rsid w:val="1393060F"/>
    <w:rsid w:val="13A4281C"/>
    <w:rsid w:val="13C92B55"/>
    <w:rsid w:val="13D133D8"/>
    <w:rsid w:val="13D34EB0"/>
    <w:rsid w:val="14274EB0"/>
    <w:rsid w:val="14397409"/>
    <w:rsid w:val="143B5F3C"/>
    <w:rsid w:val="14503416"/>
    <w:rsid w:val="147F2FEA"/>
    <w:rsid w:val="14A10B0A"/>
    <w:rsid w:val="14A63FF3"/>
    <w:rsid w:val="14B24AC5"/>
    <w:rsid w:val="15325C06"/>
    <w:rsid w:val="153E7AE4"/>
    <w:rsid w:val="15545B7C"/>
    <w:rsid w:val="15655FDB"/>
    <w:rsid w:val="15BF56EC"/>
    <w:rsid w:val="15DD2016"/>
    <w:rsid w:val="15F92269"/>
    <w:rsid w:val="164125A5"/>
    <w:rsid w:val="1666200B"/>
    <w:rsid w:val="16671D74"/>
    <w:rsid w:val="169051BD"/>
    <w:rsid w:val="16961F65"/>
    <w:rsid w:val="16D1671C"/>
    <w:rsid w:val="16D231FD"/>
    <w:rsid w:val="16D838E5"/>
    <w:rsid w:val="17464176"/>
    <w:rsid w:val="174F6F43"/>
    <w:rsid w:val="176D73C9"/>
    <w:rsid w:val="177B1AE6"/>
    <w:rsid w:val="177C55C6"/>
    <w:rsid w:val="17951627"/>
    <w:rsid w:val="17B943BD"/>
    <w:rsid w:val="17C0574B"/>
    <w:rsid w:val="17C918CC"/>
    <w:rsid w:val="17D47448"/>
    <w:rsid w:val="17D9680D"/>
    <w:rsid w:val="17EE050A"/>
    <w:rsid w:val="17F12F10"/>
    <w:rsid w:val="181221EE"/>
    <w:rsid w:val="181D0DEF"/>
    <w:rsid w:val="18226406"/>
    <w:rsid w:val="18342825"/>
    <w:rsid w:val="183E364C"/>
    <w:rsid w:val="184F0BB8"/>
    <w:rsid w:val="18506B95"/>
    <w:rsid w:val="18534811"/>
    <w:rsid w:val="187D363C"/>
    <w:rsid w:val="1881137E"/>
    <w:rsid w:val="188D7C5B"/>
    <w:rsid w:val="189D6DFF"/>
    <w:rsid w:val="18E37943"/>
    <w:rsid w:val="18ED0372"/>
    <w:rsid w:val="18F27B86"/>
    <w:rsid w:val="190051C6"/>
    <w:rsid w:val="191775ED"/>
    <w:rsid w:val="192F4936"/>
    <w:rsid w:val="194D73B5"/>
    <w:rsid w:val="198804EA"/>
    <w:rsid w:val="19B9183E"/>
    <w:rsid w:val="19D84FCE"/>
    <w:rsid w:val="1A226249"/>
    <w:rsid w:val="1A255D39"/>
    <w:rsid w:val="1A3058D2"/>
    <w:rsid w:val="1A5678D1"/>
    <w:rsid w:val="1A632345"/>
    <w:rsid w:val="1A6859A3"/>
    <w:rsid w:val="1A78230D"/>
    <w:rsid w:val="1A9119EB"/>
    <w:rsid w:val="1A9F3D3E"/>
    <w:rsid w:val="1AC92B69"/>
    <w:rsid w:val="1ACC4B81"/>
    <w:rsid w:val="1AEE0821"/>
    <w:rsid w:val="1AF851FC"/>
    <w:rsid w:val="1B1A0F21"/>
    <w:rsid w:val="1BAB7696"/>
    <w:rsid w:val="1BCA2BED"/>
    <w:rsid w:val="1BCD24C6"/>
    <w:rsid w:val="1C0960D8"/>
    <w:rsid w:val="1C136080"/>
    <w:rsid w:val="1C161DDD"/>
    <w:rsid w:val="1C222E07"/>
    <w:rsid w:val="1C224C26"/>
    <w:rsid w:val="1C2E35CB"/>
    <w:rsid w:val="1C2F166A"/>
    <w:rsid w:val="1C443506"/>
    <w:rsid w:val="1C640D9B"/>
    <w:rsid w:val="1C6A0474"/>
    <w:rsid w:val="1C736A8D"/>
    <w:rsid w:val="1C74205D"/>
    <w:rsid w:val="1C7A6810"/>
    <w:rsid w:val="1C8036FB"/>
    <w:rsid w:val="1C931680"/>
    <w:rsid w:val="1CD320E6"/>
    <w:rsid w:val="1CD42C70"/>
    <w:rsid w:val="1CF71C0F"/>
    <w:rsid w:val="1CF928A3"/>
    <w:rsid w:val="1D080CD8"/>
    <w:rsid w:val="1D1C1676"/>
    <w:rsid w:val="1D2C4692"/>
    <w:rsid w:val="1D3369BF"/>
    <w:rsid w:val="1D37200B"/>
    <w:rsid w:val="1D412E8A"/>
    <w:rsid w:val="1D4604A0"/>
    <w:rsid w:val="1D652F94"/>
    <w:rsid w:val="1D7F1C04"/>
    <w:rsid w:val="1D880AB9"/>
    <w:rsid w:val="1D8852CF"/>
    <w:rsid w:val="1DDD7388"/>
    <w:rsid w:val="1DFC3255"/>
    <w:rsid w:val="1E171E3D"/>
    <w:rsid w:val="1E6113ED"/>
    <w:rsid w:val="1E6F1C79"/>
    <w:rsid w:val="1EE57FD5"/>
    <w:rsid w:val="1EE937D9"/>
    <w:rsid w:val="1F021647"/>
    <w:rsid w:val="1F0E48B0"/>
    <w:rsid w:val="1F4210ED"/>
    <w:rsid w:val="1F4607DC"/>
    <w:rsid w:val="1F9F20EA"/>
    <w:rsid w:val="1FA6791C"/>
    <w:rsid w:val="1FB661A7"/>
    <w:rsid w:val="1FB82425"/>
    <w:rsid w:val="1FF26D7A"/>
    <w:rsid w:val="200D447D"/>
    <w:rsid w:val="20123453"/>
    <w:rsid w:val="20140D2A"/>
    <w:rsid w:val="2030626D"/>
    <w:rsid w:val="207B4905"/>
    <w:rsid w:val="208D63E6"/>
    <w:rsid w:val="209C7700"/>
    <w:rsid w:val="20B41BC5"/>
    <w:rsid w:val="20BB11A5"/>
    <w:rsid w:val="20C1492D"/>
    <w:rsid w:val="21555AB2"/>
    <w:rsid w:val="216E446A"/>
    <w:rsid w:val="21A67760"/>
    <w:rsid w:val="21AD4952"/>
    <w:rsid w:val="21D00C81"/>
    <w:rsid w:val="21F01E8D"/>
    <w:rsid w:val="21F030D1"/>
    <w:rsid w:val="2213509B"/>
    <w:rsid w:val="223905D4"/>
    <w:rsid w:val="225A35F1"/>
    <w:rsid w:val="22617B2B"/>
    <w:rsid w:val="227131B3"/>
    <w:rsid w:val="22B05308"/>
    <w:rsid w:val="22CE03DE"/>
    <w:rsid w:val="22D96A74"/>
    <w:rsid w:val="23037685"/>
    <w:rsid w:val="232E2DDB"/>
    <w:rsid w:val="23353491"/>
    <w:rsid w:val="234550BE"/>
    <w:rsid w:val="234869FF"/>
    <w:rsid w:val="23694EE9"/>
    <w:rsid w:val="237613B4"/>
    <w:rsid w:val="23B15197"/>
    <w:rsid w:val="23D24576"/>
    <w:rsid w:val="23D5257E"/>
    <w:rsid w:val="241906BD"/>
    <w:rsid w:val="241E5CD3"/>
    <w:rsid w:val="241F1A4B"/>
    <w:rsid w:val="24281976"/>
    <w:rsid w:val="24286B52"/>
    <w:rsid w:val="24596D0B"/>
    <w:rsid w:val="24661428"/>
    <w:rsid w:val="24896071"/>
    <w:rsid w:val="24A0493A"/>
    <w:rsid w:val="24A501A2"/>
    <w:rsid w:val="24BF4314"/>
    <w:rsid w:val="24D32F62"/>
    <w:rsid w:val="24DD793C"/>
    <w:rsid w:val="25020159"/>
    <w:rsid w:val="25112915"/>
    <w:rsid w:val="25627E42"/>
    <w:rsid w:val="256C2A6E"/>
    <w:rsid w:val="25706A02"/>
    <w:rsid w:val="25781413"/>
    <w:rsid w:val="25867FD4"/>
    <w:rsid w:val="25872313"/>
    <w:rsid w:val="25921729"/>
    <w:rsid w:val="25AE7E17"/>
    <w:rsid w:val="2626430B"/>
    <w:rsid w:val="262E5F76"/>
    <w:rsid w:val="2685028B"/>
    <w:rsid w:val="26924756"/>
    <w:rsid w:val="26B9204F"/>
    <w:rsid w:val="26E335FE"/>
    <w:rsid w:val="274C2B57"/>
    <w:rsid w:val="274E68CF"/>
    <w:rsid w:val="276460F3"/>
    <w:rsid w:val="276E6F72"/>
    <w:rsid w:val="27854A50"/>
    <w:rsid w:val="279D33B3"/>
    <w:rsid w:val="27A04C51"/>
    <w:rsid w:val="27BD5803"/>
    <w:rsid w:val="27FC1A15"/>
    <w:rsid w:val="27FF406E"/>
    <w:rsid w:val="28101DD7"/>
    <w:rsid w:val="281713B7"/>
    <w:rsid w:val="28173165"/>
    <w:rsid w:val="281C23EC"/>
    <w:rsid w:val="281E2746"/>
    <w:rsid w:val="2837635E"/>
    <w:rsid w:val="284B0E3D"/>
    <w:rsid w:val="28575C58"/>
    <w:rsid w:val="28620159"/>
    <w:rsid w:val="287B0713"/>
    <w:rsid w:val="287C1E5D"/>
    <w:rsid w:val="28831667"/>
    <w:rsid w:val="288822B5"/>
    <w:rsid w:val="289335D2"/>
    <w:rsid w:val="289C17D6"/>
    <w:rsid w:val="28C01336"/>
    <w:rsid w:val="28C72DDD"/>
    <w:rsid w:val="28F13AD4"/>
    <w:rsid w:val="290A0F1C"/>
    <w:rsid w:val="29656152"/>
    <w:rsid w:val="297E0FC2"/>
    <w:rsid w:val="29D651C9"/>
    <w:rsid w:val="29FF7627"/>
    <w:rsid w:val="2A1F4171"/>
    <w:rsid w:val="2A435ACB"/>
    <w:rsid w:val="2A567C51"/>
    <w:rsid w:val="2A5E32CD"/>
    <w:rsid w:val="2A842608"/>
    <w:rsid w:val="2A866380"/>
    <w:rsid w:val="2AD30362"/>
    <w:rsid w:val="2AE324DA"/>
    <w:rsid w:val="2AF21C68"/>
    <w:rsid w:val="2B124BDC"/>
    <w:rsid w:val="2B2F07C6"/>
    <w:rsid w:val="2B400C25"/>
    <w:rsid w:val="2B603075"/>
    <w:rsid w:val="2B7A2329"/>
    <w:rsid w:val="2B8132BF"/>
    <w:rsid w:val="2B8859C9"/>
    <w:rsid w:val="2BB8149E"/>
    <w:rsid w:val="2BCC3CAB"/>
    <w:rsid w:val="2BD90527"/>
    <w:rsid w:val="2BDB26FC"/>
    <w:rsid w:val="2C155634"/>
    <w:rsid w:val="2C190672"/>
    <w:rsid w:val="2C315EE0"/>
    <w:rsid w:val="2C3D6F12"/>
    <w:rsid w:val="2C4C35F9"/>
    <w:rsid w:val="2C4E7372"/>
    <w:rsid w:val="2C5030EA"/>
    <w:rsid w:val="2C536CC6"/>
    <w:rsid w:val="2C581F9E"/>
    <w:rsid w:val="2CA61866"/>
    <w:rsid w:val="2CAA3BEF"/>
    <w:rsid w:val="2CAD398C"/>
    <w:rsid w:val="2CB83E22"/>
    <w:rsid w:val="2CCA2E9C"/>
    <w:rsid w:val="2CCB451E"/>
    <w:rsid w:val="2CED6B8B"/>
    <w:rsid w:val="2D2500D2"/>
    <w:rsid w:val="2D4A5D8B"/>
    <w:rsid w:val="2D621327"/>
    <w:rsid w:val="2D6D4CDA"/>
    <w:rsid w:val="2D713318"/>
    <w:rsid w:val="2DA3549B"/>
    <w:rsid w:val="2DB96A6D"/>
    <w:rsid w:val="2DD91849"/>
    <w:rsid w:val="2DFD467B"/>
    <w:rsid w:val="2E104609"/>
    <w:rsid w:val="2E382087"/>
    <w:rsid w:val="2E3E4E4C"/>
    <w:rsid w:val="2E5E3592"/>
    <w:rsid w:val="2E5F7614"/>
    <w:rsid w:val="2E832474"/>
    <w:rsid w:val="2E89643F"/>
    <w:rsid w:val="2EB536D8"/>
    <w:rsid w:val="2EB616F7"/>
    <w:rsid w:val="2ED7364E"/>
    <w:rsid w:val="2EDE33D0"/>
    <w:rsid w:val="2EE220F8"/>
    <w:rsid w:val="2F3455BD"/>
    <w:rsid w:val="2F882B9B"/>
    <w:rsid w:val="2FB13E9F"/>
    <w:rsid w:val="2FB76FDC"/>
    <w:rsid w:val="2FF975F4"/>
    <w:rsid w:val="300C2225"/>
    <w:rsid w:val="301D7787"/>
    <w:rsid w:val="30626EBE"/>
    <w:rsid w:val="30AB4D93"/>
    <w:rsid w:val="30C269D4"/>
    <w:rsid w:val="30D320BD"/>
    <w:rsid w:val="31011139"/>
    <w:rsid w:val="3108207B"/>
    <w:rsid w:val="31374878"/>
    <w:rsid w:val="3163566D"/>
    <w:rsid w:val="317A2B0A"/>
    <w:rsid w:val="318E6B68"/>
    <w:rsid w:val="318F6462"/>
    <w:rsid w:val="319710B6"/>
    <w:rsid w:val="31A17F44"/>
    <w:rsid w:val="320F4DDB"/>
    <w:rsid w:val="321B180A"/>
    <w:rsid w:val="322422EC"/>
    <w:rsid w:val="32595C2F"/>
    <w:rsid w:val="3276317E"/>
    <w:rsid w:val="32981347"/>
    <w:rsid w:val="32B141B6"/>
    <w:rsid w:val="32B420CE"/>
    <w:rsid w:val="32ED1189"/>
    <w:rsid w:val="32F3657D"/>
    <w:rsid w:val="32F522F5"/>
    <w:rsid w:val="330E785B"/>
    <w:rsid w:val="33341CC4"/>
    <w:rsid w:val="334B63B9"/>
    <w:rsid w:val="33550FE6"/>
    <w:rsid w:val="33616D82"/>
    <w:rsid w:val="337C2A16"/>
    <w:rsid w:val="338A4629"/>
    <w:rsid w:val="33953AD8"/>
    <w:rsid w:val="33BC72B7"/>
    <w:rsid w:val="33DB598F"/>
    <w:rsid w:val="33DE1A10"/>
    <w:rsid w:val="342F1837"/>
    <w:rsid w:val="345F08AF"/>
    <w:rsid w:val="346E6803"/>
    <w:rsid w:val="34842DE4"/>
    <w:rsid w:val="34A357B5"/>
    <w:rsid w:val="34BC0D4F"/>
    <w:rsid w:val="34BC14A7"/>
    <w:rsid w:val="34C53F49"/>
    <w:rsid w:val="34DB2549"/>
    <w:rsid w:val="35020CF9"/>
    <w:rsid w:val="35123632"/>
    <w:rsid w:val="35132F06"/>
    <w:rsid w:val="354C49B8"/>
    <w:rsid w:val="359D2FF1"/>
    <w:rsid w:val="35AE2C2F"/>
    <w:rsid w:val="35B44D6B"/>
    <w:rsid w:val="35F42D38"/>
    <w:rsid w:val="360B0081"/>
    <w:rsid w:val="362E1261"/>
    <w:rsid w:val="36673031"/>
    <w:rsid w:val="366C6D72"/>
    <w:rsid w:val="36971491"/>
    <w:rsid w:val="36FD79CA"/>
    <w:rsid w:val="37130FE8"/>
    <w:rsid w:val="371D006C"/>
    <w:rsid w:val="374B59F6"/>
    <w:rsid w:val="376D2DA2"/>
    <w:rsid w:val="37F25526"/>
    <w:rsid w:val="384D0E80"/>
    <w:rsid w:val="3856482E"/>
    <w:rsid w:val="38602906"/>
    <w:rsid w:val="3880471A"/>
    <w:rsid w:val="38883C0B"/>
    <w:rsid w:val="38922426"/>
    <w:rsid w:val="38B93DC5"/>
    <w:rsid w:val="38C9005C"/>
    <w:rsid w:val="38EA0422"/>
    <w:rsid w:val="391A0D07"/>
    <w:rsid w:val="391B65EB"/>
    <w:rsid w:val="39275BE5"/>
    <w:rsid w:val="3933406D"/>
    <w:rsid w:val="39551D3F"/>
    <w:rsid w:val="395F58F3"/>
    <w:rsid w:val="39822409"/>
    <w:rsid w:val="398C02F3"/>
    <w:rsid w:val="39987E7E"/>
    <w:rsid w:val="39A65F82"/>
    <w:rsid w:val="39B90520"/>
    <w:rsid w:val="39C34370"/>
    <w:rsid w:val="3A0677AF"/>
    <w:rsid w:val="3A397BC5"/>
    <w:rsid w:val="3A3F7467"/>
    <w:rsid w:val="3A647D60"/>
    <w:rsid w:val="3AA24FD7"/>
    <w:rsid w:val="3AB72586"/>
    <w:rsid w:val="3AB8382E"/>
    <w:rsid w:val="3ADD4466"/>
    <w:rsid w:val="3B3D75B1"/>
    <w:rsid w:val="3B5B44D4"/>
    <w:rsid w:val="3B7537C9"/>
    <w:rsid w:val="3B8C4F3B"/>
    <w:rsid w:val="3BAB3E99"/>
    <w:rsid w:val="3BAC19BF"/>
    <w:rsid w:val="3BC62A80"/>
    <w:rsid w:val="3BD11425"/>
    <w:rsid w:val="3BD80A06"/>
    <w:rsid w:val="3BFC64A2"/>
    <w:rsid w:val="3C1732DC"/>
    <w:rsid w:val="3C265C15"/>
    <w:rsid w:val="3C830972"/>
    <w:rsid w:val="3C947A02"/>
    <w:rsid w:val="3CBE4401"/>
    <w:rsid w:val="3D0A2E41"/>
    <w:rsid w:val="3D0A362A"/>
    <w:rsid w:val="3D1A1C84"/>
    <w:rsid w:val="3D2E203E"/>
    <w:rsid w:val="3D314198"/>
    <w:rsid w:val="3D4C5207"/>
    <w:rsid w:val="3DB10CF9"/>
    <w:rsid w:val="3DC245BE"/>
    <w:rsid w:val="3DCD6A5C"/>
    <w:rsid w:val="3E0B6E71"/>
    <w:rsid w:val="3E133F77"/>
    <w:rsid w:val="3E520712"/>
    <w:rsid w:val="3E5C76CC"/>
    <w:rsid w:val="3EC11C25"/>
    <w:rsid w:val="3ED853E8"/>
    <w:rsid w:val="3EE62876"/>
    <w:rsid w:val="3F010273"/>
    <w:rsid w:val="3F0175F8"/>
    <w:rsid w:val="3F0F2990"/>
    <w:rsid w:val="3F11495A"/>
    <w:rsid w:val="3F3452BE"/>
    <w:rsid w:val="3F5B5BD6"/>
    <w:rsid w:val="3F5D194E"/>
    <w:rsid w:val="3F6251B6"/>
    <w:rsid w:val="3F694DA8"/>
    <w:rsid w:val="3F6F78D3"/>
    <w:rsid w:val="3FAA57BC"/>
    <w:rsid w:val="3FEE6F69"/>
    <w:rsid w:val="3FF34060"/>
    <w:rsid w:val="3FFD4EDF"/>
    <w:rsid w:val="404B5C4A"/>
    <w:rsid w:val="406867FC"/>
    <w:rsid w:val="407476D8"/>
    <w:rsid w:val="40785D38"/>
    <w:rsid w:val="407F4002"/>
    <w:rsid w:val="40D76F98"/>
    <w:rsid w:val="40EE65D6"/>
    <w:rsid w:val="4105229D"/>
    <w:rsid w:val="412B680E"/>
    <w:rsid w:val="413C1AC8"/>
    <w:rsid w:val="41433972"/>
    <w:rsid w:val="41735459"/>
    <w:rsid w:val="41824E23"/>
    <w:rsid w:val="41967399"/>
    <w:rsid w:val="41A27AEC"/>
    <w:rsid w:val="41A41AB6"/>
    <w:rsid w:val="41A970CC"/>
    <w:rsid w:val="41B46E93"/>
    <w:rsid w:val="41E41EB2"/>
    <w:rsid w:val="41EF0857"/>
    <w:rsid w:val="41F320F5"/>
    <w:rsid w:val="41F8002D"/>
    <w:rsid w:val="42097B6B"/>
    <w:rsid w:val="420C2309"/>
    <w:rsid w:val="42332E3A"/>
    <w:rsid w:val="42380450"/>
    <w:rsid w:val="423D653E"/>
    <w:rsid w:val="426717E8"/>
    <w:rsid w:val="42770F78"/>
    <w:rsid w:val="427C2A89"/>
    <w:rsid w:val="429733C9"/>
    <w:rsid w:val="42BF022A"/>
    <w:rsid w:val="42C910A8"/>
    <w:rsid w:val="42D57A4D"/>
    <w:rsid w:val="42E83C24"/>
    <w:rsid w:val="431E796B"/>
    <w:rsid w:val="436314FD"/>
    <w:rsid w:val="43A473B1"/>
    <w:rsid w:val="43AA2C88"/>
    <w:rsid w:val="43CB0FC8"/>
    <w:rsid w:val="43F85DFC"/>
    <w:rsid w:val="44316F05"/>
    <w:rsid w:val="44403D5F"/>
    <w:rsid w:val="4442268F"/>
    <w:rsid w:val="444C01E3"/>
    <w:rsid w:val="44AB6CB7"/>
    <w:rsid w:val="44CE5A6E"/>
    <w:rsid w:val="44D426B2"/>
    <w:rsid w:val="44D84C03"/>
    <w:rsid w:val="44DF2C9A"/>
    <w:rsid w:val="45050ABD"/>
    <w:rsid w:val="453005D5"/>
    <w:rsid w:val="4541586E"/>
    <w:rsid w:val="45737DA4"/>
    <w:rsid w:val="45817DD7"/>
    <w:rsid w:val="458B6AE9"/>
    <w:rsid w:val="45AA14BC"/>
    <w:rsid w:val="45C049E4"/>
    <w:rsid w:val="45C42F57"/>
    <w:rsid w:val="45DB7BF3"/>
    <w:rsid w:val="45E85CE9"/>
    <w:rsid w:val="45EC7DE5"/>
    <w:rsid w:val="45F12196"/>
    <w:rsid w:val="45F95DCE"/>
    <w:rsid w:val="46026DAB"/>
    <w:rsid w:val="460721F4"/>
    <w:rsid w:val="462211FB"/>
    <w:rsid w:val="4674185F"/>
    <w:rsid w:val="46C87FF5"/>
    <w:rsid w:val="46DF6973"/>
    <w:rsid w:val="47305358"/>
    <w:rsid w:val="474156B1"/>
    <w:rsid w:val="476534BC"/>
    <w:rsid w:val="47731256"/>
    <w:rsid w:val="478B1022"/>
    <w:rsid w:val="478B294A"/>
    <w:rsid w:val="47971775"/>
    <w:rsid w:val="479F7FE6"/>
    <w:rsid w:val="47B13122"/>
    <w:rsid w:val="47D77DC3"/>
    <w:rsid w:val="47D93B3C"/>
    <w:rsid w:val="47DB78B4"/>
    <w:rsid w:val="47DF14DB"/>
    <w:rsid w:val="47DF68D9"/>
    <w:rsid w:val="47E04ECA"/>
    <w:rsid w:val="47F606A9"/>
    <w:rsid w:val="48474F49"/>
    <w:rsid w:val="485D1A12"/>
    <w:rsid w:val="487A3570"/>
    <w:rsid w:val="488241D3"/>
    <w:rsid w:val="48923A9B"/>
    <w:rsid w:val="48CB5B7A"/>
    <w:rsid w:val="48DD765B"/>
    <w:rsid w:val="48E7672C"/>
    <w:rsid w:val="495E69EE"/>
    <w:rsid w:val="499441BE"/>
    <w:rsid w:val="49BE198B"/>
    <w:rsid w:val="49D22F38"/>
    <w:rsid w:val="49E54A1A"/>
    <w:rsid w:val="49E62540"/>
    <w:rsid w:val="4A1B48DF"/>
    <w:rsid w:val="4A1E3A2B"/>
    <w:rsid w:val="4A6C513B"/>
    <w:rsid w:val="4A6D760F"/>
    <w:rsid w:val="4A7D4C52"/>
    <w:rsid w:val="4AB368C6"/>
    <w:rsid w:val="4AB74711"/>
    <w:rsid w:val="4ACC3CFB"/>
    <w:rsid w:val="4ADD7DE7"/>
    <w:rsid w:val="4AFB5E99"/>
    <w:rsid w:val="4B2F1571"/>
    <w:rsid w:val="4B3160AB"/>
    <w:rsid w:val="4B7A73E4"/>
    <w:rsid w:val="4B83273C"/>
    <w:rsid w:val="4B885FA4"/>
    <w:rsid w:val="4B92472D"/>
    <w:rsid w:val="4BA17066"/>
    <w:rsid w:val="4BC82845"/>
    <w:rsid w:val="4BCA2166"/>
    <w:rsid w:val="4BCF5981"/>
    <w:rsid w:val="4C013661"/>
    <w:rsid w:val="4C0A0767"/>
    <w:rsid w:val="4C101AF6"/>
    <w:rsid w:val="4C172E84"/>
    <w:rsid w:val="4C177634"/>
    <w:rsid w:val="4C207F8B"/>
    <w:rsid w:val="4C343A36"/>
    <w:rsid w:val="4C377B1D"/>
    <w:rsid w:val="4C4A14AC"/>
    <w:rsid w:val="4C8E75EA"/>
    <w:rsid w:val="4C924C68"/>
    <w:rsid w:val="4CAC2535"/>
    <w:rsid w:val="4CCB2854"/>
    <w:rsid w:val="4CDC476A"/>
    <w:rsid w:val="4D2910C1"/>
    <w:rsid w:val="4D295D26"/>
    <w:rsid w:val="4DD62627"/>
    <w:rsid w:val="4DE1374A"/>
    <w:rsid w:val="4DF7391F"/>
    <w:rsid w:val="4E214CF1"/>
    <w:rsid w:val="4E3354D5"/>
    <w:rsid w:val="4E6323B1"/>
    <w:rsid w:val="4E962786"/>
    <w:rsid w:val="4E9817DA"/>
    <w:rsid w:val="4EBB21ED"/>
    <w:rsid w:val="4EF0709E"/>
    <w:rsid w:val="4EFD0A57"/>
    <w:rsid w:val="4F0A4F22"/>
    <w:rsid w:val="4F3264B4"/>
    <w:rsid w:val="4F3B1580"/>
    <w:rsid w:val="4F493C9D"/>
    <w:rsid w:val="4F5F72FE"/>
    <w:rsid w:val="4F624D5E"/>
    <w:rsid w:val="4F6E54B1"/>
    <w:rsid w:val="4F813436"/>
    <w:rsid w:val="4FB72C01"/>
    <w:rsid w:val="4FDD6193"/>
    <w:rsid w:val="4FE94B38"/>
    <w:rsid w:val="50083210"/>
    <w:rsid w:val="500A6659"/>
    <w:rsid w:val="50267B3A"/>
    <w:rsid w:val="5060129E"/>
    <w:rsid w:val="506B06EA"/>
    <w:rsid w:val="5075461D"/>
    <w:rsid w:val="50AA0969"/>
    <w:rsid w:val="50B05655"/>
    <w:rsid w:val="50D47596"/>
    <w:rsid w:val="50D5123E"/>
    <w:rsid w:val="50D70E34"/>
    <w:rsid w:val="50F43794"/>
    <w:rsid w:val="50F7073F"/>
    <w:rsid w:val="510A3336"/>
    <w:rsid w:val="51234A02"/>
    <w:rsid w:val="51340035"/>
    <w:rsid w:val="51395BEC"/>
    <w:rsid w:val="515E21C4"/>
    <w:rsid w:val="51655CF1"/>
    <w:rsid w:val="5187285A"/>
    <w:rsid w:val="518B6393"/>
    <w:rsid w:val="51986815"/>
    <w:rsid w:val="519976F6"/>
    <w:rsid w:val="51A92236"/>
    <w:rsid w:val="51AE428B"/>
    <w:rsid w:val="51B963FF"/>
    <w:rsid w:val="51D6733E"/>
    <w:rsid w:val="51FC0A11"/>
    <w:rsid w:val="521D49F9"/>
    <w:rsid w:val="522F2520"/>
    <w:rsid w:val="5234700E"/>
    <w:rsid w:val="524E0977"/>
    <w:rsid w:val="52552958"/>
    <w:rsid w:val="526232F4"/>
    <w:rsid w:val="526B5BC8"/>
    <w:rsid w:val="52754DA9"/>
    <w:rsid w:val="527B7E9C"/>
    <w:rsid w:val="52941E5A"/>
    <w:rsid w:val="52A3520D"/>
    <w:rsid w:val="52CA29FF"/>
    <w:rsid w:val="52CD24EF"/>
    <w:rsid w:val="52FB3500"/>
    <w:rsid w:val="52FD4127"/>
    <w:rsid w:val="53096FE2"/>
    <w:rsid w:val="53591FD4"/>
    <w:rsid w:val="535D3873"/>
    <w:rsid w:val="53BB67EB"/>
    <w:rsid w:val="53C75190"/>
    <w:rsid w:val="53D8739D"/>
    <w:rsid w:val="542032D5"/>
    <w:rsid w:val="54213C52"/>
    <w:rsid w:val="54383AE1"/>
    <w:rsid w:val="543A1E06"/>
    <w:rsid w:val="543D5452"/>
    <w:rsid w:val="544C7ADD"/>
    <w:rsid w:val="544E765F"/>
    <w:rsid w:val="54596730"/>
    <w:rsid w:val="545C0256"/>
    <w:rsid w:val="54800040"/>
    <w:rsid w:val="5495528E"/>
    <w:rsid w:val="54B653C1"/>
    <w:rsid w:val="54E87AB4"/>
    <w:rsid w:val="54EB5496"/>
    <w:rsid w:val="554D5EDF"/>
    <w:rsid w:val="55AC6D33"/>
    <w:rsid w:val="55E04C61"/>
    <w:rsid w:val="55F61D5C"/>
    <w:rsid w:val="55FC3817"/>
    <w:rsid w:val="56290384"/>
    <w:rsid w:val="56352885"/>
    <w:rsid w:val="56382375"/>
    <w:rsid w:val="56566450"/>
    <w:rsid w:val="566369E8"/>
    <w:rsid w:val="569357FD"/>
    <w:rsid w:val="56955A19"/>
    <w:rsid w:val="56BD5515"/>
    <w:rsid w:val="56CF2CD9"/>
    <w:rsid w:val="56EE0C86"/>
    <w:rsid w:val="57250B4B"/>
    <w:rsid w:val="573E0EEA"/>
    <w:rsid w:val="579932E7"/>
    <w:rsid w:val="57A23F4A"/>
    <w:rsid w:val="57C55E8A"/>
    <w:rsid w:val="57CF6D09"/>
    <w:rsid w:val="585137E1"/>
    <w:rsid w:val="58542A2E"/>
    <w:rsid w:val="5866141B"/>
    <w:rsid w:val="58773629"/>
    <w:rsid w:val="588C143E"/>
    <w:rsid w:val="58C44394"/>
    <w:rsid w:val="58C46142"/>
    <w:rsid w:val="58E14F46"/>
    <w:rsid w:val="59145D1A"/>
    <w:rsid w:val="591D4E77"/>
    <w:rsid w:val="59344A9E"/>
    <w:rsid w:val="59384632"/>
    <w:rsid w:val="59460E5F"/>
    <w:rsid w:val="595E1A56"/>
    <w:rsid w:val="59AC6197"/>
    <w:rsid w:val="59B61F2F"/>
    <w:rsid w:val="59C56616"/>
    <w:rsid w:val="59C7757C"/>
    <w:rsid w:val="59F42A57"/>
    <w:rsid w:val="5A464FA3"/>
    <w:rsid w:val="5A517EA9"/>
    <w:rsid w:val="5A551748"/>
    <w:rsid w:val="5A680140"/>
    <w:rsid w:val="5A7A34F8"/>
    <w:rsid w:val="5A8B33BB"/>
    <w:rsid w:val="5AB925AC"/>
    <w:rsid w:val="5AF35B26"/>
    <w:rsid w:val="5AF80325"/>
    <w:rsid w:val="5B1038C0"/>
    <w:rsid w:val="5B3550D5"/>
    <w:rsid w:val="5B5639C9"/>
    <w:rsid w:val="5B7213D8"/>
    <w:rsid w:val="5B767A9D"/>
    <w:rsid w:val="5B7B51DE"/>
    <w:rsid w:val="5BAA5C09"/>
    <w:rsid w:val="5BAF4E87"/>
    <w:rsid w:val="5BD668B8"/>
    <w:rsid w:val="5BED775E"/>
    <w:rsid w:val="5BF94D2C"/>
    <w:rsid w:val="5C163158"/>
    <w:rsid w:val="5C2C0286"/>
    <w:rsid w:val="5C2F421A"/>
    <w:rsid w:val="5C390BF5"/>
    <w:rsid w:val="5C3E1FD9"/>
    <w:rsid w:val="5C5B500F"/>
    <w:rsid w:val="5C702869"/>
    <w:rsid w:val="5C757E7F"/>
    <w:rsid w:val="5C77596D"/>
    <w:rsid w:val="5C936557"/>
    <w:rsid w:val="5C967DF5"/>
    <w:rsid w:val="5CA8293F"/>
    <w:rsid w:val="5CA93FCD"/>
    <w:rsid w:val="5CE45005"/>
    <w:rsid w:val="5CF0440C"/>
    <w:rsid w:val="5D177188"/>
    <w:rsid w:val="5D2D75C5"/>
    <w:rsid w:val="5D30024A"/>
    <w:rsid w:val="5D704AEA"/>
    <w:rsid w:val="5D902A97"/>
    <w:rsid w:val="5D972077"/>
    <w:rsid w:val="5DD9443E"/>
    <w:rsid w:val="5E573F81"/>
    <w:rsid w:val="5E621077"/>
    <w:rsid w:val="5E672B67"/>
    <w:rsid w:val="5EAC7C68"/>
    <w:rsid w:val="5EDA046D"/>
    <w:rsid w:val="5EEC5FAD"/>
    <w:rsid w:val="5EFC4888"/>
    <w:rsid w:val="5F076D88"/>
    <w:rsid w:val="5F1B5262"/>
    <w:rsid w:val="5F577D10"/>
    <w:rsid w:val="5F7B42E3"/>
    <w:rsid w:val="5F8959EF"/>
    <w:rsid w:val="5F975EA0"/>
    <w:rsid w:val="5F9A7BFD"/>
    <w:rsid w:val="5F9C5723"/>
    <w:rsid w:val="5FA12D39"/>
    <w:rsid w:val="5FC1578F"/>
    <w:rsid w:val="5FD127D9"/>
    <w:rsid w:val="601C498B"/>
    <w:rsid w:val="604B67B3"/>
    <w:rsid w:val="60572CC0"/>
    <w:rsid w:val="60760DB8"/>
    <w:rsid w:val="60766B4D"/>
    <w:rsid w:val="608763D3"/>
    <w:rsid w:val="60AE7E03"/>
    <w:rsid w:val="60AF592A"/>
    <w:rsid w:val="60DA08C4"/>
    <w:rsid w:val="60F27F20"/>
    <w:rsid w:val="6105554A"/>
    <w:rsid w:val="61110F56"/>
    <w:rsid w:val="61196A9D"/>
    <w:rsid w:val="61251748"/>
    <w:rsid w:val="6147287B"/>
    <w:rsid w:val="619435C8"/>
    <w:rsid w:val="619A6C69"/>
    <w:rsid w:val="619F2EE0"/>
    <w:rsid w:val="61D42D17"/>
    <w:rsid w:val="61D64503"/>
    <w:rsid w:val="61D70C94"/>
    <w:rsid w:val="61ED495B"/>
    <w:rsid w:val="622313C8"/>
    <w:rsid w:val="62682234"/>
    <w:rsid w:val="627E4E7F"/>
    <w:rsid w:val="627E7362"/>
    <w:rsid w:val="629B3F68"/>
    <w:rsid w:val="62CD7D1D"/>
    <w:rsid w:val="63043D0B"/>
    <w:rsid w:val="630F26B0"/>
    <w:rsid w:val="63342866"/>
    <w:rsid w:val="63400ABB"/>
    <w:rsid w:val="63405FE2"/>
    <w:rsid w:val="63C92874"/>
    <w:rsid w:val="63DA0F0F"/>
    <w:rsid w:val="63DE27AE"/>
    <w:rsid w:val="63E91153"/>
    <w:rsid w:val="63FA6EBC"/>
    <w:rsid w:val="64242764"/>
    <w:rsid w:val="644E687F"/>
    <w:rsid w:val="647829F1"/>
    <w:rsid w:val="649577C3"/>
    <w:rsid w:val="64994927"/>
    <w:rsid w:val="649B069F"/>
    <w:rsid w:val="64B542B1"/>
    <w:rsid w:val="64B91EC9"/>
    <w:rsid w:val="64D21BE7"/>
    <w:rsid w:val="64D771FD"/>
    <w:rsid w:val="64E02555"/>
    <w:rsid w:val="650C6EA7"/>
    <w:rsid w:val="650C7A3F"/>
    <w:rsid w:val="65272DE7"/>
    <w:rsid w:val="65390AAF"/>
    <w:rsid w:val="65660CAD"/>
    <w:rsid w:val="658E1B63"/>
    <w:rsid w:val="65EB7404"/>
    <w:rsid w:val="65F80A24"/>
    <w:rsid w:val="661447D3"/>
    <w:rsid w:val="66195D1F"/>
    <w:rsid w:val="663416A0"/>
    <w:rsid w:val="66481479"/>
    <w:rsid w:val="66482160"/>
    <w:rsid w:val="664B36ED"/>
    <w:rsid w:val="664E31B2"/>
    <w:rsid w:val="666A0329"/>
    <w:rsid w:val="669D3FF5"/>
    <w:rsid w:val="66AC6B93"/>
    <w:rsid w:val="66EF082E"/>
    <w:rsid w:val="673053B3"/>
    <w:rsid w:val="673565FE"/>
    <w:rsid w:val="674C5E3B"/>
    <w:rsid w:val="675960E1"/>
    <w:rsid w:val="678371C8"/>
    <w:rsid w:val="679F40E5"/>
    <w:rsid w:val="67AF666E"/>
    <w:rsid w:val="67BD26DA"/>
    <w:rsid w:val="68060525"/>
    <w:rsid w:val="68071BA7"/>
    <w:rsid w:val="682F4177"/>
    <w:rsid w:val="6848469A"/>
    <w:rsid w:val="68502B9D"/>
    <w:rsid w:val="685125A5"/>
    <w:rsid w:val="687A05CB"/>
    <w:rsid w:val="68843049"/>
    <w:rsid w:val="68B76B6B"/>
    <w:rsid w:val="68D279FF"/>
    <w:rsid w:val="69012A9A"/>
    <w:rsid w:val="6922138F"/>
    <w:rsid w:val="69335360"/>
    <w:rsid w:val="694355E1"/>
    <w:rsid w:val="69450BD9"/>
    <w:rsid w:val="69531BEA"/>
    <w:rsid w:val="696A709B"/>
    <w:rsid w:val="697A399D"/>
    <w:rsid w:val="699E02E9"/>
    <w:rsid w:val="69D1246D"/>
    <w:rsid w:val="69EB3D03"/>
    <w:rsid w:val="6A433360"/>
    <w:rsid w:val="6A5437CA"/>
    <w:rsid w:val="6A5C6B91"/>
    <w:rsid w:val="6A814BB4"/>
    <w:rsid w:val="6A9E4A45"/>
    <w:rsid w:val="6AA61F40"/>
    <w:rsid w:val="6AAC45A0"/>
    <w:rsid w:val="6AAE27AE"/>
    <w:rsid w:val="6AE24730"/>
    <w:rsid w:val="6B056872"/>
    <w:rsid w:val="6B146AB5"/>
    <w:rsid w:val="6B5C220A"/>
    <w:rsid w:val="6B9419A4"/>
    <w:rsid w:val="6BB12556"/>
    <w:rsid w:val="6BF95CAB"/>
    <w:rsid w:val="6C2F456B"/>
    <w:rsid w:val="6C2F7B97"/>
    <w:rsid w:val="6C4B4758"/>
    <w:rsid w:val="6C6B74D3"/>
    <w:rsid w:val="6C6C11EE"/>
    <w:rsid w:val="6C8859AD"/>
    <w:rsid w:val="6C917A62"/>
    <w:rsid w:val="6CDF5755"/>
    <w:rsid w:val="6CF748E0"/>
    <w:rsid w:val="6D4E3543"/>
    <w:rsid w:val="6D527D69"/>
    <w:rsid w:val="6D9304B1"/>
    <w:rsid w:val="6DB1295C"/>
    <w:rsid w:val="6DB35909"/>
    <w:rsid w:val="6DE54739"/>
    <w:rsid w:val="6DEA1D4F"/>
    <w:rsid w:val="6E5042A8"/>
    <w:rsid w:val="6E5C3B06"/>
    <w:rsid w:val="6E7F693B"/>
    <w:rsid w:val="6E804461"/>
    <w:rsid w:val="6E8C1058"/>
    <w:rsid w:val="6E9879FD"/>
    <w:rsid w:val="6ED749C9"/>
    <w:rsid w:val="6F152DFC"/>
    <w:rsid w:val="6F3B53E9"/>
    <w:rsid w:val="6F3C482C"/>
    <w:rsid w:val="6F543924"/>
    <w:rsid w:val="6F814935"/>
    <w:rsid w:val="6FB95E7D"/>
    <w:rsid w:val="6FD11419"/>
    <w:rsid w:val="6FDD7DBD"/>
    <w:rsid w:val="6FE54450"/>
    <w:rsid w:val="70010952"/>
    <w:rsid w:val="70083E48"/>
    <w:rsid w:val="700A6939"/>
    <w:rsid w:val="700E441B"/>
    <w:rsid w:val="70384FF4"/>
    <w:rsid w:val="703A2549"/>
    <w:rsid w:val="70555422"/>
    <w:rsid w:val="705636CC"/>
    <w:rsid w:val="705838E8"/>
    <w:rsid w:val="705901B3"/>
    <w:rsid w:val="705A7DF8"/>
    <w:rsid w:val="705D2CAC"/>
    <w:rsid w:val="706C595A"/>
    <w:rsid w:val="707D6E45"/>
    <w:rsid w:val="70BD374B"/>
    <w:rsid w:val="711A0C02"/>
    <w:rsid w:val="71461992"/>
    <w:rsid w:val="71493231"/>
    <w:rsid w:val="71566079"/>
    <w:rsid w:val="71573B9F"/>
    <w:rsid w:val="71642A9E"/>
    <w:rsid w:val="716DC54C"/>
    <w:rsid w:val="71755DD4"/>
    <w:rsid w:val="71812492"/>
    <w:rsid w:val="71D57684"/>
    <w:rsid w:val="72107825"/>
    <w:rsid w:val="727A6F64"/>
    <w:rsid w:val="72853560"/>
    <w:rsid w:val="72DB435C"/>
    <w:rsid w:val="72E41644"/>
    <w:rsid w:val="73076EFF"/>
    <w:rsid w:val="73225B94"/>
    <w:rsid w:val="73361324"/>
    <w:rsid w:val="734209D5"/>
    <w:rsid w:val="7375201E"/>
    <w:rsid w:val="73A50A26"/>
    <w:rsid w:val="73AE7247"/>
    <w:rsid w:val="73F676A0"/>
    <w:rsid w:val="73FE64E8"/>
    <w:rsid w:val="74100036"/>
    <w:rsid w:val="7419338E"/>
    <w:rsid w:val="741B2C62"/>
    <w:rsid w:val="74602D6B"/>
    <w:rsid w:val="74823F04"/>
    <w:rsid w:val="74A26B2B"/>
    <w:rsid w:val="74A94712"/>
    <w:rsid w:val="74AE7F7A"/>
    <w:rsid w:val="74B11819"/>
    <w:rsid w:val="74CC5A0C"/>
    <w:rsid w:val="74E74313"/>
    <w:rsid w:val="74F1095E"/>
    <w:rsid w:val="75273889"/>
    <w:rsid w:val="753F5076"/>
    <w:rsid w:val="75705941"/>
    <w:rsid w:val="759929D8"/>
    <w:rsid w:val="75A85130"/>
    <w:rsid w:val="75B4584F"/>
    <w:rsid w:val="75DE26FF"/>
    <w:rsid w:val="75FB71EF"/>
    <w:rsid w:val="762D4ECF"/>
    <w:rsid w:val="762F50EB"/>
    <w:rsid w:val="763307A0"/>
    <w:rsid w:val="76330BC2"/>
    <w:rsid w:val="763C5295"/>
    <w:rsid w:val="764010A6"/>
    <w:rsid w:val="76515061"/>
    <w:rsid w:val="76AA4771"/>
    <w:rsid w:val="76B178AE"/>
    <w:rsid w:val="76B31878"/>
    <w:rsid w:val="76B86E8E"/>
    <w:rsid w:val="76C27D0D"/>
    <w:rsid w:val="76E23F0B"/>
    <w:rsid w:val="76E77774"/>
    <w:rsid w:val="76EC563C"/>
    <w:rsid w:val="77163BB5"/>
    <w:rsid w:val="773B686D"/>
    <w:rsid w:val="77420E4E"/>
    <w:rsid w:val="77440722"/>
    <w:rsid w:val="77742801"/>
    <w:rsid w:val="77BF424C"/>
    <w:rsid w:val="77FD5E6D"/>
    <w:rsid w:val="7807711E"/>
    <w:rsid w:val="781024B0"/>
    <w:rsid w:val="7819395D"/>
    <w:rsid w:val="782B182B"/>
    <w:rsid w:val="78632530"/>
    <w:rsid w:val="787D038F"/>
    <w:rsid w:val="788B412F"/>
    <w:rsid w:val="78A43BE6"/>
    <w:rsid w:val="78CC39B3"/>
    <w:rsid w:val="79103E64"/>
    <w:rsid w:val="79123ACF"/>
    <w:rsid w:val="79256331"/>
    <w:rsid w:val="792F0F87"/>
    <w:rsid w:val="79314BC4"/>
    <w:rsid w:val="793629F7"/>
    <w:rsid w:val="7989605C"/>
    <w:rsid w:val="79A4179C"/>
    <w:rsid w:val="79E32474"/>
    <w:rsid w:val="7A053CCF"/>
    <w:rsid w:val="7A061458"/>
    <w:rsid w:val="7A9B2D4F"/>
    <w:rsid w:val="7AA8546C"/>
    <w:rsid w:val="7ACE4ED2"/>
    <w:rsid w:val="7AE808B3"/>
    <w:rsid w:val="7AEA5A84"/>
    <w:rsid w:val="7B0A4CD9"/>
    <w:rsid w:val="7B5829EE"/>
    <w:rsid w:val="7B77189B"/>
    <w:rsid w:val="7B831F2E"/>
    <w:rsid w:val="7B8D12A3"/>
    <w:rsid w:val="7BA06143"/>
    <w:rsid w:val="7BCC0CE6"/>
    <w:rsid w:val="7BE84435"/>
    <w:rsid w:val="7C08132E"/>
    <w:rsid w:val="7C1C7EBF"/>
    <w:rsid w:val="7C1D1542"/>
    <w:rsid w:val="7C274B36"/>
    <w:rsid w:val="7C4A67DB"/>
    <w:rsid w:val="7C6A4677"/>
    <w:rsid w:val="7C780AA8"/>
    <w:rsid w:val="7C9C2DAE"/>
    <w:rsid w:val="7CD248D4"/>
    <w:rsid w:val="7D0E6A16"/>
    <w:rsid w:val="7D3B6123"/>
    <w:rsid w:val="7D592A4D"/>
    <w:rsid w:val="7D7D4B05"/>
    <w:rsid w:val="7D9341B1"/>
    <w:rsid w:val="7D9D0B8C"/>
    <w:rsid w:val="7DA40413"/>
    <w:rsid w:val="7DA57A41"/>
    <w:rsid w:val="7DAE2D99"/>
    <w:rsid w:val="7DFD162B"/>
    <w:rsid w:val="7E154BC6"/>
    <w:rsid w:val="7E235535"/>
    <w:rsid w:val="7E2B263C"/>
    <w:rsid w:val="7E3808B5"/>
    <w:rsid w:val="7E424993"/>
    <w:rsid w:val="7E5356EF"/>
    <w:rsid w:val="7E627DC8"/>
    <w:rsid w:val="7EB70F64"/>
    <w:rsid w:val="7EB8463C"/>
    <w:rsid w:val="7ED56104"/>
    <w:rsid w:val="7EDC7FC7"/>
    <w:rsid w:val="7F007624"/>
    <w:rsid w:val="7F094D0C"/>
    <w:rsid w:val="7F1A529F"/>
    <w:rsid w:val="7F5A340D"/>
    <w:rsid w:val="7F69341C"/>
    <w:rsid w:val="7FC45FDB"/>
    <w:rsid w:val="7FC9210C"/>
    <w:rsid w:val="7FE92E94"/>
    <w:rsid w:val="ACBFD035"/>
    <w:rsid w:val="DF63B7CC"/>
    <w:rsid w:val="F1F9505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qFormat="1" w:unhideWhenUsed="0" w:uiPriority="99"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2"/>
    <w:basedOn w:val="1"/>
    <w:next w:val="1"/>
    <w:unhideWhenUsed/>
    <w:qFormat/>
    <w:uiPriority w:val="0"/>
    <w:pPr>
      <w:keepNext/>
      <w:keepLines/>
      <w:spacing w:beforeLines="0" w:beforeAutospacing="0" w:afterLines="0" w:afterAutospacing="0" w:line="560" w:lineRule="exact"/>
      <w:ind w:firstLine="858" w:firstLineChars="200"/>
      <w:outlineLvl w:val="1"/>
    </w:pPr>
    <w:rPr>
      <w:rFonts w:ascii="Arial" w:hAnsi="Arial" w:eastAsia="黑体"/>
    </w:rPr>
  </w:style>
  <w:style w:type="paragraph" w:styleId="4">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paragraph" w:styleId="5">
    <w:name w:val="heading 4"/>
    <w:basedOn w:val="1"/>
    <w:next w:val="1"/>
    <w:semiHidden/>
    <w:unhideWhenUsed/>
    <w:qFormat/>
    <w:uiPriority w:val="0"/>
    <w:pPr>
      <w:spacing w:before="0" w:beforeAutospacing="1" w:after="0" w:afterAutospacing="1"/>
      <w:jc w:val="left"/>
    </w:pPr>
    <w:rPr>
      <w:rFonts w:hint="eastAsia" w:ascii="宋体" w:hAnsi="宋体" w:eastAsia="宋体" w:cs="宋体"/>
      <w:b/>
      <w:bCs/>
      <w:kern w:val="0"/>
      <w:sz w:val="24"/>
      <w:szCs w:val="24"/>
      <w:lang w:val="en-US" w:eastAsia="zh-CN" w:bidi="ar"/>
    </w:rPr>
  </w:style>
  <w:style w:type="character" w:default="1" w:styleId="21">
    <w:name w:val="Default Paragraph Font"/>
    <w:semiHidden/>
    <w:qFormat/>
    <w:uiPriority w:val="0"/>
  </w:style>
  <w:style w:type="table" w:default="1" w:styleId="19">
    <w:name w:val="Normal Table"/>
    <w:semiHidden/>
    <w:qFormat/>
    <w:uiPriority w:val="0"/>
    <w:tblPr>
      <w:tblCellMar>
        <w:top w:w="0" w:type="dxa"/>
        <w:left w:w="108" w:type="dxa"/>
        <w:bottom w:w="0" w:type="dxa"/>
        <w:right w:w="108" w:type="dxa"/>
      </w:tblCellMar>
    </w:tblPr>
  </w:style>
  <w:style w:type="paragraph" w:styleId="6">
    <w:name w:val="caption"/>
    <w:basedOn w:val="1"/>
    <w:next w:val="1"/>
    <w:semiHidden/>
    <w:unhideWhenUsed/>
    <w:qFormat/>
    <w:uiPriority w:val="0"/>
    <w:rPr>
      <w:rFonts w:ascii="Arial" w:hAnsi="Arial" w:eastAsia="黑体"/>
      <w:sz w:val="20"/>
    </w:rPr>
  </w:style>
  <w:style w:type="paragraph" w:styleId="7">
    <w:name w:val="annotation text"/>
    <w:basedOn w:val="1"/>
    <w:qFormat/>
    <w:uiPriority w:val="0"/>
    <w:pPr>
      <w:jc w:val="left"/>
    </w:pPr>
  </w:style>
  <w:style w:type="paragraph" w:styleId="8">
    <w:name w:val="Body Text"/>
    <w:basedOn w:val="1"/>
    <w:next w:val="9"/>
    <w:qFormat/>
    <w:uiPriority w:val="0"/>
    <w:pPr>
      <w:spacing w:after="120" w:line="360" w:lineRule="auto"/>
    </w:pPr>
    <w:rPr>
      <w:rFonts w:ascii="Times New Roman" w:hAnsi="Times New Roman" w:eastAsia="宋体" w:cs="Times New Roman"/>
      <w:sz w:val="24"/>
    </w:rPr>
  </w:style>
  <w:style w:type="paragraph" w:styleId="9">
    <w:name w:val="toc 5"/>
    <w:basedOn w:val="1"/>
    <w:next w:val="1"/>
    <w:qFormat/>
    <w:uiPriority w:val="99"/>
    <w:pPr>
      <w:ind w:left="1680" w:leftChars="800"/>
    </w:pPr>
    <w:rPr>
      <w:rFonts w:ascii="Times New Roman" w:hAnsi="Times New Roman"/>
    </w:rPr>
  </w:style>
  <w:style w:type="paragraph" w:styleId="10">
    <w:name w:val="Body Text Indent"/>
    <w:basedOn w:val="1"/>
    <w:qFormat/>
    <w:uiPriority w:val="99"/>
    <w:pPr>
      <w:spacing w:after="120"/>
      <w:ind w:left="420" w:leftChars="200"/>
    </w:pPr>
    <w:rPr>
      <w:rFonts w:ascii="Times New Roman" w:hAnsi="Times New Roman" w:cs="Times New Roman"/>
    </w:rPr>
  </w:style>
  <w:style w:type="paragraph" w:styleId="11">
    <w:name w:val="toc 3"/>
    <w:basedOn w:val="1"/>
    <w:next w:val="1"/>
    <w:qFormat/>
    <w:uiPriority w:val="0"/>
    <w:pPr>
      <w:ind w:left="840" w:leftChars="400"/>
    </w:pPr>
  </w:style>
  <w:style w:type="paragraph" w:styleId="12">
    <w:name w:val="footer"/>
    <w:basedOn w:val="1"/>
    <w:unhideWhenUsed/>
    <w:qFormat/>
    <w:uiPriority w:val="99"/>
    <w:pPr>
      <w:tabs>
        <w:tab w:val="center" w:pos="4153"/>
        <w:tab w:val="right" w:pos="8306"/>
      </w:tabs>
      <w:snapToGrid w:val="0"/>
      <w:jc w:val="left"/>
    </w:pPr>
    <w:rPr>
      <w:sz w:val="18"/>
      <w:szCs w:val="18"/>
    </w:rPr>
  </w:style>
  <w:style w:type="paragraph" w:styleId="1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4">
    <w:name w:val="toc 1"/>
    <w:basedOn w:val="1"/>
    <w:next w:val="1"/>
    <w:qFormat/>
    <w:uiPriority w:val="0"/>
  </w:style>
  <w:style w:type="paragraph" w:styleId="15">
    <w:name w:val="toc 2"/>
    <w:basedOn w:val="1"/>
    <w:next w:val="1"/>
    <w:qFormat/>
    <w:uiPriority w:val="0"/>
    <w:pPr>
      <w:ind w:left="420" w:leftChars="200"/>
    </w:pPr>
  </w:style>
  <w:style w:type="paragraph" w:styleId="16">
    <w:name w:val="Normal (Web)"/>
    <w:basedOn w:val="1"/>
    <w:qFormat/>
    <w:uiPriority w:val="0"/>
    <w:pPr>
      <w:spacing w:before="0" w:beforeAutospacing="1" w:after="0" w:afterAutospacing="1"/>
      <w:ind w:left="0" w:right="0"/>
      <w:jc w:val="left"/>
    </w:pPr>
    <w:rPr>
      <w:kern w:val="0"/>
      <w:sz w:val="24"/>
      <w:lang w:val="en-US" w:eastAsia="zh-CN" w:bidi="ar"/>
    </w:rPr>
  </w:style>
  <w:style w:type="paragraph" w:styleId="17">
    <w:name w:val="Body Text First Indent"/>
    <w:next w:val="1"/>
    <w:qFormat/>
    <w:uiPriority w:val="0"/>
    <w:pPr>
      <w:widowControl w:val="0"/>
      <w:autoSpaceDE/>
      <w:autoSpaceDN/>
      <w:spacing w:after="120"/>
      <w:ind w:firstLine="420" w:firstLineChars="100"/>
      <w:jc w:val="both"/>
    </w:pPr>
    <w:rPr>
      <w:rFonts w:ascii="Calibri" w:hAnsi="Calibri" w:eastAsia="宋体" w:cs="宋体"/>
      <w:kern w:val="2"/>
      <w:sz w:val="21"/>
      <w:szCs w:val="22"/>
      <w:lang w:val="en-US" w:eastAsia="zh-CN" w:bidi="ar-SA"/>
    </w:rPr>
  </w:style>
  <w:style w:type="paragraph" w:styleId="18">
    <w:name w:val="Body Text First Indent 2"/>
    <w:basedOn w:val="10"/>
    <w:next w:val="17"/>
    <w:qFormat/>
    <w:uiPriority w:val="99"/>
    <w:pPr>
      <w:ind w:firstLine="420"/>
    </w:pPr>
  </w:style>
  <w:style w:type="table" w:styleId="20">
    <w:name w:val="Table Grid"/>
    <w:basedOn w:val="1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2">
    <w:name w:val="Strong"/>
    <w:basedOn w:val="21"/>
    <w:qFormat/>
    <w:uiPriority w:val="0"/>
    <w:rPr>
      <w:b/>
    </w:rPr>
  </w:style>
  <w:style w:type="paragraph" w:customStyle="1" w:styleId="23">
    <w:name w:val="样式 标题 1 + 四号 段前: 0 磅 段后: 0 磅 行距: 1.5 倍行距"/>
    <w:basedOn w:val="2"/>
    <w:next w:val="24"/>
    <w:qFormat/>
    <w:uiPriority w:val="0"/>
    <w:pPr>
      <w:spacing w:line="360" w:lineRule="auto"/>
    </w:pPr>
  </w:style>
  <w:style w:type="paragraph" w:customStyle="1" w:styleId="24">
    <w:name w:val="文本正文"/>
    <w:basedOn w:val="1"/>
    <w:qFormat/>
    <w:uiPriority w:val="0"/>
    <w:pPr>
      <w:snapToGrid w:val="0"/>
      <w:spacing w:line="360" w:lineRule="auto"/>
      <w:ind w:firstLine="510"/>
      <w:jc w:val="left"/>
    </w:pPr>
    <w:rPr>
      <w:spacing w:val="4"/>
      <w:kern w:val="24"/>
      <w:lang w:val="zh-CN"/>
    </w:rPr>
  </w:style>
  <w:style w:type="character" w:customStyle="1" w:styleId="25">
    <w:name w:val="bjh-p"/>
    <w:basedOn w:val="21"/>
    <w:qFormat/>
    <w:uiPriority w:val="0"/>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chart" Target="charts/chart2.xml"/><Relationship Id="rId7" Type="http://schemas.openxmlformats.org/officeDocument/2006/relationships/chart" Target="charts/chart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oleObject" Target="file:///G:\2023-11-20\2025-05-15-&#26118;&#26126;&#24066;&#26187;&#23425;&#21306;&#8220;&#21313;&#20116;&#20116;&#8221;&#31185;&#25216;&#21019;&#26032;&#35268;&#21010;\&#21313;&#20116;&#20116;&#35268;&#21010;\&#31185;&#25216;&#31867;&#20449;&#24687;&#24635;&#32467;.xlsx" TargetMode="External"/></Relationships>
</file>

<file path=word/charts/_rels/chart2.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oleObject" Target="file:///G:\2023-11-20\2025-05-15-&#26118;&#26126;&#24066;&#26187;&#23425;&#21306;&#8220;&#21313;&#20116;&#20116;&#8221;&#31185;&#25216;&#21019;&#26032;&#35268;&#21010;\&#21313;&#20116;&#20116;&#35268;&#21010;\&#31185;&#25216;&#31867;&#20449;&#24687;&#24635;&#32467;.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sz="900"/>
              <a:t>国家高新技术企业数量（个）</a:t>
            </a:r>
            <a:endParaRPr sz="900"/>
          </a:p>
        </c:rich>
      </c:tx>
      <c:layout/>
      <c:overlay val="0"/>
      <c:spPr>
        <a:noFill/>
        <a:ln>
          <a:noFill/>
        </a:ln>
        <a:effectLst/>
      </c:spPr>
    </c:title>
    <c:autoTitleDeleted val="0"/>
    <c:plotArea>
      <c:layout/>
      <c:barChart>
        <c:barDir val="col"/>
        <c:grouping val="clustered"/>
        <c:varyColors val="0"/>
        <c:ser>
          <c:idx val="0"/>
          <c:order val="0"/>
          <c:tx>
            <c:strRef>
              <c:f>[科技类信息总结.xlsx]Sheet3!$F$18</c:f>
              <c:strCache>
                <c:ptCount val="1"/>
                <c:pt idx="0">
                  <c:v>国家高新技术企业数量（个）</c:v>
                </c:pt>
              </c:strCache>
            </c:strRef>
          </c:tx>
          <c:spPr>
            <a:solidFill>
              <a:schemeClr val="accent1"/>
            </a:solidFill>
            <a:ln>
              <a:noFill/>
            </a:ln>
            <a:effectLst/>
          </c:spPr>
          <c:invertIfNegative val="0"/>
          <c:dLbls>
            <c:delete val="1"/>
          </c:dLbls>
          <c:cat>
            <c:numRef>
              <c:f>[科技类信息总结.xlsx]Sheet3!$G$17:$K$17</c:f>
              <c:numCache>
                <c:formatCode>General</c:formatCode>
                <c:ptCount val="5"/>
                <c:pt idx="0">
                  <c:v>2020</c:v>
                </c:pt>
                <c:pt idx="1">
                  <c:v>2021</c:v>
                </c:pt>
                <c:pt idx="2">
                  <c:v>2022</c:v>
                </c:pt>
                <c:pt idx="3">
                  <c:v>2023</c:v>
                </c:pt>
                <c:pt idx="4">
                  <c:v>2024</c:v>
                </c:pt>
              </c:numCache>
            </c:numRef>
          </c:cat>
          <c:val>
            <c:numRef>
              <c:f>[科技类信息总结.xlsx]Sheet3!$G$18:$K$18</c:f>
              <c:numCache>
                <c:formatCode>General</c:formatCode>
                <c:ptCount val="5"/>
                <c:pt idx="0">
                  <c:v>32</c:v>
                </c:pt>
                <c:pt idx="1">
                  <c:v>36</c:v>
                </c:pt>
                <c:pt idx="2">
                  <c:v>45</c:v>
                </c:pt>
                <c:pt idx="3">
                  <c:v>52</c:v>
                </c:pt>
                <c:pt idx="4">
                  <c:v>60</c:v>
                </c:pt>
              </c:numCache>
            </c:numRef>
          </c:val>
        </c:ser>
        <c:dLbls>
          <c:showLegendKey val="0"/>
          <c:showVal val="0"/>
          <c:showCatName val="0"/>
          <c:showSerName val="0"/>
          <c:showPercent val="0"/>
          <c:showBubbleSize val="0"/>
        </c:dLbls>
        <c:gapWidth val="216"/>
        <c:overlap val="-32"/>
        <c:axId val="760236632"/>
        <c:axId val="769249461"/>
      </c:barChart>
      <c:catAx>
        <c:axId val="760236632"/>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69249461"/>
        <c:crosses val="autoZero"/>
        <c:auto val="1"/>
        <c:lblAlgn val="ctr"/>
        <c:lblOffset val="100"/>
        <c:noMultiLvlLbl val="0"/>
      </c:catAx>
      <c:valAx>
        <c:axId val="769249461"/>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760236632"/>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dTable>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sz="1000"/>
              <a:t>晋宁区获科技项目与资助资金情况</a:t>
            </a:r>
            <a:endParaRPr sz="1000"/>
          </a:p>
        </c:rich>
      </c:tx>
      <c:layout>
        <c:manualLayout>
          <c:xMode val="edge"/>
          <c:yMode val="edge"/>
          <c:x val="0.438758983702804"/>
          <c:y val="0.0290627270525551"/>
        </c:manualLayout>
      </c:layout>
      <c:overlay val="0"/>
      <c:spPr>
        <a:noFill/>
        <a:ln>
          <a:noFill/>
        </a:ln>
        <a:effectLst/>
      </c:spPr>
    </c:title>
    <c:autoTitleDeleted val="0"/>
    <c:plotArea>
      <c:layout/>
      <c:barChart>
        <c:barDir val="col"/>
        <c:grouping val="clustered"/>
        <c:varyColors val="0"/>
        <c:ser>
          <c:idx val="0"/>
          <c:order val="0"/>
          <c:tx>
            <c:strRef>
              <c:f>[科技类信息总结.xlsx]Sheet3!$F$14</c:f>
              <c:strCache>
                <c:ptCount val="1"/>
                <c:pt idx="0">
                  <c:v>获科技项目（项）</c:v>
                </c:pt>
              </c:strCache>
            </c:strRef>
          </c:tx>
          <c:spPr>
            <a:solidFill>
              <a:schemeClr val="accent1"/>
            </a:solidFill>
            <a:ln>
              <a:noFill/>
            </a:ln>
            <a:effectLst/>
          </c:spPr>
          <c:invertIfNegative val="0"/>
          <c:dLbls>
            <c:delete val="1"/>
          </c:dLbls>
          <c:cat>
            <c:numRef>
              <c:f>[科技类信息总结.xlsx]Sheet3!$G$13:$K$13</c:f>
              <c:numCache>
                <c:formatCode>General</c:formatCode>
                <c:ptCount val="5"/>
                <c:pt idx="0">
                  <c:v>2020</c:v>
                </c:pt>
                <c:pt idx="1">
                  <c:v>2021</c:v>
                </c:pt>
                <c:pt idx="2">
                  <c:v>2022</c:v>
                </c:pt>
                <c:pt idx="3">
                  <c:v>2023</c:v>
                </c:pt>
                <c:pt idx="4">
                  <c:v>2024</c:v>
                </c:pt>
              </c:numCache>
            </c:numRef>
          </c:cat>
          <c:val>
            <c:numRef>
              <c:f>[科技类信息总结.xlsx]Sheet3!$G$14:$K$14</c:f>
              <c:numCache>
                <c:formatCode>General</c:formatCode>
                <c:ptCount val="5"/>
                <c:pt idx="0">
                  <c:v>49</c:v>
                </c:pt>
                <c:pt idx="1">
                  <c:v>49</c:v>
                </c:pt>
                <c:pt idx="2">
                  <c:v>39</c:v>
                </c:pt>
                <c:pt idx="3">
                  <c:v>31</c:v>
                </c:pt>
                <c:pt idx="4">
                  <c:v>38</c:v>
                </c:pt>
              </c:numCache>
            </c:numRef>
          </c:val>
        </c:ser>
        <c:dLbls>
          <c:showLegendKey val="0"/>
          <c:showVal val="0"/>
          <c:showCatName val="0"/>
          <c:showSerName val="0"/>
          <c:showPercent val="0"/>
          <c:showBubbleSize val="0"/>
        </c:dLbls>
        <c:gapWidth val="150"/>
        <c:overlap val="0"/>
        <c:axId val="662111515"/>
        <c:axId val="86563707"/>
      </c:barChart>
      <c:lineChart>
        <c:grouping val="standard"/>
        <c:varyColors val="0"/>
        <c:ser>
          <c:idx val="1"/>
          <c:order val="1"/>
          <c:tx>
            <c:strRef>
              <c:f>[科技类信息总结.xlsx]Sheet3!$F$15</c:f>
              <c:strCache>
                <c:ptCount val="1"/>
                <c:pt idx="0">
                  <c:v>获资助资金（万元）</c:v>
                </c:pt>
              </c:strCache>
            </c:strRef>
          </c:tx>
          <c:spPr>
            <a:ln w="28575" cap="rnd">
              <a:solidFill>
                <a:schemeClr val="accent2"/>
              </a:solidFill>
              <a:round/>
            </a:ln>
            <a:effectLst/>
          </c:spPr>
          <c:marker>
            <c:symbol val="none"/>
          </c:marker>
          <c:dLbls>
            <c:delete val="1"/>
          </c:dLbls>
          <c:cat>
            <c:numRef>
              <c:f>[科技类信息总结.xlsx]Sheet3!$G$13:$K$13</c:f>
              <c:numCache>
                <c:formatCode>General</c:formatCode>
                <c:ptCount val="5"/>
                <c:pt idx="0">
                  <c:v>2020</c:v>
                </c:pt>
                <c:pt idx="1">
                  <c:v>2021</c:v>
                </c:pt>
                <c:pt idx="2">
                  <c:v>2022</c:v>
                </c:pt>
                <c:pt idx="3">
                  <c:v>2023</c:v>
                </c:pt>
                <c:pt idx="4">
                  <c:v>2024</c:v>
                </c:pt>
              </c:numCache>
            </c:numRef>
          </c:cat>
          <c:val>
            <c:numRef>
              <c:f>[科技类信息总结.xlsx]Sheet3!$G$15:$K$15</c:f>
              <c:numCache>
                <c:formatCode>General</c:formatCode>
                <c:ptCount val="5"/>
                <c:pt idx="0">
                  <c:v>1757.54</c:v>
                </c:pt>
                <c:pt idx="1">
                  <c:v>1075.8</c:v>
                </c:pt>
                <c:pt idx="2">
                  <c:v>924</c:v>
                </c:pt>
                <c:pt idx="3">
                  <c:v>862.5</c:v>
                </c:pt>
                <c:pt idx="4">
                  <c:v>1678.5</c:v>
                </c:pt>
              </c:numCache>
            </c:numRef>
          </c:val>
          <c:smooth val="0"/>
        </c:ser>
        <c:dLbls>
          <c:showLegendKey val="0"/>
          <c:showVal val="0"/>
          <c:showCatName val="0"/>
          <c:showSerName val="0"/>
          <c:showPercent val="0"/>
          <c:showBubbleSize val="0"/>
        </c:dLbls>
        <c:marker val="0"/>
        <c:smooth val="0"/>
        <c:axId val="54103771"/>
        <c:axId val="59603479"/>
      </c:lineChart>
      <c:catAx>
        <c:axId val="54103771"/>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9603479"/>
        <c:crosses val="autoZero"/>
        <c:auto val="1"/>
        <c:lblAlgn val="ctr"/>
        <c:lblOffset val="100"/>
        <c:noMultiLvlLbl val="0"/>
      </c:catAx>
      <c:valAx>
        <c:axId val="59603479"/>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4103771"/>
        <c:crosses val="autoZero"/>
        <c:crossBetween val="between"/>
      </c:valAx>
      <c:catAx>
        <c:axId val="662111515"/>
        <c:scaling>
          <c:orientation val="minMax"/>
        </c:scaling>
        <c:delete val="1"/>
        <c:axPos val="b"/>
        <c:majorTickMark val="out"/>
        <c:minorTickMark val="none"/>
        <c:tickLblPos val="nextTo"/>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6563707"/>
        <c:crosses val="autoZero"/>
        <c:auto val="1"/>
        <c:lblAlgn val="ctr"/>
        <c:lblOffset val="100"/>
        <c:noMultiLvlLbl val="0"/>
      </c:catAx>
      <c:valAx>
        <c:axId val="86563707"/>
        <c:scaling>
          <c:orientation val="minMax"/>
        </c:scaling>
        <c:delete val="0"/>
        <c:axPos val="r"/>
        <c:numFmt formatCode="General" sourceLinked="1"/>
        <c:majorTickMark val="out"/>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62111515"/>
        <c:crosses val="max"/>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dTable>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30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03">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63</Pages>
  <Words>11031</Words>
  <Characters>11386</Characters>
  <Lines>0</Lines>
  <Paragraphs>0</Paragraphs>
  <TotalTime>10</TotalTime>
  <ScaleCrop>false</ScaleCrop>
  <LinksUpToDate>false</LinksUpToDate>
  <CharactersWithSpaces>11652</CharactersWithSpaces>
  <Application>WPS Office_12.8.2.15091_F1E327BC-269C-435d-A152-05C5408002CA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2025-05-28T18:35:00Z</dcterms:created>
  <dc:creator>ASUS</dc:creator>
  <cp:lastModifiedBy>huawei</cp:lastModifiedBy>
  <cp:lastPrinted>2025-11-07T21:24:00Z</cp:lastPrinted>
  <dcterms:modified xsi:type="dcterms:W3CDTF">2025-11-11T11:45:26Z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2052-12.8.2.15091</vt:lpwstr>
  </property>
  <property fmtid="{D5CDD505-2E9C-101B-9397-08002B2CF9AE}" pid="3" name="KSOTemplateDocerSaveRecord">
    <vt:lpwstr>eyJoZGlkIjoiNzBlZjU3MjdhODc4MmZiMzBmZDI2ZDlmMmIyNjQ5MmUiLCJ1c2VySWQiOiIxNTkzNzA2NjI1In0=</vt:lpwstr>
  </property>
  <property fmtid="{D5CDD505-2E9C-101B-9397-08002B2CF9AE}" pid="4" name="ICV">
    <vt:lpwstr>AAB4EA3BAB314B2EA2CAE406530DED62_13</vt:lpwstr>
  </property>
</Properties>
</file>