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6C7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w:t>
      </w:r>
      <w:r>
        <w:rPr>
          <w:rFonts w:hint="eastAsia" w:ascii="方正小标宋简体" w:hAnsi="方正小标宋简体" w:eastAsia="方正小标宋简体" w:cs="方正小标宋简体"/>
          <w:sz w:val="44"/>
          <w:szCs w:val="44"/>
          <w:highlight w:val="none"/>
          <w:lang w:val="en-US" w:eastAsia="zh-CN"/>
        </w:rPr>
        <w:t>24</w:t>
      </w:r>
      <w:r>
        <w:rPr>
          <w:rFonts w:hint="eastAsia" w:ascii="方正小标宋简体" w:hAnsi="方正小标宋简体" w:eastAsia="方正小标宋简体" w:cs="方正小标宋简体"/>
          <w:sz w:val="44"/>
          <w:szCs w:val="44"/>
          <w:highlight w:val="none"/>
        </w:rPr>
        <w:t>年昆明市晋宁区“三公”经费</w:t>
      </w:r>
    </w:p>
    <w:p w14:paraId="661A7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决算情况</w:t>
      </w:r>
    </w:p>
    <w:p w14:paraId="070543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14:paraId="7E3A15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为认真贯彻落实《预算法》关于预决算公开的有关规定，实施全面规范、公开透明的预算制度，按照国务院、财政部以及省财政厅关于“三公”经费公开的有关精神，根据国务院关于推进政府预决算信息公开的决策部署和晋宁区政府工作安排，晋宁区财政局对全区各预算单位上报的2024年“三公”经费决算进行了统计汇总，经晋宁区人民政府批准，现将预算支出部门（包括本级/全区行政单位、事业单位以及其他使用一般公共预算财政拨款安排“三公”经费单位），2024年“三公”经费决算情况公开如下：</w:t>
      </w:r>
    </w:p>
    <w:p w14:paraId="1FB8E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ascii="Microsoft YaHei UI" w:hAnsi="Microsoft YaHei UI" w:eastAsia="Microsoft YaHei UI" w:cs="Microsoft YaHei UI"/>
          <w:i w:val="0"/>
          <w:caps w:val="0"/>
          <w:color w:val="000000"/>
          <w:spacing w:val="0"/>
          <w:sz w:val="18"/>
          <w:szCs w:val="18"/>
          <w:highlight w:val="yellow"/>
        </w:rPr>
      </w:pPr>
      <w:r>
        <w:rPr>
          <w:rFonts w:ascii="楷体" w:hAnsi="楷体" w:eastAsia="楷体" w:cs="楷体"/>
          <w:i w:val="0"/>
          <w:caps w:val="0"/>
          <w:color w:val="000000"/>
          <w:spacing w:val="0"/>
          <w:kern w:val="0"/>
          <w:sz w:val="30"/>
          <w:szCs w:val="30"/>
          <w:highlight w:val="none"/>
          <w:shd w:val="clear" w:fill="FFFFFF"/>
          <w:lang w:val="en-US" w:eastAsia="zh-CN" w:bidi="ar"/>
        </w:rPr>
        <w:t>(一)</w:t>
      </w:r>
      <w:r>
        <w:rPr>
          <w:rFonts w:ascii="黑体" w:hAnsi="宋体" w:eastAsia="黑体" w:cs="黑体"/>
          <w:i w:val="0"/>
          <w:caps w:val="0"/>
          <w:color w:val="000000"/>
          <w:spacing w:val="0"/>
          <w:kern w:val="0"/>
          <w:sz w:val="30"/>
          <w:szCs w:val="30"/>
          <w:highlight w:val="none"/>
          <w:shd w:val="clear" w:fill="FFFFFF"/>
          <w:lang w:val="en-US" w:eastAsia="zh-CN" w:bidi="ar"/>
        </w:rPr>
        <w:t> </w:t>
      </w:r>
      <w:r>
        <w:rPr>
          <w:rFonts w:hint="eastAsia" w:ascii="楷体" w:hAnsi="楷体" w:eastAsia="楷体" w:cs="楷体"/>
          <w:i w:val="0"/>
          <w:caps w:val="0"/>
          <w:color w:val="000000"/>
          <w:spacing w:val="0"/>
          <w:kern w:val="0"/>
          <w:sz w:val="30"/>
          <w:szCs w:val="30"/>
          <w:highlight w:val="none"/>
          <w:shd w:val="clear" w:fill="FFFFFF"/>
          <w:lang w:val="en-US" w:eastAsia="zh-CN" w:bidi="ar"/>
        </w:rPr>
        <w:t>一般公共预算财政拨款</w:t>
      </w:r>
      <w:r>
        <w:rPr>
          <w:rFonts w:hint="eastAsia" w:ascii="Microsoft YaHei UI" w:hAnsi="Microsoft YaHei UI" w:eastAsia="Microsoft YaHei UI" w:cs="Microsoft YaHei UI"/>
          <w:i w:val="0"/>
          <w:caps w:val="0"/>
          <w:color w:val="000000"/>
          <w:spacing w:val="0"/>
          <w:kern w:val="0"/>
          <w:sz w:val="30"/>
          <w:szCs w:val="30"/>
          <w:highlight w:val="none"/>
          <w:shd w:val="clear" w:fill="FFFFFF"/>
          <w:lang w:val="en-US" w:eastAsia="zh-CN" w:bidi="ar"/>
        </w:rPr>
        <w:t>“</w:t>
      </w:r>
      <w:r>
        <w:rPr>
          <w:rFonts w:hint="eastAsia" w:ascii="楷体" w:hAnsi="楷体" w:eastAsia="楷体" w:cs="楷体"/>
          <w:i w:val="0"/>
          <w:caps w:val="0"/>
          <w:color w:val="000000"/>
          <w:spacing w:val="0"/>
          <w:kern w:val="0"/>
          <w:sz w:val="30"/>
          <w:szCs w:val="30"/>
          <w:highlight w:val="none"/>
          <w:shd w:val="clear" w:fill="FFFFFF"/>
          <w:lang w:val="en-US" w:eastAsia="zh-CN" w:bidi="ar"/>
        </w:rPr>
        <w:t>三公</w:t>
      </w:r>
      <w:r>
        <w:rPr>
          <w:rFonts w:hint="eastAsia" w:ascii="Microsoft YaHei UI" w:hAnsi="Microsoft YaHei UI" w:eastAsia="Microsoft YaHei UI" w:cs="Microsoft YaHei UI"/>
          <w:i w:val="0"/>
          <w:caps w:val="0"/>
          <w:color w:val="000000"/>
          <w:spacing w:val="0"/>
          <w:kern w:val="0"/>
          <w:sz w:val="30"/>
          <w:szCs w:val="30"/>
          <w:highlight w:val="none"/>
          <w:shd w:val="clear" w:fill="FFFFFF"/>
          <w:lang w:val="en-US" w:eastAsia="zh-CN" w:bidi="ar"/>
        </w:rPr>
        <w:t>”</w:t>
      </w:r>
      <w:r>
        <w:rPr>
          <w:rFonts w:hint="eastAsia" w:ascii="楷体" w:hAnsi="楷体" w:eastAsia="楷体" w:cs="楷体"/>
          <w:i w:val="0"/>
          <w:caps w:val="0"/>
          <w:color w:val="000000"/>
          <w:spacing w:val="0"/>
          <w:kern w:val="0"/>
          <w:sz w:val="30"/>
          <w:szCs w:val="30"/>
          <w:highlight w:val="none"/>
          <w:shd w:val="clear" w:fill="FFFFFF"/>
          <w:lang w:val="en-US" w:eastAsia="zh-CN" w:bidi="ar"/>
        </w:rPr>
        <w:t>经费支出决算总体情况</w:t>
      </w:r>
    </w:p>
    <w:p w14:paraId="5CFDF7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default" w:ascii="Times New Roman" w:hAnsi="Times New Roman" w:eastAsia="仿宋_GB2312" w:cs="Times New Roman"/>
          <w:i w:val="0"/>
          <w:caps w:val="0"/>
          <w:color w:val="auto"/>
          <w:spacing w:val="0"/>
          <w:sz w:val="30"/>
          <w:szCs w:val="30"/>
          <w:highlight w:val="none"/>
        </w:rPr>
      </w:pP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昆明市晋宁区202</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年度一般公共预算财政拨款“三公”经费支出预算为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1523.96</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万元，支出决算为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982.54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万元，完成预算的</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64.47</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%。其中：因公出国（境）费支出决算为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20.75</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万元，年初无预算；公务用车购置及运行费支出决算为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767.10</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万元，完成预算的</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85.03</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%；公务接待费支出决算为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194.69</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万元，完成预算的</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331.31</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%。202</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年度一般公共预算财政拨款“三公”经费支出决算数小于预算数的主要原因</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w:t>
      </w:r>
      <w:r>
        <w:rPr>
          <w:rFonts w:hint="default" w:ascii="Times New Roman" w:hAnsi="Times New Roman" w:eastAsia="仿宋_GB2312" w:cs="Times New Roman"/>
          <w:color w:val="auto"/>
          <w:sz w:val="30"/>
          <w:szCs w:val="30"/>
          <w:highlight w:val="none"/>
          <w:lang w:eastAsia="zh-CN"/>
        </w:rPr>
        <w:t>严格要求各部门认真贯彻落实“三公”经费管理规定，严格</w:t>
      </w:r>
      <w:r>
        <w:rPr>
          <w:rFonts w:hint="default" w:ascii="Times New Roman" w:hAnsi="Times New Roman" w:eastAsia="仿宋_GB2312" w:cs="Times New Roman"/>
          <w:color w:val="auto"/>
          <w:sz w:val="30"/>
          <w:szCs w:val="30"/>
          <w:highlight w:val="none"/>
          <w:lang w:val="en-US" w:eastAsia="zh-CN"/>
        </w:rPr>
        <w:t>按照有预算有支出的原则执行“三公”经费支出</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w:t>
      </w:r>
    </w:p>
    <w:p w14:paraId="33610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昆明市晋宁区202</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年度一般公共预算财政拨款“三公”经费支出决算数</w:t>
      </w:r>
      <w:r>
        <w:rPr>
          <w:rFonts w:hint="eastAsia" w:ascii="Times New Roman" w:hAnsi="Times New Roman" w:eastAsia="仿宋_GB2312" w:cs="Times New Roman"/>
          <w:color w:val="auto"/>
          <w:sz w:val="30"/>
          <w:szCs w:val="30"/>
          <w:highlight w:val="none"/>
          <w:lang w:val="en-US" w:eastAsia="zh-CN"/>
        </w:rPr>
        <w:t>982.54</w:t>
      </w:r>
      <w:r>
        <w:rPr>
          <w:rFonts w:hint="default" w:ascii="Times New Roman" w:hAnsi="Times New Roman" w:eastAsia="仿宋_GB2312" w:cs="Times New Roman"/>
          <w:color w:val="auto"/>
          <w:sz w:val="30"/>
          <w:szCs w:val="30"/>
          <w:highlight w:val="none"/>
          <w:lang w:val="en-US" w:eastAsia="zh-CN"/>
        </w:rPr>
        <w:t>万元，</w:t>
      </w:r>
      <w:r>
        <w:rPr>
          <w:rFonts w:hint="default" w:ascii="Times New Roman" w:hAnsi="Times New Roman" w:eastAsia="仿宋_GB2312" w:cs="Times New Roman"/>
          <w:color w:val="auto"/>
          <w:sz w:val="30"/>
          <w:szCs w:val="30"/>
          <w:highlight w:val="none"/>
          <w:lang w:eastAsia="zh-CN"/>
        </w:rPr>
        <w:t>较上年</w:t>
      </w:r>
      <w:r>
        <w:rPr>
          <w:rFonts w:hint="eastAsia" w:ascii="Times New Roman" w:hAnsi="Times New Roman" w:eastAsia="仿宋_GB2312" w:cs="Times New Roman"/>
          <w:color w:val="auto"/>
          <w:sz w:val="30"/>
          <w:szCs w:val="30"/>
          <w:highlight w:val="none"/>
          <w:lang w:val="en-US" w:eastAsia="zh-CN"/>
        </w:rPr>
        <w:t>1056.25</w:t>
      </w:r>
      <w:r>
        <w:rPr>
          <w:rFonts w:hint="default" w:ascii="Times New Roman" w:hAnsi="Times New Roman" w:eastAsia="仿宋_GB2312" w:cs="Times New Roman"/>
          <w:color w:val="auto"/>
          <w:sz w:val="30"/>
          <w:szCs w:val="30"/>
          <w:highlight w:val="none"/>
          <w:lang w:val="en-US" w:eastAsia="zh-CN"/>
        </w:rPr>
        <w:t>万元</w:t>
      </w:r>
      <w:r>
        <w:rPr>
          <w:rFonts w:hint="eastAsia"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下降6.98</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%。其中：因公出国（境）费支出决算</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数较上年增加18.75万元，上升937.50%</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；公务用车购置及运行费支出决算</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较上年减少16.04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降低2.05</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%；公务接待费支出决算</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较上年减少76.42</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下降28.19</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w:t>
      </w:r>
    </w:p>
    <w:p w14:paraId="6F019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Microsoft YaHei UI" w:hAnsi="Microsoft YaHei UI" w:eastAsia="Microsoft YaHei UI" w:cs="Microsoft YaHei UI"/>
          <w:i w:val="0"/>
          <w:caps w:val="0"/>
          <w:color w:val="000000"/>
          <w:spacing w:val="0"/>
          <w:sz w:val="18"/>
          <w:szCs w:val="18"/>
          <w:highlight w:val="none"/>
        </w:rPr>
      </w:pPr>
      <w:r>
        <w:rPr>
          <w:rFonts w:hint="eastAsia" w:ascii="楷体" w:hAnsi="楷体" w:eastAsia="楷体" w:cs="楷体"/>
          <w:i w:val="0"/>
          <w:caps w:val="0"/>
          <w:color w:val="000000"/>
          <w:spacing w:val="0"/>
          <w:kern w:val="0"/>
          <w:sz w:val="30"/>
          <w:szCs w:val="30"/>
          <w:highlight w:val="none"/>
          <w:shd w:val="clear" w:fill="FFFFFF"/>
          <w:lang w:val="en-US" w:eastAsia="zh-CN" w:bidi="ar"/>
        </w:rPr>
        <w:t>(二)</w:t>
      </w:r>
      <w:r>
        <w:rPr>
          <w:rFonts w:hint="eastAsia" w:ascii="仿宋_GB2312" w:hAnsi="Microsoft YaHei UI" w:eastAsia="仿宋_GB2312" w:cs="仿宋_GB2312"/>
          <w:i w:val="0"/>
          <w:caps w:val="0"/>
          <w:color w:val="000000"/>
          <w:spacing w:val="0"/>
          <w:kern w:val="0"/>
          <w:sz w:val="30"/>
          <w:szCs w:val="30"/>
          <w:highlight w:val="none"/>
          <w:shd w:val="clear" w:fill="FFFFFF"/>
          <w:lang w:val="en-US" w:eastAsia="zh-CN" w:bidi="ar"/>
        </w:rPr>
        <w:t> </w:t>
      </w:r>
      <w:r>
        <w:rPr>
          <w:rFonts w:hint="eastAsia" w:ascii="楷体" w:hAnsi="楷体" w:eastAsia="楷体" w:cs="楷体"/>
          <w:i w:val="0"/>
          <w:caps w:val="0"/>
          <w:color w:val="000000"/>
          <w:spacing w:val="0"/>
          <w:kern w:val="0"/>
          <w:sz w:val="30"/>
          <w:szCs w:val="30"/>
          <w:highlight w:val="none"/>
          <w:shd w:val="clear" w:fill="FFFFFF"/>
          <w:lang w:val="en-US" w:eastAsia="zh-CN" w:bidi="ar"/>
        </w:rPr>
        <w:t>一般公共预算财政拨款</w:t>
      </w:r>
      <w:r>
        <w:rPr>
          <w:rFonts w:hint="eastAsia" w:ascii="Microsoft YaHei UI" w:hAnsi="Microsoft YaHei UI" w:eastAsia="Microsoft YaHei UI" w:cs="Microsoft YaHei UI"/>
          <w:i w:val="0"/>
          <w:caps w:val="0"/>
          <w:color w:val="000000"/>
          <w:spacing w:val="0"/>
          <w:kern w:val="0"/>
          <w:sz w:val="30"/>
          <w:szCs w:val="30"/>
          <w:highlight w:val="none"/>
          <w:shd w:val="clear" w:fill="FFFFFF"/>
          <w:lang w:val="en-US" w:eastAsia="zh-CN" w:bidi="ar"/>
        </w:rPr>
        <w:t>“</w:t>
      </w:r>
      <w:r>
        <w:rPr>
          <w:rFonts w:hint="eastAsia" w:ascii="楷体" w:hAnsi="楷体" w:eastAsia="楷体" w:cs="楷体"/>
          <w:i w:val="0"/>
          <w:caps w:val="0"/>
          <w:color w:val="000000"/>
          <w:spacing w:val="0"/>
          <w:kern w:val="0"/>
          <w:sz w:val="30"/>
          <w:szCs w:val="30"/>
          <w:highlight w:val="none"/>
          <w:shd w:val="clear" w:fill="FFFFFF"/>
          <w:lang w:val="en-US" w:eastAsia="zh-CN" w:bidi="ar"/>
        </w:rPr>
        <w:t>三公</w:t>
      </w:r>
      <w:r>
        <w:rPr>
          <w:rFonts w:hint="eastAsia" w:ascii="Microsoft YaHei UI" w:hAnsi="Microsoft YaHei UI" w:eastAsia="Microsoft YaHei UI" w:cs="Microsoft YaHei UI"/>
          <w:i w:val="0"/>
          <w:caps w:val="0"/>
          <w:color w:val="000000"/>
          <w:spacing w:val="0"/>
          <w:kern w:val="0"/>
          <w:sz w:val="30"/>
          <w:szCs w:val="30"/>
          <w:highlight w:val="none"/>
          <w:shd w:val="clear" w:fill="FFFFFF"/>
          <w:lang w:val="en-US" w:eastAsia="zh-CN" w:bidi="ar"/>
        </w:rPr>
        <w:t>”</w:t>
      </w:r>
      <w:r>
        <w:rPr>
          <w:rFonts w:hint="eastAsia" w:ascii="楷体" w:hAnsi="楷体" w:eastAsia="楷体" w:cs="楷体"/>
          <w:i w:val="0"/>
          <w:caps w:val="0"/>
          <w:color w:val="000000"/>
          <w:spacing w:val="0"/>
          <w:kern w:val="0"/>
          <w:sz w:val="30"/>
          <w:szCs w:val="30"/>
          <w:highlight w:val="none"/>
          <w:shd w:val="clear" w:fill="FFFFFF"/>
          <w:lang w:val="en-US" w:eastAsia="zh-CN" w:bidi="ar"/>
        </w:rPr>
        <w:t>经费支出决算具体情况</w:t>
      </w:r>
    </w:p>
    <w:p w14:paraId="4D7A7E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default" w:ascii="Times New Roman" w:hAnsi="Times New Roman" w:eastAsia="仿宋_GB2312" w:cs="Times New Roman"/>
          <w:i w:val="0"/>
          <w:caps w:val="0"/>
          <w:color w:val="000000"/>
          <w:spacing w:val="0"/>
          <w:sz w:val="30"/>
          <w:szCs w:val="30"/>
          <w:highlight w:val="none"/>
        </w:rPr>
      </w:pP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昆明市晋宁区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2024</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年度一般公共预算财政拨款“三公”经费支出决算中，因公出国（境）费支出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20.75</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万元，占</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2.11</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%；公务用车购置及运行维护费支出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767.10</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万元，占</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78.07</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%；公务接待费支出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194.69</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万元，占</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19.81</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%。具体情况如下：</w:t>
      </w:r>
    </w:p>
    <w:p w14:paraId="6DB8D431">
      <w:pPr>
        <w:spacing w:line="540" w:lineRule="exact"/>
        <w:ind w:firstLine="602" w:firstLineChars="200"/>
        <w:rPr>
          <w:rFonts w:hint="default" w:ascii="Times New Roman" w:hAnsi="Times New Roman" w:eastAsia="仿宋_GB2312" w:cs="Times New Roman"/>
          <w:b w:val="0"/>
          <w:bCs w:val="0"/>
          <w:sz w:val="30"/>
          <w:szCs w:val="30"/>
          <w:highlight w:val="none"/>
          <w:lang w:val="en-US" w:eastAsia="zh-CN"/>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1.因公出国（境）费</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20.75</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较上年增加18.75万元，上升937.5%，</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共安排因公出国（境）团组</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2</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个，累计</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11</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人次</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主要原因是2023年晋宁区人民政府办公室李松赴香港开展招商引资交流会产生因公出国（境）费0.86万元，中国共产党昆明市晋宁区委员会杨万洪随云南省港澳招商推介小组赴港澳开展招商引资工作产生因公出国（境）费1.14万元。2024年昆明市晋宁区人民政府、昆明市晋宁区农业农村局、昆明市晋宁区商务和投资促进局、昆明市晋宁区昆阳街道办事处、昆明市晋宁区宝峰街道办事处参加关于“晋宁的花”走向东南亚市场洽谈考察工作产生因公出国（境）费20.75万元，导致因公出国（境）费增加。</w:t>
      </w:r>
    </w:p>
    <w:p w14:paraId="48576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2"/>
        <w:jc w:val="both"/>
        <w:rPr>
          <w:rFonts w:hint="default" w:ascii="Times New Roman" w:hAnsi="Times New Roman" w:eastAsia="仿宋_GB2312" w:cs="Times New Roman"/>
          <w:i w:val="0"/>
          <w:caps w:val="0"/>
          <w:color w:val="000000"/>
          <w:spacing w:val="0"/>
          <w:sz w:val="30"/>
          <w:szCs w:val="30"/>
          <w:highlight w:val="none"/>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2. 公务用车购置及运行维护费</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767.10，较上年减少16.04</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万元，</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下降2.05</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w:t>
      </w: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其中：</w:t>
      </w:r>
    </w:p>
    <w:p w14:paraId="4B22D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2"/>
        <w:jc w:val="both"/>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公务用车购置</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76.87</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w:t>
      </w:r>
      <w:r>
        <w:rPr>
          <w:rFonts w:hint="default" w:ascii="Times New Roman" w:hAnsi="Times New Roman" w:eastAsia="仿宋_GB2312" w:cs="Times New Roman"/>
          <w:sz w:val="30"/>
          <w:szCs w:val="30"/>
          <w:highlight w:val="none"/>
          <w:lang w:eastAsia="zh-CN"/>
        </w:rPr>
        <w:t>较上年</w:t>
      </w:r>
      <w:r>
        <w:rPr>
          <w:rFonts w:hint="eastAsia" w:ascii="Times New Roman" w:hAnsi="Times New Roman" w:eastAsia="仿宋_GB2312" w:cs="Times New Roman"/>
          <w:sz w:val="30"/>
          <w:szCs w:val="30"/>
          <w:highlight w:val="none"/>
          <w:lang w:val="en-US" w:eastAsia="zh-CN"/>
        </w:rPr>
        <w:t>减少15.94</w:t>
      </w:r>
      <w:r>
        <w:rPr>
          <w:rFonts w:hint="default" w:ascii="Times New Roman" w:hAnsi="Times New Roman" w:eastAsia="仿宋_GB2312" w:cs="Times New Roman"/>
          <w:sz w:val="30"/>
          <w:szCs w:val="30"/>
          <w:highlight w:val="none"/>
          <w:lang w:eastAsia="zh-CN"/>
        </w:rPr>
        <w:t>万元，</w:t>
      </w:r>
      <w:r>
        <w:rPr>
          <w:rFonts w:hint="eastAsia" w:ascii="Times New Roman" w:hAnsi="Times New Roman" w:eastAsia="仿宋_GB2312" w:cs="Times New Roman"/>
          <w:sz w:val="30"/>
          <w:szCs w:val="30"/>
          <w:highlight w:val="none"/>
          <w:lang w:val="en-US" w:eastAsia="zh-CN"/>
        </w:rPr>
        <w:t>减少17.17</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购置车辆</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5</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辆。</w:t>
      </w:r>
      <w:r>
        <w:rPr>
          <w:rFonts w:hint="default" w:ascii="Times New Roman" w:hAnsi="Times New Roman" w:eastAsia="仿宋_GB2312" w:cs="Times New Roman"/>
          <w:sz w:val="30"/>
          <w:szCs w:val="30"/>
          <w:highlight w:val="none"/>
          <w:lang w:eastAsia="zh-CN"/>
        </w:rPr>
        <w:t>公务用车购置费</w:t>
      </w:r>
      <w:r>
        <w:rPr>
          <w:rFonts w:hint="eastAsia" w:ascii="Times New Roman" w:hAnsi="Times New Roman" w:eastAsia="仿宋_GB2312" w:cs="Times New Roman"/>
          <w:sz w:val="30"/>
          <w:szCs w:val="30"/>
          <w:highlight w:val="none"/>
          <w:lang w:val="en-US" w:eastAsia="zh-CN"/>
        </w:rPr>
        <w:t>减少</w:t>
      </w:r>
      <w:r>
        <w:rPr>
          <w:rFonts w:hint="default" w:ascii="Times New Roman" w:hAnsi="Times New Roman" w:eastAsia="仿宋_GB2312" w:cs="Times New Roman"/>
          <w:sz w:val="30"/>
          <w:szCs w:val="30"/>
          <w:highlight w:val="none"/>
          <w:lang w:eastAsia="zh-CN"/>
        </w:rPr>
        <w:t>原因</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2023年昆明市公安局晋宁分局交通警察大队本年新购入一辆小型载客、本年仅支付车辆购置税1.16万元；晋宁区科学技术协会因科普工作需要购置科普大篷车一辆，较上年增加40.24万元；晋宁区二街镇本年新购入一辆公务用车，较上年增加15.87万元；晋宁区上蒜镇本年新购入一辆公务用车27.66万元；昆明市公安局晋宁分局购入一辆公务用车7.88万元。2024年昆明市晋宁区交通警察大队根据晋政复〔2024〕82号购买一辆执勤执法车辆1辆，价值16.53万元；昆明市晋宁区昆阳街道办事处根据昆汽编办复〔2023〕21号批复，2024年新购入车辆2辆，金额25.78万元；昆明市晋宁区人民代表大会常务委员会据晋政复〔2023〕404号文购置车辆1辆，价值17.98万元；中国共产党昆明市晋宁区政法委员会根据晋政复〔2024〕45号，购入1辆公务用车，金额16.58万元；公务用车购置费减少。</w:t>
      </w:r>
    </w:p>
    <w:p w14:paraId="1A5C70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2"/>
        <w:jc w:val="both"/>
        <w:rPr>
          <w:rFonts w:hint="default" w:ascii="Times New Roman" w:hAnsi="Times New Roman" w:eastAsia="仿宋_GB2312" w:cs="Times New Roman"/>
          <w:i w:val="0"/>
          <w:caps w:val="0"/>
          <w:color w:val="000000"/>
          <w:spacing w:val="0"/>
          <w:sz w:val="30"/>
          <w:szCs w:val="30"/>
          <w:highlight w:val="none"/>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公务用车运行维护</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690.23</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w:t>
      </w:r>
      <w:r>
        <w:rPr>
          <w:rFonts w:hint="default" w:ascii="Times New Roman" w:hAnsi="Times New Roman" w:eastAsia="仿宋_GB2312" w:cs="Times New Roman"/>
          <w:sz w:val="30"/>
          <w:szCs w:val="30"/>
          <w:highlight w:val="none"/>
          <w:lang w:eastAsia="zh-CN"/>
        </w:rPr>
        <w:t>较上年</w:t>
      </w:r>
      <w:r>
        <w:rPr>
          <w:rFonts w:hint="eastAsia" w:ascii="Times New Roman" w:hAnsi="Times New Roman" w:eastAsia="仿宋_GB2312" w:cs="Times New Roman"/>
          <w:sz w:val="30"/>
          <w:szCs w:val="30"/>
          <w:highlight w:val="none"/>
          <w:lang w:eastAsia="zh-CN"/>
        </w:rPr>
        <w:t>减少</w:t>
      </w:r>
      <w:r>
        <w:rPr>
          <w:rFonts w:hint="eastAsia" w:ascii="Times New Roman" w:hAnsi="Times New Roman" w:eastAsia="仿宋_GB2312" w:cs="Times New Roman"/>
          <w:sz w:val="30"/>
          <w:szCs w:val="30"/>
          <w:highlight w:val="none"/>
          <w:lang w:val="en-US" w:eastAsia="zh-CN"/>
        </w:rPr>
        <w:t>0.1</w:t>
      </w:r>
      <w:r>
        <w:rPr>
          <w:rFonts w:hint="default" w:ascii="Times New Roman" w:hAnsi="Times New Roman" w:eastAsia="仿宋_GB2312" w:cs="Times New Roman"/>
          <w:sz w:val="30"/>
          <w:szCs w:val="30"/>
          <w:highlight w:val="none"/>
          <w:lang w:eastAsia="zh-CN"/>
        </w:rPr>
        <w:t>万元</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开支一般公共预算财政拨款的公务用车保有量为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338</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辆</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主要用于开展工作所需车辆燃料费、维修费、过路过桥费、保险费等</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w:t>
      </w: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3.公务接待费</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194.69</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w:t>
      </w:r>
      <w:r>
        <w:rPr>
          <w:rFonts w:hint="default" w:ascii="Times New Roman" w:hAnsi="Times New Roman" w:eastAsia="仿宋_GB2312" w:cs="Times New Roman"/>
          <w:sz w:val="30"/>
          <w:szCs w:val="30"/>
          <w:highlight w:val="none"/>
          <w:lang w:eastAsia="zh-CN"/>
        </w:rPr>
        <w:t>较上年</w:t>
      </w:r>
      <w:r>
        <w:rPr>
          <w:rFonts w:hint="eastAsia" w:ascii="Times New Roman" w:hAnsi="Times New Roman" w:eastAsia="仿宋_GB2312" w:cs="Times New Roman"/>
          <w:sz w:val="30"/>
          <w:szCs w:val="30"/>
          <w:highlight w:val="none"/>
          <w:lang w:val="en-US" w:eastAsia="zh-CN"/>
        </w:rPr>
        <w:t>减少76.42</w:t>
      </w:r>
      <w:r>
        <w:rPr>
          <w:rFonts w:hint="default" w:ascii="Times New Roman" w:hAnsi="Times New Roman" w:eastAsia="仿宋_GB2312" w:cs="Times New Roman"/>
          <w:sz w:val="30"/>
          <w:szCs w:val="30"/>
          <w:highlight w:val="none"/>
          <w:lang w:eastAsia="zh-CN"/>
        </w:rPr>
        <w:t>万元，</w:t>
      </w:r>
      <w:r>
        <w:rPr>
          <w:rFonts w:hint="eastAsia" w:ascii="Times New Roman" w:hAnsi="Times New Roman" w:eastAsia="仿宋_GB2312" w:cs="Times New Roman"/>
          <w:sz w:val="30"/>
          <w:szCs w:val="30"/>
          <w:highlight w:val="none"/>
          <w:lang w:val="en-US" w:eastAsia="zh-CN"/>
        </w:rPr>
        <w:t>下降28.19%</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其中：</w:t>
      </w:r>
    </w:p>
    <w:p w14:paraId="7AFBD93E">
      <w:pPr>
        <w:spacing w:line="540" w:lineRule="exact"/>
        <w:ind w:firstLine="602" w:firstLineChars="200"/>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国内接待费</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194.69</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万元（其中：外事接待费支出</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1.68</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万元），共安排国内公务接待</w:t>
      </w:r>
      <w:r>
        <w:rPr>
          <w:rFonts w:hint="eastAsia" w:ascii="Times New Roman" w:hAnsi="Times New Roman" w:eastAsia="仿宋_GB2312" w:cs="Times New Roman"/>
          <w:sz w:val="30"/>
          <w:szCs w:val="30"/>
          <w:highlight w:val="none"/>
          <w:lang w:val="en-US" w:eastAsia="zh-CN"/>
        </w:rPr>
        <w:t>2505</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批次（其中：外事接待</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9</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批次），</w:t>
      </w:r>
      <w:r>
        <w:rPr>
          <w:rFonts w:hint="default" w:ascii="Times New Roman" w:hAnsi="Times New Roman" w:eastAsia="仿宋_GB2312" w:cs="Times New Roman"/>
          <w:sz w:val="30"/>
          <w:szCs w:val="30"/>
          <w:highlight w:val="none"/>
          <w:lang w:eastAsia="zh-CN"/>
        </w:rPr>
        <w:t>同比减少</w:t>
      </w:r>
      <w:r>
        <w:rPr>
          <w:rFonts w:hint="eastAsia" w:ascii="Times New Roman" w:hAnsi="Times New Roman" w:eastAsia="仿宋_GB2312" w:cs="Times New Roman"/>
          <w:sz w:val="30"/>
          <w:szCs w:val="30"/>
          <w:highlight w:val="none"/>
          <w:lang w:val="en-US" w:eastAsia="zh-CN"/>
        </w:rPr>
        <w:t>666</w:t>
      </w:r>
      <w:r>
        <w:rPr>
          <w:rFonts w:hint="default" w:ascii="Times New Roman" w:hAnsi="Times New Roman" w:eastAsia="仿宋_GB2312" w:cs="Times New Roman"/>
          <w:sz w:val="30"/>
          <w:szCs w:val="30"/>
          <w:highlight w:val="none"/>
          <w:lang w:eastAsia="zh-CN"/>
        </w:rPr>
        <w:t>次，减少</w:t>
      </w:r>
      <w:r>
        <w:rPr>
          <w:rFonts w:hint="eastAsia" w:ascii="Times New Roman" w:hAnsi="Times New Roman" w:eastAsia="仿宋_GB2312" w:cs="Times New Roman"/>
          <w:sz w:val="30"/>
          <w:szCs w:val="30"/>
          <w:highlight w:val="none"/>
          <w:lang w:val="en-US" w:eastAsia="zh-CN"/>
        </w:rPr>
        <w:t>21.00</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接待人次</w:t>
      </w:r>
      <w:r>
        <w:rPr>
          <w:rFonts w:hint="eastAsia" w:ascii="Times New Roman" w:hAnsi="Times New Roman" w:eastAsia="仿宋_GB2312" w:cs="Times New Roman"/>
          <w:sz w:val="30"/>
          <w:szCs w:val="30"/>
          <w:highlight w:val="none"/>
          <w:lang w:val="en-US" w:eastAsia="zh-CN"/>
        </w:rPr>
        <w:t>29306</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人（其中：外事接待人次</w:t>
      </w:r>
      <w:r>
        <w:rPr>
          <w:rFonts w:hint="eastAsia" w:ascii="Times New Roman" w:hAnsi="Times New Roman" w:eastAsia="仿宋_GB2312" w:cs="Times New Roman"/>
          <w:i w:val="0"/>
          <w:caps w:val="0"/>
          <w:color w:val="000000"/>
          <w:spacing w:val="0"/>
          <w:kern w:val="0"/>
          <w:sz w:val="30"/>
          <w:szCs w:val="30"/>
          <w:highlight w:val="none"/>
          <w:shd w:val="clear" w:fill="FFFFFF"/>
          <w:lang w:val="en-US" w:eastAsia="zh-CN" w:bidi="ar"/>
        </w:rPr>
        <w:t>144</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人），</w:t>
      </w:r>
      <w:r>
        <w:rPr>
          <w:rFonts w:hint="default" w:ascii="Times New Roman" w:hAnsi="Times New Roman" w:eastAsia="仿宋_GB2312" w:cs="Times New Roman"/>
          <w:sz w:val="30"/>
          <w:szCs w:val="30"/>
          <w:highlight w:val="none"/>
          <w:lang w:eastAsia="zh-CN"/>
        </w:rPr>
        <w:t>同比</w:t>
      </w:r>
      <w:r>
        <w:rPr>
          <w:rFonts w:hint="eastAsia" w:ascii="Times New Roman" w:hAnsi="Times New Roman" w:eastAsia="仿宋_GB2312" w:cs="Times New Roman"/>
          <w:sz w:val="30"/>
          <w:szCs w:val="30"/>
          <w:highlight w:val="none"/>
          <w:lang w:val="en-US" w:eastAsia="zh-CN"/>
        </w:rPr>
        <w:t>建减少10889</w:t>
      </w:r>
      <w:r>
        <w:rPr>
          <w:rFonts w:hint="default" w:ascii="Times New Roman" w:hAnsi="Times New Roman" w:eastAsia="仿宋_GB2312" w:cs="Times New Roman"/>
          <w:sz w:val="30"/>
          <w:szCs w:val="30"/>
          <w:highlight w:val="none"/>
          <w:lang w:eastAsia="zh-CN"/>
        </w:rPr>
        <w:t>人次，</w:t>
      </w:r>
      <w:r>
        <w:rPr>
          <w:rFonts w:hint="eastAsia" w:ascii="Times New Roman" w:hAnsi="Times New Roman" w:eastAsia="仿宋_GB2312" w:cs="Times New Roman"/>
          <w:sz w:val="30"/>
          <w:szCs w:val="30"/>
          <w:highlight w:val="none"/>
          <w:lang w:val="en-US" w:eastAsia="zh-CN"/>
        </w:rPr>
        <w:t>下降27.09</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w:t>
      </w:r>
    </w:p>
    <w:p w14:paraId="6E1D0C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2"/>
        <w:jc w:val="both"/>
        <w:rPr>
          <w:rFonts w:hint="default" w:ascii="Times New Roman" w:hAnsi="Times New Roman" w:eastAsia="仿宋_GB2312" w:cs="Times New Roman"/>
          <w:i w:val="0"/>
          <w:caps w:val="0"/>
          <w:color w:val="000000"/>
          <w:spacing w:val="0"/>
          <w:sz w:val="30"/>
          <w:szCs w:val="30"/>
          <w:highlight w:val="none"/>
        </w:rPr>
      </w:pPr>
      <w:r>
        <w:rPr>
          <w:rFonts w:hint="default" w:ascii="Times New Roman" w:hAnsi="Times New Roman" w:eastAsia="仿宋_GB2312" w:cs="Times New Roman"/>
          <w:b/>
          <w:i w:val="0"/>
          <w:caps w:val="0"/>
          <w:color w:val="000000"/>
          <w:spacing w:val="0"/>
          <w:kern w:val="0"/>
          <w:sz w:val="30"/>
          <w:szCs w:val="30"/>
          <w:highlight w:val="none"/>
          <w:shd w:val="clear" w:fill="FFFFFF"/>
          <w:lang w:val="en-US" w:eastAsia="zh-CN" w:bidi="ar"/>
        </w:rPr>
        <w:t>国（境）外接待费</w:t>
      </w:r>
      <w:r>
        <w:rPr>
          <w:rFonts w:hint="default" w:ascii="Times New Roman" w:hAnsi="Times New Roman" w:eastAsia="仿宋_GB2312" w:cs="Times New Roman"/>
          <w:i w:val="0"/>
          <w:caps w:val="0"/>
          <w:color w:val="000000"/>
          <w:spacing w:val="0"/>
          <w:kern w:val="0"/>
          <w:sz w:val="30"/>
          <w:szCs w:val="30"/>
          <w:highlight w:val="none"/>
          <w:shd w:val="clear" w:fill="FFFFFF"/>
          <w:lang w:val="en-US" w:eastAsia="zh-CN" w:bidi="ar"/>
        </w:rPr>
        <w:t>支出0.00万元，共安排国（境）外公务接待0批次，接待人次0人。</w:t>
      </w:r>
    </w:p>
    <w:p w14:paraId="6BC797F7">
      <w:pPr>
        <w:spacing w:line="540" w:lineRule="exact"/>
        <w:ind w:firstLine="600" w:firstLineChars="200"/>
        <w:rPr>
          <w:rFonts w:hint="eastAsia" w:ascii="Times New Roman" w:hAnsi="Times New Roman" w:eastAsia="仿宋_GB2312"/>
          <w:sz w:val="30"/>
          <w:szCs w:val="30"/>
          <w:highlight w:val="none"/>
          <w:lang w:eastAsia="zh-CN"/>
        </w:rPr>
      </w:pPr>
    </w:p>
    <w:p w14:paraId="221F92E2">
      <w:pPr>
        <w:spacing w:line="540" w:lineRule="exact"/>
        <w:ind w:firstLine="600" w:firstLineChars="200"/>
        <w:rPr>
          <w:rFonts w:hint="eastAsia" w:ascii="Times New Roman" w:hAnsi="Times New Roman" w:eastAsia="仿宋_GB2312"/>
          <w:sz w:val="30"/>
          <w:szCs w:val="30"/>
          <w:highlight w:val="none"/>
          <w:lang w:eastAsia="zh-CN"/>
        </w:rPr>
      </w:pPr>
      <w:r>
        <w:rPr>
          <w:rFonts w:hint="eastAsia" w:ascii="Times New Roman" w:hAnsi="Times New Roman" w:eastAsia="仿宋_GB2312"/>
          <w:sz w:val="30"/>
          <w:szCs w:val="30"/>
          <w:highlight w:val="none"/>
          <w:lang w:eastAsia="zh-CN"/>
        </w:rPr>
        <w:t>附件：1. 20</w:t>
      </w:r>
      <w:r>
        <w:rPr>
          <w:rFonts w:hint="eastAsia" w:ascii="Times New Roman" w:hAnsi="Times New Roman" w:eastAsia="仿宋_GB2312"/>
          <w:sz w:val="30"/>
          <w:szCs w:val="30"/>
          <w:highlight w:val="none"/>
          <w:lang w:val="en-US" w:eastAsia="zh-CN"/>
        </w:rPr>
        <w:t>24</w:t>
      </w:r>
      <w:r>
        <w:rPr>
          <w:rFonts w:hint="eastAsia" w:ascii="Times New Roman" w:hAnsi="Times New Roman" w:eastAsia="仿宋_GB2312"/>
          <w:sz w:val="30"/>
          <w:szCs w:val="30"/>
          <w:highlight w:val="none"/>
          <w:lang w:eastAsia="zh-CN"/>
        </w:rPr>
        <w:t>年晋宁区 “三公”经费决算数对比情况表</w:t>
      </w:r>
    </w:p>
    <w:p w14:paraId="4590F6C9">
      <w:pPr>
        <w:spacing w:line="540" w:lineRule="exact"/>
        <w:ind w:firstLine="1500" w:firstLineChars="500"/>
        <w:rPr>
          <w:rFonts w:hint="eastAsia" w:ascii="Times New Roman" w:hAnsi="Times New Roman" w:eastAsia="仿宋_GB2312"/>
          <w:sz w:val="30"/>
          <w:szCs w:val="30"/>
          <w:highlight w:val="none"/>
          <w:lang w:eastAsia="zh-CN"/>
        </w:rPr>
      </w:pPr>
      <w:r>
        <w:rPr>
          <w:rFonts w:hint="eastAsia" w:ascii="Times New Roman" w:hAnsi="Times New Roman" w:eastAsia="仿宋_GB2312"/>
          <w:sz w:val="30"/>
          <w:szCs w:val="30"/>
          <w:highlight w:val="none"/>
          <w:lang w:val="en-US" w:eastAsia="zh-CN"/>
        </w:rPr>
        <w:t>2.</w:t>
      </w:r>
      <w:r>
        <w:rPr>
          <w:rFonts w:hint="eastAsia" w:ascii="Times New Roman" w:hAnsi="Times New Roman" w:eastAsia="仿宋_GB2312"/>
          <w:sz w:val="30"/>
          <w:szCs w:val="30"/>
          <w:highlight w:val="none"/>
          <w:lang w:eastAsia="zh-CN"/>
        </w:rPr>
        <w:t>“三公”经费口径说明</w:t>
      </w:r>
    </w:p>
    <w:tbl>
      <w:tblPr>
        <w:tblStyle w:val="2"/>
        <w:tblW w:w="8425" w:type="dxa"/>
        <w:tblInd w:w="-106" w:type="dxa"/>
        <w:tblLayout w:type="fixed"/>
        <w:tblCellMar>
          <w:top w:w="0" w:type="dxa"/>
          <w:left w:w="108" w:type="dxa"/>
          <w:bottom w:w="0" w:type="dxa"/>
          <w:right w:w="108" w:type="dxa"/>
        </w:tblCellMar>
      </w:tblPr>
      <w:tblGrid>
        <w:gridCol w:w="2245"/>
        <w:gridCol w:w="1335"/>
        <w:gridCol w:w="1275"/>
        <w:gridCol w:w="1530"/>
        <w:gridCol w:w="2040"/>
      </w:tblGrid>
      <w:tr w14:paraId="75C67E07">
        <w:tblPrEx>
          <w:tblCellMar>
            <w:top w:w="0" w:type="dxa"/>
            <w:left w:w="108" w:type="dxa"/>
            <w:bottom w:w="0" w:type="dxa"/>
            <w:right w:w="108" w:type="dxa"/>
          </w:tblCellMar>
        </w:tblPrEx>
        <w:trPr>
          <w:trHeight w:val="810" w:hRule="atLeast"/>
        </w:trPr>
        <w:tc>
          <w:tcPr>
            <w:tcW w:w="8425" w:type="dxa"/>
            <w:gridSpan w:val="5"/>
            <w:tcBorders>
              <w:top w:val="nil"/>
              <w:left w:val="nil"/>
              <w:bottom w:val="nil"/>
              <w:right w:val="nil"/>
            </w:tcBorders>
            <w:vAlign w:val="bottom"/>
          </w:tcPr>
          <w:p w14:paraId="47AB59D8">
            <w:pPr>
              <w:keepNext w:val="0"/>
              <w:keepLines w:val="0"/>
              <w:widowControl/>
              <w:suppressLineNumbers w:val="0"/>
              <w:jc w:val="center"/>
              <w:textAlignment w:val="bottom"/>
              <w:rPr>
                <w:rFonts w:ascii="黑体" w:hAnsi="黑体" w:eastAsia="黑体" w:cs="黑体"/>
                <w:bCs/>
                <w:sz w:val="32"/>
                <w:szCs w:val="32"/>
                <w:highlight w:val="none"/>
              </w:rPr>
            </w:pPr>
            <w:r>
              <w:rPr>
                <w:rFonts w:hint="eastAsia" w:ascii="黑体" w:hAnsi="宋体" w:eastAsia="黑体" w:cs="黑体"/>
                <w:i w:val="0"/>
                <w:color w:val="000000"/>
                <w:kern w:val="0"/>
                <w:sz w:val="32"/>
                <w:szCs w:val="32"/>
                <w:highlight w:val="none"/>
                <w:u w:val="none"/>
                <w:lang w:val="en-US" w:eastAsia="zh-CN" w:bidi="ar"/>
              </w:rPr>
              <w:t>2024年晋宁区“三公”经费决算数对比情况表</w:t>
            </w:r>
          </w:p>
        </w:tc>
      </w:tr>
      <w:tr w14:paraId="1F0DD458">
        <w:tblPrEx>
          <w:tblCellMar>
            <w:top w:w="0" w:type="dxa"/>
            <w:left w:w="108" w:type="dxa"/>
            <w:bottom w:w="0" w:type="dxa"/>
            <w:right w:w="108" w:type="dxa"/>
          </w:tblCellMar>
        </w:tblPrEx>
        <w:trPr>
          <w:trHeight w:val="300" w:hRule="atLeast"/>
        </w:trPr>
        <w:tc>
          <w:tcPr>
            <w:tcW w:w="2245" w:type="dxa"/>
            <w:tcBorders>
              <w:top w:val="nil"/>
              <w:left w:val="nil"/>
              <w:bottom w:val="nil"/>
              <w:right w:val="nil"/>
            </w:tcBorders>
            <w:noWrap/>
            <w:vAlign w:val="bottom"/>
          </w:tcPr>
          <w:p w14:paraId="17AE4544">
            <w:pPr>
              <w:jc w:val="left"/>
              <w:rPr>
                <w:rFonts w:ascii="Arial" w:hAnsi="Arial" w:cs="Arial"/>
                <w:color w:val="000000"/>
                <w:kern w:val="0"/>
                <w:sz w:val="18"/>
                <w:szCs w:val="18"/>
                <w:highlight w:val="none"/>
              </w:rPr>
            </w:pPr>
          </w:p>
        </w:tc>
        <w:tc>
          <w:tcPr>
            <w:tcW w:w="1335" w:type="dxa"/>
            <w:tcBorders>
              <w:top w:val="nil"/>
              <w:left w:val="nil"/>
              <w:bottom w:val="nil"/>
              <w:right w:val="nil"/>
            </w:tcBorders>
            <w:noWrap/>
            <w:vAlign w:val="bottom"/>
          </w:tcPr>
          <w:p w14:paraId="399F8689">
            <w:pPr>
              <w:jc w:val="left"/>
              <w:rPr>
                <w:highlight w:val="none"/>
              </w:rPr>
            </w:pPr>
          </w:p>
        </w:tc>
        <w:tc>
          <w:tcPr>
            <w:tcW w:w="1275" w:type="dxa"/>
            <w:tcBorders>
              <w:top w:val="nil"/>
              <w:left w:val="nil"/>
              <w:bottom w:val="nil"/>
              <w:right w:val="nil"/>
            </w:tcBorders>
            <w:noWrap/>
            <w:vAlign w:val="bottom"/>
          </w:tcPr>
          <w:p w14:paraId="5829E463">
            <w:pPr>
              <w:jc w:val="left"/>
              <w:rPr>
                <w:rFonts w:ascii="Arial" w:hAnsi="Arial" w:cs="Arial"/>
                <w:color w:val="000000"/>
                <w:kern w:val="0"/>
                <w:sz w:val="18"/>
                <w:szCs w:val="18"/>
                <w:highlight w:val="none"/>
              </w:rPr>
            </w:pPr>
          </w:p>
        </w:tc>
        <w:tc>
          <w:tcPr>
            <w:tcW w:w="1530" w:type="dxa"/>
            <w:tcBorders>
              <w:top w:val="nil"/>
              <w:left w:val="nil"/>
              <w:bottom w:val="nil"/>
              <w:right w:val="nil"/>
            </w:tcBorders>
            <w:noWrap/>
            <w:vAlign w:val="bottom"/>
          </w:tcPr>
          <w:p w14:paraId="70874A0B">
            <w:pPr>
              <w:jc w:val="left"/>
              <w:rPr>
                <w:highlight w:val="none"/>
              </w:rPr>
            </w:pPr>
          </w:p>
        </w:tc>
        <w:tc>
          <w:tcPr>
            <w:tcW w:w="2040" w:type="dxa"/>
            <w:tcBorders>
              <w:top w:val="nil"/>
              <w:left w:val="nil"/>
              <w:bottom w:val="nil"/>
              <w:right w:val="nil"/>
            </w:tcBorders>
            <w:noWrap/>
            <w:vAlign w:val="bottom"/>
          </w:tcPr>
          <w:p w14:paraId="4C3189C7">
            <w:pPr>
              <w:keepNext w:val="0"/>
              <w:keepLines w:val="0"/>
              <w:widowControl/>
              <w:suppressLineNumbers w:val="0"/>
              <w:jc w:val="right"/>
              <w:textAlignment w:val="bottom"/>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单位：万元</w:t>
            </w:r>
          </w:p>
        </w:tc>
      </w:tr>
      <w:tr w14:paraId="22E07DCA">
        <w:tblPrEx>
          <w:tblCellMar>
            <w:top w:w="0" w:type="dxa"/>
            <w:left w:w="108" w:type="dxa"/>
            <w:bottom w:w="0" w:type="dxa"/>
            <w:right w:w="108" w:type="dxa"/>
          </w:tblCellMar>
        </w:tblPrEx>
        <w:trPr>
          <w:trHeight w:val="315" w:hRule="atLeast"/>
        </w:trPr>
        <w:tc>
          <w:tcPr>
            <w:tcW w:w="2245" w:type="dxa"/>
            <w:vMerge w:val="restart"/>
            <w:tcBorders>
              <w:top w:val="single" w:color="auto" w:sz="8" w:space="0"/>
              <w:left w:val="single" w:color="auto" w:sz="8" w:space="0"/>
              <w:bottom w:val="single" w:color="000000" w:sz="8" w:space="0"/>
              <w:right w:val="nil"/>
            </w:tcBorders>
            <w:noWrap/>
            <w:vAlign w:val="bottom"/>
          </w:tcPr>
          <w:p w14:paraId="0CFD5B46">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项 目</w:t>
            </w:r>
          </w:p>
        </w:tc>
        <w:tc>
          <w:tcPr>
            <w:tcW w:w="1335" w:type="dxa"/>
            <w:vMerge w:val="restart"/>
            <w:tcBorders>
              <w:top w:val="single" w:color="auto" w:sz="8" w:space="0"/>
              <w:left w:val="single" w:color="auto" w:sz="8" w:space="0"/>
              <w:bottom w:val="single" w:color="000000" w:sz="8" w:space="0"/>
              <w:right w:val="nil"/>
            </w:tcBorders>
            <w:noWrap/>
            <w:vAlign w:val="bottom"/>
          </w:tcPr>
          <w:p w14:paraId="2112F468">
            <w:pPr>
              <w:keepNext w:val="0"/>
              <w:keepLines w:val="0"/>
              <w:widowControl/>
              <w:suppressLineNumbers w:val="0"/>
              <w:jc w:val="left"/>
              <w:textAlignment w:val="bottom"/>
              <w:rPr>
                <w:highlight w:val="none"/>
              </w:rPr>
            </w:pPr>
            <w:r>
              <w:rPr>
                <w:rFonts w:hint="eastAsia" w:ascii="宋体" w:hAnsi="宋体" w:eastAsia="宋体" w:cs="宋体"/>
                <w:i w:val="0"/>
                <w:color w:val="000000"/>
                <w:kern w:val="0"/>
                <w:sz w:val="22"/>
                <w:szCs w:val="22"/>
                <w:highlight w:val="none"/>
                <w:u w:val="none"/>
                <w:lang w:val="en-US" w:eastAsia="zh-CN" w:bidi="ar"/>
              </w:rPr>
              <w:t>202</w:t>
            </w:r>
            <w:r>
              <w:rPr>
                <w:rFonts w:hint="eastAsia" w:ascii="宋体" w:hAnsi="宋体" w:cs="宋体"/>
                <w:i w:val="0"/>
                <w:color w:val="000000"/>
                <w:kern w:val="0"/>
                <w:sz w:val="22"/>
                <w:szCs w:val="22"/>
                <w:highlight w:val="none"/>
                <w:u w:val="none"/>
                <w:lang w:val="en-US" w:eastAsia="zh-CN" w:bidi="ar"/>
              </w:rPr>
              <w:t>3</w:t>
            </w:r>
            <w:r>
              <w:rPr>
                <w:rFonts w:hint="eastAsia" w:ascii="宋体" w:hAnsi="宋体" w:eastAsia="宋体" w:cs="宋体"/>
                <w:i w:val="0"/>
                <w:color w:val="000000"/>
                <w:kern w:val="0"/>
                <w:sz w:val="22"/>
                <w:szCs w:val="22"/>
                <w:highlight w:val="none"/>
                <w:u w:val="none"/>
                <w:lang w:val="en-US" w:eastAsia="zh-CN" w:bidi="ar"/>
              </w:rPr>
              <w:t>年决算数</w:t>
            </w:r>
          </w:p>
        </w:tc>
        <w:tc>
          <w:tcPr>
            <w:tcW w:w="1275" w:type="dxa"/>
            <w:vMerge w:val="restart"/>
            <w:tcBorders>
              <w:top w:val="single" w:color="auto" w:sz="8" w:space="0"/>
              <w:left w:val="single" w:color="auto" w:sz="8" w:space="0"/>
              <w:bottom w:val="single" w:color="000000" w:sz="8" w:space="0"/>
              <w:right w:val="single" w:color="auto" w:sz="8" w:space="0"/>
            </w:tcBorders>
            <w:vAlign w:val="bottom"/>
          </w:tcPr>
          <w:p w14:paraId="5EF7EA76">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202</w:t>
            </w:r>
            <w:r>
              <w:rPr>
                <w:rFonts w:hint="eastAsia" w:ascii="宋体" w:hAnsi="宋体" w:cs="宋体"/>
                <w:i w:val="0"/>
                <w:color w:val="000000"/>
                <w:kern w:val="0"/>
                <w:sz w:val="22"/>
                <w:szCs w:val="22"/>
                <w:highlight w:val="none"/>
                <w:u w:val="none"/>
                <w:lang w:val="en-US" w:eastAsia="zh-CN" w:bidi="ar"/>
              </w:rPr>
              <w:t>4</w:t>
            </w:r>
            <w:r>
              <w:rPr>
                <w:rFonts w:hint="eastAsia" w:ascii="宋体" w:hAnsi="宋体" w:eastAsia="宋体" w:cs="宋体"/>
                <w:i w:val="0"/>
                <w:color w:val="000000"/>
                <w:kern w:val="0"/>
                <w:sz w:val="22"/>
                <w:szCs w:val="22"/>
                <w:highlight w:val="none"/>
                <w:u w:val="none"/>
                <w:lang w:val="en-US" w:eastAsia="zh-CN" w:bidi="ar"/>
              </w:rPr>
              <w:t>年决算数</w:t>
            </w:r>
          </w:p>
        </w:tc>
        <w:tc>
          <w:tcPr>
            <w:tcW w:w="3570" w:type="dxa"/>
            <w:gridSpan w:val="2"/>
            <w:tcBorders>
              <w:top w:val="single" w:color="auto" w:sz="8" w:space="0"/>
              <w:left w:val="single" w:color="auto" w:sz="8" w:space="0"/>
              <w:bottom w:val="single" w:color="000000" w:sz="8" w:space="0"/>
              <w:right w:val="single" w:color="auto" w:sz="8" w:space="0"/>
            </w:tcBorders>
            <w:vAlign w:val="bottom"/>
          </w:tcPr>
          <w:p w14:paraId="5AE17BB6">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202</w:t>
            </w:r>
            <w:r>
              <w:rPr>
                <w:rFonts w:hint="eastAsia" w:ascii="宋体" w:hAnsi="宋体" w:cs="宋体"/>
                <w:i w:val="0"/>
                <w:color w:val="000000"/>
                <w:kern w:val="0"/>
                <w:sz w:val="22"/>
                <w:szCs w:val="22"/>
                <w:highlight w:val="none"/>
                <w:u w:val="none"/>
                <w:lang w:val="en-US" w:eastAsia="zh-CN" w:bidi="ar"/>
              </w:rPr>
              <w:t>4</w:t>
            </w:r>
            <w:r>
              <w:rPr>
                <w:rFonts w:hint="eastAsia" w:ascii="宋体" w:hAnsi="宋体" w:eastAsia="宋体" w:cs="宋体"/>
                <w:i w:val="0"/>
                <w:color w:val="000000"/>
                <w:kern w:val="0"/>
                <w:sz w:val="22"/>
                <w:szCs w:val="22"/>
                <w:highlight w:val="none"/>
                <w:u w:val="none"/>
                <w:lang w:val="en-US" w:eastAsia="zh-CN" w:bidi="ar"/>
              </w:rPr>
              <w:t>年决算比上年增、减情况</w:t>
            </w:r>
          </w:p>
        </w:tc>
      </w:tr>
      <w:tr w14:paraId="5AAD28C6">
        <w:tblPrEx>
          <w:tblCellMar>
            <w:top w:w="0" w:type="dxa"/>
            <w:left w:w="108" w:type="dxa"/>
            <w:bottom w:w="0" w:type="dxa"/>
            <w:right w:w="108" w:type="dxa"/>
          </w:tblCellMar>
        </w:tblPrEx>
        <w:trPr>
          <w:trHeight w:val="315" w:hRule="atLeast"/>
        </w:trPr>
        <w:tc>
          <w:tcPr>
            <w:tcW w:w="2245" w:type="dxa"/>
            <w:vMerge w:val="continue"/>
            <w:tcBorders>
              <w:top w:val="single" w:color="auto" w:sz="8" w:space="0"/>
              <w:left w:val="single" w:color="auto" w:sz="8" w:space="0"/>
              <w:bottom w:val="single" w:color="000000" w:sz="8" w:space="0"/>
              <w:right w:val="nil"/>
            </w:tcBorders>
            <w:vAlign w:val="bottom"/>
          </w:tcPr>
          <w:p w14:paraId="5D2A2159">
            <w:pPr>
              <w:jc w:val="left"/>
              <w:rPr>
                <w:rFonts w:ascii="宋体" w:cs="宋体"/>
                <w:color w:val="000000"/>
                <w:kern w:val="0"/>
                <w:sz w:val="22"/>
                <w:szCs w:val="22"/>
                <w:highlight w:val="none"/>
              </w:rPr>
            </w:pPr>
          </w:p>
        </w:tc>
        <w:tc>
          <w:tcPr>
            <w:tcW w:w="1335" w:type="dxa"/>
            <w:vMerge w:val="continue"/>
            <w:tcBorders>
              <w:top w:val="single" w:color="auto" w:sz="8" w:space="0"/>
              <w:left w:val="single" w:color="auto" w:sz="8" w:space="0"/>
              <w:bottom w:val="single" w:color="000000" w:sz="8" w:space="0"/>
              <w:right w:val="nil"/>
            </w:tcBorders>
            <w:vAlign w:val="bottom"/>
          </w:tcPr>
          <w:p w14:paraId="0DAAF806">
            <w:pPr>
              <w:jc w:val="left"/>
              <w:rPr>
                <w:highlight w:val="none"/>
              </w:rPr>
            </w:pPr>
          </w:p>
        </w:tc>
        <w:tc>
          <w:tcPr>
            <w:tcW w:w="1275" w:type="dxa"/>
            <w:vMerge w:val="continue"/>
            <w:tcBorders>
              <w:top w:val="single" w:color="auto" w:sz="8" w:space="0"/>
              <w:left w:val="single" w:color="auto" w:sz="8" w:space="0"/>
              <w:bottom w:val="single" w:color="000000" w:sz="8" w:space="0"/>
              <w:right w:val="single" w:color="auto" w:sz="8" w:space="0"/>
            </w:tcBorders>
            <w:vAlign w:val="bottom"/>
          </w:tcPr>
          <w:p w14:paraId="613485D1">
            <w:pPr>
              <w:jc w:val="left"/>
              <w:rPr>
                <w:rFonts w:ascii="宋体" w:cs="宋体"/>
                <w:color w:val="000000"/>
                <w:kern w:val="0"/>
                <w:sz w:val="22"/>
                <w:szCs w:val="22"/>
                <w:highlight w:val="none"/>
              </w:rPr>
            </w:pPr>
          </w:p>
        </w:tc>
        <w:tc>
          <w:tcPr>
            <w:tcW w:w="1530" w:type="dxa"/>
            <w:tcBorders>
              <w:top w:val="single" w:color="auto" w:sz="8" w:space="0"/>
              <w:left w:val="single" w:color="auto" w:sz="8" w:space="0"/>
              <w:bottom w:val="single" w:color="000000" w:sz="8" w:space="0"/>
              <w:right w:val="single" w:color="auto" w:sz="8" w:space="0"/>
            </w:tcBorders>
            <w:vAlign w:val="bottom"/>
          </w:tcPr>
          <w:p w14:paraId="4D4DB893">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2"/>
                <w:szCs w:val="22"/>
                <w:highlight w:val="none"/>
                <w:u w:val="none"/>
                <w:lang w:val="en-US" w:eastAsia="zh-CN" w:bidi="ar"/>
              </w:rPr>
              <w:t>增、减额</w:t>
            </w:r>
          </w:p>
        </w:tc>
        <w:tc>
          <w:tcPr>
            <w:tcW w:w="2040" w:type="dxa"/>
            <w:tcBorders>
              <w:top w:val="single" w:color="auto" w:sz="8" w:space="0"/>
              <w:left w:val="nil"/>
              <w:bottom w:val="single" w:color="000000" w:sz="8" w:space="0"/>
              <w:right w:val="single" w:color="auto" w:sz="8" w:space="0"/>
            </w:tcBorders>
            <w:vAlign w:val="bottom"/>
          </w:tcPr>
          <w:p w14:paraId="543674B1">
            <w:pPr>
              <w:keepNext w:val="0"/>
              <w:keepLines w:val="0"/>
              <w:widowControl/>
              <w:suppressLineNumbers w:val="0"/>
              <w:jc w:val="center"/>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增、减幅度(%)</w:t>
            </w:r>
          </w:p>
        </w:tc>
      </w:tr>
      <w:tr w14:paraId="2AA07476">
        <w:tblPrEx>
          <w:tblCellMar>
            <w:top w:w="0" w:type="dxa"/>
            <w:left w:w="108" w:type="dxa"/>
            <w:bottom w:w="0" w:type="dxa"/>
            <w:right w:w="108" w:type="dxa"/>
          </w:tblCellMar>
        </w:tblPrEx>
        <w:trPr>
          <w:trHeight w:val="435" w:hRule="atLeast"/>
        </w:trPr>
        <w:tc>
          <w:tcPr>
            <w:tcW w:w="2245" w:type="dxa"/>
            <w:tcBorders>
              <w:top w:val="nil"/>
              <w:left w:val="single" w:color="auto" w:sz="8" w:space="0"/>
              <w:bottom w:val="single" w:color="auto" w:sz="8" w:space="0"/>
              <w:right w:val="nil"/>
            </w:tcBorders>
            <w:noWrap/>
            <w:vAlign w:val="bottom"/>
          </w:tcPr>
          <w:p w14:paraId="0EE9D50E">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（一）支出合计</w:t>
            </w:r>
          </w:p>
        </w:tc>
        <w:tc>
          <w:tcPr>
            <w:tcW w:w="1335" w:type="dxa"/>
            <w:tcBorders>
              <w:top w:val="nil"/>
              <w:left w:val="single" w:color="auto" w:sz="8" w:space="0"/>
              <w:bottom w:val="single" w:color="auto" w:sz="8" w:space="0"/>
              <w:right w:val="nil"/>
            </w:tcBorders>
            <w:noWrap/>
            <w:vAlign w:val="center"/>
          </w:tcPr>
          <w:p w14:paraId="3EA91908">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1056.25</w:t>
            </w:r>
          </w:p>
        </w:tc>
        <w:tc>
          <w:tcPr>
            <w:tcW w:w="1275" w:type="dxa"/>
            <w:tcBorders>
              <w:top w:val="nil"/>
              <w:left w:val="single" w:color="auto" w:sz="8" w:space="0"/>
              <w:bottom w:val="single" w:color="auto" w:sz="8" w:space="0"/>
              <w:right w:val="single" w:color="auto" w:sz="8" w:space="0"/>
            </w:tcBorders>
            <w:vAlign w:val="center"/>
          </w:tcPr>
          <w:p w14:paraId="09B9B199">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982.54</w:t>
            </w:r>
          </w:p>
        </w:tc>
        <w:tc>
          <w:tcPr>
            <w:tcW w:w="1530" w:type="dxa"/>
            <w:tcBorders>
              <w:top w:val="nil"/>
              <w:left w:val="single" w:color="auto" w:sz="8" w:space="0"/>
              <w:bottom w:val="single" w:color="auto" w:sz="8" w:space="0"/>
              <w:right w:val="single" w:color="auto" w:sz="8" w:space="0"/>
            </w:tcBorders>
            <w:vAlign w:val="center"/>
          </w:tcPr>
          <w:p w14:paraId="5996932F">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-73.71</w:t>
            </w:r>
          </w:p>
        </w:tc>
        <w:tc>
          <w:tcPr>
            <w:tcW w:w="2040" w:type="dxa"/>
            <w:tcBorders>
              <w:top w:val="nil"/>
              <w:left w:val="nil"/>
              <w:bottom w:val="single" w:color="auto" w:sz="8" w:space="0"/>
              <w:right w:val="single" w:color="auto" w:sz="8" w:space="0"/>
            </w:tcBorders>
            <w:noWrap/>
            <w:vAlign w:val="center"/>
          </w:tcPr>
          <w:p w14:paraId="06D876B7">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-6.98%</w:t>
            </w:r>
          </w:p>
        </w:tc>
      </w:tr>
      <w:tr w14:paraId="3F73BC0E">
        <w:tblPrEx>
          <w:tblCellMar>
            <w:top w:w="0" w:type="dxa"/>
            <w:left w:w="108" w:type="dxa"/>
            <w:bottom w:w="0" w:type="dxa"/>
            <w:right w:w="108" w:type="dxa"/>
          </w:tblCellMar>
        </w:tblPrEx>
        <w:trPr>
          <w:trHeight w:val="490" w:hRule="atLeast"/>
        </w:trPr>
        <w:tc>
          <w:tcPr>
            <w:tcW w:w="2245" w:type="dxa"/>
            <w:tcBorders>
              <w:top w:val="nil"/>
              <w:left w:val="single" w:color="auto" w:sz="8" w:space="0"/>
              <w:bottom w:val="single" w:color="auto" w:sz="8" w:space="0"/>
              <w:right w:val="nil"/>
            </w:tcBorders>
            <w:vAlign w:val="bottom"/>
          </w:tcPr>
          <w:p w14:paraId="308CDD4A">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1</w:t>
            </w:r>
            <w:r>
              <w:rPr>
                <w:rStyle w:val="4"/>
                <w:highlight w:val="none"/>
                <w:lang w:val="en-US" w:eastAsia="zh-CN" w:bidi="ar"/>
              </w:rPr>
              <w:t>、因公出国（境）费</w:t>
            </w:r>
          </w:p>
        </w:tc>
        <w:tc>
          <w:tcPr>
            <w:tcW w:w="1335" w:type="dxa"/>
            <w:tcBorders>
              <w:top w:val="nil"/>
              <w:left w:val="single" w:color="auto" w:sz="8" w:space="0"/>
              <w:bottom w:val="single" w:color="auto" w:sz="8" w:space="0"/>
              <w:right w:val="nil"/>
            </w:tcBorders>
            <w:vAlign w:val="center"/>
          </w:tcPr>
          <w:p w14:paraId="0F562E58">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275" w:type="dxa"/>
            <w:tcBorders>
              <w:top w:val="nil"/>
              <w:left w:val="single" w:color="auto" w:sz="8" w:space="0"/>
              <w:bottom w:val="nil"/>
              <w:right w:val="single" w:color="auto" w:sz="8" w:space="0"/>
            </w:tcBorders>
            <w:vAlign w:val="center"/>
          </w:tcPr>
          <w:p w14:paraId="775B43C1">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20.75</w:t>
            </w:r>
          </w:p>
        </w:tc>
        <w:tc>
          <w:tcPr>
            <w:tcW w:w="1530" w:type="dxa"/>
            <w:tcBorders>
              <w:top w:val="nil"/>
              <w:left w:val="single" w:color="auto" w:sz="8" w:space="0"/>
              <w:bottom w:val="nil"/>
              <w:right w:val="single" w:color="auto" w:sz="8" w:space="0"/>
            </w:tcBorders>
            <w:vAlign w:val="center"/>
          </w:tcPr>
          <w:p w14:paraId="7C8B9162">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18.75</w:t>
            </w:r>
          </w:p>
        </w:tc>
        <w:tc>
          <w:tcPr>
            <w:tcW w:w="2040" w:type="dxa"/>
            <w:tcBorders>
              <w:top w:val="nil"/>
              <w:left w:val="nil"/>
              <w:bottom w:val="single" w:color="auto" w:sz="8" w:space="0"/>
              <w:right w:val="single" w:color="auto" w:sz="8" w:space="0"/>
            </w:tcBorders>
            <w:noWrap/>
            <w:vAlign w:val="center"/>
          </w:tcPr>
          <w:p w14:paraId="3871BE84">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937.50%</w:t>
            </w:r>
          </w:p>
        </w:tc>
      </w:tr>
      <w:tr w14:paraId="07751642">
        <w:tblPrEx>
          <w:tblCellMar>
            <w:top w:w="0" w:type="dxa"/>
            <w:left w:w="108" w:type="dxa"/>
            <w:bottom w:w="0" w:type="dxa"/>
            <w:right w:w="108" w:type="dxa"/>
          </w:tblCellMar>
        </w:tblPrEx>
        <w:trPr>
          <w:trHeight w:val="645" w:hRule="atLeast"/>
        </w:trPr>
        <w:tc>
          <w:tcPr>
            <w:tcW w:w="2245" w:type="dxa"/>
            <w:tcBorders>
              <w:top w:val="nil"/>
              <w:left w:val="single" w:color="auto" w:sz="8" w:space="0"/>
              <w:bottom w:val="single" w:color="auto" w:sz="8" w:space="0"/>
              <w:right w:val="nil"/>
            </w:tcBorders>
            <w:vAlign w:val="bottom"/>
          </w:tcPr>
          <w:p w14:paraId="7184891C">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r>
              <w:rPr>
                <w:rStyle w:val="4"/>
                <w:highlight w:val="none"/>
                <w:lang w:val="en-US" w:eastAsia="zh-CN" w:bidi="ar"/>
              </w:rPr>
              <w:t>、公务接待费</w:t>
            </w:r>
          </w:p>
        </w:tc>
        <w:tc>
          <w:tcPr>
            <w:tcW w:w="1335" w:type="dxa"/>
            <w:tcBorders>
              <w:top w:val="nil"/>
              <w:left w:val="single" w:color="auto" w:sz="8" w:space="0"/>
              <w:bottom w:val="single" w:color="auto" w:sz="8" w:space="0"/>
              <w:right w:val="nil"/>
            </w:tcBorders>
            <w:vAlign w:val="center"/>
          </w:tcPr>
          <w:p w14:paraId="5DCF8230">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271.11</w:t>
            </w:r>
          </w:p>
        </w:tc>
        <w:tc>
          <w:tcPr>
            <w:tcW w:w="1275" w:type="dxa"/>
            <w:tcBorders>
              <w:top w:val="single" w:color="auto" w:sz="8" w:space="0"/>
              <w:left w:val="single" w:color="auto" w:sz="8" w:space="0"/>
              <w:bottom w:val="single" w:color="auto" w:sz="8" w:space="0"/>
              <w:right w:val="single" w:color="auto" w:sz="8" w:space="0"/>
            </w:tcBorders>
            <w:vAlign w:val="center"/>
          </w:tcPr>
          <w:p w14:paraId="69A94A32">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194.69</w:t>
            </w:r>
          </w:p>
        </w:tc>
        <w:tc>
          <w:tcPr>
            <w:tcW w:w="1530" w:type="dxa"/>
            <w:tcBorders>
              <w:top w:val="single" w:color="auto" w:sz="8" w:space="0"/>
              <w:left w:val="single" w:color="auto" w:sz="8" w:space="0"/>
              <w:bottom w:val="single" w:color="auto" w:sz="8" w:space="0"/>
              <w:right w:val="single" w:color="auto" w:sz="8" w:space="0"/>
            </w:tcBorders>
            <w:vAlign w:val="center"/>
          </w:tcPr>
          <w:p w14:paraId="38898382">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-76.42</w:t>
            </w:r>
          </w:p>
        </w:tc>
        <w:tc>
          <w:tcPr>
            <w:tcW w:w="2040" w:type="dxa"/>
            <w:tcBorders>
              <w:top w:val="nil"/>
              <w:left w:val="nil"/>
              <w:bottom w:val="single" w:color="auto" w:sz="8" w:space="0"/>
              <w:right w:val="single" w:color="auto" w:sz="8" w:space="0"/>
            </w:tcBorders>
            <w:noWrap/>
            <w:vAlign w:val="center"/>
          </w:tcPr>
          <w:p w14:paraId="246A17F9">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-28.19%</w:t>
            </w:r>
          </w:p>
        </w:tc>
      </w:tr>
      <w:tr w14:paraId="50D3EE9B">
        <w:tblPrEx>
          <w:tblCellMar>
            <w:top w:w="0" w:type="dxa"/>
            <w:left w:w="108" w:type="dxa"/>
            <w:bottom w:w="0" w:type="dxa"/>
            <w:right w:w="108" w:type="dxa"/>
          </w:tblCellMar>
        </w:tblPrEx>
        <w:trPr>
          <w:trHeight w:val="615" w:hRule="atLeast"/>
        </w:trPr>
        <w:tc>
          <w:tcPr>
            <w:tcW w:w="2245" w:type="dxa"/>
            <w:tcBorders>
              <w:top w:val="nil"/>
              <w:left w:val="single" w:color="auto" w:sz="8" w:space="0"/>
              <w:bottom w:val="single" w:color="auto" w:sz="8" w:space="0"/>
              <w:right w:val="nil"/>
            </w:tcBorders>
            <w:vAlign w:val="bottom"/>
          </w:tcPr>
          <w:p w14:paraId="2881EF65">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3</w:t>
            </w:r>
            <w:r>
              <w:rPr>
                <w:rStyle w:val="4"/>
                <w:highlight w:val="none"/>
                <w:lang w:val="en-US" w:eastAsia="zh-CN" w:bidi="ar"/>
              </w:rPr>
              <w:t>、公务用车费</w:t>
            </w:r>
          </w:p>
        </w:tc>
        <w:tc>
          <w:tcPr>
            <w:tcW w:w="1335" w:type="dxa"/>
            <w:tcBorders>
              <w:top w:val="nil"/>
              <w:left w:val="single" w:color="auto" w:sz="8" w:space="0"/>
              <w:bottom w:val="single" w:color="auto" w:sz="8" w:space="0"/>
              <w:right w:val="nil"/>
            </w:tcBorders>
            <w:vAlign w:val="center"/>
          </w:tcPr>
          <w:p w14:paraId="6EEECCCC">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783.14</w:t>
            </w:r>
          </w:p>
        </w:tc>
        <w:tc>
          <w:tcPr>
            <w:tcW w:w="1275" w:type="dxa"/>
            <w:tcBorders>
              <w:top w:val="nil"/>
              <w:left w:val="single" w:color="auto" w:sz="8" w:space="0"/>
              <w:bottom w:val="single" w:color="auto" w:sz="8" w:space="0"/>
              <w:right w:val="single" w:color="auto" w:sz="8" w:space="0"/>
            </w:tcBorders>
            <w:vAlign w:val="center"/>
          </w:tcPr>
          <w:p w14:paraId="011FB73C">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767.10</w:t>
            </w:r>
          </w:p>
        </w:tc>
        <w:tc>
          <w:tcPr>
            <w:tcW w:w="1530" w:type="dxa"/>
            <w:tcBorders>
              <w:top w:val="nil"/>
              <w:left w:val="single" w:color="auto" w:sz="8" w:space="0"/>
              <w:bottom w:val="single" w:color="auto" w:sz="8" w:space="0"/>
              <w:right w:val="single" w:color="auto" w:sz="8" w:space="0"/>
            </w:tcBorders>
            <w:vAlign w:val="center"/>
          </w:tcPr>
          <w:p w14:paraId="0254DCD9">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-16.04</w:t>
            </w:r>
          </w:p>
        </w:tc>
        <w:tc>
          <w:tcPr>
            <w:tcW w:w="2040" w:type="dxa"/>
            <w:tcBorders>
              <w:top w:val="nil"/>
              <w:left w:val="nil"/>
              <w:bottom w:val="single" w:color="auto" w:sz="8" w:space="0"/>
              <w:right w:val="single" w:color="auto" w:sz="8" w:space="0"/>
            </w:tcBorders>
            <w:noWrap/>
            <w:vAlign w:val="center"/>
          </w:tcPr>
          <w:p w14:paraId="3C84AA59">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-2.05%</w:t>
            </w:r>
          </w:p>
        </w:tc>
      </w:tr>
      <w:tr w14:paraId="17E82F4B">
        <w:tblPrEx>
          <w:tblCellMar>
            <w:top w:w="0" w:type="dxa"/>
            <w:left w:w="108" w:type="dxa"/>
            <w:bottom w:w="0" w:type="dxa"/>
            <w:right w:w="108" w:type="dxa"/>
          </w:tblCellMar>
        </w:tblPrEx>
        <w:trPr>
          <w:trHeight w:val="585" w:hRule="atLeast"/>
        </w:trPr>
        <w:tc>
          <w:tcPr>
            <w:tcW w:w="2245" w:type="dxa"/>
            <w:tcBorders>
              <w:top w:val="nil"/>
              <w:left w:val="single" w:color="auto" w:sz="8" w:space="0"/>
              <w:bottom w:val="single" w:color="auto" w:sz="8" w:space="0"/>
              <w:right w:val="nil"/>
            </w:tcBorders>
            <w:vAlign w:val="bottom"/>
          </w:tcPr>
          <w:p w14:paraId="182E8672">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其中：（</w:t>
            </w:r>
            <w:r>
              <w:rPr>
                <w:rStyle w:val="4"/>
                <w:highlight w:val="none"/>
                <w:lang w:val="en-US" w:eastAsia="zh-CN" w:bidi="ar"/>
              </w:rPr>
              <w:t>1）公务用车购置</w:t>
            </w:r>
          </w:p>
        </w:tc>
        <w:tc>
          <w:tcPr>
            <w:tcW w:w="1335" w:type="dxa"/>
            <w:tcBorders>
              <w:top w:val="nil"/>
              <w:left w:val="single" w:color="auto" w:sz="8" w:space="0"/>
              <w:bottom w:val="single" w:color="auto" w:sz="8" w:space="0"/>
              <w:right w:val="nil"/>
            </w:tcBorders>
            <w:vAlign w:val="center"/>
          </w:tcPr>
          <w:p w14:paraId="2390ED11">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92.81</w:t>
            </w:r>
          </w:p>
        </w:tc>
        <w:tc>
          <w:tcPr>
            <w:tcW w:w="1275" w:type="dxa"/>
            <w:tcBorders>
              <w:top w:val="nil"/>
              <w:left w:val="single" w:color="auto" w:sz="8" w:space="0"/>
              <w:bottom w:val="single" w:color="auto" w:sz="8" w:space="0"/>
              <w:right w:val="single" w:color="auto" w:sz="8" w:space="0"/>
            </w:tcBorders>
            <w:vAlign w:val="center"/>
          </w:tcPr>
          <w:p w14:paraId="48CB312A">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76.87</w:t>
            </w:r>
          </w:p>
        </w:tc>
        <w:tc>
          <w:tcPr>
            <w:tcW w:w="1530" w:type="dxa"/>
            <w:tcBorders>
              <w:top w:val="nil"/>
              <w:left w:val="single" w:color="auto" w:sz="8" w:space="0"/>
              <w:bottom w:val="single" w:color="auto" w:sz="8" w:space="0"/>
              <w:right w:val="single" w:color="auto" w:sz="8" w:space="0"/>
            </w:tcBorders>
            <w:vAlign w:val="center"/>
          </w:tcPr>
          <w:p w14:paraId="78A4E815">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-15.94</w:t>
            </w:r>
          </w:p>
        </w:tc>
        <w:tc>
          <w:tcPr>
            <w:tcW w:w="2040" w:type="dxa"/>
            <w:tcBorders>
              <w:top w:val="nil"/>
              <w:left w:val="nil"/>
              <w:bottom w:val="single" w:color="auto" w:sz="8" w:space="0"/>
              <w:right w:val="single" w:color="auto" w:sz="8" w:space="0"/>
            </w:tcBorders>
            <w:noWrap/>
            <w:vAlign w:val="center"/>
          </w:tcPr>
          <w:p w14:paraId="50B1D2FB">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-17.17%</w:t>
            </w:r>
          </w:p>
        </w:tc>
      </w:tr>
      <w:tr w14:paraId="52833F04">
        <w:tblPrEx>
          <w:tblCellMar>
            <w:top w:w="0" w:type="dxa"/>
            <w:left w:w="108" w:type="dxa"/>
            <w:bottom w:w="0" w:type="dxa"/>
            <w:right w:w="108" w:type="dxa"/>
          </w:tblCellMar>
        </w:tblPrEx>
        <w:trPr>
          <w:trHeight w:val="585" w:hRule="atLeast"/>
        </w:trPr>
        <w:tc>
          <w:tcPr>
            <w:tcW w:w="2245" w:type="dxa"/>
            <w:tcBorders>
              <w:top w:val="nil"/>
              <w:left w:val="single" w:color="auto" w:sz="8" w:space="0"/>
              <w:bottom w:val="single" w:color="auto" w:sz="8" w:space="0"/>
              <w:right w:val="nil"/>
            </w:tcBorders>
            <w:vAlign w:val="bottom"/>
          </w:tcPr>
          <w:p w14:paraId="35055B21">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r>
              <w:rPr>
                <w:rStyle w:val="4"/>
                <w:highlight w:val="none"/>
                <w:lang w:val="en-US" w:eastAsia="zh-CN" w:bidi="ar"/>
              </w:rPr>
              <w:t>）公务用车运行维护费</w:t>
            </w:r>
          </w:p>
        </w:tc>
        <w:tc>
          <w:tcPr>
            <w:tcW w:w="1335" w:type="dxa"/>
            <w:tcBorders>
              <w:top w:val="nil"/>
              <w:left w:val="single" w:color="auto" w:sz="8" w:space="0"/>
              <w:bottom w:val="single" w:color="auto" w:sz="8" w:space="0"/>
              <w:right w:val="nil"/>
            </w:tcBorders>
            <w:vAlign w:val="center"/>
          </w:tcPr>
          <w:p w14:paraId="5AD9185E">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
              </w:rPr>
              <w:t>690.33</w:t>
            </w:r>
          </w:p>
        </w:tc>
        <w:tc>
          <w:tcPr>
            <w:tcW w:w="1275" w:type="dxa"/>
            <w:tcBorders>
              <w:top w:val="nil"/>
              <w:left w:val="single" w:color="auto" w:sz="8" w:space="0"/>
              <w:bottom w:val="single" w:color="auto" w:sz="8" w:space="0"/>
              <w:right w:val="single" w:color="auto" w:sz="8" w:space="0"/>
            </w:tcBorders>
            <w:vAlign w:val="center"/>
          </w:tcPr>
          <w:p w14:paraId="3A5AD4EB">
            <w:pPr>
              <w:keepNext w:val="0"/>
              <w:keepLines w:val="0"/>
              <w:widowControl/>
              <w:suppressLineNumbers w:val="0"/>
              <w:jc w:val="center"/>
              <w:textAlignment w:val="center"/>
              <w:rPr>
                <w:rFonts w:hint="default"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690.23</w:t>
            </w:r>
          </w:p>
        </w:tc>
        <w:tc>
          <w:tcPr>
            <w:tcW w:w="1530" w:type="dxa"/>
            <w:tcBorders>
              <w:top w:val="nil"/>
              <w:left w:val="single" w:color="auto" w:sz="8" w:space="0"/>
              <w:bottom w:val="single" w:color="auto" w:sz="8" w:space="0"/>
              <w:right w:val="single" w:color="auto" w:sz="8" w:space="0"/>
            </w:tcBorders>
            <w:vAlign w:val="center"/>
          </w:tcPr>
          <w:p w14:paraId="331523AC">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-0.1</w:t>
            </w:r>
          </w:p>
        </w:tc>
        <w:tc>
          <w:tcPr>
            <w:tcW w:w="2040" w:type="dxa"/>
            <w:tcBorders>
              <w:top w:val="nil"/>
              <w:left w:val="nil"/>
              <w:bottom w:val="single" w:color="auto" w:sz="8" w:space="0"/>
              <w:right w:val="single" w:color="auto" w:sz="8" w:space="0"/>
            </w:tcBorders>
            <w:noWrap/>
            <w:vAlign w:val="center"/>
          </w:tcPr>
          <w:p w14:paraId="7746E7A7">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-0.01%</w:t>
            </w:r>
          </w:p>
        </w:tc>
      </w:tr>
      <w:tr w14:paraId="014E7556">
        <w:tblPrEx>
          <w:tblCellMar>
            <w:top w:w="0" w:type="dxa"/>
            <w:left w:w="108" w:type="dxa"/>
            <w:bottom w:w="0" w:type="dxa"/>
            <w:right w:w="108" w:type="dxa"/>
          </w:tblCellMar>
        </w:tblPrEx>
        <w:trPr>
          <w:trHeight w:val="552" w:hRule="atLeast"/>
        </w:trPr>
        <w:tc>
          <w:tcPr>
            <w:tcW w:w="2245" w:type="dxa"/>
            <w:tcBorders>
              <w:top w:val="nil"/>
              <w:left w:val="single" w:color="auto" w:sz="8" w:space="0"/>
              <w:bottom w:val="single" w:color="auto" w:sz="8" w:space="0"/>
              <w:right w:val="nil"/>
            </w:tcBorders>
            <w:vAlign w:val="bottom"/>
          </w:tcPr>
          <w:p w14:paraId="764FE30D">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（二）相关统计数</w:t>
            </w:r>
          </w:p>
        </w:tc>
        <w:tc>
          <w:tcPr>
            <w:tcW w:w="1335" w:type="dxa"/>
            <w:tcBorders>
              <w:top w:val="nil"/>
              <w:left w:val="single" w:color="auto" w:sz="8" w:space="0"/>
              <w:bottom w:val="single" w:color="auto" w:sz="8" w:space="0"/>
              <w:right w:val="nil"/>
            </w:tcBorders>
            <w:vAlign w:val="bottom"/>
          </w:tcPr>
          <w:p w14:paraId="2E25252E">
            <w:pPr>
              <w:jc w:val="center"/>
              <w:rPr>
                <w:highlight w:val="none"/>
              </w:rPr>
            </w:pPr>
          </w:p>
        </w:tc>
        <w:tc>
          <w:tcPr>
            <w:tcW w:w="1275" w:type="dxa"/>
            <w:tcBorders>
              <w:top w:val="nil"/>
              <w:left w:val="single" w:color="auto" w:sz="8" w:space="0"/>
              <w:bottom w:val="single" w:color="auto" w:sz="8" w:space="0"/>
              <w:right w:val="single" w:color="auto" w:sz="8" w:space="0"/>
            </w:tcBorders>
            <w:vAlign w:val="bottom"/>
          </w:tcPr>
          <w:p w14:paraId="13CB713D">
            <w:pPr>
              <w:jc w:val="center"/>
              <w:rPr>
                <w:rFonts w:ascii="Arial" w:hAnsi="Arial" w:cs="Arial"/>
                <w:color w:val="000000"/>
                <w:kern w:val="0"/>
                <w:szCs w:val="21"/>
                <w:highlight w:val="none"/>
              </w:rPr>
            </w:pPr>
          </w:p>
        </w:tc>
        <w:tc>
          <w:tcPr>
            <w:tcW w:w="1530" w:type="dxa"/>
            <w:tcBorders>
              <w:top w:val="nil"/>
              <w:left w:val="single" w:color="auto" w:sz="8" w:space="0"/>
              <w:bottom w:val="single" w:color="auto" w:sz="8" w:space="0"/>
              <w:right w:val="single" w:color="auto" w:sz="8" w:space="0"/>
            </w:tcBorders>
            <w:vAlign w:val="center"/>
          </w:tcPr>
          <w:p w14:paraId="5B7F06D2">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0</w:t>
            </w:r>
          </w:p>
        </w:tc>
        <w:tc>
          <w:tcPr>
            <w:tcW w:w="2040" w:type="dxa"/>
            <w:tcBorders>
              <w:top w:val="nil"/>
              <w:left w:val="nil"/>
              <w:bottom w:val="single" w:color="auto" w:sz="8" w:space="0"/>
              <w:right w:val="single" w:color="auto" w:sz="8" w:space="0"/>
            </w:tcBorders>
            <w:vAlign w:val="center"/>
          </w:tcPr>
          <w:p w14:paraId="6C1B5C81">
            <w:pPr>
              <w:keepNext w:val="0"/>
              <w:keepLines w:val="0"/>
              <w:widowControl/>
              <w:suppressLineNumbers w:val="0"/>
              <w:tabs>
                <w:tab w:val="center" w:pos="912"/>
              </w:tabs>
              <w:jc w:val="left"/>
              <w:textAlignment w:val="center"/>
              <w:rPr>
                <w:rFonts w:hint="eastAsia" w:ascii="Arial" w:hAnsi="Arial" w:cs="Arial"/>
                <w:color w:val="000000"/>
                <w:kern w:val="0"/>
                <w:szCs w:val="21"/>
                <w:highlight w:val="none"/>
                <w:lang w:val="en-US" w:eastAsia="zh-CN"/>
              </w:rPr>
            </w:pPr>
          </w:p>
        </w:tc>
      </w:tr>
      <w:tr w14:paraId="47B01D7F">
        <w:tblPrEx>
          <w:tblCellMar>
            <w:top w:w="0" w:type="dxa"/>
            <w:left w:w="108" w:type="dxa"/>
            <w:bottom w:w="0" w:type="dxa"/>
            <w:right w:w="108" w:type="dxa"/>
          </w:tblCellMar>
        </w:tblPrEx>
        <w:trPr>
          <w:trHeight w:val="570" w:hRule="atLeast"/>
        </w:trPr>
        <w:tc>
          <w:tcPr>
            <w:tcW w:w="2245" w:type="dxa"/>
            <w:tcBorders>
              <w:top w:val="nil"/>
              <w:left w:val="single" w:color="auto" w:sz="8" w:space="0"/>
              <w:bottom w:val="single" w:color="auto" w:sz="8" w:space="0"/>
              <w:right w:val="nil"/>
            </w:tcBorders>
            <w:vAlign w:val="bottom"/>
          </w:tcPr>
          <w:p w14:paraId="6F49523F">
            <w:pPr>
              <w:keepNext w:val="0"/>
              <w:keepLines w:val="0"/>
              <w:widowControl/>
              <w:suppressLineNumbers w:val="0"/>
              <w:jc w:val="left"/>
              <w:textAlignment w:val="bottom"/>
              <w:rPr>
                <w:rFonts w:ascii="宋体" w:cs="宋体"/>
                <w:color w:val="000000"/>
                <w:kern w:val="0"/>
                <w:sz w:val="22"/>
                <w:szCs w:val="22"/>
                <w:highlight w:val="none"/>
              </w:rPr>
            </w:pPr>
            <w:r>
              <w:rPr>
                <w:rFonts w:hint="eastAsia" w:ascii="宋体" w:hAnsi="宋体" w:eastAsia="宋体" w:cs="宋体"/>
                <w:i w:val="0"/>
                <w:color w:val="000000"/>
                <w:kern w:val="0"/>
                <w:sz w:val="22"/>
                <w:szCs w:val="22"/>
                <w:highlight w:val="none"/>
                <w:u w:val="none"/>
                <w:lang w:val="en-US" w:eastAsia="zh-CN" w:bidi="ar"/>
              </w:rPr>
              <w:t xml:space="preserve">  1．因公出国（境）团组数（个）</w:t>
            </w:r>
          </w:p>
        </w:tc>
        <w:tc>
          <w:tcPr>
            <w:tcW w:w="1335" w:type="dxa"/>
            <w:tcBorders>
              <w:top w:val="nil"/>
              <w:left w:val="single" w:color="auto" w:sz="8" w:space="0"/>
              <w:bottom w:val="single" w:color="auto" w:sz="8" w:space="0"/>
              <w:right w:val="nil"/>
            </w:tcBorders>
            <w:vAlign w:val="bottom"/>
          </w:tcPr>
          <w:p w14:paraId="4A9CDF9F">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0</w:t>
            </w:r>
          </w:p>
        </w:tc>
        <w:tc>
          <w:tcPr>
            <w:tcW w:w="1275" w:type="dxa"/>
            <w:tcBorders>
              <w:top w:val="nil"/>
              <w:left w:val="single" w:color="auto" w:sz="8" w:space="0"/>
              <w:bottom w:val="single" w:color="auto" w:sz="8" w:space="0"/>
              <w:right w:val="single" w:color="auto" w:sz="8" w:space="0"/>
            </w:tcBorders>
            <w:vAlign w:val="bottom"/>
          </w:tcPr>
          <w:p w14:paraId="409982A0">
            <w:pPr>
              <w:keepNext w:val="0"/>
              <w:keepLines w:val="0"/>
              <w:widowControl/>
              <w:suppressLineNumbers w:val="0"/>
              <w:jc w:val="center"/>
              <w:textAlignment w:val="bottom"/>
              <w:rPr>
                <w:rFonts w:hint="eastAsia" w:ascii="Arial" w:hAnsi="Arial" w:eastAsia="宋体" w:cs="Arial"/>
                <w:color w:val="000000"/>
                <w:kern w:val="0"/>
                <w:szCs w:val="21"/>
                <w:highlight w:val="none"/>
                <w:lang w:val="en-US" w:eastAsia="zh-CN"/>
              </w:rPr>
            </w:pPr>
            <w:r>
              <w:rPr>
                <w:rFonts w:hint="eastAsia" w:ascii="Arial" w:hAnsi="Arial" w:cs="Arial"/>
                <w:color w:val="000000"/>
                <w:kern w:val="0"/>
                <w:szCs w:val="21"/>
                <w:highlight w:val="none"/>
                <w:lang w:val="en-US" w:eastAsia="zh-CN"/>
              </w:rPr>
              <w:t>2</w:t>
            </w:r>
          </w:p>
        </w:tc>
        <w:tc>
          <w:tcPr>
            <w:tcW w:w="1530" w:type="dxa"/>
            <w:tcBorders>
              <w:top w:val="nil"/>
              <w:left w:val="single" w:color="auto" w:sz="8" w:space="0"/>
              <w:bottom w:val="single" w:color="auto" w:sz="8" w:space="0"/>
              <w:right w:val="single" w:color="auto" w:sz="8" w:space="0"/>
            </w:tcBorders>
            <w:vAlign w:val="center"/>
          </w:tcPr>
          <w:p w14:paraId="1D25E5A4">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2</w:t>
            </w:r>
          </w:p>
        </w:tc>
        <w:tc>
          <w:tcPr>
            <w:tcW w:w="2040" w:type="dxa"/>
            <w:tcBorders>
              <w:top w:val="nil"/>
              <w:left w:val="nil"/>
              <w:bottom w:val="single" w:color="auto" w:sz="8" w:space="0"/>
              <w:right w:val="single" w:color="auto" w:sz="8" w:space="0"/>
            </w:tcBorders>
            <w:vAlign w:val="center"/>
          </w:tcPr>
          <w:p w14:paraId="0FA721A2">
            <w:pPr>
              <w:keepNext w:val="0"/>
              <w:keepLines w:val="0"/>
              <w:widowControl/>
              <w:suppressLineNumbers w:val="0"/>
              <w:jc w:val="left"/>
              <w:textAlignment w:val="center"/>
              <w:rPr>
                <w:rFonts w:hint="default" w:ascii="Arial" w:hAnsi="Arial" w:cs="Arial"/>
                <w:color w:val="000000"/>
                <w:kern w:val="0"/>
                <w:szCs w:val="21"/>
                <w:highlight w:val="none"/>
                <w:lang w:val="en-US" w:eastAsia="zh-CN"/>
              </w:rPr>
            </w:pPr>
          </w:p>
        </w:tc>
      </w:tr>
      <w:tr w14:paraId="7608FF58">
        <w:tblPrEx>
          <w:tblCellMar>
            <w:top w:w="0" w:type="dxa"/>
            <w:left w:w="108" w:type="dxa"/>
            <w:bottom w:w="0" w:type="dxa"/>
            <w:right w:w="108" w:type="dxa"/>
          </w:tblCellMar>
        </w:tblPrEx>
        <w:trPr>
          <w:trHeight w:val="570" w:hRule="atLeast"/>
        </w:trPr>
        <w:tc>
          <w:tcPr>
            <w:tcW w:w="2245" w:type="dxa"/>
            <w:tcBorders>
              <w:top w:val="nil"/>
              <w:left w:val="single" w:color="auto" w:sz="8" w:space="0"/>
              <w:bottom w:val="single" w:color="auto" w:sz="8" w:space="0"/>
              <w:right w:val="nil"/>
            </w:tcBorders>
            <w:vAlign w:val="bottom"/>
          </w:tcPr>
          <w:p w14:paraId="4648C731">
            <w:pPr>
              <w:keepNext w:val="0"/>
              <w:keepLines w:val="0"/>
              <w:widowControl/>
              <w:suppressLineNumbers w:val="0"/>
              <w:jc w:val="left"/>
              <w:textAlignment w:val="bottom"/>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 xml:space="preserve">  2．因公出国（境）人次数（人）</w:t>
            </w:r>
          </w:p>
        </w:tc>
        <w:tc>
          <w:tcPr>
            <w:tcW w:w="1335" w:type="dxa"/>
            <w:tcBorders>
              <w:top w:val="nil"/>
              <w:left w:val="single" w:color="auto" w:sz="8" w:space="0"/>
              <w:bottom w:val="single" w:color="auto" w:sz="8" w:space="0"/>
              <w:right w:val="nil"/>
            </w:tcBorders>
            <w:vAlign w:val="bottom"/>
          </w:tcPr>
          <w:p w14:paraId="5E0B3877">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2</w:t>
            </w:r>
          </w:p>
        </w:tc>
        <w:tc>
          <w:tcPr>
            <w:tcW w:w="1275" w:type="dxa"/>
            <w:tcBorders>
              <w:top w:val="nil"/>
              <w:left w:val="single" w:color="auto" w:sz="8" w:space="0"/>
              <w:bottom w:val="single" w:color="auto" w:sz="8" w:space="0"/>
              <w:right w:val="single" w:color="auto" w:sz="8" w:space="0"/>
            </w:tcBorders>
            <w:vAlign w:val="bottom"/>
          </w:tcPr>
          <w:p w14:paraId="650C11B3">
            <w:pPr>
              <w:keepNext w:val="0"/>
              <w:keepLines w:val="0"/>
              <w:widowControl/>
              <w:suppressLineNumbers w:val="0"/>
              <w:jc w:val="center"/>
              <w:textAlignment w:val="bottom"/>
              <w:rPr>
                <w:rFonts w:hint="default" w:ascii="Arial" w:hAnsi="Arial" w:eastAsia="宋体" w:cs="Arial"/>
                <w:color w:val="000000"/>
                <w:kern w:val="0"/>
                <w:sz w:val="18"/>
                <w:szCs w:val="18"/>
                <w:highlight w:val="none"/>
                <w:lang w:val="en-US" w:eastAsia="zh-CN"/>
              </w:rPr>
            </w:pPr>
            <w:r>
              <w:rPr>
                <w:rFonts w:hint="eastAsia" w:ascii="Arial" w:hAnsi="Arial" w:cs="Arial"/>
                <w:color w:val="000000"/>
                <w:kern w:val="0"/>
                <w:sz w:val="18"/>
                <w:szCs w:val="18"/>
                <w:highlight w:val="none"/>
                <w:lang w:val="en-US" w:eastAsia="zh-CN"/>
              </w:rPr>
              <w:t>11</w:t>
            </w:r>
          </w:p>
        </w:tc>
        <w:tc>
          <w:tcPr>
            <w:tcW w:w="1530" w:type="dxa"/>
            <w:tcBorders>
              <w:top w:val="nil"/>
              <w:left w:val="single" w:color="auto" w:sz="8" w:space="0"/>
              <w:bottom w:val="single" w:color="auto" w:sz="8" w:space="0"/>
              <w:right w:val="single" w:color="auto" w:sz="8" w:space="0"/>
            </w:tcBorders>
            <w:vAlign w:val="center"/>
          </w:tcPr>
          <w:p w14:paraId="2DCE46F4">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9</w:t>
            </w:r>
          </w:p>
        </w:tc>
        <w:tc>
          <w:tcPr>
            <w:tcW w:w="2040" w:type="dxa"/>
            <w:tcBorders>
              <w:top w:val="nil"/>
              <w:left w:val="nil"/>
              <w:bottom w:val="single" w:color="auto" w:sz="8" w:space="0"/>
              <w:right w:val="single" w:color="auto" w:sz="8" w:space="0"/>
            </w:tcBorders>
            <w:vAlign w:val="center"/>
          </w:tcPr>
          <w:p w14:paraId="51832110">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450.00%</w:t>
            </w:r>
          </w:p>
        </w:tc>
      </w:tr>
      <w:tr w14:paraId="0989151D">
        <w:tblPrEx>
          <w:tblCellMar>
            <w:top w:w="0" w:type="dxa"/>
            <w:left w:w="108" w:type="dxa"/>
            <w:bottom w:w="0" w:type="dxa"/>
            <w:right w:w="108" w:type="dxa"/>
          </w:tblCellMar>
        </w:tblPrEx>
        <w:trPr>
          <w:trHeight w:val="570" w:hRule="atLeast"/>
        </w:trPr>
        <w:tc>
          <w:tcPr>
            <w:tcW w:w="2245" w:type="dxa"/>
            <w:tcBorders>
              <w:top w:val="nil"/>
              <w:left w:val="single" w:color="auto" w:sz="8" w:space="0"/>
              <w:bottom w:val="single" w:color="auto" w:sz="8" w:space="0"/>
              <w:right w:val="nil"/>
            </w:tcBorders>
            <w:vAlign w:val="bottom"/>
          </w:tcPr>
          <w:p w14:paraId="7F6D56C7">
            <w:pPr>
              <w:keepNext w:val="0"/>
              <w:keepLines w:val="0"/>
              <w:widowControl/>
              <w:suppressLineNumbers w:val="0"/>
              <w:jc w:val="both"/>
              <w:textAlignment w:val="bottom"/>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 xml:space="preserve">  3．公务用车购置数（辆）</w:t>
            </w:r>
          </w:p>
        </w:tc>
        <w:tc>
          <w:tcPr>
            <w:tcW w:w="1335" w:type="dxa"/>
            <w:tcBorders>
              <w:top w:val="nil"/>
              <w:left w:val="single" w:color="auto" w:sz="8" w:space="0"/>
              <w:bottom w:val="single" w:color="auto" w:sz="8" w:space="0"/>
              <w:right w:val="nil"/>
            </w:tcBorders>
            <w:vAlign w:val="bottom"/>
          </w:tcPr>
          <w:p w14:paraId="4857D1E1">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4</w:t>
            </w:r>
          </w:p>
        </w:tc>
        <w:tc>
          <w:tcPr>
            <w:tcW w:w="1275" w:type="dxa"/>
            <w:tcBorders>
              <w:top w:val="nil"/>
              <w:left w:val="single" w:color="auto" w:sz="8" w:space="0"/>
              <w:bottom w:val="single" w:color="auto" w:sz="8" w:space="0"/>
              <w:right w:val="single" w:color="auto" w:sz="8" w:space="0"/>
            </w:tcBorders>
            <w:vAlign w:val="bottom"/>
          </w:tcPr>
          <w:p w14:paraId="0BA3CD9C">
            <w:pPr>
              <w:keepNext w:val="0"/>
              <w:keepLines w:val="0"/>
              <w:widowControl/>
              <w:suppressLineNumbers w:val="0"/>
              <w:jc w:val="center"/>
              <w:textAlignment w:val="bottom"/>
              <w:rPr>
                <w:rFonts w:hint="eastAsia" w:ascii="Arial" w:hAnsi="Arial" w:eastAsia="宋体" w:cs="Arial"/>
                <w:color w:val="000000"/>
                <w:kern w:val="0"/>
                <w:sz w:val="18"/>
                <w:szCs w:val="18"/>
                <w:highlight w:val="none"/>
                <w:lang w:val="en-US" w:eastAsia="zh-CN"/>
              </w:rPr>
            </w:pPr>
            <w:r>
              <w:rPr>
                <w:rFonts w:hint="eastAsia" w:ascii="Arial" w:hAnsi="Arial" w:cs="Arial"/>
                <w:color w:val="000000"/>
                <w:kern w:val="0"/>
                <w:sz w:val="18"/>
                <w:szCs w:val="18"/>
                <w:highlight w:val="none"/>
                <w:lang w:val="en-US" w:eastAsia="zh-CN"/>
              </w:rPr>
              <w:t>5</w:t>
            </w:r>
          </w:p>
        </w:tc>
        <w:tc>
          <w:tcPr>
            <w:tcW w:w="1530" w:type="dxa"/>
            <w:tcBorders>
              <w:top w:val="nil"/>
              <w:left w:val="single" w:color="auto" w:sz="8" w:space="0"/>
              <w:bottom w:val="single" w:color="auto" w:sz="8" w:space="0"/>
              <w:right w:val="single" w:color="auto" w:sz="8" w:space="0"/>
            </w:tcBorders>
            <w:vAlign w:val="center"/>
          </w:tcPr>
          <w:p w14:paraId="4D1C8650">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w:t>
            </w:r>
          </w:p>
        </w:tc>
        <w:tc>
          <w:tcPr>
            <w:tcW w:w="2040" w:type="dxa"/>
            <w:tcBorders>
              <w:top w:val="nil"/>
              <w:left w:val="nil"/>
              <w:bottom w:val="single" w:color="auto" w:sz="8" w:space="0"/>
              <w:right w:val="single" w:color="auto" w:sz="8" w:space="0"/>
            </w:tcBorders>
            <w:vAlign w:val="center"/>
          </w:tcPr>
          <w:p w14:paraId="5C2DC4E8">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25.00%</w:t>
            </w:r>
          </w:p>
        </w:tc>
      </w:tr>
      <w:tr w14:paraId="5B975941">
        <w:tblPrEx>
          <w:tblCellMar>
            <w:top w:w="0" w:type="dxa"/>
            <w:left w:w="108" w:type="dxa"/>
            <w:bottom w:w="0" w:type="dxa"/>
            <w:right w:w="108" w:type="dxa"/>
          </w:tblCellMar>
        </w:tblPrEx>
        <w:trPr>
          <w:trHeight w:val="570" w:hRule="atLeast"/>
        </w:trPr>
        <w:tc>
          <w:tcPr>
            <w:tcW w:w="2245" w:type="dxa"/>
            <w:tcBorders>
              <w:top w:val="nil"/>
              <w:left w:val="single" w:color="auto" w:sz="8" w:space="0"/>
              <w:bottom w:val="single" w:color="auto" w:sz="8" w:space="0"/>
              <w:right w:val="nil"/>
            </w:tcBorders>
            <w:vAlign w:val="bottom"/>
          </w:tcPr>
          <w:p w14:paraId="4EE9EBD4">
            <w:pPr>
              <w:keepNext w:val="0"/>
              <w:keepLines w:val="0"/>
              <w:widowControl/>
              <w:suppressLineNumbers w:val="0"/>
              <w:jc w:val="both"/>
              <w:textAlignment w:val="bottom"/>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 xml:space="preserve">  4．公务用车保有量（辆）</w:t>
            </w:r>
          </w:p>
        </w:tc>
        <w:tc>
          <w:tcPr>
            <w:tcW w:w="1335" w:type="dxa"/>
            <w:tcBorders>
              <w:top w:val="nil"/>
              <w:left w:val="single" w:color="auto" w:sz="8" w:space="0"/>
              <w:bottom w:val="single" w:color="auto" w:sz="8" w:space="0"/>
              <w:right w:val="nil"/>
            </w:tcBorders>
            <w:vAlign w:val="bottom"/>
          </w:tcPr>
          <w:p w14:paraId="59301002">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356</w:t>
            </w:r>
          </w:p>
        </w:tc>
        <w:tc>
          <w:tcPr>
            <w:tcW w:w="1275" w:type="dxa"/>
            <w:tcBorders>
              <w:top w:val="nil"/>
              <w:left w:val="single" w:color="auto" w:sz="8" w:space="0"/>
              <w:bottom w:val="single" w:color="auto" w:sz="8" w:space="0"/>
              <w:right w:val="single" w:color="auto" w:sz="8" w:space="0"/>
            </w:tcBorders>
            <w:vAlign w:val="bottom"/>
          </w:tcPr>
          <w:p w14:paraId="754DC607">
            <w:pPr>
              <w:keepNext w:val="0"/>
              <w:keepLines w:val="0"/>
              <w:widowControl/>
              <w:suppressLineNumbers w:val="0"/>
              <w:jc w:val="center"/>
              <w:textAlignment w:val="bottom"/>
              <w:rPr>
                <w:rFonts w:hint="default" w:ascii="Arial" w:hAnsi="Arial" w:eastAsia="宋体" w:cs="Arial"/>
                <w:color w:val="000000"/>
                <w:kern w:val="0"/>
                <w:sz w:val="18"/>
                <w:szCs w:val="18"/>
                <w:highlight w:val="none"/>
                <w:lang w:val="en-US" w:eastAsia="zh-CN"/>
              </w:rPr>
            </w:pPr>
            <w:r>
              <w:rPr>
                <w:rFonts w:hint="eastAsia" w:ascii="Arial" w:hAnsi="Arial" w:cs="Arial"/>
                <w:color w:val="000000"/>
                <w:kern w:val="0"/>
                <w:sz w:val="18"/>
                <w:szCs w:val="18"/>
                <w:highlight w:val="none"/>
                <w:lang w:val="en-US" w:eastAsia="zh-CN"/>
              </w:rPr>
              <w:t>338</w:t>
            </w:r>
          </w:p>
        </w:tc>
        <w:tc>
          <w:tcPr>
            <w:tcW w:w="1530" w:type="dxa"/>
            <w:tcBorders>
              <w:top w:val="nil"/>
              <w:left w:val="single" w:color="auto" w:sz="8" w:space="0"/>
              <w:bottom w:val="single" w:color="auto" w:sz="8" w:space="0"/>
              <w:right w:val="single" w:color="auto" w:sz="8" w:space="0"/>
            </w:tcBorders>
            <w:vAlign w:val="center"/>
          </w:tcPr>
          <w:p w14:paraId="561EB139">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-18</w:t>
            </w:r>
          </w:p>
        </w:tc>
        <w:tc>
          <w:tcPr>
            <w:tcW w:w="2040" w:type="dxa"/>
            <w:tcBorders>
              <w:top w:val="nil"/>
              <w:left w:val="nil"/>
              <w:bottom w:val="single" w:color="auto" w:sz="8" w:space="0"/>
              <w:right w:val="single" w:color="auto" w:sz="8" w:space="0"/>
            </w:tcBorders>
            <w:vAlign w:val="center"/>
          </w:tcPr>
          <w:p w14:paraId="78F33BFD">
            <w:pPr>
              <w:keepNext w:val="0"/>
              <w:keepLines w:val="0"/>
              <w:widowControl/>
              <w:suppressLineNumbers w:val="0"/>
              <w:jc w:val="right"/>
              <w:textAlignment w:val="center"/>
              <w:rPr>
                <w:rFonts w:hint="default" w:ascii="Arial" w:hAnsi="Arial" w:cs="Arial"/>
                <w:color w:val="000000"/>
                <w:kern w:val="0"/>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-5.06%</w:t>
            </w:r>
          </w:p>
        </w:tc>
      </w:tr>
      <w:tr w14:paraId="47B2F828">
        <w:tblPrEx>
          <w:tblCellMar>
            <w:top w:w="0" w:type="dxa"/>
            <w:left w:w="108" w:type="dxa"/>
            <w:bottom w:w="0" w:type="dxa"/>
            <w:right w:w="108" w:type="dxa"/>
          </w:tblCellMar>
        </w:tblPrEx>
        <w:trPr>
          <w:trHeight w:val="570" w:hRule="atLeast"/>
        </w:trPr>
        <w:tc>
          <w:tcPr>
            <w:tcW w:w="2245" w:type="dxa"/>
            <w:tcBorders>
              <w:top w:val="nil"/>
              <w:left w:val="single" w:color="auto" w:sz="8" w:space="0"/>
              <w:bottom w:val="single" w:color="auto" w:sz="8" w:space="0"/>
              <w:right w:val="nil"/>
            </w:tcBorders>
            <w:vAlign w:val="bottom"/>
          </w:tcPr>
          <w:p w14:paraId="17F03568">
            <w:pPr>
              <w:keepNext w:val="0"/>
              <w:keepLines w:val="0"/>
              <w:widowControl/>
              <w:suppressLineNumbers w:val="0"/>
              <w:jc w:val="both"/>
              <w:textAlignment w:val="bottom"/>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 xml:space="preserve">  5．国内公务接待批次（个）</w:t>
            </w:r>
          </w:p>
        </w:tc>
        <w:tc>
          <w:tcPr>
            <w:tcW w:w="1335" w:type="dxa"/>
            <w:tcBorders>
              <w:top w:val="nil"/>
              <w:left w:val="single" w:color="auto" w:sz="8" w:space="0"/>
              <w:bottom w:val="single" w:color="auto" w:sz="8" w:space="0"/>
              <w:right w:val="nil"/>
            </w:tcBorders>
            <w:vAlign w:val="bottom"/>
          </w:tcPr>
          <w:p w14:paraId="727D2A97">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3171</w:t>
            </w:r>
          </w:p>
        </w:tc>
        <w:tc>
          <w:tcPr>
            <w:tcW w:w="1275" w:type="dxa"/>
            <w:tcBorders>
              <w:top w:val="nil"/>
              <w:left w:val="single" w:color="auto" w:sz="8" w:space="0"/>
              <w:bottom w:val="single" w:color="auto" w:sz="8" w:space="0"/>
              <w:right w:val="single" w:color="auto" w:sz="8" w:space="0"/>
            </w:tcBorders>
            <w:vAlign w:val="bottom"/>
          </w:tcPr>
          <w:p w14:paraId="6929A9C6">
            <w:pPr>
              <w:keepNext w:val="0"/>
              <w:keepLines w:val="0"/>
              <w:widowControl/>
              <w:suppressLineNumbers w:val="0"/>
              <w:jc w:val="center"/>
              <w:textAlignment w:val="bottom"/>
              <w:rPr>
                <w:rFonts w:hint="default" w:ascii="Arial" w:hAnsi="Arial" w:eastAsia="宋体" w:cs="Arial"/>
                <w:color w:val="000000"/>
                <w:kern w:val="0"/>
                <w:sz w:val="18"/>
                <w:szCs w:val="18"/>
                <w:highlight w:val="none"/>
                <w:lang w:val="en-US" w:eastAsia="zh-CN"/>
              </w:rPr>
            </w:pPr>
            <w:r>
              <w:rPr>
                <w:rFonts w:hint="eastAsia" w:ascii="Arial" w:hAnsi="Arial" w:cs="Arial"/>
                <w:color w:val="000000"/>
                <w:kern w:val="0"/>
                <w:sz w:val="18"/>
                <w:szCs w:val="18"/>
                <w:highlight w:val="none"/>
                <w:lang w:val="en-US" w:eastAsia="zh-CN"/>
              </w:rPr>
              <w:t>2505</w:t>
            </w:r>
          </w:p>
        </w:tc>
        <w:tc>
          <w:tcPr>
            <w:tcW w:w="1530" w:type="dxa"/>
            <w:tcBorders>
              <w:top w:val="nil"/>
              <w:left w:val="single" w:color="auto" w:sz="8" w:space="0"/>
              <w:bottom w:val="single" w:color="auto" w:sz="8" w:space="0"/>
              <w:right w:val="single" w:color="auto" w:sz="8" w:space="0"/>
            </w:tcBorders>
            <w:vAlign w:val="center"/>
          </w:tcPr>
          <w:p w14:paraId="3869CCB9">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-666</w:t>
            </w:r>
          </w:p>
        </w:tc>
        <w:tc>
          <w:tcPr>
            <w:tcW w:w="2040" w:type="dxa"/>
            <w:tcBorders>
              <w:top w:val="nil"/>
              <w:left w:val="nil"/>
              <w:bottom w:val="single" w:color="auto" w:sz="8" w:space="0"/>
              <w:right w:val="single" w:color="auto" w:sz="8" w:space="0"/>
            </w:tcBorders>
            <w:vAlign w:val="center"/>
          </w:tcPr>
          <w:p w14:paraId="7F45D232">
            <w:pPr>
              <w:keepNext w:val="0"/>
              <w:keepLines w:val="0"/>
              <w:widowControl/>
              <w:suppressLineNumbers w:val="0"/>
              <w:jc w:val="right"/>
              <w:textAlignment w:val="center"/>
              <w:rPr>
                <w:rFonts w:hint="default" w:ascii="Arial" w:hAnsi="Arial" w:cs="Arial"/>
                <w:color w:val="000000"/>
                <w:kern w:val="0"/>
                <w:highlight w:val="none"/>
                <w:lang w:val="en-US" w:eastAsia="zh-CN"/>
              </w:rPr>
            </w:pPr>
            <w:r>
              <w:rPr>
                <w:rFonts w:hint="eastAsia" w:ascii="宋体" w:hAnsi="宋体" w:eastAsia="宋体" w:cs="宋体"/>
                <w:i w:val="0"/>
                <w:iCs w:val="0"/>
                <w:color w:val="000000"/>
                <w:kern w:val="0"/>
                <w:sz w:val="22"/>
                <w:szCs w:val="22"/>
                <w:u w:val="none"/>
                <w:lang w:val="en-US" w:eastAsia="zh-CN" w:bidi="ar"/>
              </w:rPr>
              <w:t>-21.00%</w:t>
            </w:r>
          </w:p>
        </w:tc>
      </w:tr>
      <w:tr w14:paraId="679E29EF">
        <w:tblPrEx>
          <w:tblCellMar>
            <w:top w:w="0" w:type="dxa"/>
            <w:left w:w="108" w:type="dxa"/>
            <w:bottom w:w="0" w:type="dxa"/>
            <w:right w:w="108" w:type="dxa"/>
          </w:tblCellMar>
        </w:tblPrEx>
        <w:trPr>
          <w:trHeight w:val="555" w:hRule="atLeast"/>
        </w:trPr>
        <w:tc>
          <w:tcPr>
            <w:tcW w:w="2245" w:type="dxa"/>
            <w:tcBorders>
              <w:top w:val="nil"/>
              <w:left w:val="single" w:color="auto" w:sz="8" w:space="0"/>
              <w:bottom w:val="single" w:color="auto" w:sz="8" w:space="0"/>
              <w:right w:val="single" w:color="auto" w:sz="8" w:space="0"/>
            </w:tcBorders>
            <w:vAlign w:val="top"/>
          </w:tcPr>
          <w:p w14:paraId="21B266E3">
            <w:pPr>
              <w:keepNext w:val="0"/>
              <w:keepLines w:val="0"/>
              <w:widowControl/>
              <w:suppressLineNumbers w:val="0"/>
              <w:jc w:val="left"/>
              <w:textAlignment w:val="top"/>
              <w:rPr>
                <w:rFonts w:ascii="宋体"/>
                <w:color w:val="000000"/>
                <w:kern w:val="0"/>
                <w:sz w:val="22"/>
                <w:highlight w:val="none"/>
              </w:rPr>
            </w:pPr>
            <w:r>
              <w:rPr>
                <w:rFonts w:hint="eastAsia" w:ascii="宋体" w:hAnsi="宋体" w:eastAsia="宋体" w:cs="宋体"/>
                <w:i w:val="0"/>
                <w:color w:val="000000"/>
                <w:kern w:val="0"/>
                <w:sz w:val="22"/>
                <w:szCs w:val="22"/>
                <w:highlight w:val="none"/>
                <w:u w:val="none"/>
                <w:lang w:val="en-US" w:eastAsia="zh-CN" w:bidi="ar"/>
              </w:rPr>
              <w:t xml:space="preserve">  6．国内公务接待人次（人）</w:t>
            </w:r>
          </w:p>
        </w:tc>
        <w:tc>
          <w:tcPr>
            <w:tcW w:w="1335" w:type="dxa"/>
            <w:tcBorders>
              <w:top w:val="nil"/>
              <w:left w:val="single" w:color="auto" w:sz="8" w:space="0"/>
              <w:bottom w:val="single" w:color="auto" w:sz="8" w:space="0"/>
              <w:right w:val="single" w:color="auto" w:sz="8" w:space="0"/>
            </w:tcBorders>
            <w:vAlign w:val="bottom"/>
          </w:tcPr>
          <w:p w14:paraId="4DEF559F">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
              </w:rPr>
              <w:t>40195</w:t>
            </w:r>
          </w:p>
        </w:tc>
        <w:tc>
          <w:tcPr>
            <w:tcW w:w="1275" w:type="dxa"/>
            <w:tcBorders>
              <w:top w:val="nil"/>
              <w:left w:val="nil"/>
              <w:bottom w:val="single" w:color="auto" w:sz="8" w:space="0"/>
              <w:right w:val="single" w:color="auto" w:sz="8" w:space="0"/>
            </w:tcBorders>
            <w:vAlign w:val="bottom"/>
          </w:tcPr>
          <w:p w14:paraId="31166F33">
            <w:pPr>
              <w:keepNext w:val="0"/>
              <w:keepLines w:val="0"/>
              <w:widowControl/>
              <w:suppressLineNumbers w:val="0"/>
              <w:jc w:val="center"/>
              <w:textAlignment w:val="bottom"/>
              <w:rPr>
                <w:rFonts w:hint="default" w:ascii="Arial" w:hAnsi="Arial" w:eastAsia="宋体" w:cs="Arial"/>
                <w:color w:val="000000"/>
                <w:kern w:val="0"/>
                <w:sz w:val="18"/>
                <w:szCs w:val="18"/>
                <w:highlight w:val="none"/>
                <w:lang w:val="en-US" w:eastAsia="zh-CN"/>
              </w:rPr>
            </w:pPr>
            <w:r>
              <w:rPr>
                <w:rFonts w:hint="eastAsia" w:ascii="Arial" w:hAnsi="Arial" w:cs="Arial"/>
                <w:color w:val="000000"/>
                <w:kern w:val="0"/>
                <w:sz w:val="18"/>
                <w:szCs w:val="18"/>
                <w:highlight w:val="none"/>
                <w:lang w:val="en-US" w:eastAsia="zh-CN"/>
              </w:rPr>
              <w:t>29306</w:t>
            </w:r>
          </w:p>
        </w:tc>
        <w:tc>
          <w:tcPr>
            <w:tcW w:w="1530" w:type="dxa"/>
            <w:tcBorders>
              <w:top w:val="nil"/>
              <w:left w:val="nil"/>
              <w:bottom w:val="single" w:color="auto" w:sz="8" w:space="0"/>
              <w:right w:val="single" w:color="auto" w:sz="8" w:space="0"/>
            </w:tcBorders>
            <w:vAlign w:val="center"/>
          </w:tcPr>
          <w:p w14:paraId="485B6055">
            <w:pPr>
              <w:keepNext w:val="0"/>
              <w:keepLines w:val="0"/>
              <w:widowControl/>
              <w:suppressLineNumbers w:val="0"/>
              <w:jc w:val="right"/>
              <w:textAlignment w:val="center"/>
              <w:rPr>
                <w:highlight w:val="none"/>
              </w:rPr>
            </w:pPr>
            <w:r>
              <w:rPr>
                <w:rFonts w:hint="eastAsia" w:ascii="宋体" w:hAnsi="宋体" w:eastAsia="宋体" w:cs="宋体"/>
                <w:i w:val="0"/>
                <w:iCs w:val="0"/>
                <w:color w:val="000000"/>
                <w:kern w:val="0"/>
                <w:sz w:val="22"/>
                <w:szCs w:val="22"/>
                <w:u w:val="none"/>
                <w:lang w:val="en-US" w:eastAsia="zh-CN" w:bidi="ar"/>
              </w:rPr>
              <w:t>-10889</w:t>
            </w:r>
          </w:p>
        </w:tc>
        <w:tc>
          <w:tcPr>
            <w:tcW w:w="2040" w:type="dxa"/>
            <w:tcBorders>
              <w:top w:val="nil"/>
              <w:left w:val="nil"/>
              <w:bottom w:val="single" w:color="auto" w:sz="8" w:space="0"/>
              <w:right w:val="single" w:color="auto" w:sz="8" w:space="0"/>
            </w:tcBorders>
            <w:vAlign w:val="center"/>
          </w:tcPr>
          <w:p w14:paraId="38E5A317">
            <w:pPr>
              <w:keepNext w:val="0"/>
              <w:keepLines w:val="0"/>
              <w:widowControl/>
              <w:suppressLineNumbers w:val="0"/>
              <w:jc w:val="right"/>
              <w:textAlignment w:val="center"/>
              <w:rPr>
                <w:rFonts w:hint="default" w:ascii="Arial" w:hAnsi="Arial" w:cs="Arial"/>
                <w:color w:val="000000"/>
                <w:kern w:val="0"/>
                <w:highlight w:val="none"/>
                <w:lang w:val="en-US" w:eastAsia="zh-CN"/>
              </w:rPr>
            </w:pPr>
            <w:r>
              <w:rPr>
                <w:rFonts w:hint="eastAsia" w:ascii="宋体" w:hAnsi="宋体" w:eastAsia="宋体" w:cs="宋体"/>
                <w:i w:val="0"/>
                <w:iCs w:val="0"/>
                <w:color w:val="000000"/>
                <w:kern w:val="0"/>
                <w:sz w:val="22"/>
                <w:szCs w:val="22"/>
                <w:u w:val="none"/>
                <w:lang w:val="en-US" w:eastAsia="zh-CN" w:bidi="ar"/>
              </w:rPr>
              <w:t>-27.09%</w:t>
            </w:r>
          </w:p>
        </w:tc>
      </w:tr>
    </w:tbl>
    <w:p w14:paraId="052DA8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“三公”经费口径说明</w:t>
      </w:r>
    </w:p>
    <w:p w14:paraId="71DBB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一、按照党中央、国务院有关文件及部门预算管理有关规定，“三公”经费包括因公出国（境）费、公务用车购置及运行维护费和公务接侍费。</w:t>
      </w:r>
    </w:p>
    <w:p w14:paraId="5DBD26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 xml:space="preserve">因公出国（境）费，指单位公务出国（境）的国际旅费、国外城市间交通费、住宿费、伙食费、培训费、公杂费等支出。  </w:t>
      </w:r>
    </w:p>
    <w:p w14:paraId="32A903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 xml:space="preserve">公务用车购置费，指公务用车购置支出（含车辆购置税、拍照费）；公务用车运行维护费，指单位按规定保留的公务用车燃料费、维修费、过路过桥费、保险费、安全奖励费用等支出。 </w:t>
      </w:r>
    </w:p>
    <w:p w14:paraId="54EF92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公务接侍费，指单位按规定开支的各类公务接待（含外宾接待）费用。</w:t>
      </w:r>
    </w:p>
    <w:p w14:paraId="3F9CA5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二、“三公”经费决算数：指各级各部门（含下属单位）用一般公共预算财政拨款（含上年结转结余和当年预算）安排的因公出国（境）费、公务用车购置及运行维护费和公务接待费支出数。</w:t>
      </w:r>
    </w:p>
    <w:p w14:paraId="21A8C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00"/>
        <w:jc w:val="both"/>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pPr>
      <w:r>
        <w:rPr>
          <w:rFonts w:hint="eastAsia" w:ascii="Times New Roman" w:hAnsi="Times New Roman" w:eastAsia="仿宋_GB2312" w:cs="Times New Roman"/>
          <w:i w:val="0"/>
          <w:caps w:val="0"/>
          <w:color w:val="auto"/>
          <w:spacing w:val="0"/>
          <w:kern w:val="0"/>
          <w:sz w:val="30"/>
          <w:szCs w:val="30"/>
          <w:highlight w:val="none"/>
          <w:shd w:val="clear" w:fill="FFFFFF"/>
          <w:lang w:val="en-US" w:eastAsia="zh-CN" w:bidi="ar"/>
        </w:rPr>
        <w:t>三、2024年使用区级财政拨款安排“三公”经费的部门均纳入统计范围。晋宁区区级各部门“三公”经费由各部门在区政府门户网站上与部门决算一起公开。</w:t>
      </w:r>
    </w:p>
    <w:p w14:paraId="6574EAF6">
      <w:pPr>
        <w:tabs>
          <w:tab w:val="center" w:pos="4453"/>
          <w:tab w:val="right" w:pos="8306"/>
        </w:tabs>
        <w:ind w:firstLine="750" w:firstLineChars="250"/>
        <w:jc w:val="right"/>
        <w:rPr>
          <w:rFonts w:hint="eastAsia" w:ascii="仿宋_GB2312" w:eastAsia="仿宋_GB2312" w:cs="仿宋_GB2312"/>
          <w:sz w:val="30"/>
          <w:szCs w:val="30"/>
          <w:highlight w:val="none"/>
        </w:rPr>
      </w:pPr>
    </w:p>
    <w:p w14:paraId="4DA44F33">
      <w:pPr>
        <w:tabs>
          <w:tab w:val="center" w:pos="4453"/>
          <w:tab w:val="right" w:pos="8306"/>
        </w:tabs>
        <w:ind w:firstLine="750" w:firstLineChars="250"/>
        <w:jc w:val="right"/>
        <w:rPr>
          <w:rFonts w:hint="eastAsia" w:ascii="仿宋_GB2312" w:eastAsia="仿宋_GB2312" w:cs="仿宋_GB2312"/>
          <w:sz w:val="30"/>
          <w:szCs w:val="30"/>
          <w:highlight w:val="none"/>
        </w:rPr>
      </w:pPr>
    </w:p>
    <w:p w14:paraId="0199B0E1">
      <w:pPr>
        <w:tabs>
          <w:tab w:val="center" w:pos="4453"/>
          <w:tab w:val="right" w:pos="8306"/>
        </w:tabs>
        <w:ind w:firstLine="750" w:firstLineChars="250"/>
        <w:jc w:val="center"/>
        <w:rPr>
          <w:rFonts w:ascii="仿宋_GB2312" w:eastAsia="仿宋_GB2312"/>
          <w:sz w:val="30"/>
          <w:szCs w:val="30"/>
          <w:highlight w:val="none"/>
        </w:rPr>
      </w:pPr>
      <w:r>
        <w:rPr>
          <w:rFonts w:hint="eastAsia" w:ascii="仿宋_GB2312" w:eastAsia="仿宋_GB2312" w:cs="仿宋_GB2312"/>
          <w:sz w:val="30"/>
          <w:szCs w:val="30"/>
          <w:highlight w:val="none"/>
          <w:lang w:val="en-US" w:eastAsia="zh-CN"/>
        </w:rPr>
        <w:t xml:space="preserve">                                </w:t>
      </w:r>
      <w:r>
        <w:rPr>
          <w:rFonts w:hint="eastAsia" w:ascii="仿宋_GB2312" w:eastAsia="仿宋_GB2312" w:cs="仿宋_GB2312"/>
          <w:sz w:val="30"/>
          <w:szCs w:val="30"/>
          <w:highlight w:val="none"/>
        </w:rPr>
        <w:t>昆明市晋宁区财政局</w:t>
      </w:r>
    </w:p>
    <w:p w14:paraId="247785DC">
      <w:pPr>
        <w:ind w:firstLine="600"/>
        <w:jc w:val="center"/>
        <w:rPr>
          <w:rFonts w:ascii="仿宋_GB2312" w:eastAsia="仿宋_GB2312"/>
          <w:sz w:val="30"/>
          <w:szCs w:val="30"/>
          <w:highlight w:val="none"/>
        </w:rPr>
      </w:pPr>
      <w:r>
        <w:rPr>
          <w:rFonts w:hint="eastAsia" w:ascii="仿宋_GB2312" w:eastAsia="仿宋_GB2312" w:cs="仿宋_GB2312"/>
          <w:sz w:val="30"/>
          <w:szCs w:val="30"/>
          <w:highlight w:val="none"/>
          <w:lang w:val="en-US" w:eastAsia="zh-CN"/>
        </w:rPr>
        <w:t xml:space="preserve">                                 </w:t>
      </w:r>
      <w:r>
        <w:rPr>
          <w:rFonts w:ascii="仿宋_GB2312" w:eastAsia="仿宋_GB2312" w:cs="仿宋_GB2312"/>
          <w:sz w:val="30"/>
          <w:szCs w:val="30"/>
          <w:highlight w:val="none"/>
        </w:rPr>
        <w:t>20</w:t>
      </w:r>
      <w:r>
        <w:rPr>
          <w:rFonts w:hint="eastAsia" w:ascii="仿宋_GB2312" w:eastAsia="仿宋_GB2312" w:cs="仿宋_GB2312"/>
          <w:sz w:val="30"/>
          <w:szCs w:val="30"/>
          <w:highlight w:val="none"/>
          <w:lang w:val="en-US" w:eastAsia="zh-CN"/>
        </w:rPr>
        <w:t>25</w:t>
      </w:r>
      <w:r>
        <w:rPr>
          <w:rFonts w:hint="eastAsia" w:ascii="仿宋_GB2312" w:eastAsia="仿宋_GB2312" w:cs="仿宋_GB2312"/>
          <w:sz w:val="30"/>
          <w:szCs w:val="30"/>
          <w:highlight w:val="none"/>
        </w:rPr>
        <w:t>年</w:t>
      </w:r>
      <w:r>
        <w:rPr>
          <w:rFonts w:hint="eastAsia" w:ascii="仿宋_GB2312" w:eastAsia="仿宋_GB2312" w:cs="仿宋_GB2312"/>
          <w:sz w:val="30"/>
          <w:szCs w:val="30"/>
          <w:highlight w:val="none"/>
          <w:lang w:val="en-US" w:eastAsia="zh-CN"/>
        </w:rPr>
        <w:t>10</w:t>
      </w:r>
      <w:r>
        <w:rPr>
          <w:rFonts w:hint="eastAsia" w:ascii="仿宋_GB2312" w:eastAsia="仿宋_GB2312" w:cs="仿宋_GB2312"/>
          <w:sz w:val="30"/>
          <w:szCs w:val="30"/>
          <w:highlight w:val="none"/>
        </w:rPr>
        <w:t>月</w:t>
      </w:r>
      <w:r>
        <w:rPr>
          <w:rFonts w:hint="eastAsia" w:ascii="仿宋_GB2312" w:eastAsia="仿宋_GB2312" w:cs="仿宋_GB2312"/>
          <w:sz w:val="30"/>
          <w:szCs w:val="30"/>
          <w:highlight w:val="none"/>
          <w:lang w:val="en-US" w:eastAsia="zh-CN"/>
        </w:rPr>
        <w:t>30</w:t>
      </w:r>
      <w:r>
        <w:rPr>
          <w:rFonts w:hint="eastAsia" w:ascii="仿宋_GB2312" w:eastAsia="仿宋_GB2312" w:cs="仿宋_GB2312"/>
          <w:sz w:val="30"/>
          <w:szCs w:val="30"/>
          <w:highlight w:val="none"/>
        </w:rPr>
        <w:t>日</w:t>
      </w:r>
    </w:p>
    <w:p w14:paraId="73BAA0B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altName w:val="Droid Sans Fallback"/>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Helvetica">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A7B9D"/>
    <w:rsid w:val="01291E19"/>
    <w:rsid w:val="0289277C"/>
    <w:rsid w:val="09476C32"/>
    <w:rsid w:val="12363A78"/>
    <w:rsid w:val="14DC03E7"/>
    <w:rsid w:val="17DF6A4E"/>
    <w:rsid w:val="188B5F02"/>
    <w:rsid w:val="18AE445A"/>
    <w:rsid w:val="1BD5431F"/>
    <w:rsid w:val="1BED21E1"/>
    <w:rsid w:val="220E2DB7"/>
    <w:rsid w:val="268E7F4D"/>
    <w:rsid w:val="2BA87D9B"/>
    <w:rsid w:val="2F07246B"/>
    <w:rsid w:val="32A9599B"/>
    <w:rsid w:val="353A3108"/>
    <w:rsid w:val="394F5ED2"/>
    <w:rsid w:val="3A8013C3"/>
    <w:rsid w:val="3BE55FC1"/>
    <w:rsid w:val="3C057D38"/>
    <w:rsid w:val="3E586BB3"/>
    <w:rsid w:val="40EF43D7"/>
    <w:rsid w:val="444806F7"/>
    <w:rsid w:val="444E4116"/>
    <w:rsid w:val="47EC699A"/>
    <w:rsid w:val="4CF74BCC"/>
    <w:rsid w:val="4D657970"/>
    <w:rsid w:val="4DD82EBF"/>
    <w:rsid w:val="50DD6672"/>
    <w:rsid w:val="58894585"/>
    <w:rsid w:val="59617FCA"/>
    <w:rsid w:val="5B0A5D18"/>
    <w:rsid w:val="5EE6125D"/>
    <w:rsid w:val="60BD7A95"/>
    <w:rsid w:val="61B66B14"/>
    <w:rsid w:val="6262274D"/>
    <w:rsid w:val="66C17E25"/>
    <w:rsid w:val="67D649E1"/>
    <w:rsid w:val="67FB63D7"/>
    <w:rsid w:val="69B35CD5"/>
    <w:rsid w:val="69DD3FA0"/>
    <w:rsid w:val="6A867B9A"/>
    <w:rsid w:val="6D654786"/>
    <w:rsid w:val="70352925"/>
    <w:rsid w:val="70AA006D"/>
    <w:rsid w:val="71591576"/>
    <w:rsid w:val="78011BF1"/>
    <w:rsid w:val="78231449"/>
    <w:rsid w:val="7BF6E4B2"/>
    <w:rsid w:val="7DC974EE"/>
    <w:rsid w:val="7F3A7B9D"/>
    <w:rsid w:val="7F62202C"/>
    <w:rsid w:val="7F9BE3E9"/>
    <w:rsid w:val="7FF70F10"/>
    <w:rsid w:val="B7EFBFA5"/>
    <w:rsid w:val="DFFD38AF"/>
    <w:rsid w:val="FBDB03C0"/>
    <w:rsid w:val="FF76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6</Pages>
  <Words>0</Words>
  <Characters>0</Characters>
  <Lines>0</Lines>
  <Paragraphs>0</Paragraphs>
  <TotalTime>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2021-08-12T01:16:00Z</dcterms:created>
  <dc:creator>DELL</dc:creator>
  <cp:lastModifiedBy>thtf</cp:lastModifiedBy>
  <dcterms:modified xsi:type="dcterms:W3CDTF">2025-09-28T12:06:47Z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D1080C67E62348B3B7E2D4687B70BF6A_42</vt:lpwstr>
  </property>
</Properties>
</file>