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2024年</w:t>
      </w:r>
      <w:r>
        <w:rPr>
          <w:rFonts w:hint="eastAsia"/>
          <w:sz w:val="32"/>
          <w:szCs w:val="32"/>
        </w:rPr>
        <w:t>重点工作情况解释说明汇总表</w:t>
      </w:r>
    </w:p>
    <w:tbl>
      <w:tblPr>
        <w:tblStyle w:val="7"/>
        <w:tblW w:w="14655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1232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328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重点工作</w:t>
            </w:r>
          </w:p>
        </w:tc>
        <w:tc>
          <w:tcPr>
            <w:tcW w:w="12327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2024年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工作重点及工作情况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28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坚持稳中有进，强化收支管理</w:t>
            </w:r>
          </w:p>
        </w:tc>
        <w:tc>
          <w:tcPr>
            <w:tcW w:w="1232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textAlignment w:val="auto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一是全力以赴组织收入。进一步压实税费征收责任，持续加强重点税源和重点税种监控，深挖潜能、堵塞漏洞。强化非税征管，应收尽收，确保非税收入及时足额入库。加强财税运行监测分析，优化税源结构，积极挖掘财源税源。加大招商引资支持力度，激发市场主体活力，做好财源培育，全力推进项目建设，努力挖掘新的收入增长点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textAlignment w:val="auto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二是调整优化支出结构。建立健全库款管理机制，加强库款运行监测和分析，强化库款管理与预算执行的协调联动，坚持“三保”支出在财政支出中的优先顺序，及时申请调度资金，按时足额拨付资金，有力保障预算执行资金需求。严把预算关口，对非刚性支出、非急需支出按照从严从紧、能压则压的原则进行压减。保持适度支出强度，强化预算执行约束，严控“三公”经费，杜绝无预算、超预算、超标准列支，加强对全区财政资金的统筹分配，落实直达资金监管责任，充分发挥监控系统“千里眼”作用，动态跟踪直达资金分配下达和支出使用情况，集中财力对重点领域和民生支出进行保障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textAlignment w:val="auto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三是坚决兜牢“三保”底线。严格按照中央、省、市“三保”政策足额编制“三保”预算，严格执行“三保”清单式管理，做到应保尽保。积极配合市级做好“三保”审核工作，有力提升“三保”预算编制的科学性、合理性。将“三保”支出预算管理嵌入一体化系统管理，实时监测“三保”支出执行进度，同时加强库款保障能力监测与调度、提升保障能力。全年足额保障“三保”支出152,302万元，全力保障教育、医疗卫生等民生支出，稳住了民生“基本盘”，未发生拖欠职工工资、津补贴等情况，牢牢守住“三保”底线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textAlignment w:val="auto"/>
              <w:rPr>
                <w:rFonts w:hint="default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四是认真做好减税降费政策贯彻落实工作。认真贯彻落实党中央、国务院减税降费的决策部署和工作要求，积极推动各项减税降费政策落实到位。2024年享受免征增值税的有318户次，免征个人所得税的有68户次，免征企业所得税的有15户次。取消、免征、降标、停征行政事业性收费金额268.68万元，其中：防空地下室易地建设费降标30%，降低收费金额65.38万元；城市道路占用费降标30%，降低收费金额9.04万元；不动产登记费免征、降标收费金额169.16万元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8" w:type="dxa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bookmarkStart w:id="0" w:name="_GoBack" w:colFirst="0" w:colLast="0"/>
            <w:r>
              <w:rPr>
                <w:rFonts w:hint="default"/>
                <w:sz w:val="18"/>
                <w:szCs w:val="18"/>
                <w:lang w:val="en-US" w:eastAsia="zh-CN"/>
              </w:rPr>
              <w:t>加强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绩效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管理，强化信息公开</w:t>
            </w:r>
          </w:p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2327" w:type="dxa"/>
          </w:tcPr>
          <w:p>
            <w:pPr>
              <w:rPr>
                <w:rFonts w:hint="eastAsia" w:cs="Times New Roman" w:asciiTheme="minorEastAsia" w:hAnsi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kern w:val="2"/>
                <w:sz w:val="18"/>
                <w:szCs w:val="18"/>
                <w:lang w:val="en-US" w:eastAsia="zh-CN" w:bidi="ar-SA"/>
              </w:rPr>
              <w:t>一是全面加强预算绩效管理。以可用财力为基础，根据资金实际需求、项目轻重缓急、绩效评价情况等统筹核定预算。印发《昆明市晋宁区财政局关于开展2024年财政资金支出绩效运行跟踪监控的通知》，认真开展绩效运行监控，将单位资金一并纳入监控范围，纳入平台进行监控的项目共计1643个，涉及金额40.59亿元，调减项目金额4,433万元。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2"/>
                <w:sz w:val="18"/>
                <w:szCs w:val="18"/>
                <w:lang w:val="en-US" w:eastAsia="zh-CN" w:bidi="ar-SA"/>
              </w:rPr>
              <w:t>二是认真做好预决算信息公开工作。依法将部门预算、决算及报表向社会公开。进一步细化预决算公开内容，加大“三公”经费公开力度，规范预决算公开程序，主动应对预决算公开的社会舆情。按时在晋宁区门户网站公开报告及预决算附表，公开率100%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2328" w:type="dxa"/>
          </w:tcPr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聚焦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债务优化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，树牢红线意识</w:t>
            </w:r>
          </w:p>
        </w:tc>
        <w:tc>
          <w:tcPr>
            <w:tcW w:w="12327" w:type="dxa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textAlignment w:val="auto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一是做好项目储备，严把准入关，加强政府性投资项目建设资金前置审核力度。申报2024年新增专项债券储备项目6个，新增专项债券资金需求41,354万元。成功发行专项债券资金10,000万元，涉及3个项目，投向为水利、铁路（含城际铁路和铁路专用线）、供排水领域。通过“停一批、缓一批、降一批、控制一批”，强化政策研判和制度管控，树牢红线意识，依法依规开展政府投融资工作。2024年审核通过项目23个，涉及资金134,027万元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二是压实主体责任，全力防范化解企业债务风险。把防范地方国有企业债务违约作为债务风险管控的重中之重，切实压降企业存量债务，杜绝非标债务，严控新增债务，逐步提高银行贷款在存量债务中的比重，优化融资结构，降低融资成本。积极推进企业债务化解、资产资源盘活等专项工作，严禁对外违规担保，违规借款，避免引发地方系统金融风险。</w:t>
            </w:r>
          </w:p>
        </w:tc>
      </w:tr>
      <w:bookmarkEnd w:id="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继续深化改革，提升管理水平</w:t>
            </w:r>
          </w:p>
        </w:tc>
        <w:tc>
          <w:tcPr>
            <w:tcW w:w="12327" w:type="dxa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textAlignment w:val="auto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一是扎实推进预算管理一体化改革。严格遵循业务规范和技术标准，不断完善预算一体化系统，将“三本预算”、财政专户资金（教育收费）以及所有预算单位的自有资金纳入统一规范的核算管理，实现预算指标对预算管理全过程的控制与追踪。  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textAlignment w:val="auto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二是全面推进政府会计核算管理改革。在不改变预算单位会计管理方式、会计核算模式和会计主体责任的前提下，将区属两家医院纳入政府会计核算管理改革范围，实现全区所有预算单位在同一账务体系、同一数据结构、同一数据定义内进行统一规范的会计核算管理，打通预算管理一体化的“最后一公里”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vAlign w:val="center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强化金融服务，切实惠企利民</w:t>
            </w:r>
          </w:p>
        </w:tc>
        <w:tc>
          <w:tcPr>
            <w:tcW w:w="12327" w:type="dxa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textAlignment w:val="auto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一是充分发挥“昆易贷”等财政金融政策支持地方普惠金融发展的作用。引导银行积极参与“昆易贷”“财园助企贷”等财政金融政策的推动落实，共向符合“昆易贷”条件的86家企业发放贷款43户83笔，累计贷款金额18,486万元，拨付财政贴息资金152万元，有效撬动银行信贷的积极投放，进一步降低了企业融资成本和使用成本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二是强化省“融信服”平台推广运用工作。全力做好金融助力小微企业纾困服务工作，积极推动省“融信服”平台推广运行，持续优化晋宁营商环境，不断缓解小微企业“融资难、融资贵、融资慢”等问题，提升小微企业贷款便利性、普惠性。全年注册企业7407家，授信金额20.86亿元人民币，放款金额16.06亿元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vAlign w:val="center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紧盯民生大局，保障社会发展</w:t>
            </w:r>
          </w:p>
        </w:tc>
        <w:tc>
          <w:tcPr>
            <w:tcW w:w="12327" w:type="dxa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textAlignment w:val="auto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一是聚焦惠民惠农财政补贴政策。坚持“一卡通”发放管理问题专项治理常态化，确保惠民惠农财政“一卡通”补贴资金及时、精准、足额发放到受益群众手中，让群众安全感更加充实，幸福感更可持续。全年发放惠民惠农财政补贴49项，成功发放补贴资金11,658万元，总计发放313957人次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textAlignment w:val="auto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二是全面推进乡村振兴。统筹投入5,241万元，支持巩固脱贫攻坚成果与乡村振兴有效衔接。支持培育和壮大地区特色农业产业，支持农村基础设施建设，壮大村集体经济，为全面推动乡村振兴工作做好资金保障。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textAlignment w:val="auto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三是助力教育高质量发展。统筹安排教育支出49,804万元，认真落实各项学生资助政策，贯彻落实中央、省、市农村义务教育经费保障机制，足额保障营养改善计划补助资金，确保教师工资按时发放，通过新建、改扩建公办幼儿园、居住区教育配套建设幼儿园等方式，持续提升公办园比例及公办在园幼儿占比，助力学前教育扩容提质，全面助力巩固教育脱贫攻坚成果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textAlignment w:val="auto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四是健全完善社保体系。统筹安排48,176万元，保障人力资源和社会保障管理事务，保障双拥优抚、军休待遇及退役安置等各项刚性支出，加强就业创业服务保障。对残疾人实行城乡医疗保险个人缴费全额补助，不断健全残疾人帮扶制度，大力提升残疾人基本公共服务水平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textAlignment w:val="auto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五是完善卫生领域投入机制。统筹安排24,721万元，持续推动区级公立医院改革工作开展，调整公立医院综合改革发展补助支出结构，完善公共卫生服务体系建设财政保障机制，全力保障经费用于基本公共卫生服务，提高基本公共卫生服务质量和水平。强化以艾滋病防治为重点的重大传染病防控投入，提高农村贫困危重孕产妇救治服务能力和补助管理水平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textAlignment w:val="auto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六是助推产业发展。树牢“大抓产业，主攻工业”的理念，围绕产业布局，充分发挥资金的引导撬动作用，优化产业类资金配置，拨付企业补助资金15,494万元，助推工业产业全面转型，巩固地方经济发展。配合完成招商企业入驻晋宁，提升招商引资实效，助力全区“当好排头兵”排名进位争先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textAlignment w:val="auto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七是维护社会安全稳定。统筹安排15,268万元，足额保障公安、法检、司法等政法部门工资、运转经费及专项行动经费，为全区依法治区、平安创建、扫黑除恶等社会治理工作开展提供有力的资金保障，提升民众安全感、幸福感。</w:t>
            </w:r>
          </w:p>
        </w:tc>
      </w:tr>
    </w:tbl>
    <w:p/>
    <w:sectPr>
      <w:pgSz w:w="16838" w:h="11906" w:orient="landscape"/>
      <w:pgMar w:top="1287" w:right="1043" w:bottom="1797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558"/>
    <w:rsid w:val="002F288D"/>
    <w:rsid w:val="00485722"/>
    <w:rsid w:val="007C3619"/>
    <w:rsid w:val="00B0145B"/>
    <w:rsid w:val="00CD3558"/>
    <w:rsid w:val="00D07954"/>
    <w:rsid w:val="16CE28E1"/>
    <w:rsid w:val="2165093C"/>
    <w:rsid w:val="273B6448"/>
    <w:rsid w:val="2F813590"/>
    <w:rsid w:val="427425AC"/>
    <w:rsid w:val="478E0E56"/>
    <w:rsid w:val="50D456CF"/>
    <w:rsid w:val="6C71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实施方案正文"/>
    <w:basedOn w:val="1"/>
    <w:qFormat/>
    <w:uiPriority w:val="99"/>
    <w:pPr>
      <w:ind w:firstLine="566" w:firstLineChars="202"/>
    </w:pPr>
    <w:rPr>
      <w:szCs w:val="28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3">
    <w:name w:val="公文"/>
    <w:basedOn w:val="1"/>
    <w:qFormat/>
    <w:uiPriority w:val="0"/>
    <w:pPr>
      <w:spacing w:line="560" w:lineRule="exact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215</Words>
  <Characters>1228</Characters>
  <Lines>10</Lines>
  <Paragraphs>2</Paragraphs>
  <TotalTime>0</TotalTime>
  <ScaleCrop>false</ScaleCrop>
  <LinksUpToDate>false</LinksUpToDate>
  <CharactersWithSpaces>1441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2021-11-19T03:02:00Z</dcterms:created>
  <dc:creator>czjx1</dc:creator>
  <cp:lastModifiedBy>pc</cp:lastModifiedBy>
  <dcterms:modified xsi:type="dcterms:W3CDTF">2025-09-30T07:42:00Z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