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utoSpaceDE w:val="0"/>
        <w:autoSpaceDN w:val="0"/>
        <w:adjustRightInd w:val="0"/>
        <w:spacing w:line="560" w:lineRule="exact"/>
        <w:rPr>
          <w:rFonts w:ascii="黑体" w:hAnsi="黑体" w:eastAsia="黑体" w:cs="黑体"/>
          <w:sz w:val="32"/>
          <w:szCs w:val="32"/>
        </w:rPr>
      </w:pPr>
      <w:r>
        <w:rPr>
          <w:rFonts w:hint="eastAsia" w:ascii="黑体" w:hAnsi="黑体" w:eastAsia="黑体" w:cs="黑体"/>
          <w:sz w:val="32"/>
          <w:szCs w:val="32"/>
        </w:rPr>
        <w:t>附件1</w:t>
      </w:r>
    </w:p>
    <w:p>
      <w:pPr>
        <w:pStyle w:val="2"/>
        <w:ind w:firstLine="640"/>
      </w:pPr>
    </w:p>
    <w:p>
      <w:pPr>
        <w:spacing w:line="540" w:lineRule="exact"/>
        <w:jc w:val="center"/>
        <w:rPr>
          <w:rFonts w:ascii="方正小标宋简体" w:hAnsi="方正小标宋简体" w:eastAsia="方正小标宋简体" w:cs="方正小标宋简体"/>
          <w:bCs/>
          <w:kern w:val="0"/>
          <w:sz w:val="44"/>
          <w:szCs w:val="44"/>
          <w:lang w:val="zh-CN"/>
        </w:rPr>
      </w:pPr>
      <w:r>
        <w:rPr>
          <w:rFonts w:hint="eastAsia" w:ascii="方正小标宋简体" w:hAnsi="方正小标宋简体" w:eastAsia="方正小标宋简体" w:cs="方正小标宋简体"/>
          <w:bCs/>
          <w:kern w:val="0"/>
          <w:sz w:val="44"/>
          <w:szCs w:val="44"/>
          <w:lang w:val="zh-CN"/>
        </w:rPr>
        <w:t>昆明市晋宁区202</w:t>
      </w:r>
      <w:r>
        <w:rPr>
          <w:rFonts w:hint="eastAsia" w:ascii="方正小标宋简体" w:hAnsi="方正小标宋简体" w:eastAsia="方正小标宋简体" w:cs="方正小标宋简体"/>
          <w:bCs/>
          <w:kern w:val="0"/>
          <w:sz w:val="44"/>
          <w:szCs w:val="44"/>
        </w:rPr>
        <w:t>4</w:t>
      </w:r>
      <w:r>
        <w:rPr>
          <w:rFonts w:hint="eastAsia" w:ascii="方正小标宋简体" w:hAnsi="方正小标宋简体" w:eastAsia="方正小标宋简体" w:cs="方正小标宋简体"/>
          <w:bCs/>
          <w:kern w:val="0"/>
          <w:sz w:val="44"/>
          <w:szCs w:val="44"/>
          <w:lang w:val="zh-CN"/>
        </w:rPr>
        <w:t>年度市级财政衔接</w:t>
      </w:r>
    </w:p>
    <w:p>
      <w:pPr>
        <w:spacing w:line="540" w:lineRule="exact"/>
        <w:jc w:val="center"/>
        <w:rPr>
          <w:rFonts w:ascii="黑体" w:hAnsi="黑体" w:eastAsia="黑体" w:cs="黑体"/>
          <w:bCs/>
          <w:kern w:val="0"/>
          <w:sz w:val="44"/>
          <w:szCs w:val="44"/>
          <w:lang w:val="zh-CN"/>
        </w:rPr>
      </w:pPr>
      <w:r>
        <w:rPr>
          <w:rFonts w:hint="eastAsia" w:ascii="方正小标宋简体" w:hAnsi="方正小标宋简体" w:eastAsia="方正小标宋简体" w:cs="方正小标宋简体"/>
          <w:bCs/>
          <w:kern w:val="0"/>
          <w:sz w:val="44"/>
          <w:szCs w:val="44"/>
          <w:lang w:val="zh-CN"/>
        </w:rPr>
        <w:t>推进乡村振兴项目实施方案</w:t>
      </w:r>
    </w:p>
    <w:p>
      <w:pPr>
        <w:spacing w:line="540" w:lineRule="exact"/>
        <w:jc w:val="center"/>
        <w:rPr>
          <w:rFonts w:ascii="仿宋_GB2312" w:hAnsi="仿宋_GB2312" w:eastAsia="仿宋_GB2312" w:cs="仿宋_GB2312"/>
          <w:kern w:val="0"/>
          <w:sz w:val="32"/>
          <w:szCs w:val="32"/>
          <w:lang w:val="zh-CN"/>
        </w:rPr>
      </w:pPr>
    </w:p>
    <w:p>
      <w:pPr>
        <w:spacing w:line="560" w:lineRule="exact"/>
        <w:ind w:firstLine="640" w:firstLineChars="200"/>
        <w:rPr>
          <w:rFonts w:eastAsia="仿宋_GB2312"/>
          <w:kern w:val="0"/>
          <w:sz w:val="32"/>
          <w:szCs w:val="32"/>
          <w:lang w:val="zh-CN"/>
        </w:rPr>
      </w:pPr>
      <w:r>
        <w:rPr>
          <w:rFonts w:eastAsia="仿宋_GB2312"/>
          <w:kern w:val="0"/>
          <w:sz w:val="32"/>
          <w:szCs w:val="32"/>
          <w:lang w:val="zh-CN"/>
        </w:rPr>
        <w:t>为深入贯彻</w:t>
      </w:r>
      <w:r>
        <w:rPr>
          <w:rFonts w:hint="eastAsia" w:eastAsia="仿宋_GB2312"/>
          <w:kern w:val="0"/>
          <w:sz w:val="32"/>
          <w:szCs w:val="32"/>
          <w:lang w:val="zh-CN"/>
        </w:rPr>
        <w:t>党的二十大精神</w:t>
      </w:r>
      <w:r>
        <w:rPr>
          <w:rFonts w:eastAsia="仿宋_GB2312"/>
          <w:kern w:val="0"/>
          <w:sz w:val="32"/>
          <w:szCs w:val="32"/>
        </w:rPr>
        <w:t>，全面推进</w:t>
      </w:r>
      <w:r>
        <w:rPr>
          <w:rFonts w:eastAsia="仿宋_GB2312"/>
          <w:sz w:val="32"/>
          <w:szCs w:val="32"/>
          <w:shd w:val="clear" w:color="auto" w:fill="FFFFFF"/>
        </w:rPr>
        <w:t>乡村振兴，切实维护和巩固脱贫攻坚的伟大成就，</w:t>
      </w:r>
      <w:r>
        <w:rPr>
          <w:rFonts w:eastAsia="仿宋_GB2312"/>
          <w:kern w:val="0"/>
          <w:sz w:val="32"/>
          <w:szCs w:val="32"/>
        </w:rPr>
        <w:t>促进</w:t>
      </w:r>
      <w:r>
        <w:rPr>
          <w:rFonts w:eastAsia="仿宋_GB2312"/>
          <w:sz w:val="32"/>
          <w:szCs w:val="32"/>
          <w:shd w:val="clear" w:color="auto" w:fill="FFFFFF"/>
        </w:rPr>
        <w:t>晋宁区</w:t>
      </w:r>
      <w:r>
        <w:rPr>
          <w:rFonts w:eastAsia="仿宋_GB2312"/>
          <w:kern w:val="0"/>
          <w:sz w:val="32"/>
          <w:szCs w:val="32"/>
        </w:rPr>
        <w:t>农业高质高效、乡村宜居宜业目标。</w:t>
      </w:r>
      <w:r>
        <w:rPr>
          <w:rFonts w:eastAsia="仿宋_GB2312"/>
          <w:sz w:val="32"/>
          <w:szCs w:val="32"/>
        </w:rPr>
        <w:t>按照昆明市财政局《关于下达2024年第一批转移支付资金的通知》（昆财预</w:t>
      </w:r>
      <w:r>
        <w:rPr>
          <w:rFonts w:eastAsia="仿宋"/>
          <w:sz w:val="32"/>
          <w:szCs w:val="32"/>
        </w:rPr>
        <w:t>〔2024〕36号）</w:t>
      </w:r>
      <w:r>
        <w:rPr>
          <w:rFonts w:eastAsia="仿宋_GB2312"/>
          <w:color w:val="000000"/>
          <w:sz w:val="32"/>
          <w:szCs w:val="32"/>
        </w:rPr>
        <w:t>，</w:t>
      </w:r>
      <w:r>
        <w:rPr>
          <w:rFonts w:eastAsia="仿宋_GB2312"/>
          <w:sz w:val="32"/>
          <w:szCs w:val="32"/>
        </w:rPr>
        <w:t>安排晋宁区</w:t>
      </w:r>
      <w:r>
        <w:rPr>
          <w:rFonts w:eastAsia="仿宋_GB2312"/>
          <w:sz w:val="32"/>
          <w:szCs w:val="32"/>
          <w:shd w:val="clear" w:color="auto" w:fill="FFFFFF"/>
        </w:rPr>
        <w:t>市级财政衔接推进乡村振兴补助</w:t>
      </w:r>
      <w:r>
        <w:rPr>
          <w:rFonts w:eastAsia="仿宋_GB2312"/>
          <w:sz w:val="32"/>
          <w:szCs w:val="32"/>
        </w:rPr>
        <w:t>资金1010万元；区农业农村局在区政府批复的《</w:t>
      </w:r>
      <w:r>
        <w:rPr>
          <w:rFonts w:eastAsia="仿宋_GB2312"/>
          <w:sz w:val="32"/>
          <w:szCs w:val="32"/>
          <w:lang w:val="zh-CN"/>
        </w:rPr>
        <w:t>昆明市晋宁区202</w:t>
      </w:r>
      <w:r>
        <w:rPr>
          <w:rFonts w:eastAsia="仿宋_GB2312"/>
          <w:sz w:val="32"/>
          <w:szCs w:val="32"/>
        </w:rPr>
        <w:t>4</w:t>
      </w:r>
      <w:r>
        <w:rPr>
          <w:rFonts w:eastAsia="仿宋_GB2312"/>
          <w:sz w:val="32"/>
          <w:szCs w:val="32"/>
          <w:lang w:val="zh-CN"/>
        </w:rPr>
        <w:t>年度财政衔接推进乡村振兴项目实施计划》</w:t>
      </w:r>
      <w:r>
        <w:rPr>
          <w:rFonts w:eastAsia="仿宋_GB2312"/>
          <w:sz w:val="32"/>
          <w:szCs w:val="32"/>
        </w:rPr>
        <w:t>的基础上，结合晋宁实际，</w:t>
      </w:r>
      <w:r>
        <w:rPr>
          <w:rFonts w:eastAsia="仿宋_GB2312"/>
          <w:kern w:val="0"/>
          <w:sz w:val="32"/>
          <w:szCs w:val="32"/>
          <w:lang w:val="zh-CN"/>
        </w:rPr>
        <w:t>形成《昆明市晋宁区202</w:t>
      </w:r>
      <w:r>
        <w:rPr>
          <w:rFonts w:eastAsia="仿宋_GB2312"/>
          <w:kern w:val="0"/>
          <w:sz w:val="32"/>
          <w:szCs w:val="32"/>
        </w:rPr>
        <w:t>4</w:t>
      </w:r>
      <w:r>
        <w:rPr>
          <w:rFonts w:eastAsia="仿宋_GB2312"/>
          <w:kern w:val="0"/>
          <w:sz w:val="32"/>
          <w:szCs w:val="32"/>
          <w:lang w:val="zh-CN"/>
        </w:rPr>
        <w:t>年度市级财政衔接推进乡村振兴项目实施方案（</w:t>
      </w:r>
      <w:r>
        <w:rPr>
          <w:rFonts w:eastAsia="仿宋_GB2312"/>
          <w:kern w:val="0"/>
          <w:sz w:val="32"/>
          <w:szCs w:val="32"/>
        </w:rPr>
        <w:t>送审稿</w:t>
      </w:r>
      <w:r>
        <w:rPr>
          <w:rFonts w:eastAsia="仿宋_GB2312"/>
          <w:kern w:val="0"/>
          <w:sz w:val="32"/>
          <w:szCs w:val="32"/>
          <w:lang w:val="zh-CN"/>
        </w:rPr>
        <w:t>）》。</w:t>
      </w:r>
    </w:p>
    <w:p>
      <w:pPr>
        <w:spacing w:line="560" w:lineRule="exact"/>
        <w:ind w:firstLine="643" w:firstLineChars="200"/>
        <w:rPr>
          <w:rFonts w:hint="eastAsia" w:ascii="黑体" w:hAnsi="黑体" w:eastAsia="黑体" w:cs="黑体"/>
          <w:b/>
          <w:bCs/>
          <w:sz w:val="32"/>
          <w:szCs w:val="32"/>
        </w:rPr>
      </w:pPr>
      <w:bookmarkStart w:id="0" w:name="_GoBack"/>
      <w:r>
        <w:rPr>
          <w:rFonts w:hint="eastAsia" w:ascii="黑体" w:hAnsi="黑体" w:eastAsia="黑体" w:cs="黑体"/>
          <w:b/>
          <w:bCs/>
          <w:sz w:val="32"/>
          <w:szCs w:val="32"/>
        </w:rPr>
        <w:t>一</w:t>
      </w:r>
      <w:r>
        <w:rPr>
          <w:rFonts w:hint="eastAsia" w:ascii="黑体" w:hAnsi="黑体" w:eastAsia="黑体" w:cs="黑体"/>
          <w:sz w:val="32"/>
          <w:szCs w:val="32"/>
        </w:rPr>
        <w:t>、指导思想</w:t>
      </w:r>
    </w:p>
    <w:bookmarkEnd w:id="0"/>
    <w:p>
      <w:pPr>
        <w:spacing w:line="560" w:lineRule="exact"/>
        <w:ind w:firstLine="640" w:firstLineChars="200"/>
        <w:rPr>
          <w:rFonts w:eastAsia="仿宋_GB2312"/>
          <w:sz w:val="32"/>
          <w:szCs w:val="32"/>
          <w:shd w:val="clear" w:color="auto" w:fill="FFFFFF"/>
        </w:rPr>
      </w:pPr>
      <w:r>
        <w:rPr>
          <w:rFonts w:eastAsia="仿宋_GB2312"/>
          <w:sz w:val="32"/>
          <w:szCs w:val="32"/>
          <w:shd w:val="clear" w:color="auto" w:fill="FFFFFF"/>
        </w:rPr>
        <w:t>为深入贯彻</w:t>
      </w:r>
      <w:r>
        <w:rPr>
          <w:rFonts w:hint="eastAsia" w:eastAsia="仿宋_GB2312"/>
          <w:sz w:val="32"/>
          <w:szCs w:val="32"/>
          <w:shd w:val="clear" w:color="auto" w:fill="FFFFFF"/>
          <w:lang w:eastAsia="zh-CN"/>
        </w:rPr>
        <w:t>党的二十大精神</w:t>
      </w:r>
      <w:r>
        <w:rPr>
          <w:rFonts w:eastAsia="仿宋_GB2312"/>
          <w:sz w:val="32"/>
          <w:szCs w:val="32"/>
          <w:shd w:val="clear" w:color="auto" w:fill="FFFFFF"/>
        </w:rPr>
        <w:t>，高举中国特色社会主义伟大旗帜，全面贯彻新时代中国特色社会主义思想，弘扬伟大建党精神，为全面建设社会主义现代化国家、全面推进中华民族伟大复兴而团结奋斗。坚持以人民为中心的发展思想，坚持共同富裕发展方向，将全面推进乡村振兴放在突出位置，建立农村低收入人口和欠发达农村帮扶机制，健全乡村振兴领导体制和工作体系，加快推进乡村产业、人才、文化、生态、组织等全面振兴。</w:t>
      </w:r>
    </w:p>
    <w:p>
      <w:pPr>
        <w:spacing w:line="560" w:lineRule="exact"/>
        <w:ind w:firstLine="640" w:firstLineChars="200"/>
        <w:rPr>
          <w:rFonts w:ascii="黑体" w:hAnsi="黑体" w:eastAsia="黑体" w:cs="黑体"/>
          <w:sz w:val="32"/>
          <w:szCs w:val="32"/>
        </w:rPr>
      </w:pPr>
      <w:r>
        <w:rPr>
          <w:rFonts w:hint="eastAsia" w:ascii="黑体" w:hAnsi="黑体" w:eastAsia="黑体" w:cs="黑体"/>
          <w:sz w:val="32"/>
          <w:szCs w:val="32"/>
        </w:rPr>
        <w:t>二、目标任务</w:t>
      </w:r>
    </w:p>
    <w:p>
      <w:pPr>
        <w:spacing w:line="560" w:lineRule="exact"/>
        <w:ind w:firstLine="640" w:firstLineChars="200"/>
        <w:rPr>
          <w:rFonts w:eastAsia="仿宋_GB2312"/>
          <w:sz w:val="32"/>
          <w:szCs w:val="32"/>
        </w:rPr>
      </w:pPr>
      <w:r>
        <w:rPr>
          <w:rFonts w:eastAsia="仿宋_GB2312"/>
          <w:sz w:val="32"/>
          <w:szCs w:val="32"/>
          <w:shd w:val="clear" w:color="auto" w:fill="FFFFFF"/>
        </w:rPr>
        <w:t>2024年是脱贫攻坚目标任务完成后5年过渡期的第四年。根据形势变化，理清工作思路，做好过渡期内领导体制、工作体系、发展规划、政策举措、考核机制等有效衔接，从解决建档立卡脱贫人口“两不愁三保障”为重点转向实现乡村产业兴旺、生态宜居、乡风文明、治理有效、生活富裕，从集中资源支持脱贫攻坚转向全面推进乡村振兴。</w:t>
      </w:r>
    </w:p>
    <w:p>
      <w:pPr>
        <w:numPr>
          <w:ilvl w:val="0"/>
          <w:numId w:val="1"/>
        </w:numPr>
        <w:spacing w:line="560" w:lineRule="exact"/>
        <w:ind w:firstLine="640" w:firstLineChars="200"/>
        <w:rPr>
          <w:rFonts w:ascii="黑体" w:hAnsi="黑体" w:eastAsia="黑体" w:cs="黑体"/>
          <w:sz w:val="32"/>
          <w:szCs w:val="32"/>
        </w:rPr>
      </w:pPr>
      <w:r>
        <w:rPr>
          <w:rFonts w:hint="eastAsia" w:ascii="黑体" w:hAnsi="黑体" w:eastAsia="黑体" w:cs="黑体"/>
          <w:sz w:val="32"/>
          <w:szCs w:val="32"/>
        </w:rPr>
        <w:t>项目要求</w:t>
      </w:r>
    </w:p>
    <w:p>
      <w:pPr>
        <w:tabs>
          <w:tab w:val="left" w:pos="4821"/>
        </w:tabs>
        <w:overflowPunct w:val="0"/>
        <w:autoSpaceDE w:val="0"/>
        <w:autoSpaceDN w:val="0"/>
        <w:adjustRightInd w:val="0"/>
        <w:spacing w:line="560" w:lineRule="exact"/>
        <w:ind w:firstLine="640" w:firstLineChars="200"/>
        <w:rPr>
          <w:rFonts w:eastAsia="仿宋_GB2312"/>
          <w:sz w:val="32"/>
          <w:szCs w:val="32"/>
        </w:rPr>
      </w:pPr>
      <w:r>
        <w:rPr>
          <w:rFonts w:eastAsia="仿宋_GB2312"/>
          <w:sz w:val="32"/>
          <w:szCs w:val="32"/>
        </w:rPr>
        <w:t>严格按</w:t>
      </w:r>
      <w:r>
        <w:rPr>
          <w:rFonts w:eastAsia="仿宋_GB2312"/>
          <w:bCs/>
          <w:sz w:val="32"/>
          <w:szCs w:val="32"/>
        </w:rPr>
        <w:t>云南省财政厅等六部门关于修订《加强中央和省级财政衔接推进乡村振兴补助资金使用管理的实施意见》的通知（云财规</w:t>
      </w:r>
      <w:r>
        <w:rPr>
          <w:rFonts w:eastAsia="仿宋_GB2312"/>
          <w:sz w:val="32"/>
          <w:szCs w:val="32"/>
        </w:rPr>
        <w:t>〔</w:t>
      </w:r>
      <w:r>
        <w:rPr>
          <w:rFonts w:eastAsia="仿宋"/>
          <w:sz w:val="32"/>
          <w:szCs w:val="32"/>
        </w:rPr>
        <w:t>2</w:t>
      </w:r>
      <w:r>
        <w:rPr>
          <w:rFonts w:eastAsia="仿宋_GB2312"/>
          <w:sz w:val="32"/>
          <w:szCs w:val="32"/>
        </w:rPr>
        <w:t>02</w:t>
      </w:r>
      <w:r>
        <w:rPr>
          <w:rFonts w:eastAsia="仿宋"/>
          <w:sz w:val="32"/>
          <w:szCs w:val="32"/>
        </w:rPr>
        <w:t>4</w:t>
      </w:r>
      <w:r>
        <w:rPr>
          <w:rFonts w:eastAsia="仿宋_GB2312"/>
          <w:sz w:val="32"/>
          <w:szCs w:val="32"/>
        </w:rPr>
        <w:t>〕</w:t>
      </w:r>
      <w:r>
        <w:rPr>
          <w:rFonts w:eastAsia="仿宋_GB2312"/>
          <w:bCs/>
          <w:sz w:val="32"/>
          <w:szCs w:val="32"/>
        </w:rPr>
        <w:t>10号），</w:t>
      </w:r>
      <w:r>
        <w:rPr>
          <w:rFonts w:eastAsia="仿宋_GB2312"/>
          <w:sz w:val="32"/>
          <w:szCs w:val="32"/>
        </w:rPr>
        <w:t>项目的选择符合巩固拓展脱贫攻坚成果、符合支持推进乡村振兴重点。突出资金支持重点：</w:t>
      </w:r>
      <w:r>
        <w:rPr>
          <w:rFonts w:eastAsia="仿宋_GB2312"/>
          <w:b/>
          <w:bCs/>
          <w:sz w:val="32"/>
          <w:szCs w:val="32"/>
        </w:rPr>
        <w:t>一是</w:t>
      </w:r>
      <w:r>
        <w:rPr>
          <w:rFonts w:eastAsia="仿宋_GB2312"/>
          <w:sz w:val="32"/>
          <w:szCs w:val="32"/>
        </w:rPr>
        <w:t>优先支持联农带农富农产业发展；</w:t>
      </w:r>
      <w:r>
        <w:rPr>
          <w:rFonts w:eastAsia="仿宋_GB2312"/>
          <w:b/>
          <w:bCs/>
          <w:sz w:val="32"/>
          <w:szCs w:val="32"/>
        </w:rPr>
        <w:t>二是</w:t>
      </w:r>
      <w:r>
        <w:rPr>
          <w:rFonts w:eastAsia="仿宋_GB2312"/>
          <w:sz w:val="32"/>
          <w:szCs w:val="32"/>
        </w:rPr>
        <w:t>杜绝用于负面清单事项。项目要件</w:t>
      </w:r>
      <w:r>
        <w:rPr>
          <w:rFonts w:eastAsia="仿宋_GB2312"/>
          <w:sz w:val="30"/>
          <w:szCs w:val="30"/>
        </w:rPr>
        <w:t>明</w:t>
      </w:r>
      <w:r>
        <w:rPr>
          <w:rFonts w:eastAsia="仿宋_GB2312"/>
          <w:sz w:val="32"/>
          <w:szCs w:val="32"/>
        </w:rPr>
        <w:t>确了建设内容、投资概算、预期绩效目标、利益联结机制、实施期限等。</w:t>
      </w:r>
    </w:p>
    <w:p>
      <w:pPr>
        <w:numPr>
          <w:ilvl w:val="0"/>
          <w:numId w:val="1"/>
        </w:numPr>
        <w:spacing w:line="560" w:lineRule="exact"/>
        <w:ind w:firstLine="640" w:firstLineChars="200"/>
        <w:rPr>
          <w:rFonts w:ascii="黑体" w:hAnsi="黑体" w:eastAsia="黑体" w:cs="黑体"/>
          <w:sz w:val="32"/>
          <w:szCs w:val="32"/>
        </w:rPr>
      </w:pPr>
      <w:r>
        <w:rPr>
          <w:rFonts w:hint="eastAsia" w:ascii="黑体" w:hAnsi="黑体" w:eastAsia="黑体" w:cs="黑体"/>
          <w:sz w:val="32"/>
          <w:szCs w:val="32"/>
        </w:rPr>
        <w:t>项目实施要求及期限</w:t>
      </w:r>
    </w:p>
    <w:p>
      <w:pPr>
        <w:spacing w:line="560" w:lineRule="exact"/>
        <w:ind w:firstLine="640" w:firstLineChars="200"/>
        <w:rPr>
          <w:rFonts w:eastAsia="仿宋_GB2312"/>
          <w:sz w:val="32"/>
          <w:szCs w:val="32"/>
        </w:rPr>
      </w:pPr>
      <w:r>
        <w:rPr>
          <w:rFonts w:eastAsia="仿宋_GB2312"/>
          <w:sz w:val="32"/>
          <w:szCs w:val="32"/>
        </w:rPr>
        <w:t>本方案所拟建项目按产业资金投入比例不低于70%的要求；一次性规划，年度内实施，建设期限为2024年8月至2025年12月,2024年9月开工，2025年12月全面竣工。</w:t>
      </w:r>
    </w:p>
    <w:p>
      <w:pPr>
        <w:spacing w:line="560" w:lineRule="exact"/>
        <w:ind w:firstLine="640" w:firstLineChars="200"/>
        <w:rPr>
          <w:rFonts w:eastAsia="仿宋_GB2312"/>
          <w:sz w:val="32"/>
          <w:szCs w:val="32"/>
        </w:rPr>
      </w:pPr>
      <w:r>
        <w:rPr>
          <w:rFonts w:eastAsia="仿宋_GB2312"/>
          <w:sz w:val="32"/>
          <w:szCs w:val="32"/>
        </w:rPr>
        <w:t>昆阳街道办要及时启动项目建设工作，从10月份逐步拨付资金，到12月底衔接资金拨付比例达100%以上，同时按省绩效评价要求做好单个项目和总体项目绩效评价工作。</w:t>
      </w:r>
    </w:p>
    <w:p>
      <w:pPr>
        <w:spacing w:line="560" w:lineRule="exact"/>
        <w:ind w:firstLine="640" w:firstLineChars="200"/>
        <w:rPr>
          <w:rFonts w:ascii="黑体" w:hAnsi="黑体" w:eastAsia="黑体" w:cs="黑体"/>
          <w:sz w:val="32"/>
          <w:szCs w:val="32"/>
        </w:rPr>
      </w:pPr>
      <w:r>
        <w:rPr>
          <w:rFonts w:hint="eastAsia" w:ascii="黑体" w:hAnsi="黑体" w:eastAsia="黑体" w:cs="黑体"/>
          <w:sz w:val="32"/>
          <w:szCs w:val="32"/>
        </w:rPr>
        <w:t>五、组织保障与资源配置</w:t>
      </w:r>
    </w:p>
    <w:p>
      <w:pPr>
        <w:spacing w:line="560" w:lineRule="exact"/>
        <w:ind w:firstLine="640" w:firstLineChars="200"/>
        <w:rPr>
          <w:rFonts w:eastAsia="楷体_GB2312"/>
          <w:sz w:val="32"/>
          <w:szCs w:val="32"/>
        </w:rPr>
      </w:pPr>
      <w:r>
        <w:rPr>
          <w:rFonts w:eastAsia="楷体_GB2312"/>
          <w:sz w:val="32"/>
          <w:szCs w:val="32"/>
        </w:rPr>
        <w:t>（一）组织保障</w:t>
      </w:r>
    </w:p>
    <w:p>
      <w:pPr>
        <w:spacing w:line="560" w:lineRule="exact"/>
        <w:ind w:firstLine="640" w:firstLineChars="200"/>
        <w:rPr>
          <w:rFonts w:eastAsia="仿宋_GB2312"/>
          <w:sz w:val="32"/>
          <w:szCs w:val="32"/>
          <w:shd w:val="clear" w:color="auto" w:fill="FFFFFF"/>
        </w:rPr>
      </w:pPr>
      <w:r>
        <w:rPr>
          <w:rFonts w:eastAsia="仿宋_GB2312"/>
          <w:sz w:val="32"/>
          <w:szCs w:val="32"/>
          <w:shd w:val="clear" w:color="auto" w:fill="FFFFFF"/>
        </w:rPr>
        <w:t>健全中央统筹、省负总责、市县乡抓落实的工作机制，构建责任清晰、各负其责、执行有力的乡村振兴领导体制，层层压实责任。充分发挥中央和地方各级巩固脱贫攻坚推进乡村振兴领导小组作用，建立统一高效的实现巩固拓展脱贫攻坚成果同乡村振兴有效衔接的决策议事协调工作机制。</w:t>
      </w:r>
    </w:p>
    <w:p>
      <w:pPr>
        <w:spacing w:line="560" w:lineRule="exact"/>
        <w:ind w:firstLine="640" w:firstLineChars="200"/>
        <w:rPr>
          <w:rFonts w:eastAsia="楷体_GB2312"/>
          <w:sz w:val="32"/>
          <w:szCs w:val="32"/>
        </w:rPr>
      </w:pPr>
      <w:r>
        <w:rPr>
          <w:rFonts w:eastAsia="楷体_GB2312"/>
          <w:sz w:val="32"/>
          <w:szCs w:val="32"/>
        </w:rPr>
        <w:t>（二）健全协调配合机制</w:t>
      </w:r>
    </w:p>
    <w:p>
      <w:pPr>
        <w:spacing w:line="560" w:lineRule="exact"/>
        <w:ind w:firstLine="643" w:firstLineChars="200"/>
        <w:rPr>
          <w:rFonts w:eastAsia="仿宋_GB2312"/>
          <w:sz w:val="32"/>
          <w:szCs w:val="32"/>
        </w:rPr>
      </w:pPr>
      <w:r>
        <w:rPr>
          <w:rFonts w:eastAsia="仿宋_GB2312"/>
          <w:b/>
          <w:bCs/>
          <w:sz w:val="32"/>
          <w:szCs w:val="32"/>
        </w:rPr>
        <w:t>一是</w:t>
      </w:r>
      <w:r>
        <w:rPr>
          <w:rFonts w:eastAsia="仿宋_GB2312"/>
          <w:sz w:val="32"/>
          <w:szCs w:val="32"/>
        </w:rPr>
        <w:t>晋宁区农业农村局负责项目规划和资金的分配、安排、下达等工作；</w:t>
      </w:r>
      <w:r>
        <w:rPr>
          <w:rFonts w:eastAsia="仿宋_GB2312"/>
          <w:b/>
          <w:bCs/>
          <w:sz w:val="32"/>
          <w:szCs w:val="32"/>
        </w:rPr>
        <w:t>二是</w:t>
      </w:r>
      <w:r>
        <w:rPr>
          <w:rFonts w:eastAsia="仿宋_GB2312"/>
          <w:sz w:val="32"/>
          <w:szCs w:val="32"/>
        </w:rPr>
        <w:t>乡镇（街道）、项目村委会要做好协调配合，及时启动项目，真抓实干，做到产业发展到村项目如期落地建设，并按衔接资金拨付时序进度要求及时拨付资金，按质按量完成项目建设任务；</w:t>
      </w:r>
      <w:r>
        <w:rPr>
          <w:rFonts w:eastAsia="仿宋_GB2312"/>
          <w:b/>
          <w:bCs/>
          <w:sz w:val="32"/>
          <w:szCs w:val="32"/>
        </w:rPr>
        <w:t>三是</w:t>
      </w:r>
      <w:r>
        <w:rPr>
          <w:rFonts w:eastAsia="仿宋_GB2312"/>
          <w:sz w:val="32"/>
          <w:szCs w:val="32"/>
        </w:rPr>
        <w:t>建立健全督查机制，区纪委监委、区委目督办、区政府目督办、区财政局、区农业农村局等部门做好项目检查、督查督办工作。</w:t>
      </w:r>
      <w:r>
        <w:rPr>
          <w:rFonts w:eastAsia="仿宋_GB2312"/>
          <w:b/>
          <w:bCs/>
          <w:sz w:val="32"/>
          <w:szCs w:val="32"/>
        </w:rPr>
        <w:t>四是</w:t>
      </w:r>
      <w:r>
        <w:rPr>
          <w:rFonts w:eastAsia="仿宋_GB2312"/>
          <w:sz w:val="32"/>
          <w:szCs w:val="32"/>
        </w:rPr>
        <w:t>实行月报制度，从9月起街道每月30日前按时上报项目进度及资金拨付进度；</w:t>
      </w:r>
      <w:r>
        <w:rPr>
          <w:rFonts w:eastAsia="仿宋_GB2312"/>
          <w:b/>
          <w:bCs/>
          <w:sz w:val="32"/>
          <w:szCs w:val="32"/>
        </w:rPr>
        <w:t>五是</w:t>
      </w:r>
      <w:r>
        <w:rPr>
          <w:rFonts w:eastAsia="仿宋_GB2312"/>
          <w:sz w:val="32"/>
          <w:szCs w:val="32"/>
        </w:rPr>
        <w:t>建立项目绩效目标考核制度，严格按省绩效目标考核内容开展绩效自评工作。</w:t>
      </w:r>
    </w:p>
    <w:p>
      <w:pPr>
        <w:spacing w:line="560" w:lineRule="exact"/>
        <w:ind w:firstLine="640" w:firstLineChars="200"/>
        <w:rPr>
          <w:rFonts w:eastAsia="楷体_GB2312"/>
          <w:sz w:val="32"/>
          <w:szCs w:val="32"/>
        </w:rPr>
      </w:pPr>
      <w:r>
        <w:rPr>
          <w:rFonts w:eastAsia="楷体_GB2312"/>
          <w:sz w:val="32"/>
          <w:szCs w:val="32"/>
        </w:rPr>
        <w:t>（三）精准计划项目</w:t>
      </w:r>
    </w:p>
    <w:p>
      <w:pPr>
        <w:spacing w:line="560" w:lineRule="exact"/>
        <w:ind w:firstLine="640" w:firstLineChars="200"/>
        <w:rPr>
          <w:rFonts w:eastAsia="仿宋_GB2312"/>
          <w:sz w:val="32"/>
          <w:szCs w:val="32"/>
          <w:shd w:val="clear" w:color="auto" w:fill="FFFFFF"/>
        </w:rPr>
      </w:pPr>
      <w:r>
        <w:rPr>
          <w:rFonts w:eastAsia="仿宋_GB2312"/>
          <w:sz w:val="32"/>
          <w:szCs w:val="32"/>
        </w:rPr>
        <w:t>本方案从《</w:t>
      </w:r>
      <w:r>
        <w:rPr>
          <w:rFonts w:eastAsia="仿宋_GB2312"/>
          <w:sz w:val="32"/>
          <w:szCs w:val="32"/>
          <w:lang w:val="zh-CN"/>
        </w:rPr>
        <w:t>昆明市晋宁区202</w:t>
      </w:r>
      <w:r>
        <w:rPr>
          <w:rFonts w:eastAsia="仿宋_GB2312"/>
          <w:sz w:val="32"/>
          <w:szCs w:val="32"/>
        </w:rPr>
        <w:t>4</w:t>
      </w:r>
      <w:r>
        <w:rPr>
          <w:rFonts w:eastAsia="仿宋_GB2312"/>
          <w:sz w:val="32"/>
          <w:szCs w:val="32"/>
          <w:lang w:val="zh-CN"/>
        </w:rPr>
        <w:t>年度财政衔接推进乡村振兴项目实施计划》</w:t>
      </w:r>
      <w:r>
        <w:rPr>
          <w:rFonts w:eastAsia="仿宋_GB2312"/>
          <w:sz w:val="32"/>
          <w:szCs w:val="32"/>
        </w:rPr>
        <w:t>中，按产业资金投入占比不低于70%的目标，围绕乡村特色产业发展、持续扶持建档立卡人口选择了2个项目；</w:t>
      </w:r>
      <w:r>
        <w:rPr>
          <w:rFonts w:eastAsia="仿宋_GB2312"/>
          <w:b/>
          <w:bCs/>
          <w:sz w:val="32"/>
          <w:szCs w:val="32"/>
          <w:shd w:val="clear" w:color="auto" w:fill="FFFFFF"/>
        </w:rPr>
        <w:t>一是</w:t>
      </w:r>
      <w:r>
        <w:rPr>
          <w:rFonts w:eastAsia="仿宋_GB2312"/>
          <w:sz w:val="32"/>
          <w:szCs w:val="32"/>
          <w:shd w:val="clear" w:color="auto" w:fill="FFFFFF"/>
        </w:rPr>
        <w:t>支持乡村特色产业建设。</w:t>
      </w:r>
      <w:r>
        <w:rPr>
          <w:rFonts w:eastAsia="仿宋_GB2312"/>
          <w:b/>
          <w:bCs/>
          <w:sz w:val="32"/>
          <w:szCs w:val="32"/>
          <w:shd w:val="clear" w:color="auto" w:fill="FFFFFF"/>
        </w:rPr>
        <w:t>二是</w:t>
      </w:r>
      <w:r>
        <w:rPr>
          <w:rFonts w:eastAsia="仿宋_GB2312"/>
          <w:bCs/>
          <w:sz w:val="32"/>
          <w:szCs w:val="32"/>
          <w:shd w:val="clear" w:color="auto" w:fill="FFFFFF"/>
        </w:rPr>
        <w:t>巩固脱贫攻坚成果</w:t>
      </w:r>
      <w:r>
        <w:rPr>
          <w:rFonts w:eastAsia="仿宋_GB2312"/>
          <w:sz w:val="32"/>
          <w:szCs w:val="32"/>
          <w:shd w:val="clear" w:color="auto" w:fill="FFFFFF"/>
        </w:rPr>
        <w:t>。</w:t>
      </w:r>
    </w:p>
    <w:p>
      <w:pPr>
        <w:spacing w:line="560" w:lineRule="exact"/>
        <w:ind w:firstLine="640" w:firstLineChars="200"/>
        <w:rPr>
          <w:rFonts w:ascii="黑体" w:hAnsi="黑体" w:eastAsia="黑体" w:cs="黑体"/>
          <w:sz w:val="32"/>
          <w:szCs w:val="32"/>
        </w:rPr>
      </w:pPr>
      <w:r>
        <w:rPr>
          <w:rFonts w:hint="eastAsia" w:ascii="黑体" w:hAnsi="黑体" w:eastAsia="黑体" w:cs="黑体"/>
          <w:sz w:val="32"/>
          <w:szCs w:val="32"/>
        </w:rPr>
        <w:t>六、资金投入</w:t>
      </w:r>
    </w:p>
    <w:p>
      <w:pPr>
        <w:spacing w:line="560" w:lineRule="exact"/>
        <w:ind w:firstLine="640" w:firstLineChars="200"/>
        <w:rPr>
          <w:rFonts w:eastAsia="仿宋_GB2312"/>
          <w:bCs/>
          <w:sz w:val="32"/>
          <w:szCs w:val="32"/>
        </w:rPr>
      </w:pPr>
      <w:r>
        <w:rPr>
          <w:rFonts w:eastAsia="仿宋_GB2312"/>
          <w:bCs/>
          <w:sz w:val="32"/>
          <w:szCs w:val="32"/>
        </w:rPr>
        <w:t>本方案从产业发展、</w:t>
      </w:r>
      <w:r>
        <w:rPr>
          <w:rFonts w:eastAsia="仿宋_GB2312"/>
          <w:bCs/>
          <w:sz w:val="32"/>
          <w:szCs w:val="32"/>
          <w:shd w:val="clear" w:color="auto" w:fill="FFFFFF"/>
        </w:rPr>
        <w:t>巩固脱贫攻坚成果</w:t>
      </w:r>
      <w:r>
        <w:rPr>
          <w:rFonts w:eastAsia="仿宋_GB2312"/>
          <w:bCs/>
          <w:sz w:val="32"/>
          <w:szCs w:val="32"/>
        </w:rPr>
        <w:t>方面安排市级财政衔接推进乡村振兴补助资金，概算总投资5512万元，其中，市级衔接资金1010万元，业主投入4502万元。</w:t>
      </w:r>
      <w:r>
        <w:rPr>
          <w:rFonts w:eastAsia="仿宋_GB2312"/>
          <w:b/>
          <w:sz w:val="32"/>
          <w:szCs w:val="32"/>
        </w:rPr>
        <w:t>一是特色</w:t>
      </w:r>
      <w:r>
        <w:rPr>
          <w:rFonts w:eastAsia="仿宋_GB2312"/>
          <w:bCs/>
          <w:sz w:val="32"/>
          <w:szCs w:val="32"/>
        </w:rPr>
        <w:t>产业发展项目，计划总投资</w:t>
      </w:r>
      <w:r>
        <w:rPr>
          <w:rFonts w:eastAsia="仿宋_GB2312"/>
          <w:bCs/>
          <w:color w:val="000000" w:themeColor="text1"/>
          <w:sz w:val="32"/>
          <w:szCs w:val="32"/>
        </w:rPr>
        <w:t>5500</w:t>
      </w:r>
      <w:r>
        <w:rPr>
          <w:rFonts w:eastAsia="仿宋_GB2312"/>
          <w:bCs/>
          <w:sz w:val="32"/>
          <w:szCs w:val="32"/>
        </w:rPr>
        <w:t>万元，其中，市级衔接资金998万元；</w:t>
      </w:r>
      <w:r>
        <w:rPr>
          <w:rFonts w:eastAsia="仿宋_GB2312"/>
          <w:b/>
          <w:sz w:val="32"/>
          <w:szCs w:val="32"/>
        </w:rPr>
        <w:t>二是</w:t>
      </w:r>
      <w:r>
        <w:rPr>
          <w:rFonts w:eastAsia="仿宋_GB2312"/>
          <w:sz w:val="32"/>
          <w:szCs w:val="32"/>
        </w:rPr>
        <w:t>晋宁区2024年爱心超市补助资金</w:t>
      </w:r>
      <w:r>
        <w:rPr>
          <w:rFonts w:eastAsia="仿宋_GB2312"/>
          <w:bCs/>
          <w:sz w:val="32"/>
          <w:szCs w:val="32"/>
        </w:rPr>
        <w:t>计划投入12万元，其中，市级衔接资金12万元。</w:t>
      </w:r>
    </w:p>
    <w:p>
      <w:pPr>
        <w:spacing w:line="560" w:lineRule="exact"/>
        <w:ind w:firstLine="640" w:firstLineChars="200"/>
        <w:rPr>
          <w:rFonts w:ascii="黑体" w:hAnsi="黑体" w:eastAsia="黑体" w:cs="黑体"/>
          <w:sz w:val="32"/>
          <w:szCs w:val="32"/>
        </w:rPr>
      </w:pPr>
      <w:r>
        <w:rPr>
          <w:rFonts w:hint="eastAsia" w:ascii="黑体" w:hAnsi="黑体" w:eastAsia="黑体" w:cs="黑体"/>
          <w:sz w:val="32"/>
          <w:szCs w:val="32"/>
        </w:rPr>
        <w:t>七、项目建设内容</w:t>
      </w:r>
    </w:p>
    <w:p>
      <w:pPr>
        <w:spacing w:line="560" w:lineRule="exact"/>
        <w:ind w:firstLine="640" w:firstLineChars="200"/>
        <w:rPr>
          <w:rFonts w:eastAsia="楷体"/>
          <w:sz w:val="32"/>
          <w:szCs w:val="32"/>
        </w:rPr>
      </w:pPr>
      <w:r>
        <w:rPr>
          <w:rFonts w:eastAsia="楷体"/>
          <w:sz w:val="32"/>
          <w:szCs w:val="32"/>
        </w:rPr>
        <w:t>（一）产业项目1件，计划资金5500万元，其中：市级衔接资金998万元。</w:t>
      </w:r>
    </w:p>
    <w:p>
      <w:pPr>
        <w:spacing w:line="560" w:lineRule="exact"/>
        <w:ind w:firstLine="640" w:firstLineChars="200"/>
        <w:rPr>
          <w:rFonts w:eastAsia="仿宋_GB2312"/>
          <w:bCs/>
          <w:sz w:val="32"/>
          <w:szCs w:val="32"/>
        </w:rPr>
      </w:pPr>
      <w:r>
        <w:rPr>
          <w:rFonts w:eastAsia="仿宋_GB2312"/>
          <w:bCs/>
          <w:sz w:val="32"/>
          <w:szCs w:val="32"/>
        </w:rPr>
        <w:t>晋宁区400亩绿色高效花卉生产示范基地二期。计划投入资金5500万元，其中补助市级衔接资金998万元；建设内容：基地面积180亩（含鲜切花高标准大棚140亩），建设含新建水肥系统田间部分、智能控制系统硬件及传感器、种植槽、室外供水管道、排洪工程、供电工程、天然气接入工程等。项目完成后，预计可实现综合产值2800万元/年以上，提供110个/年就业岗位，按人均6万元/年计算，就业人员可实现收入660万元以上，通过精准施肥、循环水利用等生态高效生产技术，有利于自然生态环境的保护与改善，促进农业可持续发展。</w:t>
      </w:r>
    </w:p>
    <w:p>
      <w:pPr>
        <w:spacing w:line="560" w:lineRule="exact"/>
        <w:ind w:firstLine="640" w:firstLineChars="200"/>
        <w:rPr>
          <w:rFonts w:eastAsia="楷体"/>
          <w:sz w:val="32"/>
          <w:szCs w:val="32"/>
        </w:rPr>
      </w:pPr>
      <w:r>
        <w:rPr>
          <w:rFonts w:eastAsia="楷体"/>
          <w:sz w:val="32"/>
          <w:szCs w:val="32"/>
        </w:rPr>
        <w:t>（二）巩固脱贫成果项目1件，计划资金12万元，其中市级衔接资金补助12万元。</w:t>
      </w:r>
    </w:p>
    <w:p>
      <w:pPr>
        <w:spacing w:line="560" w:lineRule="exact"/>
        <w:ind w:firstLine="640" w:firstLineChars="200"/>
        <w:rPr>
          <w:rFonts w:eastAsia="仿宋_GB2312"/>
          <w:bCs/>
          <w:sz w:val="32"/>
          <w:szCs w:val="32"/>
        </w:rPr>
      </w:pPr>
      <w:r>
        <w:rPr>
          <w:rFonts w:eastAsia="仿宋_GB2312"/>
          <w:bCs/>
          <w:sz w:val="32"/>
          <w:szCs w:val="32"/>
        </w:rPr>
        <w:t>晋宁区2024年爱心超市补助资金。计划投入资金12万元，建设内容：建档立卡脱贫人口及监测对象爱心超市二街、宝峰、上蒜、六街各1.5万元计6万元，双河、夕阳、晋城各2万元计6万元。受益42</w:t>
      </w:r>
      <w:r>
        <w:rPr>
          <w:rFonts w:hint="eastAsia" w:eastAsia="仿宋_GB2312"/>
          <w:bCs/>
          <w:sz w:val="32"/>
          <w:szCs w:val="32"/>
        </w:rPr>
        <w:t>5</w:t>
      </w:r>
      <w:r>
        <w:rPr>
          <w:rFonts w:eastAsia="仿宋_GB2312"/>
          <w:bCs/>
          <w:sz w:val="32"/>
          <w:szCs w:val="32"/>
        </w:rPr>
        <w:t>户126</w:t>
      </w:r>
      <w:r>
        <w:rPr>
          <w:rFonts w:hint="eastAsia" w:eastAsia="仿宋_GB2312"/>
          <w:bCs/>
          <w:sz w:val="32"/>
          <w:szCs w:val="32"/>
        </w:rPr>
        <w:t>1</w:t>
      </w:r>
      <w:r>
        <w:rPr>
          <w:rFonts w:eastAsia="仿宋_GB2312"/>
          <w:bCs/>
          <w:sz w:val="32"/>
          <w:szCs w:val="32"/>
        </w:rPr>
        <w:t>人。</w:t>
      </w:r>
    </w:p>
    <w:p>
      <w:pPr>
        <w:spacing w:line="560" w:lineRule="exact"/>
        <w:rPr>
          <w:rFonts w:eastAsia="仿宋_GB2312"/>
          <w:sz w:val="32"/>
          <w:szCs w:val="32"/>
        </w:rPr>
      </w:pPr>
    </w:p>
    <w:p>
      <w:pPr>
        <w:spacing w:line="560" w:lineRule="exact"/>
        <w:ind w:left="1598" w:leftChars="304" w:hanging="960" w:hangingChars="300"/>
        <w:rPr>
          <w:rFonts w:eastAsia="仿宋_GB2312"/>
          <w:sz w:val="32"/>
          <w:szCs w:val="32"/>
        </w:rPr>
      </w:pPr>
      <w:r>
        <w:rPr>
          <w:rFonts w:eastAsia="仿宋_GB2312"/>
          <w:sz w:val="32"/>
          <w:szCs w:val="32"/>
        </w:rPr>
        <w:t>附件：昆明市晋宁区市级财政衔接推进乡村振兴项目计划表（2024年）</w:t>
      </w:r>
    </w:p>
    <w:p>
      <w:pPr>
        <w:spacing w:line="560" w:lineRule="exact"/>
        <w:ind w:firstLine="4800" w:firstLineChars="1500"/>
        <w:rPr>
          <w:rFonts w:ascii="仿宋_GB2312" w:hAnsi="仿宋_GB2312" w:eastAsia="仿宋_GB2312" w:cs="仿宋_GB2312"/>
          <w:sz w:val="32"/>
          <w:szCs w:val="32"/>
        </w:rPr>
      </w:pPr>
    </w:p>
    <w:p>
      <w:pPr>
        <w:pStyle w:val="2"/>
        <w:ind w:firstLine="640"/>
      </w:pPr>
    </w:p>
    <w:p>
      <w:pPr>
        <w:spacing w:line="560" w:lineRule="exact"/>
        <w:ind w:firstLine="4800" w:firstLineChars="1500"/>
        <w:rPr>
          <w:rFonts w:ascii="仿宋_GB2312" w:hAnsi="仿宋_GB2312" w:eastAsia="仿宋_GB2312" w:cs="仿宋_GB2312"/>
          <w:sz w:val="32"/>
          <w:szCs w:val="32"/>
        </w:rPr>
      </w:pPr>
      <w:r>
        <w:rPr>
          <w:rFonts w:hint="eastAsia" w:ascii="仿宋_GB2312" w:hAnsi="仿宋_GB2312" w:eastAsia="仿宋_GB2312" w:cs="仿宋_GB2312"/>
          <w:sz w:val="32"/>
          <w:szCs w:val="32"/>
        </w:rPr>
        <w:t>昆明市晋宁区农业农村局</w:t>
      </w:r>
    </w:p>
    <w:p>
      <w:pPr>
        <w:spacing w:line="560" w:lineRule="exact"/>
        <w:ind w:firstLine="5440" w:firstLineChars="1700"/>
        <w:rPr>
          <w:rFonts w:eastAsia="仿宋_GB2312"/>
          <w:sz w:val="32"/>
          <w:szCs w:val="32"/>
        </w:rPr>
      </w:pPr>
      <w:r>
        <w:rPr>
          <w:rFonts w:eastAsia="仿宋_GB2312"/>
          <w:sz w:val="32"/>
          <w:szCs w:val="32"/>
        </w:rPr>
        <w:t>2024</w:t>
      </w:r>
      <w:r>
        <w:rPr>
          <w:rFonts w:hAnsi="仿宋_GB2312" w:eastAsia="仿宋_GB2312"/>
          <w:sz w:val="32"/>
          <w:szCs w:val="32"/>
        </w:rPr>
        <w:t>年</w:t>
      </w:r>
      <w:r>
        <w:rPr>
          <w:rFonts w:hint="eastAsia" w:eastAsia="仿宋_GB2312"/>
          <w:sz w:val="32"/>
          <w:szCs w:val="32"/>
        </w:rPr>
        <w:t>8</w:t>
      </w:r>
      <w:r>
        <w:rPr>
          <w:rFonts w:hAnsi="仿宋_GB2312" w:eastAsia="仿宋_GB2312"/>
          <w:sz w:val="32"/>
          <w:szCs w:val="32"/>
        </w:rPr>
        <w:t>月</w:t>
      </w:r>
      <w:r>
        <w:rPr>
          <w:rFonts w:hint="eastAsia" w:eastAsia="仿宋_GB2312"/>
          <w:sz w:val="32"/>
          <w:szCs w:val="32"/>
        </w:rPr>
        <w:t>7</w:t>
      </w:r>
      <w:r>
        <w:rPr>
          <w:rFonts w:hAnsi="仿宋_GB2312" w:eastAsia="仿宋_GB2312"/>
          <w:sz w:val="32"/>
          <w:szCs w:val="32"/>
        </w:rPr>
        <w:t>日</w:t>
      </w:r>
    </w:p>
    <w:sectPr>
      <w:footerReference r:id="rId3" w:type="default"/>
      <w:footerReference r:id="rId4" w:type="even"/>
      <w:pgSz w:w="12240" w:h="15840"/>
      <w:pgMar w:top="1417" w:right="1418" w:bottom="1417" w:left="1587" w:header="720" w:footer="720" w:gutter="0"/>
      <w:pgNumType w:fmt="numberInDash"/>
      <w:cols w:space="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_GB2312">
    <w:panose1 w:val="02010609030101010101"/>
    <w:charset w:val="86"/>
    <w:family w:val="auto"/>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pict>
        <v:shape id="文本框 1025" o:spid="_x0000_s1026" o:spt="202" type="#_x0000_t202" style="position:absolute;left:0pt;margin-top:0pt;height:144pt;width:144pt;mso-position-horizontal:outside;mso-position-horizontal-relative:margin;mso-wrap-style:none;z-index:251659264;mso-width-relative:page;mso-height-relative:page;" filled="f" stroked="f" coordsize="21600,21600">
          <v:path/>
          <v:fill on="f" focussize="0,0"/>
          <v:stroke on="f" joinstyle="miter"/>
          <v:imagedata o:title=""/>
          <o:lock v:ext="edit"/>
          <v:textbox inset="0mm,0mm,0mm,0mm" style="mso-fit-shape-to-text:t;">
            <w:txbxContent>
              <w:p>
                <w:pPr>
                  <w:pStyle w:val="4"/>
                </w:pPr>
                <w:r>
                  <w:fldChar w:fldCharType="begin"/>
                </w:r>
                <w:r>
                  <w:instrText xml:space="preserve"> PAGE  \* MERGEFORMAT </w:instrText>
                </w:r>
                <w:r>
                  <w:fldChar w:fldCharType="separate"/>
                </w:r>
                <w:r>
                  <w:t>- 5 -</w:t>
                </w:r>
                <w:r>
                  <w:fldChar w:fldCharType="end"/>
                </w:r>
              </w:p>
            </w:txbxContent>
          </v:textbox>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framePr w:wrap="around" w:vAnchor="text" w:hAnchor="margin" w:xAlign="center" w:y="1"/>
      <w:rPr>
        <w:rStyle w:val="9"/>
      </w:rPr>
    </w:pPr>
    <w:r>
      <w:rPr>
        <w:rStyle w:val="9"/>
      </w:rPr>
      <w:fldChar w:fldCharType="begin"/>
    </w:r>
    <w:r>
      <w:rPr>
        <w:rStyle w:val="9"/>
      </w:rPr>
      <w:instrText xml:space="preserve">PAGE  </w:instrText>
    </w:r>
    <w:r>
      <w:rPr>
        <w:rStyle w:val="9"/>
      </w:rPr>
      <w:fldChar w:fldCharType="separate"/>
    </w:r>
    <w:r>
      <w:rPr>
        <w:rStyle w:val="9"/>
      </w:rPr>
      <w:t>4</w:t>
    </w:r>
    <w:r>
      <w:rPr>
        <w:rStyle w:val="9"/>
      </w:rPr>
      <w:fldChar w:fldCharType="end"/>
    </w:r>
  </w:p>
  <w:p>
    <w:pPr>
      <w:pStyle w:val="4"/>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5D57565"/>
    <w:multiLevelType w:val="singleLevel"/>
    <w:tmpl w:val="E5D57565"/>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VerticalSpacing w:val="156"/>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OTljZjZmZGZiYjRkMzI3N2JhNTk0ZjUyN2ZmYzUxNGIifQ=="/>
  </w:docVars>
  <w:rsids>
    <w:rsidRoot w:val="000D4BAD"/>
    <w:rsid w:val="00002639"/>
    <w:rsid w:val="00025AEC"/>
    <w:rsid w:val="00031254"/>
    <w:rsid w:val="000330E2"/>
    <w:rsid w:val="000535B9"/>
    <w:rsid w:val="00082EA2"/>
    <w:rsid w:val="000B4F7B"/>
    <w:rsid w:val="000D4BAD"/>
    <w:rsid w:val="0012378A"/>
    <w:rsid w:val="0012545C"/>
    <w:rsid w:val="00180389"/>
    <w:rsid w:val="0019549F"/>
    <w:rsid w:val="001B391F"/>
    <w:rsid w:val="00211152"/>
    <w:rsid w:val="00220A02"/>
    <w:rsid w:val="00224E29"/>
    <w:rsid w:val="00230D33"/>
    <w:rsid w:val="00253C6C"/>
    <w:rsid w:val="00272AF5"/>
    <w:rsid w:val="002A2401"/>
    <w:rsid w:val="002B3FA0"/>
    <w:rsid w:val="002B4188"/>
    <w:rsid w:val="002D2223"/>
    <w:rsid w:val="002D52A1"/>
    <w:rsid w:val="002E1BA1"/>
    <w:rsid w:val="002E617B"/>
    <w:rsid w:val="002E7D57"/>
    <w:rsid w:val="002F44E3"/>
    <w:rsid w:val="00364190"/>
    <w:rsid w:val="00376A9D"/>
    <w:rsid w:val="00396048"/>
    <w:rsid w:val="003A3A9A"/>
    <w:rsid w:val="003D511E"/>
    <w:rsid w:val="0040482F"/>
    <w:rsid w:val="00404C29"/>
    <w:rsid w:val="00412C53"/>
    <w:rsid w:val="00421975"/>
    <w:rsid w:val="00437B75"/>
    <w:rsid w:val="0046534F"/>
    <w:rsid w:val="004764F2"/>
    <w:rsid w:val="00487EB8"/>
    <w:rsid w:val="004B1616"/>
    <w:rsid w:val="004E7E4F"/>
    <w:rsid w:val="00512C07"/>
    <w:rsid w:val="005143A7"/>
    <w:rsid w:val="00547CE7"/>
    <w:rsid w:val="00560609"/>
    <w:rsid w:val="005664E9"/>
    <w:rsid w:val="005877F7"/>
    <w:rsid w:val="0059437C"/>
    <w:rsid w:val="00597E5D"/>
    <w:rsid w:val="005E6FB8"/>
    <w:rsid w:val="005F1127"/>
    <w:rsid w:val="005F16C6"/>
    <w:rsid w:val="005F4E15"/>
    <w:rsid w:val="006147C3"/>
    <w:rsid w:val="00616682"/>
    <w:rsid w:val="0063098E"/>
    <w:rsid w:val="00634DEB"/>
    <w:rsid w:val="0065138B"/>
    <w:rsid w:val="00675D0E"/>
    <w:rsid w:val="00691186"/>
    <w:rsid w:val="006B2C80"/>
    <w:rsid w:val="006B6DAE"/>
    <w:rsid w:val="006D1978"/>
    <w:rsid w:val="006F20A5"/>
    <w:rsid w:val="00700D89"/>
    <w:rsid w:val="00704C3D"/>
    <w:rsid w:val="00712AC0"/>
    <w:rsid w:val="00751496"/>
    <w:rsid w:val="00763B16"/>
    <w:rsid w:val="00785C40"/>
    <w:rsid w:val="0078662D"/>
    <w:rsid w:val="007B18BA"/>
    <w:rsid w:val="007B2714"/>
    <w:rsid w:val="007B36F0"/>
    <w:rsid w:val="007C6A6E"/>
    <w:rsid w:val="007C77D7"/>
    <w:rsid w:val="007F6964"/>
    <w:rsid w:val="00845632"/>
    <w:rsid w:val="00867191"/>
    <w:rsid w:val="008B76BB"/>
    <w:rsid w:val="008C1FEA"/>
    <w:rsid w:val="008C3511"/>
    <w:rsid w:val="008F3545"/>
    <w:rsid w:val="00904A3A"/>
    <w:rsid w:val="00927D54"/>
    <w:rsid w:val="00943BE3"/>
    <w:rsid w:val="0096457D"/>
    <w:rsid w:val="009729BA"/>
    <w:rsid w:val="009826D8"/>
    <w:rsid w:val="009834EF"/>
    <w:rsid w:val="009962ED"/>
    <w:rsid w:val="009B6171"/>
    <w:rsid w:val="009F16E8"/>
    <w:rsid w:val="00A04E2F"/>
    <w:rsid w:val="00A2305F"/>
    <w:rsid w:val="00A2473F"/>
    <w:rsid w:val="00A251E5"/>
    <w:rsid w:val="00A3360B"/>
    <w:rsid w:val="00A4693D"/>
    <w:rsid w:val="00A50B1B"/>
    <w:rsid w:val="00A534D1"/>
    <w:rsid w:val="00A61F77"/>
    <w:rsid w:val="00A62357"/>
    <w:rsid w:val="00A67265"/>
    <w:rsid w:val="00AC3AAC"/>
    <w:rsid w:val="00AE7FAE"/>
    <w:rsid w:val="00AF3A18"/>
    <w:rsid w:val="00B01921"/>
    <w:rsid w:val="00B259E1"/>
    <w:rsid w:val="00B26127"/>
    <w:rsid w:val="00B56D0C"/>
    <w:rsid w:val="00B64D2B"/>
    <w:rsid w:val="00B67106"/>
    <w:rsid w:val="00B768DA"/>
    <w:rsid w:val="00BB4235"/>
    <w:rsid w:val="00BF013B"/>
    <w:rsid w:val="00BF5176"/>
    <w:rsid w:val="00BF6BE5"/>
    <w:rsid w:val="00C23A0D"/>
    <w:rsid w:val="00C30BBF"/>
    <w:rsid w:val="00C80DF0"/>
    <w:rsid w:val="00C813DA"/>
    <w:rsid w:val="00C863CF"/>
    <w:rsid w:val="00C926EB"/>
    <w:rsid w:val="00CA01AE"/>
    <w:rsid w:val="00CA2FCB"/>
    <w:rsid w:val="00CA350D"/>
    <w:rsid w:val="00CA5834"/>
    <w:rsid w:val="00CB2722"/>
    <w:rsid w:val="00CC125A"/>
    <w:rsid w:val="00CE7483"/>
    <w:rsid w:val="00CE78FB"/>
    <w:rsid w:val="00CF3225"/>
    <w:rsid w:val="00D018CB"/>
    <w:rsid w:val="00D219FC"/>
    <w:rsid w:val="00D40809"/>
    <w:rsid w:val="00D454B7"/>
    <w:rsid w:val="00D6756B"/>
    <w:rsid w:val="00D678D9"/>
    <w:rsid w:val="00D75EDC"/>
    <w:rsid w:val="00D81CAF"/>
    <w:rsid w:val="00D83341"/>
    <w:rsid w:val="00D87F97"/>
    <w:rsid w:val="00D92700"/>
    <w:rsid w:val="00D932E6"/>
    <w:rsid w:val="00D96B20"/>
    <w:rsid w:val="00DA1A99"/>
    <w:rsid w:val="00DA3E3A"/>
    <w:rsid w:val="00DB4A0B"/>
    <w:rsid w:val="00E06861"/>
    <w:rsid w:val="00E11198"/>
    <w:rsid w:val="00E233F5"/>
    <w:rsid w:val="00E568D1"/>
    <w:rsid w:val="00E67C2E"/>
    <w:rsid w:val="00E703C0"/>
    <w:rsid w:val="00EB0479"/>
    <w:rsid w:val="00ED3F99"/>
    <w:rsid w:val="00ED7B01"/>
    <w:rsid w:val="00ED7D8C"/>
    <w:rsid w:val="00EE488C"/>
    <w:rsid w:val="00EF0097"/>
    <w:rsid w:val="00EF3C1B"/>
    <w:rsid w:val="00F16F18"/>
    <w:rsid w:val="00F201DC"/>
    <w:rsid w:val="00F52C48"/>
    <w:rsid w:val="00F62DC3"/>
    <w:rsid w:val="00F66E7D"/>
    <w:rsid w:val="00F705F6"/>
    <w:rsid w:val="00F71797"/>
    <w:rsid w:val="00F964F7"/>
    <w:rsid w:val="00FA6625"/>
    <w:rsid w:val="02843E24"/>
    <w:rsid w:val="08127D03"/>
    <w:rsid w:val="0A0831A8"/>
    <w:rsid w:val="0A0E7782"/>
    <w:rsid w:val="0A9C3ABB"/>
    <w:rsid w:val="0C5F10F1"/>
    <w:rsid w:val="14B23B56"/>
    <w:rsid w:val="16B2774C"/>
    <w:rsid w:val="16ED01AA"/>
    <w:rsid w:val="1C770F1A"/>
    <w:rsid w:val="1E971E3F"/>
    <w:rsid w:val="20376A5F"/>
    <w:rsid w:val="20A067B4"/>
    <w:rsid w:val="22AE10CA"/>
    <w:rsid w:val="2455389D"/>
    <w:rsid w:val="26AC6BD8"/>
    <w:rsid w:val="277B768C"/>
    <w:rsid w:val="27BC5F2F"/>
    <w:rsid w:val="29CE6C0F"/>
    <w:rsid w:val="2DAE63D2"/>
    <w:rsid w:val="2E875FEB"/>
    <w:rsid w:val="331A4BF7"/>
    <w:rsid w:val="333940A7"/>
    <w:rsid w:val="34E46515"/>
    <w:rsid w:val="37E35E2D"/>
    <w:rsid w:val="3BFE1AF0"/>
    <w:rsid w:val="3C593B99"/>
    <w:rsid w:val="3CE5395B"/>
    <w:rsid w:val="3F366A86"/>
    <w:rsid w:val="405865D4"/>
    <w:rsid w:val="42284E58"/>
    <w:rsid w:val="45A5478B"/>
    <w:rsid w:val="482F69E6"/>
    <w:rsid w:val="4D441458"/>
    <w:rsid w:val="4F85419F"/>
    <w:rsid w:val="51C11454"/>
    <w:rsid w:val="526B2C2E"/>
    <w:rsid w:val="56B36625"/>
    <w:rsid w:val="58FB3B7E"/>
    <w:rsid w:val="5A580DCF"/>
    <w:rsid w:val="5A6317AD"/>
    <w:rsid w:val="5B610DF6"/>
    <w:rsid w:val="5C834CE1"/>
    <w:rsid w:val="5FA35EE7"/>
    <w:rsid w:val="60AF4563"/>
    <w:rsid w:val="61D742DA"/>
    <w:rsid w:val="63550DF9"/>
    <w:rsid w:val="63DD3E15"/>
    <w:rsid w:val="66EC79F0"/>
    <w:rsid w:val="678A41D2"/>
    <w:rsid w:val="6A744AEE"/>
    <w:rsid w:val="6AF44E7E"/>
    <w:rsid w:val="7052515F"/>
    <w:rsid w:val="71AA044A"/>
    <w:rsid w:val="729315A7"/>
    <w:rsid w:val="72B64E6F"/>
    <w:rsid w:val="72C83A7E"/>
    <w:rsid w:val="73DF2727"/>
    <w:rsid w:val="78BF5D97"/>
    <w:rsid w:val="791A3284"/>
    <w:rsid w:val="7A237033"/>
    <w:rsid w:val="7B313111"/>
    <w:rsid w:val="7BB375A7"/>
    <w:rsid w:val="7BEE3352"/>
    <w:rsid w:val="7C9B7CC0"/>
    <w:rsid w:val="7F5F6570"/>
    <w:rsid w:val="7F6F5AE7"/>
    <w:rsid w:val="7FDE699A"/>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8">
    <w:name w:val="Default Paragraph Font"/>
    <w:semiHidden/>
    <w:unhideWhenUsed/>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next w:val="1"/>
    <w:qFormat/>
    <w:uiPriority w:val="99"/>
    <w:pPr>
      <w:ind w:firstLine="420" w:firstLineChars="200"/>
    </w:pPr>
  </w:style>
  <w:style w:type="paragraph" w:styleId="3">
    <w:name w:val="Body Text Indent"/>
    <w:basedOn w:val="1"/>
    <w:qFormat/>
    <w:uiPriority w:val="0"/>
    <w:pPr>
      <w:spacing w:line="600" w:lineRule="exact"/>
      <w:ind w:firstLine="630"/>
    </w:pPr>
    <w:rPr>
      <w:rFonts w:eastAsia="仿宋_GB2312" w:cs="仿宋_GB2312"/>
      <w:sz w:val="32"/>
      <w:szCs w:val="30"/>
    </w:rPr>
  </w:style>
  <w:style w:type="paragraph" w:styleId="4">
    <w:name w:val="footer"/>
    <w:basedOn w:val="1"/>
    <w:link w:val="10"/>
    <w:qFormat/>
    <w:uiPriority w:val="0"/>
    <w:pPr>
      <w:tabs>
        <w:tab w:val="center" w:pos="4153"/>
        <w:tab w:val="right" w:pos="8306"/>
      </w:tabs>
      <w:snapToGrid w:val="0"/>
      <w:jc w:val="left"/>
    </w:pPr>
    <w:rPr>
      <w:sz w:val="18"/>
      <w:szCs w:val="18"/>
    </w:rPr>
  </w:style>
  <w:style w:type="paragraph" w:styleId="5">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table" w:styleId="7">
    <w:name w:val="Table Grid"/>
    <w:basedOn w:val="6"/>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9">
    <w:name w:val="page number"/>
    <w:basedOn w:val="8"/>
    <w:qFormat/>
    <w:uiPriority w:val="0"/>
  </w:style>
  <w:style w:type="character" w:customStyle="1" w:styleId="10">
    <w:name w:val="页脚 Char"/>
    <w:basedOn w:val="8"/>
    <w:link w:val="4"/>
    <w:qFormat/>
    <w:uiPriority w:val="0"/>
    <w:rPr>
      <w:rFonts w:ascii="Times New Roman" w:hAnsi="Times New Roman" w:eastAsia="宋体" w:cs="Times New Roman"/>
      <w:sz w:val="18"/>
      <w:szCs w:val="18"/>
    </w:rPr>
  </w:style>
  <w:style w:type="character" w:customStyle="1" w:styleId="11">
    <w:name w:val="页眉 Char"/>
    <w:basedOn w:val="8"/>
    <w:link w:val="5"/>
    <w:semiHidden/>
    <w:qFormat/>
    <w:uiPriority w:val="99"/>
    <w:rPr>
      <w:rFonts w:ascii="Times New Roman" w:hAnsi="Times New Roman" w:eastAsia="宋体" w:cs="Times New Roman"/>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5</Pages>
  <Words>2022</Words>
  <Characters>2137</Characters>
  <Lines>1</Lines>
  <Paragraphs>4</Paragraphs>
  <TotalTime>19</TotalTime>
  <ScaleCrop>false</ScaleCrop>
  <LinksUpToDate>false</LinksUpToDate>
  <CharactersWithSpaces>2138</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2024-01-10T08:54:00Z</dcterms:created>
  <dc:creator>xsd</dc:creator>
  <cp:lastModifiedBy>陈素芬</cp:lastModifiedBy>
  <cp:lastPrinted>2024-09-09T06:33:00Z</cp:lastPrinted>
  <dcterms:modified xsi:type="dcterms:W3CDTF">2024-09-10T01:23:37Z</dcterms:modified>
  <cp:revision>21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KSOSaveFontToCloudKey">
    <vt:lpwstr>556714777_btnclosed</vt:lpwstr>
  </property>
  <property fmtid="{D5CDD505-2E9C-101B-9397-08002B2CF9AE}" pid="4" name="ICV">
    <vt:lpwstr>27A650C654C342CB840B29C7D1F54CC5</vt:lpwstr>
  </property>
</Properties>
</file>