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560" w:lineRule="exact"/>
        <w:rPr>
          <w:rFonts w:ascii="黑体" w:hAnsi="黑体" w:eastAsia="黑体" w:cs="黑体"/>
          <w:sz w:val="32"/>
          <w:szCs w:val="32"/>
        </w:rPr>
      </w:pPr>
      <w:r>
        <w:rPr>
          <w:rFonts w:hint="eastAsia" w:ascii="黑体" w:hAnsi="黑体" w:eastAsia="黑体" w:cs="黑体"/>
          <w:sz w:val="32"/>
          <w:szCs w:val="32"/>
        </w:rPr>
        <w:t>附件1</w:t>
      </w:r>
    </w:p>
    <w:p>
      <w:pPr>
        <w:pStyle w:val="2"/>
        <w:ind w:firstLine="640"/>
      </w:pPr>
    </w:p>
    <w:p>
      <w:pPr>
        <w:spacing w:line="540" w:lineRule="exact"/>
        <w:jc w:val="center"/>
        <w:rPr>
          <w:rFonts w:hint="eastAsia" w:ascii="方正小标宋简体" w:hAnsi="方正小标宋简体" w:eastAsia="方正小标宋简体" w:cs="方正小标宋简体"/>
          <w:bCs/>
          <w:kern w:val="0"/>
          <w:sz w:val="44"/>
          <w:szCs w:val="44"/>
          <w:lang w:val="zh-CN"/>
        </w:rPr>
      </w:pPr>
      <w:r>
        <w:rPr>
          <w:rFonts w:hint="eastAsia" w:ascii="方正小标宋简体" w:hAnsi="方正小标宋简体" w:eastAsia="方正小标宋简体" w:cs="方正小标宋简体"/>
          <w:bCs/>
          <w:kern w:val="0"/>
          <w:sz w:val="44"/>
          <w:szCs w:val="44"/>
          <w:lang w:val="zh-CN"/>
        </w:rPr>
        <w:t>昆明市晋宁区202</w:t>
      </w:r>
      <w:r>
        <w:rPr>
          <w:rFonts w:hint="eastAsia" w:ascii="方正小标宋简体" w:hAnsi="方正小标宋简体" w:eastAsia="方正小标宋简体" w:cs="方正小标宋简体"/>
          <w:bCs/>
          <w:kern w:val="0"/>
          <w:sz w:val="44"/>
          <w:szCs w:val="44"/>
        </w:rPr>
        <w:t>4</w:t>
      </w:r>
      <w:r>
        <w:rPr>
          <w:rFonts w:hint="eastAsia" w:ascii="方正小标宋简体" w:hAnsi="方正小标宋简体" w:eastAsia="方正小标宋简体" w:cs="方正小标宋简体"/>
          <w:bCs/>
          <w:kern w:val="0"/>
          <w:sz w:val="44"/>
          <w:szCs w:val="44"/>
          <w:lang w:val="zh-CN"/>
        </w:rPr>
        <w:t>年度第二批中央财政</w:t>
      </w:r>
    </w:p>
    <w:p>
      <w:pPr>
        <w:spacing w:line="540" w:lineRule="exact"/>
        <w:jc w:val="center"/>
        <w:rPr>
          <w:rFonts w:hint="eastAsia" w:ascii="方正小标宋简体" w:hAnsi="方正小标宋简体" w:eastAsia="方正小标宋简体" w:cs="方正小标宋简体"/>
          <w:bCs/>
          <w:kern w:val="0"/>
          <w:sz w:val="44"/>
          <w:szCs w:val="44"/>
          <w:lang w:val="zh-CN"/>
        </w:rPr>
      </w:pPr>
      <w:r>
        <w:rPr>
          <w:rFonts w:hint="eastAsia" w:ascii="方正小标宋简体" w:hAnsi="方正小标宋简体" w:eastAsia="方正小标宋简体" w:cs="方正小标宋简体"/>
          <w:bCs/>
          <w:kern w:val="0"/>
          <w:sz w:val="44"/>
          <w:szCs w:val="44"/>
          <w:lang w:val="zh-CN"/>
        </w:rPr>
        <w:t>衔接推进乡村振兴项目实施方案</w:t>
      </w:r>
    </w:p>
    <w:p>
      <w:pPr>
        <w:spacing w:line="540" w:lineRule="exact"/>
        <w:jc w:val="center"/>
        <w:rPr>
          <w:rFonts w:ascii="仿宋_GB2312" w:hAnsi="仿宋_GB2312" w:eastAsia="仿宋_GB2312" w:cs="仿宋_GB2312"/>
          <w:bCs/>
          <w:kern w:val="0"/>
          <w:sz w:val="36"/>
          <w:szCs w:val="36"/>
        </w:rPr>
      </w:pPr>
      <w:r>
        <w:rPr>
          <w:rFonts w:hint="eastAsia" w:ascii="仿宋_GB2312" w:hAnsi="仿宋_GB2312" w:eastAsia="仿宋_GB2312" w:cs="仿宋_GB2312"/>
          <w:bCs/>
          <w:kern w:val="0"/>
          <w:sz w:val="36"/>
          <w:szCs w:val="36"/>
        </w:rPr>
        <w:t>（征求意见稿）</w:t>
      </w:r>
    </w:p>
    <w:p>
      <w:pPr>
        <w:spacing w:line="540" w:lineRule="exact"/>
        <w:jc w:val="center"/>
        <w:rPr>
          <w:rFonts w:ascii="仿宋_GB2312" w:hAnsi="仿宋_GB2312" w:eastAsia="仿宋_GB2312" w:cs="仿宋_GB2312"/>
          <w:kern w:val="0"/>
          <w:sz w:val="32"/>
          <w:szCs w:val="32"/>
          <w:lang w:val="zh-CN"/>
        </w:rPr>
      </w:pPr>
    </w:p>
    <w:p>
      <w:pPr>
        <w:spacing w:line="540" w:lineRule="exact"/>
        <w:jc w:val="left"/>
        <w:rPr>
          <w:rFonts w:ascii="仿宋_GB2312" w:hAnsi="仿宋_GB2312" w:eastAsia="仿宋_GB2312" w:cs="仿宋_GB2312"/>
          <w:kern w:val="0"/>
          <w:sz w:val="32"/>
          <w:szCs w:val="32"/>
          <w:lang w:val="zh-CN"/>
        </w:rPr>
      </w:pPr>
      <w:r>
        <w:rPr>
          <w:rFonts w:hint="eastAsia" w:ascii="仿宋_GB2312" w:hAnsi="仿宋_GB2312" w:eastAsia="仿宋_GB2312" w:cs="仿宋_GB2312"/>
          <w:kern w:val="0"/>
          <w:sz w:val="32"/>
          <w:szCs w:val="32"/>
          <w:lang w:val="zh-CN"/>
        </w:rPr>
        <w:t xml:space="preserve">    为深入贯彻党的二十大精神</w:t>
      </w:r>
      <w:r>
        <w:rPr>
          <w:rFonts w:hint="eastAsia" w:ascii="仿宋_GB2312" w:hAnsi="仿宋_GB2312" w:eastAsia="仿宋_GB2312" w:cs="仿宋_GB2312"/>
          <w:kern w:val="0"/>
          <w:sz w:val="32"/>
          <w:szCs w:val="32"/>
        </w:rPr>
        <w:t>，全面推进</w:t>
      </w:r>
      <w:r>
        <w:rPr>
          <w:rFonts w:hint="eastAsia" w:ascii="仿宋_GB2312" w:hAnsi="仿宋_GB2312" w:eastAsia="仿宋_GB2312" w:cs="仿宋_GB2312"/>
          <w:sz w:val="32"/>
          <w:szCs w:val="32"/>
          <w:shd w:val="clear" w:color="auto" w:fill="FFFFFF"/>
        </w:rPr>
        <w:t>乡村振兴，切实维护和巩固脱贫攻坚战的伟大成就，</w:t>
      </w:r>
      <w:r>
        <w:rPr>
          <w:rFonts w:hint="eastAsia" w:ascii="仿宋_GB2312" w:hAnsi="仿宋_GB2312" w:eastAsia="仿宋_GB2312" w:cs="仿宋_GB2312"/>
          <w:kern w:val="0"/>
          <w:sz w:val="32"/>
          <w:szCs w:val="32"/>
        </w:rPr>
        <w:t>促进</w:t>
      </w:r>
      <w:r>
        <w:rPr>
          <w:rFonts w:hint="eastAsia" w:ascii="仿宋_GB2312" w:hAnsi="仿宋_GB2312" w:eastAsia="仿宋_GB2312" w:cs="仿宋_GB2312"/>
          <w:sz w:val="32"/>
          <w:szCs w:val="32"/>
          <w:shd w:val="clear" w:color="auto" w:fill="FFFFFF"/>
        </w:rPr>
        <w:t>晋宁区</w:t>
      </w:r>
      <w:r>
        <w:rPr>
          <w:rFonts w:hint="eastAsia" w:ascii="仿宋_GB2312" w:hAnsi="仿宋_GB2312" w:eastAsia="仿宋_GB2312" w:cs="仿宋_GB2312"/>
          <w:kern w:val="0"/>
          <w:sz w:val="32"/>
          <w:szCs w:val="32"/>
        </w:rPr>
        <w:t>农业高质高效、乡村宜居宜业建设目标。</w:t>
      </w:r>
      <w:r>
        <w:rPr>
          <w:rFonts w:hint="eastAsia" w:ascii="仿宋_GB2312" w:hAnsi="仿宋_GB2312" w:eastAsia="仿宋_GB2312" w:cs="仿宋_GB2312"/>
          <w:sz w:val="32"/>
          <w:szCs w:val="32"/>
        </w:rPr>
        <w:t>按照</w:t>
      </w:r>
      <w:r>
        <w:rPr>
          <w:rFonts w:ascii="仿宋_GB2312" w:hAnsi="仿宋_GB2312" w:eastAsia="仿宋_GB2312" w:cs="仿宋_GB2312"/>
          <w:sz w:val="32"/>
          <w:szCs w:val="32"/>
          <w:shd w:val="clear" w:color="auto" w:fill="FFFFFF"/>
        </w:rPr>
        <w:t>昆明市财政局</w:t>
      </w:r>
      <w:r>
        <w:rPr>
          <w:rFonts w:hint="eastAsia" w:ascii="仿宋_GB2312" w:hAnsi="仿宋_GB2312" w:eastAsia="仿宋_GB2312" w:cs="仿宋_GB2312"/>
          <w:sz w:val="32"/>
          <w:szCs w:val="32"/>
          <w:shd w:val="clear" w:color="auto" w:fill="FFFFFF"/>
        </w:rPr>
        <w:t>《</w:t>
      </w:r>
      <w:r>
        <w:rPr>
          <w:rFonts w:ascii="仿宋_GB2312" w:hAnsi="仿宋_GB2312" w:eastAsia="仿宋_GB2312" w:cs="仿宋_GB2312"/>
          <w:sz w:val="32"/>
          <w:szCs w:val="32"/>
          <w:shd w:val="clear" w:color="auto" w:fill="FFFFFF"/>
        </w:rPr>
        <w:t>关于下达 2024 年第二批中央财政衔接推进乡村振兴补助资金的通知</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rPr>
        <w:t>（昆财农</w:t>
      </w:r>
      <w:r>
        <w:rPr>
          <w:rFonts w:hAnsi="仿宋" w:eastAsia="仿宋"/>
          <w:sz w:val="32"/>
          <w:szCs w:val="32"/>
        </w:rPr>
        <w:t>〔</w:t>
      </w:r>
      <w:r>
        <w:rPr>
          <w:rFonts w:eastAsia="仿宋"/>
          <w:sz w:val="32"/>
          <w:szCs w:val="32"/>
        </w:rPr>
        <w:t>202</w:t>
      </w:r>
      <w:r>
        <w:rPr>
          <w:rFonts w:hint="eastAsia" w:eastAsia="仿宋"/>
          <w:sz w:val="32"/>
          <w:szCs w:val="32"/>
        </w:rPr>
        <w:t>4〕70</w:t>
      </w:r>
      <w:r>
        <w:rPr>
          <w:rFonts w:hint="eastAsia" w:ascii="仿宋" w:hAnsi="仿宋" w:eastAsia="仿宋" w:cs="仿宋"/>
          <w:sz w:val="32"/>
          <w:szCs w:val="32"/>
        </w:rPr>
        <w:t>号）</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sz w:val="32"/>
          <w:szCs w:val="32"/>
        </w:rPr>
        <w:t>安排晋宁区</w:t>
      </w:r>
      <w:r>
        <w:rPr>
          <w:rFonts w:hint="eastAsia" w:ascii="仿宋_GB2312" w:hAnsi="仿宋_GB2312" w:eastAsia="仿宋_GB2312" w:cs="仿宋_GB2312"/>
          <w:sz w:val="32"/>
          <w:szCs w:val="32"/>
          <w:shd w:val="clear" w:color="auto" w:fill="FFFFFF"/>
        </w:rPr>
        <w:t>中央财政衔接推进乡村振兴补助</w:t>
      </w:r>
      <w:r>
        <w:rPr>
          <w:rFonts w:hint="eastAsia" w:ascii="仿宋_GB2312" w:hAnsi="仿宋_GB2312" w:eastAsia="仿宋_GB2312" w:cs="仿宋_GB2312"/>
          <w:sz w:val="32"/>
          <w:szCs w:val="32"/>
        </w:rPr>
        <w:t>资金</w:t>
      </w:r>
      <w:r>
        <w:rPr>
          <w:rFonts w:hint="eastAsia" w:eastAsia="仿宋_GB2312"/>
          <w:sz w:val="32"/>
          <w:szCs w:val="32"/>
        </w:rPr>
        <w:t>228</w:t>
      </w:r>
      <w:r>
        <w:rPr>
          <w:rFonts w:hint="eastAsia" w:ascii="仿宋_GB2312" w:hAnsi="仿宋_GB2312" w:eastAsia="仿宋_GB2312" w:cs="仿宋_GB2312"/>
          <w:sz w:val="32"/>
          <w:szCs w:val="32"/>
        </w:rPr>
        <w:t>万元；区农业农村局在区政府批复的《</w:t>
      </w:r>
      <w:r>
        <w:rPr>
          <w:rFonts w:hint="eastAsia" w:ascii="仿宋_GB2312" w:hAnsi="仿宋_GB2312" w:eastAsia="仿宋_GB2312" w:cs="仿宋_GB2312"/>
          <w:sz w:val="32"/>
          <w:szCs w:val="32"/>
          <w:lang w:val="zh-CN"/>
        </w:rPr>
        <w:t>昆明市晋宁区</w:t>
      </w:r>
      <w:r>
        <w:rPr>
          <w:rFonts w:eastAsia="仿宋_GB2312"/>
          <w:sz w:val="32"/>
          <w:szCs w:val="32"/>
          <w:lang w:val="zh-CN"/>
        </w:rPr>
        <w:t>202</w:t>
      </w:r>
      <w:r>
        <w:rPr>
          <w:rFonts w:eastAsia="仿宋_GB2312"/>
          <w:sz w:val="32"/>
          <w:szCs w:val="32"/>
        </w:rPr>
        <w:t>4</w:t>
      </w:r>
      <w:r>
        <w:rPr>
          <w:rFonts w:hint="eastAsia" w:ascii="仿宋_GB2312" w:hAnsi="仿宋_GB2312" w:eastAsia="仿宋_GB2312" w:cs="仿宋_GB2312"/>
          <w:sz w:val="32"/>
          <w:szCs w:val="32"/>
          <w:lang w:val="zh-CN"/>
        </w:rPr>
        <w:t>年度财政衔接推进乡村振兴项目实施计划》</w:t>
      </w:r>
      <w:r>
        <w:rPr>
          <w:rFonts w:hint="eastAsia" w:ascii="仿宋_GB2312" w:hAnsi="仿宋_GB2312" w:eastAsia="仿宋_GB2312" w:cs="仿宋_GB2312"/>
          <w:sz w:val="32"/>
          <w:szCs w:val="32"/>
        </w:rPr>
        <w:t>的基础上，结合晋宁实际，</w:t>
      </w:r>
      <w:r>
        <w:rPr>
          <w:rFonts w:hint="eastAsia" w:ascii="仿宋_GB2312" w:hAnsi="仿宋_GB2312" w:eastAsia="仿宋_GB2312" w:cs="仿宋_GB2312"/>
          <w:kern w:val="0"/>
          <w:sz w:val="32"/>
          <w:szCs w:val="32"/>
          <w:lang w:val="zh-CN"/>
        </w:rPr>
        <w:t>形成昆明市晋宁区</w:t>
      </w:r>
      <w:r>
        <w:rPr>
          <w:rFonts w:eastAsia="仿宋_GB2312"/>
          <w:kern w:val="0"/>
          <w:sz w:val="32"/>
          <w:szCs w:val="32"/>
          <w:lang w:val="zh-CN"/>
        </w:rPr>
        <w:t>202</w:t>
      </w:r>
      <w:r>
        <w:rPr>
          <w:rFonts w:eastAsia="仿宋_GB2312"/>
          <w:kern w:val="0"/>
          <w:sz w:val="32"/>
          <w:szCs w:val="32"/>
        </w:rPr>
        <w:t>4</w:t>
      </w:r>
      <w:r>
        <w:rPr>
          <w:rFonts w:hint="eastAsia" w:ascii="仿宋_GB2312" w:hAnsi="仿宋_GB2312" w:eastAsia="仿宋_GB2312" w:cs="仿宋_GB2312"/>
          <w:kern w:val="0"/>
          <w:sz w:val="32"/>
          <w:szCs w:val="32"/>
          <w:lang w:val="zh-CN"/>
        </w:rPr>
        <w:t>年度第二批中央财政衔接推进乡村振兴项目实施方案。</w:t>
      </w:r>
    </w:p>
    <w:p>
      <w:pPr>
        <w:spacing w:line="56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一、指导思想</w:t>
      </w:r>
    </w:p>
    <w:p>
      <w:pPr>
        <w:spacing w:line="56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为深入贯彻</w:t>
      </w:r>
      <w:r>
        <w:rPr>
          <w:rFonts w:hint="eastAsia" w:ascii="仿宋_GB2312" w:hAnsi="仿宋_GB2312" w:eastAsia="仿宋_GB2312" w:cs="仿宋_GB2312"/>
          <w:sz w:val="32"/>
          <w:szCs w:val="32"/>
          <w:shd w:val="clear" w:color="auto" w:fill="FFFFFF"/>
          <w:lang w:eastAsia="zh-CN"/>
        </w:rPr>
        <w:t>党的二十大精神</w:t>
      </w:r>
      <w:r>
        <w:rPr>
          <w:rFonts w:hint="eastAsia" w:ascii="仿宋_GB2312" w:hAnsi="仿宋_GB2312" w:eastAsia="仿宋_GB2312" w:cs="仿宋_GB2312"/>
          <w:sz w:val="32"/>
          <w:szCs w:val="32"/>
          <w:shd w:val="clear" w:color="auto" w:fill="FFFFFF"/>
        </w:rPr>
        <w:t>，</w:t>
      </w:r>
      <w:bookmarkStart w:id="0" w:name="_GoBack"/>
      <w:bookmarkEnd w:id="0"/>
      <w:r>
        <w:rPr>
          <w:rFonts w:hint="eastAsia" w:ascii="仿宋_GB2312" w:hAnsi="仿宋_GB2312" w:eastAsia="仿宋_GB2312" w:cs="仿宋_GB2312"/>
          <w:sz w:val="32"/>
          <w:szCs w:val="32"/>
          <w:shd w:val="clear" w:color="auto" w:fill="FFFFFF"/>
        </w:rPr>
        <w:t>高举中国特色社会主义伟大旗帜，全面贯彻新时代中国特色社会主义思想，弘扬伟大建党精神，为全面建设社会主义现代化国家、全面推进中华民族伟大复兴而团结奋斗。坚持以人民为中心的发展思想，坚持共同富裕发展方向，将全面推进乡村振兴放在突出位置，建立农村低收入人口和欠发达农村帮扶机制，健全乡村振兴领导体制和工作体系，加快推进乡村产业、人才、文化、生态、组织等全面振兴。</w:t>
      </w:r>
    </w:p>
    <w:p>
      <w:pPr>
        <w:spacing w:line="56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二、目标任务</w:t>
      </w:r>
    </w:p>
    <w:p>
      <w:pPr>
        <w:spacing w:line="560" w:lineRule="exact"/>
        <w:ind w:firstLine="640" w:firstLineChars="200"/>
        <w:rPr>
          <w:rFonts w:ascii="仿宋_GB2312" w:hAnsi="仿宋_GB2312" w:eastAsia="仿宋_GB2312" w:cs="仿宋_GB2312"/>
          <w:sz w:val="32"/>
          <w:szCs w:val="32"/>
        </w:rPr>
      </w:pPr>
      <w:r>
        <w:rPr>
          <w:rFonts w:eastAsia="仿宋_GB2312"/>
          <w:sz w:val="32"/>
          <w:szCs w:val="32"/>
          <w:shd w:val="clear" w:color="auto" w:fill="FFFFFF"/>
        </w:rPr>
        <w:t>2024</w:t>
      </w:r>
      <w:r>
        <w:rPr>
          <w:rFonts w:hint="eastAsia" w:ascii="仿宋_GB2312" w:hAnsi="仿宋_GB2312" w:eastAsia="仿宋_GB2312" w:cs="仿宋_GB2312"/>
          <w:sz w:val="32"/>
          <w:szCs w:val="32"/>
          <w:shd w:val="clear" w:color="auto" w:fill="FFFFFF"/>
        </w:rPr>
        <w:t>年是脱贫攻坚目标任务完成后</w:t>
      </w:r>
      <w:r>
        <w:rPr>
          <w:rFonts w:hint="eastAsia" w:eastAsia="仿宋_GB2312"/>
          <w:sz w:val="32"/>
          <w:szCs w:val="32"/>
          <w:shd w:val="clear" w:color="auto" w:fill="FFFFFF"/>
        </w:rPr>
        <w:t>五</w:t>
      </w:r>
      <w:r>
        <w:rPr>
          <w:rFonts w:hint="eastAsia" w:ascii="仿宋_GB2312" w:hAnsi="仿宋_GB2312" w:eastAsia="仿宋_GB2312" w:cs="仿宋_GB2312"/>
          <w:sz w:val="32"/>
          <w:szCs w:val="32"/>
          <w:shd w:val="clear" w:color="auto" w:fill="FFFFFF"/>
        </w:rPr>
        <w:t>年过渡期的第四年。根据形势变化，理清工作思路，做好过渡期内领导体制、工作体系、发展规划、政策举措、考核机制等有效衔接，从解决建档立卡脱贫人口“两不愁三保障”为重点转向实现乡村产业兴旺、生态宜居、乡风文明、治理有效、生活富裕，从集中资源支持脱贫攻坚转向全面推进乡村振兴。</w:t>
      </w:r>
    </w:p>
    <w:p>
      <w:pPr>
        <w:spacing w:line="56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rPr>
        <w:t>项目要求</w:t>
      </w:r>
    </w:p>
    <w:p>
      <w:pPr>
        <w:tabs>
          <w:tab w:val="left" w:pos="4821"/>
        </w:tabs>
        <w:overflowPunct w:val="0"/>
        <w:autoSpaceDE w:val="0"/>
        <w:autoSpaceDN w:val="0"/>
        <w:adjustRightInd w:val="0"/>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严格按云南省财政厅等6部门关于修订《加强中央和省级财政衔接推进乡村振兴补助资金使用管理的实施意见》的通知（云财规[2024]10号）要求；项目的选择符合巩固拓展脱贫攻坚成果、符合支持推进乡村振兴重点。突出资金支持重点：</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优先支持联农带农富农产业发展；</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支持市区滇池沿岸重点乡村建设；</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杜绝用于负面清单事项。项目要件要</w:t>
      </w:r>
      <w:r>
        <w:rPr>
          <w:rFonts w:hint="eastAsia" w:ascii="仿宋_GB2312" w:hAnsi="仿宋_GB2312" w:eastAsia="仿宋_GB2312"/>
          <w:sz w:val="30"/>
          <w:szCs w:val="30"/>
        </w:rPr>
        <w:t>明</w:t>
      </w:r>
      <w:r>
        <w:rPr>
          <w:rFonts w:hint="eastAsia" w:ascii="仿宋_GB2312" w:hAnsi="仿宋_GB2312" w:eastAsia="仿宋_GB2312" w:cs="仿宋_GB2312"/>
          <w:sz w:val="32"/>
          <w:szCs w:val="32"/>
        </w:rPr>
        <w:t>确建设内容、投资概算、预期绩效目标、利益联结机制、实施期限等。</w:t>
      </w:r>
    </w:p>
    <w:p>
      <w:pPr>
        <w:spacing w:line="560" w:lineRule="exact"/>
        <w:ind w:firstLine="640" w:firstLineChars="200"/>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四、项目实施要求及期限</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本方案所拟建项目按产业资金投入比例不低于</w:t>
      </w:r>
      <w:r>
        <w:rPr>
          <w:rFonts w:eastAsia="仿宋_GB2312"/>
          <w:sz w:val="32"/>
          <w:szCs w:val="32"/>
        </w:rPr>
        <w:t>6</w:t>
      </w:r>
      <w:r>
        <w:rPr>
          <w:rFonts w:hint="eastAsia" w:eastAsia="仿宋_GB2312"/>
          <w:sz w:val="32"/>
          <w:szCs w:val="32"/>
        </w:rPr>
        <w:t>5</w:t>
      </w:r>
      <w:r>
        <w:rPr>
          <w:rFonts w:eastAsia="仿宋_GB2312"/>
          <w:sz w:val="32"/>
          <w:szCs w:val="32"/>
        </w:rPr>
        <w:t>%</w:t>
      </w:r>
      <w:r>
        <w:rPr>
          <w:rFonts w:hint="eastAsia" w:ascii="仿宋_GB2312" w:hAnsi="仿宋_GB2312" w:eastAsia="仿宋_GB2312" w:cs="仿宋_GB2312"/>
          <w:sz w:val="32"/>
          <w:szCs w:val="32"/>
        </w:rPr>
        <w:t>的要求；一次性规划，年度内实施，年度内完成；建设期限为</w:t>
      </w:r>
      <w:r>
        <w:rPr>
          <w:rFonts w:eastAsia="仿宋_GB2312"/>
          <w:sz w:val="32"/>
          <w:szCs w:val="32"/>
        </w:rPr>
        <w:t>2024</w:t>
      </w:r>
      <w:r>
        <w:rPr>
          <w:rFonts w:hAnsi="仿宋_GB2312" w:eastAsia="仿宋_GB2312"/>
          <w:sz w:val="32"/>
          <w:szCs w:val="32"/>
        </w:rPr>
        <w:t>年</w:t>
      </w:r>
      <w:r>
        <w:rPr>
          <w:rFonts w:hint="eastAsia" w:eastAsia="仿宋_GB2312"/>
          <w:sz w:val="32"/>
          <w:szCs w:val="32"/>
        </w:rPr>
        <w:t>7</w:t>
      </w:r>
      <w:r>
        <w:rPr>
          <w:rFonts w:hAnsi="仿宋_GB2312" w:eastAsia="仿宋_GB2312"/>
          <w:sz w:val="32"/>
          <w:szCs w:val="32"/>
        </w:rPr>
        <w:t>月至</w:t>
      </w:r>
      <w:r>
        <w:rPr>
          <w:rFonts w:eastAsia="仿宋_GB2312"/>
          <w:sz w:val="32"/>
          <w:szCs w:val="32"/>
        </w:rPr>
        <w:t>202</w:t>
      </w:r>
      <w:r>
        <w:rPr>
          <w:rFonts w:hint="eastAsia" w:eastAsia="仿宋_GB2312"/>
          <w:sz w:val="32"/>
          <w:szCs w:val="32"/>
        </w:rPr>
        <w:t>4</w:t>
      </w:r>
      <w:r>
        <w:rPr>
          <w:rFonts w:hAnsi="仿宋_GB2312" w:eastAsia="仿宋_GB2312"/>
          <w:sz w:val="32"/>
          <w:szCs w:val="32"/>
        </w:rPr>
        <w:t>年</w:t>
      </w:r>
      <w:r>
        <w:rPr>
          <w:rFonts w:hint="eastAsia" w:eastAsia="仿宋_GB2312"/>
          <w:sz w:val="32"/>
          <w:szCs w:val="32"/>
        </w:rPr>
        <w:t>12</w:t>
      </w:r>
      <w:r>
        <w:rPr>
          <w:rFonts w:hAnsi="仿宋_GB2312" w:eastAsia="仿宋_GB2312"/>
          <w:sz w:val="32"/>
          <w:szCs w:val="32"/>
        </w:rPr>
        <w:t>月</w:t>
      </w:r>
      <w:r>
        <w:rPr>
          <w:rFonts w:hint="eastAsia" w:ascii="仿宋_GB2312" w:hAnsi="仿宋_GB2312" w:eastAsia="仿宋_GB2312" w:cs="仿宋_GB2312"/>
          <w:sz w:val="32"/>
          <w:szCs w:val="32"/>
        </w:rPr>
        <w:t>,</w:t>
      </w:r>
      <w:r>
        <w:rPr>
          <w:rFonts w:eastAsia="仿宋_GB2312"/>
          <w:sz w:val="32"/>
          <w:szCs w:val="32"/>
        </w:rPr>
        <w:t>202</w:t>
      </w:r>
      <w:r>
        <w:rPr>
          <w:rFonts w:hint="eastAsia" w:eastAsia="仿宋_GB2312"/>
          <w:sz w:val="32"/>
          <w:szCs w:val="32"/>
        </w:rPr>
        <w:t>4</w:t>
      </w:r>
      <w:r>
        <w:rPr>
          <w:rFonts w:hAnsi="仿宋_GB2312" w:eastAsia="仿宋_GB2312"/>
          <w:sz w:val="32"/>
          <w:szCs w:val="32"/>
        </w:rPr>
        <w:t>年</w:t>
      </w:r>
      <w:r>
        <w:rPr>
          <w:rFonts w:hint="eastAsia" w:eastAsia="仿宋_GB2312"/>
          <w:sz w:val="32"/>
          <w:szCs w:val="32"/>
        </w:rPr>
        <w:t>8</w:t>
      </w:r>
      <w:r>
        <w:rPr>
          <w:rFonts w:hAnsi="仿宋_GB2312" w:eastAsia="仿宋_GB2312"/>
          <w:sz w:val="32"/>
          <w:szCs w:val="32"/>
        </w:rPr>
        <w:t>月</w:t>
      </w:r>
      <w:r>
        <w:rPr>
          <w:rFonts w:hint="eastAsia" w:ascii="仿宋_GB2312" w:hAnsi="仿宋_GB2312" w:eastAsia="仿宋_GB2312" w:cs="仿宋_GB2312"/>
          <w:sz w:val="32"/>
          <w:szCs w:val="32"/>
        </w:rPr>
        <w:t>逐步开工，</w:t>
      </w:r>
      <w:r>
        <w:rPr>
          <w:rFonts w:eastAsia="仿宋_GB2312"/>
          <w:sz w:val="32"/>
          <w:szCs w:val="32"/>
        </w:rPr>
        <w:t>202</w:t>
      </w:r>
      <w:r>
        <w:rPr>
          <w:rFonts w:hint="eastAsia" w:eastAsia="仿宋_GB2312"/>
          <w:sz w:val="32"/>
          <w:szCs w:val="32"/>
        </w:rPr>
        <w:t>4</w:t>
      </w:r>
      <w:r>
        <w:rPr>
          <w:rFonts w:hAnsi="仿宋_GB2312" w:eastAsia="仿宋_GB2312"/>
          <w:sz w:val="32"/>
          <w:szCs w:val="32"/>
        </w:rPr>
        <w:t>年</w:t>
      </w:r>
      <w:r>
        <w:rPr>
          <w:rFonts w:hint="eastAsia" w:eastAsia="仿宋_GB2312"/>
          <w:sz w:val="32"/>
          <w:szCs w:val="32"/>
        </w:rPr>
        <w:t>12</w:t>
      </w:r>
      <w:r>
        <w:rPr>
          <w:rFonts w:hint="eastAsia" w:ascii="仿宋_GB2312" w:hAnsi="仿宋_GB2312" w:eastAsia="仿宋_GB2312" w:cs="仿宋_GB2312"/>
          <w:sz w:val="32"/>
          <w:szCs w:val="32"/>
        </w:rPr>
        <w:t>月全面竣工。</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项目实施单位要及时启动项目建设工作，从</w:t>
      </w:r>
      <w:r>
        <w:rPr>
          <w:rFonts w:hint="eastAsia" w:eastAsia="仿宋_GB2312"/>
          <w:sz w:val="32"/>
          <w:szCs w:val="32"/>
        </w:rPr>
        <w:t>7</w:t>
      </w:r>
      <w:r>
        <w:rPr>
          <w:rFonts w:hint="eastAsia" w:ascii="仿宋_GB2312" w:hAnsi="仿宋_GB2312" w:eastAsia="仿宋_GB2312" w:cs="仿宋_GB2312"/>
          <w:sz w:val="32"/>
          <w:szCs w:val="32"/>
        </w:rPr>
        <w:t>月逐步拨付资金，到</w:t>
      </w:r>
      <w:r>
        <w:rPr>
          <w:rFonts w:hint="eastAsia" w:eastAsia="仿宋_GB2312"/>
          <w:sz w:val="32"/>
          <w:szCs w:val="32"/>
        </w:rPr>
        <w:t>9</w:t>
      </w:r>
      <w:r>
        <w:rPr>
          <w:rFonts w:hint="eastAsia" w:ascii="仿宋_GB2312" w:hAnsi="仿宋_GB2312" w:eastAsia="仿宋_GB2312" w:cs="仿宋_GB2312"/>
          <w:sz w:val="32"/>
          <w:szCs w:val="32"/>
        </w:rPr>
        <w:t>月底衔接资金拨付比例达92%以上，11月底扣除质保金后拨付比例达97%以上。同时按省级绩效要求做好单个项目和总体项目绩效评价工作。</w:t>
      </w:r>
    </w:p>
    <w:p>
      <w:pPr>
        <w:spacing w:line="560" w:lineRule="exact"/>
        <w:ind w:firstLine="640" w:firstLineChars="200"/>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五、组织保障与资源配置</w:t>
      </w:r>
    </w:p>
    <w:p>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（一）组织保障</w:t>
      </w:r>
    </w:p>
    <w:p>
      <w:pPr>
        <w:spacing w:line="56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落实中央统筹、省负总责、市县（区）乡抓落实的工作机制，构建责任清晰、各负其责、执行有力的乡村振兴领导体制，层层压实责任。充分发挥中央和地方各级巩固脱贫攻坚推进乡村振兴领导小组作用，建立统一高效的实现巩固拓展脱贫攻坚成果同乡村振兴有效衔接的决策议事协调工作机制。</w:t>
      </w:r>
    </w:p>
    <w:p>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（二）健全协调配合机制</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晋宁区农业农村局负责项目规划和资金的分配、安排、下达等工作；</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乡镇（街道）、项目村委会要做好协调配合，及时启动项目，真抓实干，做到产业发展、基础设施、社会事业等各项到村到户项目如期落地建设，并按衔接资金拨付时序进度要求及时拨付资金，按质按量完成项目建设任务；</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建立健全督查机制，区纪委监委、区委目督办、区政府目督办、区财政局、区农业农村局等部门做好项目检查、督查督办工作。</w:t>
      </w:r>
      <w:r>
        <w:rPr>
          <w:rFonts w:hint="eastAsia" w:ascii="仿宋_GB2312" w:hAnsi="仿宋_GB2312" w:eastAsia="仿宋_GB2312" w:cs="仿宋_GB2312"/>
          <w:b/>
          <w:bCs/>
          <w:sz w:val="32"/>
          <w:szCs w:val="32"/>
        </w:rPr>
        <w:t>四是</w:t>
      </w:r>
      <w:r>
        <w:rPr>
          <w:rFonts w:hint="eastAsia" w:ascii="仿宋_GB2312" w:hAnsi="仿宋_GB2312" w:eastAsia="仿宋_GB2312" w:cs="仿宋_GB2312"/>
          <w:sz w:val="32"/>
          <w:szCs w:val="32"/>
        </w:rPr>
        <w:t>实行月报制度，从</w:t>
      </w:r>
      <w:r>
        <w:rPr>
          <w:rFonts w:hint="eastAsia" w:eastAsia="仿宋_GB2312"/>
          <w:sz w:val="32"/>
          <w:szCs w:val="32"/>
        </w:rPr>
        <w:t>7</w:t>
      </w:r>
      <w:r>
        <w:rPr>
          <w:rFonts w:hint="eastAsia" w:ascii="仿宋_GB2312" w:hAnsi="仿宋_GB2312" w:eastAsia="仿宋_GB2312" w:cs="仿宋_GB2312"/>
          <w:sz w:val="32"/>
          <w:szCs w:val="32"/>
        </w:rPr>
        <w:t>月起乡镇（街道）每月</w:t>
      </w:r>
      <w:r>
        <w:rPr>
          <w:rFonts w:eastAsia="仿宋_GB2312"/>
          <w:sz w:val="32"/>
          <w:szCs w:val="32"/>
        </w:rPr>
        <w:t>30</w:t>
      </w:r>
      <w:r>
        <w:rPr>
          <w:rFonts w:hint="eastAsia" w:ascii="仿宋_GB2312" w:hAnsi="仿宋_GB2312" w:eastAsia="仿宋_GB2312" w:cs="仿宋_GB2312"/>
          <w:sz w:val="32"/>
          <w:szCs w:val="32"/>
        </w:rPr>
        <w:t>日前按时上报项目进度及资金拨付进度；</w:t>
      </w:r>
      <w:r>
        <w:rPr>
          <w:rFonts w:hint="eastAsia" w:ascii="仿宋_GB2312" w:hAnsi="仿宋_GB2312" w:eastAsia="仿宋_GB2312" w:cs="仿宋_GB2312"/>
          <w:b/>
          <w:bCs/>
          <w:sz w:val="32"/>
          <w:szCs w:val="32"/>
        </w:rPr>
        <w:t>五是</w:t>
      </w:r>
      <w:r>
        <w:rPr>
          <w:rFonts w:hint="eastAsia" w:ascii="仿宋_GB2312" w:hAnsi="仿宋_GB2312" w:eastAsia="仿宋_GB2312" w:cs="仿宋_GB2312"/>
          <w:sz w:val="32"/>
          <w:szCs w:val="32"/>
        </w:rPr>
        <w:t>建立项目绩效目标考核制度，严格按省绩效目标考核内容开展绩效自评工作。</w:t>
      </w:r>
    </w:p>
    <w:p>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（三）精准计划项目</w:t>
      </w:r>
    </w:p>
    <w:p>
      <w:pPr>
        <w:spacing w:line="56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本方案从《</w:t>
      </w:r>
      <w:r>
        <w:rPr>
          <w:rFonts w:hint="eastAsia" w:ascii="仿宋_GB2312" w:hAnsi="仿宋_GB2312" w:eastAsia="仿宋_GB2312" w:cs="仿宋_GB2312"/>
          <w:sz w:val="32"/>
          <w:szCs w:val="32"/>
          <w:lang w:val="zh-CN"/>
        </w:rPr>
        <w:t>昆明市晋宁区</w:t>
      </w:r>
      <w:r>
        <w:rPr>
          <w:rFonts w:eastAsia="仿宋_GB2312"/>
          <w:sz w:val="32"/>
          <w:szCs w:val="32"/>
          <w:lang w:val="zh-CN"/>
        </w:rPr>
        <w:t>202</w:t>
      </w:r>
      <w:r>
        <w:rPr>
          <w:rFonts w:eastAsia="仿宋_GB2312"/>
          <w:sz w:val="32"/>
          <w:szCs w:val="32"/>
        </w:rPr>
        <w:t>4</w:t>
      </w:r>
      <w:r>
        <w:rPr>
          <w:rFonts w:hint="eastAsia" w:ascii="仿宋_GB2312" w:hAnsi="仿宋_GB2312" w:eastAsia="仿宋_GB2312" w:cs="仿宋_GB2312"/>
          <w:sz w:val="32"/>
          <w:szCs w:val="32"/>
          <w:lang w:val="zh-CN"/>
        </w:rPr>
        <w:t>年度财政衔接推进乡村振兴项目实施计划》</w:t>
      </w:r>
      <w:r>
        <w:rPr>
          <w:rFonts w:hint="eastAsia" w:ascii="仿宋_GB2312" w:hAnsi="仿宋_GB2312" w:eastAsia="仿宋_GB2312" w:cs="仿宋_GB2312"/>
          <w:sz w:val="32"/>
          <w:szCs w:val="32"/>
        </w:rPr>
        <w:t>中，按产业资金投入占比不低于</w:t>
      </w:r>
      <w:r>
        <w:rPr>
          <w:rFonts w:eastAsia="仿宋_GB2312"/>
          <w:sz w:val="32"/>
          <w:szCs w:val="32"/>
        </w:rPr>
        <w:t>6</w:t>
      </w:r>
      <w:r>
        <w:rPr>
          <w:rFonts w:hint="eastAsia" w:eastAsia="仿宋_GB2312"/>
          <w:sz w:val="32"/>
          <w:szCs w:val="32"/>
        </w:rPr>
        <w:t>5</w:t>
      </w:r>
      <w:r>
        <w:rPr>
          <w:rFonts w:hint="eastAsia" w:ascii="仿宋_GB2312" w:hAnsi="仿宋_GB2312" w:eastAsia="仿宋_GB2312" w:cs="仿宋_GB2312"/>
          <w:sz w:val="32"/>
          <w:szCs w:val="32"/>
        </w:rPr>
        <w:t>%的目标，围绕产业发展、</w:t>
      </w:r>
      <w:r>
        <w:rPr>
          <w:rFonts w:hint="eastAsia" w:ascii="仿宋_GB2312" w:hAnsi="仿宋_GB2312" w:eastAsia="仿宋_GB2312" w:cs="仿宋_GB2312"/>
          <w:bCs/>
          <w:sz w:val="32"/>
          <w:szCs w:val="32"/>
        </w:rPr>
        <w:t>滇池沿岸重点乡村</w:t>
      </w:r>
      <w:r>
        <w:rPr>
          <w:rFonts w:hint="eastAsia" w:ascii="仿宋_GB2312" w:hAnsi="仿宋_GB2312" w:eastAsia="仿宋_GB2312" w:cs="仿宋_GB2312"/>
          <w:sz w:val="32"/>
          <w:szCs w:val="32"/>
        </w:rPr>
        <w:t>等选择了3个项目；</w:t>
      </w:r>
      <w:r>
        <w:rPr>
          <w:rFonts w:hint="eastAsia" w:ascii="仿宋_GB2312" w:hAnsi="仿宋_GB2312" w:eastAsia="仿宋_GB2312" w:cs="仿宋_GB2312"/>
          <w:b/>
          <w:bCs/>
          <w:sz w:val="32"/>
          <w:szCs w:val="32"/>
          <w:shd w:val="clear" w:color="auto" w:fill="FFFFFF"/>
        </w:rPr>
        <w:t>一是</w:t>
      </w:r>
      <w:r>
        <w:rPr>
          <w:rFonts w:hint="eastAsia" w:ascii="仿宋_GB2312" w:hAnsi="仿宋_GB2312" w:eastAsia="仿宋_GB2312" w:cs="仿宋_GB2312"/>
          <w:sz w:val="32"/>
          <w:szCs w:val="32"/>
          <w:shd w:val="clear" w:color="auto" w:fill="FFFFFF"/>
        </w:rPr>
        <w:t>支持乡村特色产业建设发展。</w:t>
      </w:r>
      <w:r>
        <w:rPr>
          <w:rFonts w:hint="eastAsia" w:ascii="仿宋_GB2312" w:hAnsi="仿宋_GB2312" w:eastAsia="仿宋_GB2312" w:cs="仿宋_GB2312"/>
          <w:b/>
          <w:bCs/>
          <w:sz w:val="32"/>
          <w:szCs w:val="32"/>
          <w:shd w:val="clear" w:color="auto" w:fill="FFFFFF"/>
        </w:rPr>
        <w:t>二是</w:t>
      </w:r>
      <w:r>
        <w:rPr>
          <w:rFonts w:hint="eastAsia" w:ascii="仿宋_GB2312" w:hAnsi="仿宋_GB2312" w:eastAsia="仿宋_GB2312" w:cs="仿宋_GB2312"/>
          <w:sz w:val="32"/>
          <w:szCs w:val="32"/>
          <w:shd w:val="clear" w:color="auto" w:fill="FFFFFF"/>
        </w:rPr>
        <w:t>支持滇池沿岸重点乡村建设工作。</w:t>
      </w:r>
    </w:p>
    <w:p>
      <w:pPr>
        <w:spacing w:line="56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六、资金投入</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本方案从产业发展、重点旅游乡村建设等方面安排第二批中央财政衔接推进乡村振兴补助资金，概算总投资</w:t>
      </w:r>
      <w:r>
        <w:rPr>
          <w:rFonts w:hint="eastAsia" w:eastAsia="仿宋_GB2312"/>
          <w:bCs/>
          <w:sz w:val="32"/>
          <w:szCs w:val="32"/>
        </w:rPr>
        <w:t>1151</w:t>
      </w:r>
      <w:r>
        <w:rPr>
          <w:rFonts w:hint="eastAsia" w:ascii="仿宋_GB2312" w:hAnsi="仿宋_GB2312" w:eastAsia="仿宋_GB2312" w:cs="仿宋_GB2312"/>
          <w:bCs/>
          <w:sz w:val="32"/>
          <w:szCs w:val="32"/>
        </w:rPr>
        <w:t>万元，其中，中央衔接资金</w:t>
      </w:r>
      <w:r>
        <w:rPr>
          <w:rFonts w:hint="eastAsia" w:eastAsia="仿宋_GB2312"/>
          <w:bCs/>
          <w:sz w:val="32"/>
          <w:szCs w:val="32"/>
        </w:rPr>
        <w:t>228</w:t>
      </w:r>
      <w:r>
        <w:rPr>
          <w:rFonts w:hint="eastAsia" w:ascii="仿宋_GB2312" w:hAnsi="仿宋_GB2312" w:eastAsia="仿宋_GB2312" w:cs="仿宋_GB2312"/>
          <w:bCs/>
          <w:sz w:val="32"/>
          <w:szCs w:val="32"/>
        </w:rPr>
        <w:t>万元，业主投入</w:t>
      </w:r>
      <w:r>
        <w:rPr>
          <w:rFonts w:hint="eastAsia" w:eastAsia="仿宋_GB2312"/>
          <w:bCs/>
          <w:sz w:val="32"/>
          <w:szCs w:val="32"/>
        </w:rPr>
        <w:t>923</w:t>
      </w:r>
      <w:r>
        <w:rPr>
          <w:rFonts w:hint="eastAsia" w:ascii="仿宋_GB2312" w:hAnsi="仿宋_GB2312" w:eastAsia="仿宋_GB2312" w:cs="仿宋_GB2312"/>
          <w:bCs/>
          <w:sz w:val="32"/>
          <w:szCs w:val="32"/>
        </w:rPr>
        <w:t>万元。</w:t>
      </w:r>
      <w:r>
        <w:rPr>
          <w:rFonts w:hint="eastAsia" w:ascii="仿宋_GB2312" w:hAnsi="仿宋_GB2312" w:eastAsia="仿宋_GB2312" w:cs="仿宋_GB2312"/>
          <w:b/>
          <w:sz w:val="32"/>
          <w:szCs w:val="32"/>
        </w:rPr>
        <w:t>一是</w:t>
      </w:r>
      <w:r>
        <w:rPr>
          <w:rFonts w:hint="eastAsia" w:ascii="仿宋_GB2312" w:hAnsi="仿宋_GB2312" w:eastAsia="仿宋_GB2312" w:cs="仿宋_GB2312"/>
          <w:sz w:val="32"/>
          <w:szCs w:val="32"/>
        </w:rPr>
        <w:t>特色</w:t>
      </w:r>
      <w:r>
        <w:rPr>
          <w:rFonts w:hint="eastAsia" w:ascii="仿宋_GB2312" w:hAnsi="仿宋_GB2312" w:eastAsia="仿宋_GB2312" w:cs="仿宋_GB2312"/>
          <w:bCs/>
          <w:sz w:val="32"/>
          <w:szCs w:val="32"/>
        </w:rPr>
        <w:t>产业发展项目，计划总投资</w:t>
      </w:r>
      <w:r>
        <w:rPr>
          <w:rFonts w:hint="eastAsia" w:eastAsia="仿宋_GB2312"/>
          <w:bCs/>
          <w:color w:val="000000" w:themeColor="text1"/>
          <w:sz w:val="32"/>
          <w:szCs w:val="32"/>
        </w:rPr>
        <w:t>556</w:t>
      </w:r>
      <w:r>
        <w:rPr>
          <w:rFonts w:hint="eastAsia" w:ascii="仿宋_GB2312" w:hAnsi="仿宋_GB2312" w:eastAsia="仿宋_GB2312" w:cs="仿宋_GB2312"/>
          <w:bCs/>
          <w:sz w:val="32"/>
          <w:szCs w:val="32"/>
        </w:rPr>
        <w:t>万元，其中中央衔接资金</w:t>
      </w:r>
      <w:r>
        <w:rPr>
          <w:rFonts w:hint="eastAsia" w:eastAsia="仿宋_GB2312"/>
          <w:bCs/>
          <w:sz w:val="32"/>
          <w:szCs w:val="32"/>
        </w:rPr>
        <w:t>100</w:t>
      </w:r>
      <w:r>
        <w:rPr>
          <w:rFonts w:hint="eastAsia" w:ascii="仿宋_GB2312" w:hAnsi="仿宋_GB2312" w:eastAsia="仿宋_GB2312" w:cs="仿宋_GB2312"/>
          <w:bCs/>
          <w:sz w:val="32"/>
          <w:szCs w:val="32"/>
        </w:rPr>
        <w:t>万元；</w:t>
      </w:r>
      <w:r>
        <w:rPr>
          <w:rFonts w:hint="eastAsia" w:ascii="仿宋_GB2312" w:hAnsi="仿宋_GB2312" w:eastAsia="仿宋_GB2312" w:cs="仿宋_GB2312"/>
          <w:b/>
          <w:sz w:val="32"/>
          <w:szCs w:val="32"/>
        </w:rPr>
        <w:t>二是</w:t>
      </w:r>
      <w:r>
        <w:rPr>
          <w:rFonts w:hint="eastAsia" w:ascii="仿宋_GB2312" w:hAnsi="仿宋_GB2312" w:eastAsia="仿宋_GB2312" w:cs="仿宋_GB2312"/>
          <w:sz w:val="32"/>
          <w:szCs w:val="32"/>
        </w:rPr>
        <w:t>滇池沿岸旅游</w:t>
      </w:r>
      <w:r>
        <w:rPr>
          <w:rFonts w:hint="eastAsia" w:ascii="仿宋_GB2312" w:hAnsi="仿宋_GB2312" w:eastAsia="仿宋_GB2312" w:cs="仿宋_GB2312"/>
          <w:bCs/>
          <w:sz w:val="32"/>
          <w:szCs w:val="32"/>
        </w:rPr>
        <w:t>乡村建设，计划投入资金</w:t>
      </w:r>
      <w:r>
        <w:rPr>
          <w:rFonts w:hint="eastAsia" w:eastAsia="仿宋_GB2312"/>
          <w:bCs/>
          <w:sz w:val="32"/>
          <w:szCs w:val="32"/>
        </w:rPr>
        <w:t>595</w:t>
      </w:r>
      <w:r>
        <w:rPr>
          <w:rFonts w:hint="eastAsia" w:ascii="仿宋_GB2312" w:hAnsi="仿宋_GB2312" w:eastAsia="仿宋_GB2312" w:cs="仿宋_GB2312"/>
          <w:bCs/>
          <w:sz w:val="32"/>
          <w:szCs w:val="32"/>
        </w:rPr>
        <w:t>万元，其中，中央衔接资金</w:t>
      </w:r>
      <w:r>
        <w:rPr>
          <w:rFonts w:hint="eastAsia" w:eastAsia="仿宋_GB2312"/>
          <w:bCs/>
          <w:sz w:val="32"/>
          <w:szCs w:val="32"/>
        </w:rPr>
        <w:t>128</w:t>
      </w:r>
      <w:r>
        <w:rPr>
          <w:rFonts w:hint="eastAsia" w:ascii="仿宋_GB2312" w:hAnsi="仿宋_GB2312" w:eastAsia="仿宋_GB2312" w:cs="仿宋_GB2312"/>
          <w:bCs/>
          <w:sz w:val="32"/>
          <w:szCs w:val="32"/>
        </w:rPr>
        <w:t>万元。</w:t>
      </w:r>
    </w:p>
    <w:p>
      <w:pPr>
        <w:spacing w:line="56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七、项目建设内容</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（一）二街镇三家村食用菌种植基地建设项目。计划投入资金</w:t>
      </w:r>
      <w:r>
        <w:rPr>
          <w:rFonts w:hint="eastAsia" w:eastAsia="仿宋_GB2312"/>
          <w:bCs/>
          <w:sz w:val="32"/>
          <w:szCs w:val="32"/>
        </w:rPr>
        <w:t>56</w:t>
      </w:r>
      <w:r>
        <w:rPr>
          <w:rFonts w:hint="eastAsia" w:ascii="仿宋_GB2312" w:hAnsi="仿宋_GB2312" w:eastAsia="仿宋_GB2312" w:cs="仿宋_GB2312"/>
          <w:bCs/>
          <w:sz w:val="32"/>
          <w:szCs w:val="32"/>
        </w:rPr>
        <w:t>万元，其中补助中央衔接资金</w:t>
      </w:r>
      <w:r>
        <w:rPr>
          <w:rFonts w:hint="eastAsia" w:eastAsia="仿宋_GB2312"/>
          <w:bCs/>
          <w:sz w:val="32"/>
          <w:szCs w:val="32"/>
        </w:rPr>
        <w:t>50</w:t>
      </w:r>
      <w:r>
        <w:rPr>
          <w:rFonts w:hint="eastAsia" w:ascii="仿宋_GB2312" w:hAnsi="仿宋_GB2312" w:eastAsia="仿宋_GB2312" w:cs="仿宋_GB2312"/>
          <w:bCs/>
          <w:sz w:val="32"/>
          <w:szCs w:val="32"/>
        </w:rPr>
        <w:t>万元；建设内容：小型装载机一辆、三轮工程车两辆、中型货车一辆、30平方冷库一座、430平方菌包原材料仓库、台式菌包架50架、烘干设备一套、小型卫生间1座。预计实现壮大村集体经济20万元/年，带动群众增加收入。</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（二）双河彝族乡核桃园黄精种植乡村振兴示范基地项目。计划投入资金</w:t>
      </w:r>
      <w:r>
        <w:rPr>
          <w:rFonts w:hint="eastAsia" w:eastAsia="仿宋_GB2312"/>
          <w:bCs/>
          <w:sz w:val="32"/>
          <w:szCs w:val="32"/>
        </w:rPr>
        <w:t>500</w:t>
      </w:r>
      <w:r>
        <w:rPr>
          <w:rFonts w:hint="eastAsia" w:ascii="仿宋_GB2312" w:hAnsi="仿宋_GB2312" w:eastAsia="仿宋_GB2312" w:cs="仿宋_GB2312"/>
          <w:bCs/>
          <w:sz w:val="32"/>
          <w:szCs w:val="32"/>
        </w:rPr>
        <w:t>万元，其中补助中央衔接资金</w:t>
      </w:r>
      <w:r>
        <w:rPr>
          <w:rFonts w:hint="eastAsia" w:eastAsia="仿宋_GB2312"/>
          <w:bCs/>
          <w:sz w:val="32"/>
          <w:szCs w:val="32"/>
        </w:rPr>
        <w:t>50</w:t>
      </w:r>
      <w:r>
        <w:rPr>
          <w:rFonts w:hint="eastAsia" w:ascii="仿宋_GB2312" w:hAnsi="仿宋_GB2312" w:eastAsia="仿宋_GB2312" w:cs="仿宋_GB2312"/>
          <w:bCs/>
          <w:sz w:val="32"/>
          <w:szCs w:val="32"/>
        </w:rPr>
        <w:t>万元；建设内容：对林地500亩清理整理、土壤改良、节水灌溉，发展黄精种植500亩：1.建设分拣车间、冷藏库、产品展示区等配套设施；2.建设管护房，安装变压器；3.架设约1.5千米电线等供电设施；4.铺设生产用水管道等设施约1.5千米。通过示范基地项目实施，推动“林下经济”逐步规模化、标准化发展，预计将带动本地发展1000亩-2000亩黄精育苗，按照每亩约2400株黄精幼苗产量计算，预计产量为240万-480万株黄精幼苗，按照目前市场价0.5-0.8元/株，预计将为村集体增收180万元。</w:t>
      </w:r>
    </w:p>
    <w:p>
      <w:pPr>
        <w:spacing w:line="560" w:lineRule="exact"/>
        <w:ind w:firstLine="640" w:firstLineChars="200"/>
        <w:rPr>
          <w:rFonts w:ascii="仿宋_GB2312" w:hAnsi="仿宋_GB2312" w:eastAsia="仿宋_GB2312" w:cs="仿宋_GB2312"/>
          <w:bCs/>
          <w:sz w:val="32"/>
          <w:szCs w:val="32"/>
        </w:rPr>
      </w:pPr>
      <w:r>
        <w:rPr>
          <w:rFonts w:hint="eastAsia" w:ascii="楷体" w:hAnsi="楷体" w:eastAsia="楷体" w:cs="楷体"/>
          <w:sz w:val="32"/>
          <w:szCs w:val="32"/>
        </w:rPr>
        <w:t>（三）</w:t>
      </w:r>
      <w:r>
        <w:rPr>
          <w:rFonts w:hint="eastAsia" w:ascii="仿宋_GB2312" w:hAnsi="仿宋_GB2312" w:eastAsia="仿宋_GB2312" w:cs="仿宋_GB2312"/>
          <w:bCs/>
          <w:sz w:val="32"/>
          <w:szCs w:val="32"/>
        </w:rPr>
        <w:t>晋宁区滇池沿岸重点乡村河嘴村改造提升项目。计划投入资金595万元，其中补助中央衔接资金128万元；建设内容：建设（改造）自行车骑行驿站民宿1栋，面积约360平方米，新建（改造）进村入口引流门面占地约200平方米、自行车停靠平台等。通过旅游业态项目的植入，结合滇池绿道设施的建设，实现乡村旅游、自行车文化、农业资源、就业机会、生态环境的有效融合，带动乡村高质量发展，提高村民收益。</w:t>
      </w:r>
    </w:p>
    <w:p>
      <w:pPr>
        <w:spacing w:line="560" w:lineRule="exact"/>
        <w:ind w:firstLine="640" w:firstLineChars="200"/>
        <w:rPr>
          <w:rFonts w:ascii="仿宋_GB2312" w:hAnsi="仿宋_GB2312" w:eastAsia="仿宋_GB2312" w:cs="仿宋_GB2312"/>
          <w:bCs/>
          <w:sz w:val="32"/>
          <w:szCs w:val="32"/>
        </w:rPr>
      </w:pPr>
    </w:p>
    <w:p>
      <w:pPr>
        <w:spacing w:line="560" w:lineRule="exact"/>
        <w:ind w:firstLine="640" w:firstLineChars="200"/>
        <w:jc w:val="left"/>
        <w:rPr>
          <w:rFonts w:ascii="仿宋_GB2312" w:hAnsi="仿宋_GB2312" w:eastAsia="仿宋_GB2312" w:cs="仿宋_GB2312"/>
          <w:sz w:val="32"/>
          <w:szCs w:val="32"/>
        </w:rPr>
      </w:pPr>
    </w:p>
    <w:p>
      <w:pPr>
        <w:spacing w:line="560" w:lineRule="exact"/>
        <w:ind w:left="1598" w:leftChars="304" w:hanging="960" w:hangingChars="300"/>
        <w:rPr>
          <w:rFonts w:ascii="仿宋_GB2312" w:hAnsi="仿宋_GB2312" w:eastAsia="仿宋_GB2312" w:cs="仿宋_GB2312"/>
          <w:sz w:val="32"/>
          <w:szCs w:val="32"/>
        </w:rPr>
      </w:pPr>
      <w:r>
        <w:rPr>
          <w:rFonts w:hint="eastAsia" w:ascii="仿宋_GB2312" w:hAnsi="仿宋_GB2312" w:eastAsia="仿宋_GB2312" w:cs="仿宋_GB2312"/>
          <w:sz w:val="32"/>
          <w:szCs w:val="32"/>
        </w:rPr>
        <w:t>附件：昆明市晋宁区</w:t>
      </w:r>
      <w:r>
        <w:rPr>
          <w:rFonts w:eastAsia="仿宋_GB2312"/>
          <w:sz w:val="32"/>
          <w:szCs w:val="32"/>
        </w:rPr>
        <w:t>2024</w:t>
      </w:r>
      <w:r>
        <w:rPr>
          <w:rFonts w:hint="eastAsia" w:ascii="仿宋_GB2312" w:hAnsi="仿宋_GB2312" w:eastAsia="仿宋_GB2312" w:cs="仿宋_GB2312"/>
          <w:sz w:val="32"/>
          <w:szCs w:val="32"/>
        </w:rPr>
        <w:t>年第二批中央财政衔接推进乡村振兴项目计划表</w:t>
      </w:r>
    </w:p>
    <w:p>
      <w:pPr>
        <w:spacing w:line="560" w:lineRule="exact"/>
        <w:ind w:firstLine="4800" w:firstLineChars="1500"/>
        <w:rPr>
          <w:rFonts w:ascii="仿宋_GB2312" w:hAnsi="仿宋_GB2312" w:eastAsia="仿宋_GB2312" w:cs="仿宋_GB2312"/>
          <w:sz w:val="32"/>
          <w:szCs w:val="32"/>
        </w:rPr>
      </w:pPr>
    </w:p>
    <w:p>
      <w:pPr>
        <w:spacing w:line="560" w:lineRule="exact"/>
        <w:ind w:firstLine="4800" w:firstLineChars="15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昆明市晋宁区农业农村局</w:t>
      </w:r>
    </w:p>
    <w:p>
      <w:pPr>
        <w:spacing w:line="560" w:lineRule="exact"/>
        <w:ind w:firstLine="5440" w:firstLineChars="1700"/>
        <w:rPr>
          <w:rFonts w:eastAsia="仿宋_GB2312"/>
          <w:sz w:val="32"/>
          <w:szCs w:val="32"/>
        </w:rPr>
      </w:pPr>
      <w:r>
        <w:rPr>
          <w:rFonts w:eastAsia="仿宋_GB2312"/>
          <w:sz w:val="32"/>
          <w:szCs w:val="32"/>
        </w:rPr>
        <w:t>2024</w:t>
      </w:r>
      <w:r>
        <w:rPr>
          <w:rFonts w:hAnsi="仿宋_GB2312" w:eastAsia="仿宋_GB2312"/>
          <w:sz w:val="32"/>
          <w:szCs w:val="32"/>
        </w:rPr>
        <w:t>年</w:t>
      </w:r>
      <w:r>
        <w:rPr>
          <w:rFonts w:hint="eastAsia" w:eastAsia="仿宋_GB2312"/>
          <w:sz w:val="32"/>
          <w:szCs w:val="32"/>
        </w:rPr>
        <w:t>6</w:t>
      </w:r>
      <w:r>
        <w:rPr>
          <w:rFonts w:hAnsi="仿宋_GB2312" w:eastAsia="仿宋_GB2312"/>
          <w:sz w:val="32"/>
          <w:szCs w:val="32"/>
        </w:rPr>
        <w:t>月</w:t>
      </w:r>
      <w:r>
        <w:rPr>
          <w:rFonts w:hint="eastAsia" w:eastAsia="仿宋_GB2312"/>
          <w:sz w:val="32"/>
          <w:szCs w:val="32"/>
        </w:rPr>
        <w:t>24</w:t>
      </w:r>
      <w:r>
        <w:rPr>
          <w:rFonts w:hAnsi="仿宋_GB2312" w:eastAsia="仿宋_GB2312"/>
          <w:sz w:val="32"/>
          <w:szCs w:val="32"/>
        </w:rPr>
        <w:t>日</w:t>
      </w:r>
    </w:p>
    <w:sectPr>
      <w:footerReference r:id="rId3" w:type="default"/>
      <w:footerReference r:id="rId4" w:type="even"/>
      <w:pgSz w:w="12240" w:h="15840"/>
      <w:pgMar w:top="1417" w:right="1418" w:bottom="1417" w:left="1587" w:header="720" w:footer="72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B0+F+ksQEA&#10;AE4DAAAOAAAAAAAAAAEAIAAAAB4BAABkcnMvZTJvRG9jLnhtbFBLBQYAAAAABgAGAFkBAABBBQAA&#10;AAA=&#10;">
          <v:path/>
          <v:fill on="f" focussize="0,0"/>
          <v:stroke on="f" joinstyle="miter"/>
          <v:imagedata o:title=""/>
          <o:lock v:ext="edit"/>
          <v:textbox inset="0mm,0mm,0mm,0mm" style="mso-fit-shape-to-text:t;">
            <w:txbxContent>
              <w:p>
                <w:pPr>
                  <w:pStyle w:val="4"/>
                </w:pPr>
                <w:r>
                  <w:t xml:space="preserve">— </w:t>
                </w:r>
                <w:r>
                  <w:fldChar w:fldCharType="begin"/>
                </w:r>
                <w:r>
                  <w:instrText xml:space="preserve"> PAGE  \* MERGEFORMAT </w:instrText>
                </w:r>
                <w:r>
                  <w:fldChar w:fldCharType="separate"/>
                </w:r>
                <w:r>
                  <w:t>5</w:t>
                </w:r>
                <w:r>
                  <w:fldChar w:fldCharType="end"/>
                </w:r>
                <w: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4</w:t>
    </w:r>
    <w:r>
      <w:rPr>
        <w:rStyle w:val="9"/>
      </w:rP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TljZjZmZGZiYjRkMzI3N2JhNTk0ZjUyN2ZmYzUxNGIifQ=="/>
  </w:docVars>
  <w:rsids>
    <w:rsidRoot w:val="000D4BAD"/>
    <w:rsid w:val="00017428"/>
    <w:rsid w:val="00025AEC"/>
    <w:rsid w:val="00031254"/>
    <w:rsid w:val="000535B9"/>
    <w:rsid w:val="00082EA2"/>
    <w:rsid w:val="000B4F7B"/>
    <w:rsid w:val="000D4BAD"/>
    <w:rsid w:val="0012378A"/>
    <w:rsid w:val="00124628"/>
    <w:rsid w:val="0012545C"/>
    <w:rsid w:val="00163B5A"/>
    <w:rsid w:val="00180389"/>
    <w:rsid w:val="0019549F"/>
    <w:rsid w:val="001B391F"/>
    <w:rsid w:val="001B6D0C"/>
    <w:rsid w:val="00211152"/>
    <w:rsid w:val="00220A02"/>
    <w:rsid w:val="00224E29"/>
    <w:rsid w:val="00230D33"/>
    <w:rsid w:val="00272AF5"/>
    <w:rsid w:val="002A2401"/>
    <w:rsid w:val="002B3A6D"/>
    <w:rsid w:val="002B3FA0"/>
    <w:rsid w:val="002B4188"/>
    <w:rsid w:val="002D52A1"/>
    <w:rsid w:val="002E1BA1"/>
    <w:rsid w:val="002E617B"/>
    <w:rsid w:val="002E7D57"/>
    <w:rsid w:val="002F44E3"/>
    <w:rsid w:val="00364190"/>
    <w:rsid w:val="00376A9D"/>
    <w:rsid w:val="00396048"/>
    <w:rsid w:val="003A3A9A"/>
    <w:rsid w:val="003D511E"/>
    <w:rsid w:val="0040482F"/>
    <w:rsid w:val="00404C29"/>
    <w:rsid w:val="00412C53"/>
    <w:rsid w:val="00421975"/>
    <w:rsid w:val="00437B75"/>
    <w:rsid w:val="004466BD"/>
    <w:rsid w:val="0046534F"/>
    <w:rsid w:val="004764F2"/>
    <w:rsid w:val="00487EB8"/>
    <w:rsid w:val="004B1616"/>
    <w:rsid w:val="004E7E4F"/>
    <w:rsid w:val="00512C07"/>
    <w:rsid w:val="005143A7"/>
    <w:rsid w:val="005426AC"/>
    <w:rsid w:val="00547CE7"/>
    <w:rsid w:val="00560609"/>
    <w:rsid w:val="005664E9"/>
    <w:rsid w:val="005877F7"/>
    <w:rsid w:val="0059437C"/>
    <w:rsid w:val="00597E5D"/>
    <w:rsid w:val="005E6FB8"/>
    <w:rsid w:val="005F1127"/>
    <w:rsid w:val="005F16C6"/>
    <w:rsid w:val="005F4E15"/>
    <w:rsid w:val="00616682"/>
    <w:rsid w:val="0063098E"/>
    <w:rsid w:val="00634DEB"/>
    <w:rsid w:val="0065138B"/>
    <w:rsid w:val="00675D0E"/>
    <w:rsid w:val="00691186"/>
    <w:rsid w:val="006B2C80"/>
    <w:rsid w:val="006B6DAE"/>
    <w:rsid w:val="006D1978"/>
    <w:rsid w:val="006F20A5"/>
    <w:rsid w:val="00700D89"/>
    <w:rsid w:val="00704C3D"/>
    <w:rsid w:val="00712AC0"/>
    <w:rsid w:val="00751496"/>
    <w:rsid w:val="00763B16"/>
    <w:rsid w:val="00785C40"/>
    <w:rsid w:val="0078662D"/>
    <w:rsid w:val="007B18BA"/>
    <w:rsid w:val="007B2714"/>
    <w:rsid w:val="007B36F0"/>
    <w:rsid w:val="007C6A6E"/>
    <w:rsid w:val="007C77D7"/>
    <w:rsid w:val="007F6964"/>
    <w:rsid w:val="00845632"/>
    <w:rsid w:val="00867191"/>
    <w:rsid w:val="008B76BB"/>
    <w:rsid w:val="008C1FEA"/>
    <w:rsid w:val="008C3511"/>
    <w:rsid w:val="008F3545"/>
    <w:rsid w:val="00904A3A"/>
    <w:rsid w:val="00912DC9"/>
    <w:rsid w:val="00927D54"/>
    <w:rsid w:val="00943BE3"/>
    <w:rsid w:val="0096457D"/>
    <w:rsid w:val="009826D8"/>
    <w:rsid w:val="009834EF"/>
    <w:rsid w:val="009962ED"/>
    <w:rsid w:val="009B6171"/>
    <w:rsid w:val="00A04E2F"/>
    <w:rsid w:val="00A2473F"/>
    <w:rsid w:val="00A251E5"/>
    <w:rsid w:val="00A3360B"/>
    <w:rsid w:val="00A4693D"/>
    <w:rsid w:val="00A50B1B"/>
    <w:rsid w:val="00A534D1"/>
    <w:rsid w:val="00A61F77"/>
    <w:rsid w:val="00A62357"/>
    <w:rsid w:val="00A67265"/>
    <w:rsid w:val="00AC3AAC"/>
    <w:rsid w:val="00AC5AFD"/>
    <w:rsid w:val="00AE7FAE"/>
    <w:rsid w:val="00AF3A18"/>
    <w:rsid w:val="00B01921"/>
    <w:rsid w:val="00B259E1"/>
    <w:rsid w:val="00B26127"/>
    <w:rsid w:val="00B56D0C"/>
    <w:rsid w:val="00B64D2B"/>
    <w:rsid w:val="00B67106"/>
    <w:rsid w:val="00B768DA"/>
    <w:rsid w:val="00BB4235"/>
    <w:rsid w:val="00BF013B"/>
    <w:rsid w:val="00BF5176"/>
    <w:rsid w:val="00BF6BE5"/>
    <w:rsid w:val="00C23A0D"/>
    <w:rsid w:val="00C60B1C"/>
    <w:rsid w:val="00C80DF0"/>
    <w:rsid w:val="00C813DA"/>
    <w:rsid w:val="00C863CF"/>
    <w:rsid w:val="00C926EB"/>
    <w:rsid w:val="00CA01AE"/>
    <w:rsid w:val="00CA2FCB"/>
    <w:rsid w:val="00CA350D"/>
    <w:rsid w:val="00CA5834"/>
    <w:rsid w:val="00CB2722"/>
    <w:rsid w:val="00CC125A"/>
    <w:rsid w:val="00CC2FEC"/>
    <w:rsid w:val="00CE7483"/>
    <w:rsid w:val="00CE78FB"/>
    <w:rsid w:val="00D018CB"/>
    <w:rsid w:val="00D219FC"/>
    <w:rsid w:val="00D40809"/>
    <w:rsid w:val="00D454B7"/>
    <w:rsid w:val="00D6756B"/>
    <w:rsid w:val="00D678D9"/>
    <w:rsid w:val="00D73684"/>
    <w:rsid w:val="00D75EDC"/>
    <w:rsid w:val="00D81CAF"/>
    <w:rsid w:val="00D83341"/>
    <w:rsid w:val="00D87F97"/>
    <w:rsid w:val="00D92700"/>
    <w:rsid w:val="00D932E6"/>
    <w:rsid w:val="00D96B20"/>
    <w:rsid w:val="00DA1A99"/>
    <w:rsid w:val="00DB4A0B"/>
    <w:rsid w:val="00E06861"/>
    <w:rsid w:val="00E11198"/>
    <w:rsid w:val="00E233F5"/>
    <w:rsid w:val="00E568D1"/>
    <w:rsid w:val="00E703C0"/>
    <w:rsid w:val="00EB0479"/>
    <w:rsid w:val="00ED3F99"/>
    <w:rsid w:val="00ED7B01"/>
    <w:rsid w:val="00ED7D8C"/>
    <w:rsid w:val="00EE488C"/>
    <w:rsid w:val="00EF0097"/>
    <w:rsid w:val="00EF3C1B"/>
    <w:rsid w:val="00F16F18"/>
    <w:rsid w:val="00F201DC"/>
    <w:rsid w:val="00F52C48"/>
    <w:rsid w:val="00F62DC3"/>
    <w:rsid w:val="00F66E7D"/>
    <w:rsid w:val="00F705F6"/>
    <w:rsid w:val="00F71797"/>
    <w:rsid w:val="00F964F7"/>
    <w:rsid w:val="00FA6625"/>
    <w:rsid w:val="02843E24"/>
    <w:rsid w:val="08127D03"/>
    <w:rsid w:val="0A0831A8"/>
    <w:rsid w:val="0A0E7782"/>
    <w:rsid w:val="0A9C3ABB"/>
    <w:rsid w:val="0C5F10F1"/>
    <w:rsid w:val="14B23B56"/>
    <w:rsid w:val="16B2774C"/>
    <w:rsid w:val="16ED01AA"/>
    <w:rsid w:val="1B936ED6"/>
    <w:rsid w:val="1C770F1A"/>
    <w:rsid w:val="1E971E3F"/>
    <w:rsid w:val="20376A5F"/>
    <w:rsid w:val="20A067B4"/>
    <w:rsid w:val="22AE10CA"/>
    <w:rsid w:val="26AC6BD8"/>
    <w:rsid w:val="27BC5F2F"/>
    <w:rsid w:val="29CE6C0F"/>
    <w:rsid w:val="2E875FEB"/>
    <w:rsid w:val="2F26453D"/>
    <w:rsid w:val="32A62B7D"/>
    <w:rsid w:val="32AD727A"/>
    <w:rsid w:val="331A4BF7"/>
    <w:rsid w:val="333940A7"/>
    <w:rsid w:val="34E46515"/>
    <w:rsid w:val="37E35E2D"/>
    <w:rsid w:val="3BFE1AF0"/>
    <w:rsid w:val="3C593B99"/>
    <w:rsid w:val="3CE5395B"/>
    <w:rsid w:val="3F366A86"/>
    <w:rsid w:val="405865D4"/>
    <w:rsid w:val="42284E58"/>
    <w:rsid w:val="45A5478B"/>
    <w:rsid w:val="482F69E6"/>
    <w:rsid w:val="4D441458"/>
    <w:rsid w:val="4F85419F"/>
    <w:rsid w:val="51C11454"/>
    <w:rsid w:val="526B2C2E"/>
    <w:rsid w:val="56B36625"/>
    <w:rsid w:val="58FB3B7E"/>
    <w:rsid w:val="5A580DCF"/>
    <w:rsid w:val="5A6317AD"/>
    <w:rsid w:val="5B610DF6"/>
    <w:rsid w:val="5C834CE1"/>
    <w:rsid w:val="5FA35EE7"/>
    <w:rsid w:val="60AF4563"/>
    <w:rsid w:val="61D742DA"/>
    <w:rsid w:val="678A41D2"/>
    <w:rsid w:val="6A744AEE"/>
    <w:rsid w:val="6AF44E7E"/>
    <w:rsid w:val="71AA044A"/>
    <w:rsid w:val="729315A7"/>
    <w:rsid w:val="72B64E6F"/>
    <w:rsid w:val="72C83A7E"/>
    <w:rsid w:val="77812191"/>
    <w:rsid w:val="78BF5D97"/>
    <w:rsid w:val="791A3284"/>
    <w:rsid w:val="7B313111"/>
    <w:rsid w:val="7BB375A7"/>
    <w:rsid w:val="7BEE3352"/>
    <w:rsid w:val="7C9B7CC0"/>
    <w:rsid w:val="7F6F5AE7"/>
    <w:rsid w:val="7FDE699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ind w:firstLine="420" w:firstLineChars="200"/>
    </w:pPr>
  </w:style>
  <w:style w:type="paragraph" w:styleId="3">
    <w:name w:val="Body Text Indent"/>
    <w:basedOn w:val="1"/>
    <w:qFormat/>
    <w:uiPriority w:val="0"/>
    <w:pPr>
      <w:spacing w:line="600" w:lineRule="exact"/>
      <w:ind w:firstLine="630"/>
    </w:pPr>
    <w:rPr>
      <w:rFonts w:eastAsia="仿宋_GB2312" w:cs="仿宋_GB2312"/>
      <w:sz w:val="32"/>
      <w:szCs w:val="30"/>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9">
    <w:name w:val="page number"/>
    <w:basedOn w:val="8"/>
    <w:qFormat/>
    <w:uiPriority w:val="0"/>
  </w:style>
  <w:style w:type="character" w:customStyle="1" w:styleId="10">
    <w:name w:val="页脚 Char"/>
    <w:basedOn w:val="8"/>
    <w:link w:val="4"/>
    <w:qFormat/>
    <w:uiPriority w:val="0"/>
    <w:rPr>
      <w:rFonts w:ascii="Times New Roman" w:hAnsi="Times New Roman" w:eastAsia="宋体" w:cs="Times New Roman"/>
      <w:sz w:val="18"/>
      <w:szCs w:val="18"/>
    </w:rPr>
  </w:style>
  <w:style w:type="character" w:customStyle="1" w:styleId="11">
    <w:name w:val="页眉 Char"/>
    <w:basedOn w:val="8"/>
    <w:link w:val="5"/>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2302</Words>
  <Characters>2435</Characters>
  <Lines>1</Lines>
  <Paragraphs>4</Paragraphs>
  <TotalTime>15</TotalTime>
  <ScaleCrop>false</ScaleCrop>
  <LinksUpToDate>false</LinksUpToDate>
  <CharactersWithSpaces>2441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2024-01-10T08:54:00Z</dcterms:created>
  <dc:creator>xsd</dc:creator>
  <cp:lastModifiedBy>陈素芬</cp:lastModifiedBy>
  <cp:lastPrinted>2022-01-05T02:47:00Z</cp:lastPrinted>
  <dcterms:modified xsi:type="dcterms:W3CDTF">2024-09-10T01:21:33Z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KSOSaveFontToCloudKey">
    <vt:lpwstr>556714777_btnclosed</vt:lpwstr>
  </property>
  <property fmtid="{D5CDD505-2E9C-101B-9397-08002B2CF9AE}" pid="4" name="ICV">
    <vt:lpwstr>27A650C654C342CB840B29C7D1F54CC5</vt:lpwstr>
  </property>
</Properties>
</file>