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40" w:lineRule="exact"/>
        <w:ind w:right="0"/>
        <w:jc w:val="center"/>
        <w:textAlignment w:val="auto"/>
        <w:rPr>
          <w:rStyle w:val="1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1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关于</w:t>
      </w:r>
      <w:r>
        <w:rPr>
          <w:rStyle w:val="1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拟</w:t>
      </w:r>
      <w:r>
        <w:rPr>
          <w:rStyle w:val="1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审批《</w:t>
      </w:r>
      <w:r>
        <w:rPr>
          <w:rStyle w:val="1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彩色瓦楞纸箱加工、销售项目</w:t>
      </w:r>
      <w:r>
        <w:rPr>
          <w:rStyle w:val="17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环境影响报告表</w:t>
      </w:r>
      <w:r>
        <w:rPr>
          <w:rStyle w:val="1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》</w:t>
      </w:r>
      <w:r>
        <w:rPr>
          <w:rStyle w:val="1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的</w:t>
      </w:r>
      <w:r>
        <w:rPr>
          <w:rStyle w:val="1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公示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按照国家环保部办公厅关于印发《建设项目环境影响评价政府信息公开指南（试行）》的通知（环办〔2013〕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103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号）的相关要求，对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云南万合包装材料有限公司彩色瓦楞纸箱加工、销售项目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建设项目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环境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影响评价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文件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进行信息公示，使项目建设可能影响区域内的公众对项目建设情况有所了解，并通过公示了解社会公众对本项目的态度和建议，接受社会公众的监督。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</w:rPr>
        <w:t>项目概况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彩色瓦楞纸箱加工、销售项目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建设地点：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云南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晋宁产业园区晋城基地，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中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心地理坐标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东经102°45′25.511″，北纬24°40′19.762″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新建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云南万合包装材料有限公司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环评单位：云南绿蓝环境科技有限公司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建设规模及产品方案：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项目租用云南力诺瑞特门业有限公司已建闲置厂房建设。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项目设置覆膜区、印刷区、烫金区、裱纸区、模切区、粘建筑盒区等生产区域，建成后年产彩色瓦楞纸箱900万个。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项目投资：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项目总投资950万元，其中环保投资32万元。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项目施工期预防及减轻不良环境影响的对策和措施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废气：1、施工过程中适时洒水降尘。2、运输车辆应限速慢行，并适量装车，以防运输过程中撒落引起二次扬尘。3、使用尾气达标排放的施工机械和运输车辆，不得使用劣质燃料。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废水：项目施工期的废水为施工人员生活污水，排入云南力诺瑞特门业有限公司化粪池处理，处理后排入园区主干道污水管网，最终进入昆明淤泥河水质净化厂处理。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噪声：合理安排施工时间，禁止在夜间22:00~6：00施工，减少施工噪声对环境的影响；优先采用先进工艺的低噪声设备；设备用完后或不用时应立即关闭。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固废：1、施工期建筑垃圾主要是施工废弃材料。项目建设安装环保措施工程量较小。建筑垃圾集中收集后尽量回收利用，不能回收利用的建筑垃圾运至指定地点处置。</w:t>
      </w:r>
      <w:bookmarkStart w:id="0" w:name="_Toc4002"/>
      <w:bookmarkStart w:id="1" w:name="_Toc13733"/>
      <w:bookmarkStart w:id="2" w:name="_Toc29830"/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2、设备废包装材料，设备安装产生的废包装外售至废品回收站。</w:t>
      </w:r>
      <w:bookmarkEnd w:id="0"/>
      <w:bookmarkEnd w:id="1"/>
      <w:bookmarkEnd w:id="2"/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3、施工人员生活垃圾集中收集后委托环卫部门清运处置。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项目运营期预防及减轻不良环境影响的对策和措施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（一）有组织废气：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显影、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印刷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、覆膜工段产生挥发性有机物由集气罩收集接入一台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zh-CN" w:eastAsia="zh-CN"/>
        </w:rPr>
        <w:t>二级活性炭吸附设备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处理后由15米高排气筒DA001排放。</w:t>
      </w:r>
    </w:p>
    <w:p>
      <w:pPr>
        <w:pStyle w:val="3"/>
        <w:adjustRightInd/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（二）废水：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1、生产废水:项目印刷机清洗使用油墨清洗剂，清洗完成后废液作为危险废物委托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有资质的单位清运处置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；显影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废液作为危险废物委托有资质的单位清运处置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；清洗覆膜机、裱纸机胶辊、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zh-CN" w:eastAsia="zh-CN"/>
        </w:rPr>
        <w:t>玉米淀粉胶输送的管道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用水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可掺在胶水中使用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。2、生活污水：食堂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废水经隔油池预处理后与其他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生活污水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一起进入化粪池处理，处理后排入园区污水管网，最终进入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昆明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淤泥河污水处理厂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）噪声：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生产设备选用低噪声设备，合理布局，置于封闭生产车间内，基础加装减振垫。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）固体废物：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边角料、不合格产品及废包装材料外售废品回收站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生活垃圾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zh-CN" w:eastAsia="zh-CN" w:bidi="ar-SA"/>
        </w:rPr>
        <w:t>由环卫部门清运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zh-CN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隔油池油污委托有资质的单位清运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废活性炭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废含油墨抹布及手套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废CTP版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显影废液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印刷机清洗废液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废润滑油委托有资质单位清运处置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废油墨桶由厂家回收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）土壤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地下水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土壤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按照《危险废物贮存污染控制标准》（GB18597-2023）要求进行防渗设计；地下水按照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《环境影响评价技术导则-地下水环境》（HJ610-2016）中防渗要求进行防渗设计。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）环境风险：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危废暂存间严格按照《危险废物贮存污染控制标准》（GB18597-2023）要求进行建设，地面和裙角进行防渗设计，防渗系数≤10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vertAlign w:val="superscript"/>
          <w:lang w:val="en-US" w:eastAsia="zh-CN" w:bidi="ar-SA"/>
        </w:rPr>
        <w:t>-10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cm/s，地面向内形成一定的坡度，并设置围堰或在门口设置门槛，防止废液压油、废润滑油泄漏后进入外环境。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设置专人进行管理，定期对危废暂存间进行检查，并做好巡检记录及时发现事故隐患并迅速给以消除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。3、按照要求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编制环境风险应急预案，并报昆明市生态环境局晋宁分局备案，并将其管理纳入当地公共突发事故应急预案之中。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报告表审批部门：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昆明市生态环境局晋宁分局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项目公示地点：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晋宁区人民政府网站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、资料放置时间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24年8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日止(不含节假日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七、公众参与情况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建设单位已依法开展了公众参与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、 公众提出意见的主要方式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在本次信息公示后，公众可通过向指定地址发送电子邮件、电话、信函或者面谈等方式发表关于该项目建设的意见看法。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根据《中华人民共和国行政许可法》，自公示起5个工作日内，申请人、利害关系人可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对《彩色瓦楞纸箱加工、销售项目环境影响报告表》审批意见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要求听证。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、 反馈方式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昆明市生态环境局晋宁分局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Email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"mailto:jnhbjb@163.com" </w:instrTex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jnhbj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@1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.com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电话/传真：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0871-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67801832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FF"/>
          <w:spacing w:val="0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昆明市生态环境局晋宁分局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            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bookmarkStart w:id="3" w:name="_GoBack"/>
      <w:bookmarkEnd w:id="3"/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9A956"/>
    <w:multiLevelType w:val="singleLevel"/>
    <w:tmpl w:val="6FA9A9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WIwNzI4ZDliZTA4Y2ZjNTA0MThlNDc4OGUyYmEifQ=="/>
  </w:docVars>
  <w:rsids>
    <w:rsidRoot w:val="00000000"/>
    <w:rsid w:val="00156DB7"/>
    <w:rsid w:val="00525496"/>
    <w:rsid w:val="009A0A72"/>
    <w:rsid w:val="020423D6"/>
    <w:rsid w:val="02F57987"/>
    <w:rsid w:val="02FD16EE"/>
    <w:rsid w:val="030A61DD"/>
    <w:rsid w:val="03D049CD"/>
    <w:rsid w:val="046B0D2A"/>
    <w:rsid w:val="04EB1DCA"/>
    <w:rsid w:val="05A65F7F"/>
    <w:rsid w:val="05A74AA9"/>
    <w:rsid w:val="05AC78A5"/>
    <w:rsid w:val="05B047C3"/>
    <w:rsid w:val="063B16F1"/>
    <w:rsid w:val="065679CA"/>
    <w:rsid w:val="066856D7"/>
    <w:rsid w:val="07E03C1A"/>
    <w:rsid w:val="09A56F13"/>
    <w:rsid w:val="09C171FB"/>
    <w:rsid w:val="09CF686A"/>
    <w:rsid w:val="0A63707F"/>
    <w:rsid w:val="0C1E3F7F"/>
    <w:rsid w:val="0C3C5A0C"/>
    <w:rsid w:val="0C5211ED"/>
    <w:rsid w:val="0C8907A9"/>
    <w:rsid w:val="0C9F1FF6"/>
    <w:rsid w:val="0CD842D7"/>
    <w:rsid w:val="0CE035F9"/>
    <w:rsid w:val="0D151BFF"/>
    <w:rsid w:val="0E0C004F"/>
    <w:rsid w:val="0E81763C"/>
    <w:rsid w:val="0EB549B4"/>
    <w:rsid w:val="103A7B60"/>
    <w:rsid w:val="10587A2A"/>
    <w:rsid w:val="10627157"/>
    <w:rsid w:val="11BD4F07"/>
    <w:rsid w:val="13066F22"/>
    <w:rsid w:val="13D165AE"/>
    <w:rsid w:val="13E02108"/>
    <w:rsid w:val="13EF60D7"/>
    <w:rsid w:val="145333A6"/>
    <w:rsid w:val="14757DE7"/>
    <w:rsid w:val="14C84179"/>
    <w:rsid w:val="15944FEC"/>
    <w:rsid w:val="15946060"/>
    <w:rsid w:val="1614675D"/>
    <w:rsid w:val="16D87395"/>
    <w:rsid w:val="183C5680"/>
    <w:rsid w:val="187D2B36"/>
    <w:rsid w:val="18B445FC"/>
    <w:rsid w:val="19531970"/>
    <w:rsid w:val="19575B9A"/>
    <w:rsid w:val="1A2317F9"/>
    <w:rsid w:val="1C3B41FC"/>
    <w:rsid w:val="1D173661"/>
    <w:rsid w:val="1EC30339"/>
    <w:rsid w:val="1F35277F"/>
    <w:rsid w:val="1FC62346"/>
    <w:rsid w:val="2006776F"/>
    <w:rsid w:val="20080186"/>
    <w:rsid w:val="204778D5"/>
    <w:rsid w:val="20982AD3"/>
    <w:rsid w:val="227E24E7"/>
    <w:rsid w:val="22C15237"/>
    <w:rsid w:val="232D3061"/>
    <w:rsid w:val="238D62D7"/>
    <w:rsid w:val="23964504"/>
    <w:rsid w:val="23E937E1"/>
    <w:rsid w:val="24276D1D"/>
    <w:rsid w:val="24484ED8"/>
    <w:rsid w:val="252B74E7"/>
    <w:rsid w:val="275C3B1C"/>
    <w:rsid w:val="27D02C48"/>
    <w:rsid w:val="2A5B3FB5"/>
    <w:rsid w:val="2B135C47"/>
    <w:rsid w:val="2B4321F5"/>
    <w:rsid w:val="2B4C1154"/>
    <w:rsid w:val="2E2D356C"/>
    <w:rsid w:val="2F5C2146"/>
    <w:rsid w:val="2FA40F7C"/>
    <w:rsid w:val="2FA7745E"/>
    <w:rsid w:val="304160F1"/>
    <w:rsid w:val="30776DE1"/>
    <w:rsid w:val="30A154C1"/>
    <w:rsid w:val="30C37E8B"/>
    <w:rsid w:val="30CD5AB1"/>
    <w:rsid w:val="317767C2"/>
    <w:rsid w:val="322579C5"/>
    <w:rsid w:val="32847D09"/>
    <w:rsid w:val="32AA4405"/>
    <w:rsid w:val="335929C6"/>
    <w:rsid w:val="34434486"/>
    <w:rsid w:val="347900F4"/>
    <w:rsid w:val="34B81E45"/>
    <w:rsid w:val="35310E47"/>
    <w:rsid w:val="35330DB5"/>
    <w:rsid w:val="368913CD"/>
    <w:rsid w:val="36AA6A42"/>
    <w:rsid w:val="37925AD3"/>
    <w:rsid w:val="38F7611C"/>
    <w:rsid w:val="3B1751F7"/>
    <w:rsid w:val="3B654C38"/>
    <w:rsid w:val="3C690745"/>
    <w:rsid w:val="3D483EF8"/>
    <w:rsid w:val="3D88679F"/>
    <w:rsid w:val="3DCE55BD"/>
    <w:rsid w:val="3DD71D19"/>
    <w:rsid w:val="3E6728C6"/>
    <w:rsid w:val="3E983316"/>
    <w:rsid w:val="3F0A46ED"/>
    <w:rsid w:val="3F1B721C"/>
    <w:rsid w:val="3F2B4AB0"/>
    <w:rsid w:val="3FA960F8"/>
    <w:rsid w:val="400F7D9B"/>
    <w:rsid w:val="41650C2A"/>
    <w:rsid w:val="42306FFA"/>
    <w:rsid w:val="42EC5898"/>
    <w:rsid w:val="434D17FC"/>
    <w:rsid w:val="43A8469A"/>
    <w:rsid w:val="441D4BFE"/>
    <w:rsid w:val="44ED5AFC"/>
    <w:rsid w:val="45D25DAC"/>
    <w:rsid w:val="463C3C89"/>
    <w:rsid w:val="463E3961"/>
    <w:rsid w:val="464A32CC"/>
    <w:rsid w:val="46995C99"/>
    <w:rsid w:val="48160C4C"/>
    <w:rsid w:val="484836C7"/>
    <w:rsid w:val="48F64C27"/>
    <w:rsid w:val="492B6C7B"/>
    <w:rsid w:val="4A64283C"/>
    <w:rsid w:val="4A6C1B8F"/>
    <w:rsid w:val="4A884319"/>
    <w:rsid w:val="4AB93C58"/>
    <w:rsid w:val="4B6867B1"/>
    <w:rsid w:val="4C545657"/>
    <w:rsid w:val="4CA42557"/>
    <w:rsid w:val="4D48063D"/>
    <w:rsid w:val="4DB33F9D"/>
    <w:rsid w:val="4E6A2EF2"/>
    <w:rsid w:val="4E6D37E3"/>
    <w:rsid w:val="4EB152A7"/>
    <w:rsid w:val="4F410045"/>
    <w:rsid w:val="4F601D1F"/>
    <w:rsid w:val="50D43BFE"/>
    <w:rsid w:val="522769FD"/>
    <w:rsid w:val="525B1697"/>
    <w:rsid w:val="53CE723E"/>
    <w:rsid w:val="54704311"/>
    <w:rsid w:val="547B489C"/>
    <w:rsid w:val="5486735C"/>
    <w:rsid w:val="557432D7"/>
    <w:rsid w:val="55862027"/>
    <w:rsid w:val="55D3730E"/>
    <w:rsid w:val="55F24575"/>
    <w:rsid w:val="56702B06"/>
    <w:rsid w:val="5677130C"/>
    <w:rsid w:val="56A83652"/>
    <w:rsid w:val="57E82E9C"/>
    <w:rsid w:val="58937B34"/>
    <w:rsid w:val="59774801"/>
    <w:rsid w:val="5A75145D"/>
    <w:rsid w:val="5B9E6DD0"/>
    <w:rsid w:val="5BDB1D57"/>
    <w:rsid w:val="5BFF0992"/>
    <w:rsid w:val="5C9475B2"/>
    <w:rsid w:val="5CF9499C"/>
    <w:rsid w:val="5E1E0281"/>
    <w:rsid w:val="5EBC0295"/>
    <w:rsid w:val="5FFD7E1D"/>
    <w:rsid w:val="60692A70"/>
    <w:rsid w:val="61654AD8"/>
    <w:rsid w:val="61C055BD"/>
    <w:rsid w:val="61CD70D6"/>
    <w:rsid w:val="62C674E8"/>
    <w:rsid w:val="6354111C"/>
    <w:rsid w:val="63B11886"/>
    <w:rsid w:val="646862E8"/>
    <w:rsid w:val="647F7C81"/>
    <w:rsid w:val="65690EB3"/>
    <w:rsid w:val="6626532A"/>
    <w:rsid w:val="67BA6EF8"/>
    <w:rsid w:val="693F6CF4"/>
    <w:rsid w:val="69711C92"/>
    <w:rsid w:val="6C254D44"/>
    <w:rsid w:val="6C6E50C7"/>
    <w:rsid w:val="6D3352F7"/>
    <w:rsid w:val="6D712F03"/>
    <w:rsid w:val="6E024DE2"/>
    <w:rsid w:val="6E127702"/>
    <w:rsid w:val="6E6740E4"/>
    <w:rsid w:val="6E7F5694"/>
    <w:rsid w:val="6F3E5330"/>
    <w:rsid w:val="6FF71DCB"/>
    <w:rsid w:val="70AD7A76"/>
    <w:rsid w:val="729F4599"/>
    <w:rsid w:val="72B15DE2"/>
    <w:rsid w:val="74027100"/>
    <w:rsid w:val="76041607"/>
    <w:rsid w:val="765D339C"/>
    <w:rsid w:val="76BC7D52"/>
    <w:rsid w:val="772C32EA"/>
    <w:rsid w:val="77B5051D"/>
    <w:rsid w:val="787F19E2"/>
    <w:rsid w:val="789E583D"/>
    <w:rsid w:val="7A2025B7"/>
    <w:rsid w:val="7A651B78"/>
    <w:rsid w:val="7BB93BB0"/>
    <w:rsid w:val="7C1139A2"/>
    <w:rsid w:val="7C237999"/>
    <w:rsid w:val="7F18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customStyle="1" w:styleId="4">
    <w:name w:val="表头"/>
    <w:basedOn w:val="5"/>
    <w:next w:val="1"/>
    <w:qFormat/>
    <w:uiPriority w:val="0"/>
    <w:pPr>
      <w:spacing w:line="240" w:lineRule="auto"/>
      <w:ind w:firstLine="0" w:firstLineChars="0"/>
      <w:jc w:val="center"/>
      <w:textAlignment w:val="baseline"/>
    </w:pPr>
    <w:rPr>
      <w:b/>
      <w:bCs/>
      <w:sz w:val="21"/>
    </w:rPr>
  </w:style>
  <w:style w:type="paragraph" w:customStyle="1" w:styleId="5">
    <w:name w:val="T正文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6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7">
    <w:name w:val="Body Text"/>
    <w:basedOn w:val="1"/>
    <w:next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8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  <w:style w:type="paragraph" w:styleId="9">
    <w:name w:val="Plain Text"/>
    <w:basedOn w:val="1"/>
    <w:next w:val="1"/>
    <w:qFormat/>
    <w:uiPriority w:val="0"/>
    <w:rPr>
      <w:rFonts w:ascii="宋体" w:hAnsi="Courier New"/>
      <w:kern w:val="0"/>
      <w:sz w:val="20"/>
      <w:szCs w:val="20"/>
    </w:rPr>
  </w:style>
  <w:style w:type="paragraph" w:styleId="10">
    <w:name w:val="Body Text Indent 2"/>
    <w:basedOn w:val="1"/>
    <w:next w:val="6"/>
    <w:qFormat/>
    <w:uiPriority w:val="0"/>
    <w:pPr>
      <w:spacing w:line="360" w:lineRule="auto"/>
      <w:ind w:left="0" w:leftChars="0" w:firstLine="400" w:firstLineChars="200"/>
      <w:jc w:val="both"/>
    </w:pPr>
    <w:rPr>
      <w:rFonts w:ascii="Times New Roman" w:hAnsi="Times New Roman" w:eastAsia="宋体" w:cs="Times New Roman"/>
      <w:sz w:val="24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3">
    <w:name w:val="Body Text First Indent 2"/>
    <w:basedOn w:val="8"/>
    <w:next w:val="12"/>
    <w:qFormat/>
    <w:uiPriority w:val="0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l报告正文"/>
    <w:basedOn w:val="1"/>
    <w:qFormat/>
    <w:uiPriority w:val="0"/>
    <w:pPr>
      <w:snapToGrid w:val="0"/>
      <w:spacing w:line="360" w:lineRule="auto"/>
      <w:ind w:left="0" w:leftChars="0" w:firstLine="420" w:firstLineChars="200"/>
    </w:pPr>
    <w:rPr>
      <w:rFonts w:hint="eastAsia" w:ascii="Times New Roman" w:hAnsi="Times New Roman" w:eastAsia="宋体" w:cs="Times New Roman"/>
      <w:sz w:val="24"/>
    </w:rPr>
  </w:style>
  <w:style w:type="paragraph" w:customStyle="1" w:styleId="20">
    <w:name w:val="Table Paragraph"/>
    <w:basedOn w:val="1"/>
    <w:qFormat/>
    <w:uiPriority w:val="1"/>
  </w:style>
  <w:style w:type="paragraph" w:customStyle="1" w:styleId="21">
    <w:name w:val="文本正文"/>
    <w:basedOn w:val="1"/>
    <w:qFormat/>
    <w:uiPriority w:val="0"/>
    <w:pPr>
      <w:snapToGrid w:val="0"/>
      <w:spacing w:line="360" w:lineRule="auto"/>
      <w:ind w:firstLine="510"/>
    </w:pPr>
    <w:rPr>
      <w:spacing w:val="4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795</Words>
  <Characters>858</Characters>
  <Lines>0</Lines>
  <Paragraphs>0</Paragraphs>
  <TotalTime>2</TotalTime>
  <ScaleCrop>false</ScaleCrop>
  <LinksUpToDate>false</LinksUpToDate>
  <CharactersWithSpaces>891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2021-10-18T02:07:00Z</dcterms:created>
  <dc:creator>hp</dc:creator>
  <cp:lastModifiedBy>Ad</cp:lastModifiedBy>
  <dcterms:modified xsi:type="dcterms:W3CDTF">2024-08-27T01:16:55Z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3C5146E744244CF2A26BDB91A35FF1F1_13</vt:lpwstr>
  </property>
</Properties>
</file>