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topLinePunct w:val="0"/>
        <w:bidi w:val="0"/>
        <w:snapToGrid/>
        <w:spacing w:line="560" w:lineRule="exact"/>
        <w:jc w:val="left"/>
        <w:textAlignment w:val="auto"/>
        <w:rPr>
          <w:rFonts w:hint="default" w:ascii="仿宋_GB2312" w:hAnsi="仿宋_GB2312" w:eastAsia="仿宋_GB2312" w:cs="仿宋_GB2312"/>
          <w:sz w:val="32"/>
          <w:szCs w:val="32"/>
          <w:shd w:val="clear" w:color="auto" w:fill="FFFFFF"/>
          <w:lang w:val="en-US" w:eastAsia="zh-CN"/>
        </w:rPr>
      </w:pPr>
      <w:bookmarkStart w:id="0" w:name="_GoBack"/>
      <w:bookmarkEnd w:id="0"/>
      <w:r>
        <w:rPr>
          <w:rFonts w:hint="eastAsia" w:ascii="仿宋_GB2312" w:hAnsi="仿宋_GB2312" w:eastAsia="仿宋_GB2312" w:cs="仿宋_GB2312"/>
          <w:sz w:val="32"/>
          <w:szCs w:val="32"/>
          <w:shd w:val="clear" w:color="auto" w:fill="FFFFFF"/>
          <w:lang w:val="en-US" w:eastAsia="zh-CN"/>
        </w:rPr>
        <w:t>附件1：</w:t>
      </w:r>
    </w:p>
    <w:p>
      <w:pPr>
        <w:keepNext w:val="0"/>
        <w:keepLines w:val="0"/>
        <w:pageBreakBefore w:val="0"/>
        <w:widowControl w:val="0"/>
        <w:kinsoku/>
        <w:wordWrap/>
        <w:topLinePunct w:val="0"/>
        <w:bidi w:val="0"/>
        <w:snapToGrid/>
        <w:spacing w:line="560" w:lineRule="exact"/>
        <w:ind w:firstLine="880" w:firstLineChars="200"/>
        <w:jc w:val="center"/>
        <w:textAlignment w:val="auto"/>
        <w:rPr>
          <w:rFonts w:ascii="方正小标宋简体" w:hAnsi="方正小标宋简体" w:eastAsia="方正小标宋简体" w:cs="方正小标宋简体"/>
          <w:bCs/>
          <w:kern w:val="0"/>
          <w:sz w:val="44"/>
          <w:szCs w:val="44"/>
          <w:lang w:val="zh-CN"/>
        </w:rPr>
      </w:pPr>
      <w:r>
        <w:rPr>
          <w:rFonts w:hint="eastAsia" w:ascii="方正小标宋简体" w:hAnsi="方正小标宋简体" w:eastAsia="方正小标宋简体" w:cs="方正小标宋简体"/>
          <w:bCs/>
          <w:kern w:val="0"/>
          <w:sz w:val="44"/>
          <w:szCs w:val="44"/>
          <w:lang w:val="zh-CN"/>
        </w:rPr>
        <w:t>昆明市晋宁区202</w:t>
      </w:r>
      <w:r>
        <w:rPr>
          <w:rFonts w:hint="eastAsia" w:ascii="方正小标宋简体" w:hAnsi="方正小标宋简体" w:eastAsia="方正小标宋简体" w:cs="方正小标宋简体"/>
          <w:bCs/>
          <w:kern w:val="0"/>
          <w:sz w:val="44"/>
          <w:szCs w:val="44"/>
        </w:rPr>
        <w:t>4</w:t>
      </w:r>
      <w:r>
        <w:rPr>
          <w:rFonts w:hint="eastAsia" w:ascii="方正小标宋简体" w:hAnsi="方正小标宋简体" w:eastAsia="方正小标宋简体" w:cs="方正小标宋简体"/>
          <w:bCs/>
          <w:kern w:val="0"/>
          <w:sz w:val="44"/>
          <w:szCs w:val="44"/>
          <w:lang w:val="zh-CN"/>
        </w:rPr>
        <w:t>年度第一批省级财政</w:t>
      </w:r>
    </w:p>
    <w:p>
      <w:pPr>
        <w:keepNext w:val="0"/>
        <w:keepLines w:val="0"/>
        <w:pageBreakBefore w:val="0"/>
        <w:widowControl w:val="0"/>
        <w:kinsoku/>
        <w:wordWrap/>
        <w:topLinePunct w:val="0"/>
        <w:bidi w:val="0"/>
        <w:snapToGrid/>
        <w:spacing w:line="560" w:lineRule="exact"/>
        <w:ind w:firstLine="880" w:firstLineChars="200"/>
        <w:jc w:val="center"/>
        <w:textAlignment w:val="auto"/>
        <w:rPr>
          <w:rFonts w:ascii="方正小标宋简体" w:hAnsi="方正小标宋简体" w:eastAsia="方正小标宋简体" w:cs="方正小标宋简体"/>
          <w:bCs/>
          <w:kern w:val="0"/>
          <w:sz w:val="44"/>
          <w:szCs w:val="44"/>
          <w:lang w:val="zh-CN"/>
        </w:rPr>
      </w:pPr>
      <w:r>
        <w:rPr>
          <w:rFonts w:hint="eastAsia" w:ascii="方正小标宋简体" w:hAnsi="方正小标宋简体" w:eastAsia="方正小标宋简体" w:cs="方正小标宋简体"/>
          <w:bCs/>
          <w:kern w:val="0"/>
          <w:sz w:val="44"/>
          <w:szCs w:val="44"/>
          <w:lang w:val="zh-CN"/>
        </w:rPr>
        <w:t>衔接推进乡村振兴项目实施方案</w:t>
      </w:r>
    </w:p>
    <w:p>
      <w:pPr>
        <w:keepNext w:val="0"/>
        <w:keepLines w:val="0"/>
        <w:pageBreakBefore w:val="0"/>
        <w:widowControl w:val="0"/>
        <w:kinsoku/>
        <w:wordWrap/>
        <w:topLinePunct w:val="0"/>
        <w:bidi w:val="0"/>
        <w:snapToGrid/>
        <w:spacing w:line="560" w:lineRule="exact"/>
        <w:ind w:firstLine="640" w:firstLineChars="200"/>
        <w:jc w:val="center"/>
        <w:textAlignment w:val="auto"/>
        <w:rPr>
          <w:rFonts w:ascii="仿宋_GB2312" w:hAnsi="仿宋_GB2312" w:eastAsia="仿宋_GB2312" w:cs="仿宋_GB2312"/>
          <w:kern w:val="0"/>
          <w:sz w:val="32"/>
          <w:szCs w:val="32"/>
          <w:lang w:val="zh-CN"/>
        </w:rPr>
      </w:pPr>
    </w:p>
    <w:p>
      <w:pPr>
        <w:keepNext w:val="0"/>
        <w:keepLines w:val="0"/>
        <w:pageBreakBefore w:val="0"/>
        <w:widowControl w:val="0"/>
        <w:kinsoku/>
        <w:wordWrap/>
        <w:topLinePunct w:val="0"/>
        <w:bidi w:val="0"/>
        <w:snapToGrid/>
        <w:spacing w:line="560" w:lineRule="exact"/>
        <w:ind w:firstLine="640" w:firstLineChars="200"/>
        <w:jc w:val="left"/>
        <w:textAlignment w:val="auto"/>
        <w:rPr>
          <w:rFonts w:ascii="仿宋_GB2312" w:hAnsi="仿宋_GB2312" w:eastAsia="仿宋_GB2312" w:cs="仿宋_GB2312"/>
          <w:kern w:val="0"/>
          <w:sz w:val="32"/>
          <w:szCs w:val="32"/>
          <w:lang w:val="zh-CN"/>
        </w:rPr>
      </w:pPr>
      <w:r>
        <w:rPr>
          <w:rFonts w:hint="eastAsia" w:ascii="仿宋_GB2312" w:hAnsi="仿宋_GB2312" w:eastAsia="仿宋_GB2312" w:cs="仿宋_GB2312"/>
          <w:kern w:val="0"/>
          <w:sz w:val="32"/>
          <w:szCs w:val="32"/>
          <w:lang w:val="zh-CN"/>
        </w:rPr>
        <w:t>为深入贯彻党的二十大</w:t>
      </w:r>
      <w:r>
        <w:rPr>
          <w:rFonts w:hint="eastAsia" w:ascii="仿宋_GB2312" w:hAnsi="仿宋_GB2312" w:eastAsia="仿宋_GB2312" w:cs="仿宋_GB2312"/>
          <w:kern w:val="0"/>
          <w:sz w:val="32"/>
          <w:szCs w:val="32"/>
        </w:rPr>
        <w:t>精神，全面推进</w:t>
      </w:r>
      <w:r>
        <w:rPr>
          <w:rFonts w:hint="eastAsia" w:ascii="仿宋_GB2312" w:hAnsi="仿宋_GB2312" w:eastAsia="仿宋_GB2312" w:cs="仿宋_GB2312"/>
          <w:sz w:val="32"/>
          <w:szCs w:val="32"/>
          <w:shd w:val="clear" w:color="auto" w:fill="FFFFFF"/>
        </w:rPr>
        <w:t>乡村振兴，切实维护和巩固脱贫攻坚战的伟大成就，</w:t>
      </w:r>
      <w:r>
        <w:rPr>
          <w:rFonts w:hint="eastAsia" w:ascii="仿宋_GB2312" w:hAnsi="仿宋_GB2312" w:eastAsia="仿宋_GB2312" w:cs="仿宋_GB2312"/>
          <w:kern w:val="0"/>
          <w:sz w:val="32"/>
          <w:szCs w:val="32"/>
        </w:rPr>
        <w:t>促进</w:t>
      </w:r>
      <w:r>
        <w:rPr>
          <w:rFonts w:hint="eastAsia" w:ascii="仿宋_GB2312" w:hAnsi="仿宋_GB2312" w:eastAsia="仿宋_GB2312" w:cs="仿宋_GB2312"/>
          <w:sz w:val="32"/>
          <w:szCs w:val="32"/>
          <w:shd w:val="clear" w:color="auto" w:fill="FFFFFF"/>
        </w:rPr>
        <w:t>晋宁区</w:t>
      </w:r>
      <w:r>
        <w:rPr>
          <w:rFonts w:hint="eastAsia" w:ascii="仿宋_GB2312" w:hAnsi="仿宋_GB2312" w:eastAsia="仿宋_GB2312" w:cs="仿宋_GB2312"/>
          <w:kern w:val="0"/>
          <w:sz w:val="32"/>
          <w:szCs w:val="32"/>
        </w:rPr>
        <w:t>农业高质高效、乡村宜居宜业目标。</w:t>
      </w:r>
      <w:r>
        <w:rPr>
          <w:rFonts w:hint="eastAsia" w:ascii="仿宋_GB2312" w:hAnsi="仿宋_GB2312" w:eastAsia="仿宋_GB2312" w:cs="仿宋_GB2312"/>
          <w:sz w:val="32"/>
          <w:szCs w:val="32"/>
        </w:rPr>
        <w:t>按照昆明市财政局《关于下达</w:t>
      </w:r>
      <w:r>
        <w:rPr>
          <w:rFonts w:eastAsia="仿宋_GB2312"/>
          <w:sz w:val="32"/>
          <w:szCs w:val="32"/>
        </w:rPr>
        <w:t>2024</w:t>
      </w:r>
      <w:r>
        <w:rPr>
          <w:rFonts w:hint="eastAsia" w:ascii="仿宋_GB2312" w:hAnsi="仿宋_GB2312" w:eastAsia="仿宋_GB2312" w:cs="仿宋_GB2312"/>
          <w:sz w:val="32"/>
          <w:szCs w:val="32"/>
        </w:rPr>
        <w:t>年省级财政衔接推进乡村振兴补助资金的通知》（昆财农〔</w:t>
      </w:r>
      <w:r>
        <w:rPr>
          <w:rFonts w:eastAsia="仿宋"/>
          <w:sz w:val="32"/>
          <w:szCs w:val="32"/>
        </w:rPr>
        <w:t>2</w:t>
      </w:r>
      <w:r>
        <w:rPr>
          <w:rFonts w:eastAsia="仿宋_GB2312"/>
          <w:sz w:val="32"/>
          <w:szCs w:val="32"/>
        </w:rPr>
        <w:t>02</w:t>
      </w:r>
      <w:r>
        <w:rPr>
          <w:rFonts w:hint="eastAsia" w:eastAsia="仿宋"/>
          <w:sz w:val="32"/>
          <w:szCs w:val="32"/>
        </w:rPr>
        <w:t>4</w:t>
      </w:r>
      <w:r>
        <w:rPr>
          <w:rFonts w:hint="eastAsia" w:ascii="仿宋_GB2312" w:hAnsi="仿宋_GB2312" w:eastAsia="仿宋_GB2312" w:cs="仿宋_GB2312"/>
          <w:sz w:val="32"/>
          <w:szCs w:val="32"/>
        </w:rPr>
        <w:t>〕</w:t>
      </w:r>
      <w:r>
        <w:rPr>
          <w:rFonts w:hint="eastAsia" w:eastAsia="仿宋"/>
          <w:sz w:val="32"/>
          <w:szCs w:val="32"/>
        </w:rPr>
        <w:t>3</w:t>
      </w:r>
      <w:r>
        <w:rPr>
          <w:rFonts w:eastAsia="仿宋"/>
          <w:sz w:val="32"/>
          <w:szCs w:val="32"/>
        </w:rPr>
        <w:t>8</w:t>
      </w:r>
      <w:r>
        <w:rPr>
          <w:rFonts w:hint="eastAsia" w:ascii="仿宋" w:hAnsi="仿宋" w:eastAsia="仿宋" w:cs="仿宋"/>
          <w:sz w:val="32"/>
          <w:szCs w:val="32"/>
        </w:rPr>
        <w:t>号）</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sz w:val="32"/>
          <w:szCs w:val="32"/>
        </w:rPr>
        <w:t>安排晋宁区</w:t>
      </w:r>
      <w:r>
        <w:rPr>
          <w:rFonts w:hint="eastAsia" w:ascii="仿宋_GB2312" w:hAnsi="仿宋_GB2312" w:eastAsia="仿宋_GB2312" w:cs="仿宋_GB2312"/>
          <w:sz w:val="32"/>
          <w:szCs w:val="32"/>
          <w:shd w:val="clear" w:color="auto" w:fill="FFFFFF"/>
        </w:rPr>
        <w:t>省级财政衔接推进乡村振兴补助</w:t>
      </w:r>
      <w:r>
        <w:rPr>
          <w:rFonts w:hint="eastAsia" w:ascii="仿宋_GB2312" w:hAnsi="仿宋_GB2312" w:eastAsia="仿宋_GB2312" w:cs="仿宋_GB2312"/>
          <w:sz w:val="32"/>
          <w:szCs w:val="32"/>
        </w:rPr>
        <w:t>资金</w:t>
      </w:r>
      <w:r>
        <w:rPr>
          <w:rFonts w:hint="eastAsia" w:eastAsia="仿宋_GB2312"/>
          <w:sz w:val="32"/>
          <w:szCs w:val="32"/>
        </w:rPr>
        <w:t>512</w:t>
      </w:r>
      <w:r>
        <w:rPr>
          <w:rFonts w:hint="eastAsia" w:ascii="仿宋_GB2312" w:hAnsi="仿宋_GB2312" w:eastAsia="仿宋_GB2312" w:cs="仿宋_GB2312"/>
          <w:sz w:val="32"/>
          <w:szCs w:val="32"/>
        </w:rPr>
        <w:t>万元（含区组织部发展新型农村集体经济资金</w:t>
      </w:r>
      <w:r>
        <w:rPr>
          <w:rFonts w:hint="eastAsia" w:eastAsia="仿宋_GB2312"/>
          <w:sz w:val="32"/>
          <w:szCs w:val="32"/>
        </w:rPr>
        <w:t>210</w:t>
      </w:r>
      <w:r>
        <w:rPr>
          <w:rFonts w:hint="eastAsia" w:ascii="仿宋_GB2312" w:hAnsi="仿宋_GB2312" w:eastAsia="仿宋_GB2312" w:cs="仿宋_GB2312"/>
          <w:sz w:val="32"/>
          <w:szCs w:val="32"/>
        </w:rPr>
        <w:t>万元）；区农业农村局在区政府批复的《</w:t>
      </w:r>
      <w:r>
        <w:rPr>
          <w:rFonts w:hint="eastAsia" w:ascii="仿宋_GB2312" w:hAnsi="仿宋_GB2312" w:eastAsia="仿宋_GB2312" w:cs="仿宋_GB2312"/>
          <w:sz w:val="32"/>
          <w:szCs w:val="32"/>
          <w:lang w:val="zh-CN"/>
        </w:rPr>
        <w:t>昆明市晋宁区</w:t>
      </w:r>
      <w:r>
        <w:rPr>
          <w:rFonts w:eastAsia="仿宋_GB2312"/>
          <w:sz w:val="32"/>
          <w:szCs w:val="32"/>
          <w:lang w:val="zh-CN"/>
        </w:rPr>
        <w:t>202</w:t>
      </w:r>
      <w:r>
        <w:rPr>
          <w:rFonts w:eastAsia="仿宋_GB2312"/>
          <w:sz w:val="32"/>
          <w:szCs w:val="32"/>
        </w:rPr>
        <w:t>4</w:t>
      </w:r>
      <w:r>
        <w:rPr>
          <w:rFonts w:hint="eastAsia" w:ascii="仿宋_GB2312" w:hAnsi="仿宋_GB2312" w:eastAsia="仿宋_GB2312" w:cs="仿宋_GB2312"/>
          <w:sz w:val="32"/>
          <w:szCs w:val="32"/>
          <w:lang w:val="zh-CN"/>
        </w:rPr>
        <w:t>年度财政衔接推进乡村振兴项目实施计划》</w:t>
      </w:r>
      <w:r>
        <w:rPr>
          <w:rFonts w:hint="eastAsia" w:ascii="仿宋_GB2312" w:hAnsi="仿宋_GB2312" w:eastAsia="仿宋_GB2312" w:cs="仿宋_GB2312"/>
          <w:sz w:val="32"/>
          <w:szCs w:val="32"/>
        </w:rPr>
        <w:t>的基础上，结合晋宁实际，</w:t>
      </w:r>
      <w:r>
        <w:rPr>
          <w:rFonts w:hint="eastAsia" w:ascii="仿宋_GB2312" w:hAnsi="仿宋_GB2312" w:eastAsia="仿宋_GB2312" w:cs="仿宋_GB2312"/>
          <w:kern w:val="0"/>
          <w:sz w:val="32"/>
          <w:szCs w:val="32"/>
          <w:lang w:val="zh-CN"/>
        </w:rPr>
        <w:t>形成昆明市晋宁区</w:t>
      </w:r>
      <w:r>
        <w:rPr>
          <w:rFonts w:eastAsia="仿宋_GB2312"/>
          <w:kern w:val="0"/>
          <w:sz w:val="32"/>
          <w:szCs w:val="32"/>
          <w:lang w:val="zh-CN"/>
        </w:rPr>
        <w:t>202</w:t>
      </w:r>
      <w:r>
        <w:rPr>
          <w:rFonts w:eastAsia="仿宋_GB2312"/>
          <w:kern w:val="0"/>
          <w:sz w:val="32"/>
          <w:szCs w:val="32"/>
        </w:rPr>
        <w:t>4</w:t>
      </w:r>
      <w:r>
        <w:rPr>
          <w:rFonts w:hint="eastAsia" w:ascii="仿宋_GB2312" w:hAnsi="仿宋_GB2312" w:eastAsia="仿宋_GB2312" w:cs="仿宋_GB2312"/>
          <w:kern w:val="0"/>
          <w:sz w:val="32"/>
          <w:szCs w:val="32"/>
          <w:lang w:val="zh-CN"/>
        </w:rPr>
        <w:t>年度第一批省级财政衔接推进乡村振兴项目实施方案。</w:t>
      </w:r>
    </w:p>
    <w:p>
      <w:pPr>
        <w:keepNext w:val="0"/>
        <w:keepLines w:val="0"/>
        <w:pageBreakBefore w:val="0"/>
        <w:widowControl w:val="0"/>
        <w:kinsoku/>
        <w:wordWrap/>
        <w:topLinePunct w:val="0"/>
        <w:bidi w:val="0"/>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一、指导思想</w:t>
      </w:r>
    </w:p>
    <w:p>
      <w:pPr>
        <w:keepNext w:val="0"/>
        <w:keepLines w:val="0"/>
        <w:pageBreakBefore w:val="0"/>
        <w:widowControl w:val="0"/>
        <w:kinsoku/>
        <w:wordWrap/>
        <w:topLinePunct w:val="0"/>
        <w:bidi w:val="0"/>
        <w:snapToGrid/>
        <w:spacing w:line="560" w:lineRule="exact"/>
        <w:ind w:firstLine="640" w:firstLineChars="200"/>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为深入贯彻党的二十大精神，高举中国特色社会主义伟大旗帜，全面贯彻新时代中国特色社会主义思想，弘扬伟大建党精神，为全面建设社会主义现代化国家、全面推进中华民族伟大复兴而团结奋斗。坚持以人民为中心的发展思想，坚持共同富裕发展方向，将全面推进乡村振兴放在突出位置，建立农村低收入人口和欠发达农村帮扶机制，健全乡村振兴领导体制和工作体系，加快推进乡村产业、人才、文化、生态、组织等全面振兴。</w:t>
      </w:r>
    </w:p>
    <w:p>
      <w:pPr>
        <w:keepNext w:val="0"/>
        <w:keepLines w:val="0"/>
        <w:pageBreakBefore w:val="0"/>
        <w:widowControl w:val="0"/>
        <w:kinsoku/>
        <w:wordWrap/>
        <w:topLinePunct w:val="0"/>
        <w:bidi w:val="0"/>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二、目标任务</w:t>
      </w:r>
    </w:p>
    <w:p>
      <w:pPr>
        <w:keepNext w:val="0"/>
        <w:keepLines w:val="0"/>
        <w:pageBreakBefore w:val="0"/>
        <w:widowControl w:val="0"/>
        <w:kinsoku/>
        <w:wordWrap/>
        <w:topLinePunct w:val="0"/>
        <w:bidi w:val="0"/>
        <w:snapToGrid/>
        <w:spacing w:line="560" w:lineRule="exact"/>
        <w:ind w:firstLine="640" w:firstLineChars="200"/>
        <w:textAlignment w:val="auto"/>
        <w:rPr>
          <w:rFonts w:ascii="仿宋_GB2312" w:hAnsi="仿宋_GB2312" w:eastAsia="仿宋_GB2312" w:cs="仿宋_GB2312"/>
          <w:sz w:val="32"/>
          <w:szCs w:val="32"/>
        </w:rPr>
      </w:pPr>
      <w:r>
        <w:rPr>
          <w:rFonts w:eastAsia="仿宋_GB2312"/>
          <w:sz w:val="32"/>
          <w:szCs w:val="32"/>
          <w:shd w:val="clear" w:color="auto" w:fill="FFFFFF"/>
        </w:rPr>
        <w:t>2024</w:t>
      </w:r>
      <w:r>
        <w:rPr>
          <w:rFonts w:hint="eastAsia" w:ascii="仿宋_GB2312" w:hAnsi="仿宋_GB2312" w:eastAsia="仿宋_GB2312" w:cs="仿宋_GB2312"/>
          <w:sz w:val="32"/>
          <w:szCs w:val="32"/>
          <w:shd w:val="clear" w:color="auto" w:fill="FFFFFF"/>
        </w:rPr>
        <w:t>年是脱贫攻坚目标任务完成后</w:t>
      </w:r>
      <w:r>
        <w:rPr>
          <w:rFonts w:eastAsia="仿宋_GB2312"/>
          <w:sz w:val="32"/>
          <w:szCs w:val="32"/>
          <w:shd w:val="clear" w:color="auto" w:fill="FFFFFF"/>
        </w:rPr>
        <w:t>5</w:t>
      </w:r>
      <w:r>
        <w:rPr>
          <w:rFonts w:hint="eastAsia" w:ascii="仿宋_GB2312" w:hAnsi="仿宋_GB2312" w:eastAsia="仿宋_GB2312" w:cs="仿宋_GB2312"/>
          <w:sz w:val="32"/>
          <w:szCs w:val="32"/>
          <w:shd w:val="clear" w:color="auto" w:fill="FFFFFF"/>
        </w:rPr>
        <w:t>年过渡期的第四年。根据形势变化，理清工作思路，做好过渡期内领导体制、工作体系、发展规划、政策举措、考核机制等有效衔接，从解决建档立卡脱贫人口“两不愁三保障”为重点转向实现乡村产业兴旺、生态宜居、乡风文明、治理有效、生活富裕，从集中资源支持脱贫攻坚转向全面推进乡村振兴。</w:t>
      </w:r>
    </w:p>
    <w:p>
      <w:pPr>
        <w:keepNext w:val="0"/>
        <w:keepLines w:val="0"/>
        <w:pageBreakBefore w:val="0"/>
        <w:widowControl w:val="0"/>
        <w:numPr>
          <w:ilvl w:val="0"/>
          <w:numId w:val="0"/>
        </w:numPr>
        <w:kinsoku/>
        <w:wordWrap/>
        <w:topLinePunct w:val="0"/>
        <w:bidi w:val="0"/>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项目要求</w:t>
      </w:r>
    </w:p>
    <w:p>
      <w:pPr>
        <w:keepNext w:val="0"/>
        <w:keepLines w:val="0"/>
        <w:pageBreakBefore w:val="0"/>
        <w:widowControl w:val="0"/>
        <w:tabs>
          <w:tab w:val="left" w:pos="4821"/>
        </w:tabs>
        <w:kinsoku/>
        <w:wordWrap/>
        <w:overflowPunct w:val="0"/>
        <w:topLinePunct w:val="0"/>
        <w:autoSpaceDE w:val="0"/>
        <w:autoSpaceDN w:val="0"/>
        <w:bidi w:val="0"/>
        <w:adjustRightInd w:val="0"/>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严格按云南省财政厅等</w:t>
      </w:r>
      <w:r>
        <w:rPr>
          <w:rFonts w:eastAsia="仿宋_GB2312"/>
          <w:sz w:val="32"/>
          <w:szCs w:val="32"/>
        </w:rPr>
        <w:t>6</w:t>
      </w:r>
      <w:r>
        <w:rPr>
          <w:rFonts w:hint="eastAsia" w:ascii="仿宋_GB2312" w:hAnsi="仿宋_GB2312" w:eastAsia="仿宋_GB2312" w:cs="仿宋_GB2312"/>
          <w:sz w:val="32"/>
          <w:szCs w:val="32"/>
        </w:rPr>
        <w:t>部门关于印发《云南省衔接推进乡村振兴补助资金管理办法》的通知（云财农〔</w:t>
      </w:r>
      <w:r>
        <w:rPr>
          <w:rFonts w:eastAsia="仿宋"/>
          <w:sz w:val="32"/>
          <w:szCs w:val="32"/>
        </w:rPr>
        <w:t>2</w:t>
      </w:r>
      <w:r>
        <w:rPr>
          <w:rFonts w:eastAsia="仿宋_GB2312"/>
          <w:sz w:val="32"/>
          <w:szCs w:val="32"/>
        </w:rPr>
        <w:t>02</w:t>
      </w:r>
      <w:r>
        <w:rPr>
          <w:rFonts w:hint="eastAsia" w:eastAsia="仿宋"/>
          <w:sz w:val="32"/>
          <w:szCs w:val="32"/>
        </w:rPr>
        <w:t>1</w:t>
      </w:r>
      <w:r>
        <w:rPr>
          <w:rFonts w:hint="eastAsia" w:ascii="仿宋_GB2312" w:hAnsi="仿宋_GB2312" w:eastAsia="仿宋_GB2312" w:cs="仿宋_GB2312"/>
          <w:sz w:val="32"/>
          <w:szCs w:val="32"/>
        </w:rPr>
        <w:t>〕</w:t>
      </w:r>
      <w:r>
        <w:rPr>
          <w:rFonts w:eastAsia="仿宋_GB2312"/>
          <w:sz w:val="32"/>
          <w:szCs w:val="32"/>
        </w:rPr>
        <w:t>140</w:t>
      </w:r>
      <w:r>
        <w:rPr>
          <w:rFonts w:hint="eastAsia" w:ascii="仿宋_GB2312" w:hAnsi="仿宋_GB2312" w:eastAsia="仿宋_GB2312" w:cs="仿宋_GB2312"/>
          <w:sz w:val="32"/>
          <w:szCs w:val="32"/>
        </w:rPr>
        <w:t>号）和云南省财政厅等</w:t>
      </w:r>
      <w:r>
        <w:rPr>
          <w:rFonts w:eastAsia="仿宋_GB2312"/>
          <w:sz w:val="32"/>
          <w:szCs w:val="32"/>
        </w:rPr>
        <w:t>6</w:t>
      </w:r>
      <w:r>
        <w:rPr>
          <w:rFonts w:hint="eastAsia" w:ascii="仿宋_GB2312" w:hAnsi="仿宋_GB2312" w:eastAsia="仿宋_GB2312" w:cs="仿宋_GB2312"/>
          <w:sz w:val="32"/>
          <w:szCs w:val="32"/>
        </w:rPr>
        <w:t>部门《关于加强中央和省级财政衔接推进乡村振兴补助资金使用管理的实施意见》（云财规〔</w:t>
      </w:r>
      <w:r>
        <w:rPr>
          <w:rFonts w:eastAsia="仿宋"/>
          <w:sz w:val="32"/>
          <w:szCs w:val="32"/>
        </w:rPr>
        <w:t>2</w:t>
      </w:r>
      <w:r>
        <w:rPr>
          <w:rFonts w:eastAsia="仿宋_GB2312"/>
          <w:sz w:val="32"/>
          <w:szCs w:val="32"/>
        </w:rPr>
        <w:t>02</w:t>
      </w:r>
      <w:r>
        <w:rPr>
          <w:rFonts w:hint="eastAsia" w:eastAsia="仿宋"/>
          <w:sz w:val="32"/>
          <w:szCs w:val="32"/>
        </w:rPr>
        <w:t>2</w:t>
      </w:r>
      <w:r>
        <w:rPr>
          <w:rFonts w:hint="eastAsia" w:ascii="仿宋_GB2312" w:hAnsi="仿宋_GB2312" w:eastAsia="仿宋_GB2312" w:cs="仿宋_GB2312"/>
          <w:sz w:val="32"/>
          <w:szCs w:val="32"/>
        </w:rPr>
        <w:t>〕</w:t>
      </w:r>
      <w:r>
        <w:rPr>
          <w:rFonts w:eastAsia="仿宋_GB2312"/>
          <w:sz w:val="32"/>
          <w:szCs w:val="32"/>
        </w:rPr>
        <w:t>23</w:t>
      </w:r>
      <w:r>
        <w:rPr>
          <w:rFonts w:hint="eastAsia" w:ascii="仿宋_GB2312" w:hAnsi="仿宋_GB2312" w:eastAsia="仿宋_GB2312" w:cs="仿宋_GB2312"/>
          <w:sz w:val="32"/>
          <w:szCs w:val="32"/>
        </w:rPr>
        <w:t>号），项目的选择要求符合巩固拓展脱贫攻坚成果、符合支持推进乡村振兴重点。突出资金支持重点：</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优先支持联农带农富农产业发展；</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支持必要的基础设施补短板；</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杜绝用于负面清单事项。项目要件要</w:t>
      </w:r>
      <w:r>
        <w:rPr>
          <w:rFonts w:hint="eastAsia" w:ascii="仿宋_GB2312" w:hAnsi="仿宋_GB2312" w:eastAsia="仿宋_GB2312"/>
          <w:sz w:val="30"/>
          <w:szCs w:val="30"/>
        </w:rPr>
        <w:t>明</w:t>
      </w:r>
      <w:r>
        <w:rPr>
          <w:rFonts w:hint="eastAsia" w:ascii="仿宋_GB2312" w:hAnsi="仿宋_GB2312" w:eastAsia="仿宋_GB2312" w:cs="仿宋_GB2312"/>
          <w:sz w:val="32"/>
          <w:szCs w:val="32"/>
        </w:rPr>
        <w:t>确建设内容、投资概算、预期绩效目标、利益联结机制、实施期限等。</w:t>
      </w:r>
    </w:p>
    <w:p>
      <w:pPr>
        <w:keepNext w:val="0"/>
        <w:keepLines w:val="0"/>
        <w:pageBreakBefore w:val="0"/>
        <w:widowControl w:val="0"/>
        <w:numPr>
          <w:ilvl w:val="0"/>
          <w:numId w:val="0"/>
        </w:numPr>
        <w:kinsoku/>
        <w:wordWrap/>
        <w:topLinePunct w:val="0"/>
        <w:bidi w:val="0"/>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项目实施要求及期限</w:t>
      </w:r>
    </w:p>
    <w:p>
      <w:pPr>
        <w:keepNext w:val="0"/>
        <w:keepLines w:val="0"/>
        <w:pageBreakBefore w:val="0"/>
        <w:widowControl w:val="0"/>
        <w:kinsoku/>
        <w:wordWrap/>
        <w:topLinePunct w:val="0"/>
        <w:bidi w:val="0"/>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本方案所拟建项目按产业资金投入比例不低于</w:t>
      </w:r>
      <w:r>
        <w:rPr>
          <w:rFonts w:eastAsia="仿宋_GB2312"/>
          <w:sz w:val="32"/>
          <w:szCs w:val="32"/>
        </w:rPr>
        <w:t>6</w:t>
      </w:r>
      <w:r>
        <w:rPr>
          <w:rFonts w:hint="eastAsia" w:eastAsia="仿宋_GB2312"/>
          <w:sz w:val="32"/>
          <w:szCs w:val="32"/>
        </w:rPr>
        <w:t>3</w:t>
      </w:r>
      <w:r>
        <w:rPr>
          <w:rFonts w:eastAsia="仿宋_GB2312"/>
          <w:sz w:val="32"/>
          <w:szCs w:val="32"/>
        </w:rPr>
        <w:t>%</w:t>
      </w:r>
      <w:r>
        <w:rPr>
          <w:rFonts w:hint="eastAsia" w:ascii="仿宋_GB2312" w:hAnsi="仿宋_GB2312" w:eastAsia="仿宋_GB2312" w:cs="仿宋_GB2312"/>
          <w:sz w:val="32"/>
          <w:szCs w:val="32"/>
        </w:rPr>
        <w:t>的要求；一次性规划，年度内实施，年度内完成；建设期限为</w:t>
      </w:r>
      <w:r>
        <w:rPr>
          <w:rFonts w:eastAsia="仿宋_GB2312"/>
          <w:sz w:val="32"/>
          <w:szCs w:val="32"/>
        </w:rPr>
        <w:t>2024</w:t>
      </w:r>
      <w:r>
        <w:rPr>
          <w:rFonts w:hAnsi="仿宋_GB2312" w:eastAsia="仿宋_GB2312"/>
          <w:sz w:val="32"/>
          <w:szCs w:val="32"/>
        </w:rPr>
        <w:t>年</w:t>
      </w:r>
      <w:r>
        <w:rPr>
          <w:rFonts w:hint="eastAsia" w:eastAsia="仿宋_GB2312"/>
          <w:sz w:val="32"/>
          <w:szCs w:val="32"/>
        </w:rPr>
        <w:t>4</w:t>
      </w:r>
      <w:r>
        <w:rPr>
          <w:rFonts w:hAnsi="仿宋_GB2312" w:eastAsia="仿宋_GB2312"/>
          <w:sz w:val="32"/>
          <w:szCs w:val="32"/>
        </w:rPr>
        <w:t>月至</w:t>
      </w:r>
      <w:r>
        <w:rPr>
          <w:rFonts w:eastAsia="仿宋_GB2312"/>
          <w:sz w:val="32"/>
          <w:szCs w:val="32"/>
        </w:rPr>
        <w:t>202</w:t>
      </w:r>
      <w:r>
        <w:rPr>
          <w:rFonts w:hint="eastAsia" w:eastAsia="仿宋_GB2312"/>
          <w:sz w:val="32"/>
          <w:szCs w:val="32"/>
        </w:rPr>
        <w:t>4</w:t>
      </w:r>
      <w:r>
        <w:rPr>
          <w:rFonts w:hAnsi="仿宋_GB2312" w:eastAsia="仿宋_GB2312"/>
          <w:sz w:val="32"/>
          <w:szCs w:val="32"/>
        </w:rPr>
        <w:t>年</w:t>
      </w:r>
      <w:r>
        <w:rPr>
          <w:rFonts w:hint="eastAsia" w:eastAsia="仿宋_GB2312"/>
          <w:sz w:val="32"/>
          <w:szCs w:val="32"/>
        </w:rPr>
        <w:t>11</w:t>
      </w:r>
      <w:r>
        <w:rPr>
          <w:rFonts w:hAnsi="仿宋_GB2312" w:eastAsia="仿宋_GB2312"/>
          <w:sz w:val="32"/>
          <w:szCs w:val="32"/>
        </w:rPr>
        <w:t>月</w:t>
      </w:r>
      <w:r>
        <w:rPr>
          <w:rFonts w:hint="eastAsia" w:ascii="仿宋_GB2312" w:hAnsi="仿宋_GB2312" w:eastAsia="仿宋_GB2312" w:cs="仿宋_GB2312"/>
          <w:sz w:val="32"/>
          <w:szCs w:val="32"/>
        </w:rPr>
        <w:t>,</w:t>
      </w:r>
      <w:r>
        <w:rPr>
          <w:rFonts w:eastAsia="仿宋_GB2312"/>
          <w:sz w:val="32"/>
          <w:szCs w:val="32"/>
        </w:rPr>
        <w:t>202</w:t>
      </w:r>
      <w:r>
        <w:rPr>
          <w:rFonts w:hint="eastAsia" w:eastAsia="仿宋_GB2312"/>
          <w:sz w:val="32"/>
          <w:szCs w:val="32"/>
        </w:rPr>
        <w:t>4</w:t>
      </w:r>
      <w:r>
        <w:rPr>
          <w:rFonts w:hAnsi="仿宋_GB2312" w:eastAsia="仿宋_GB2312"/>
          <w:sz w:val="32"/>
          <w:szCs w:val="32"/>
        </w:rPr>
        <w:t>年</w:t>
      </w:r>
      <w:r>
        <w:rPr>
          <w:rFonts w:hint="eastAsia" w:eastAsia="仿宋_GB2312"/>
          <w:sz w:val="32"/>
          <w:szCs w:val="32"/>
        </w:rPr>
        <w:t>5</w:t>
      </w:r>
      <w:r>
        <w:rPr>
          <w:rFonts w:hAnsi="仿宋_GB2312" w:eastAsia="仿宋_GB2312"/>
          <w:sz w:val="32"/>
          <w:szCs w:val="32"/>
        </w:rPr>
        <w:t>月</w:t>
      </w:r>
      <w:r>
        <w:rPr>
          <w:rFonts w:hint="eastAsia" w:ascii="仿宋_GB2312" w:hAnsi="仿宋_GB2312" w:eastAsia="仿宋_GB2312" w:cs="仿宋_GB2312"/>
          <w:sz w:val="32"/>
          <w:szCs w:val="32"/>
        </w:rPr>
        <w:t>逐步开工，</w:t>
      </w:r>
      <w:r>
        <w:rPr>
          <w:rFonts w:eastAsia="仿宋_GB2312"/>
          <w:sz w:val="32"/>
          <w:szCs w:val="32"/>
        </w:rPr>
        <w:t>202</w:t>
      </w:r>
      <w:r>
        <w:rPr>
          <w:rFonts w:hint="eastAsia" w:eastAsia="仿宋_GB2312"/>
          <w:sz w:val="32"/>
          <w:szCs w:val="32"/>
        </w:rPr>
        <w:t>4</w:t>
      </w:r>
      <w:r>
        <w:rPr>
          <w:rFonts w:hAnsi="仿宋_GB2312" w:eastAsia="仿宋_GB2312"/>
          <w:sz w:val="32"/>
          <w:szCs w:val="32"/>
        </w:rPr>
        <w:t>年</w:t>
      </w:r>
      <w:r>
        <w:rPr>
          <w:rFonts w:hint="eastAsia" w:eastAsia="仿宋_GB2312"/>
          <w:sz w:val="32"/>
          <w:szCs w:val="32"/>
        </w:rPr>
        <w:t>11</w:t>
      </w:r>
      <w:r>
        <w:rPr>
          <w:rFonts w:hint="eastAsia" w:ascii="仿宋_GB2312" w:hAnsi="仿宋_GB2312" w:eastAsia="仿宋_GB2312" w:cs="仿宋_GB2312"/>
          <w:sz w:val="32"/>
          <w:szCs w:val="32"/>
        </w:rPr>
        <w:t>月底全面竣工。</w:t>
      </w:r>
    </w:p>
    <w:p>
      <w:pPr>
        <w:keepNext w:val="0"/>
        <w:keepLines w:val="0"/>
        <w:pageBreakBefore w:val="0"/>
        <w:widowControl w:val="0"/>
        <w:kinsoku/>
        <w:wordWrap/>
        <w:topLinePunct w:val="0"/>
        <w:bidi w:val="0"/>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项目主责单位要及时启动项目建设工作，从</w:t>
      </w:r>
      <w:r>
        <w:rPr>
          <w:rFonts w:hint="eastAsia" w:eastAsia="仿宋_GB2312"/>
          <w:sz w:val="32"/>
          <w:szCs w:val="32"/>
        </w:rPr>
        <w:t>5</w:t>
      </w:r>
      <w:r>
        <w:rPr>
          <w:rFonts w:hint="eastAsia" w:ascii="仿宋_GB2312" w:hAnsi="仿宋_GB2312" w:eastAsia="仿宋_GB2312" w:cs="仿宋_GB2312"/>
          <w:sz w:val="32"/>
          <w:szCs w:val="32"/>
        </w:rPr>
        <w:t>月逐步拨付资金，到</w:t>
      </w:r>
      <w:r>
        <w:rPr>
          <w:rFonts w:hint="eastAsia" w:eastAsia="仿宋_GB2312"/>
          <w:sz w:val="32"/>
          <w:szCs w:val="32"/>
        </w:rPr>
        <w:t>7</w:t>
      </w:r>
      <w:r>
        <w:rPr>
          <w:rFonts w:hint="eastAsia" w:ascii="仿宋_GB2312" w:hAnsi="仿宋_GB2312" w:eastAsia="仿宋_GB2312" w:cs="仿宋_GB2312"/>
          <w:sz w:val="32"/>
          <w:szCs w:val="32"/>
        </w:rPr>
        <w:t>月底衔接资金拨付比例达</w:t>
      </w:r>
      <w:r>
        <w:rPr>
          <w:rFonts w:eastAsia="仿宋_GB2312"/>
          <w:sz w:val="32"/>
          <w:szCs w:val="32"/>
        </w:rPr>
        <w:t>50</w:t>
      </w:r>
      <w:r>
        <w:rPr>
          <w:rFonts w:hint="eastAsia" w:ascii="仿宋_GB2312" w:hAnsi="仿宋_GB2312" w:eastAsia="仿宋_GB2312" w:cs="仿宋_GB2312"/>
          <w:sz w:val="32"/>
          <w:szCs w:val="32"/>
        </w:rPr>
        <w:t>%以上，</w:t>
      </w:r>
      <w:r>
        <w:rPr>
          <w:rFonts w:hint="eastAsia" w:eastAsia="仿宋_GB2312"/>
          <w:sz w:val="32"/>
          <w:szCs w:val="32"/>
        </w:rPr>
        <w:t>9</w:t>
      </w:r>
      <w:r>
        <w:rPr>
          <w:rFonts w:hint="eastAsia" w:ascii="仿宋_GB2312" w:hAnsi="仿宋_GB2312" w:eastAsia="仿宋_GB2312" w:cs="仿宋_GB2312"/>
          <w:sz w:val="32"/>
          <w:szCs w:val="32"/>
        </w:rPr>
        <w:t>月底衔接资金拨付比例达</w:t>
      </w:r>
      <w:r>
        <w:rPr>
          <w:rFonts w:hint="eastAsia" w:eastAsia="仿宋_GB2312"/>
          <w:sz w:val="32"/>
          <w:szCs w:val="32"/>
        </w:rPr>
        <w:t>92%</w:t>
      </w:r>
      <w:r>
        <w:rPr>
          <w:rFonts w:hint="eastAsia" w:ascii="仿宋_GB2312" w:hAnsi="仿宋_GB2312" w:eastAsia="仿宋_GB2312" w:cs="仿宋_GB2312"/>
          <w:sz w:val="32"/>
          <w:szCs w:val="32"/>
        </w:rPr>
        <w:t>以上，</w:t>
      </w:r>
      <w:r>
        <w:rPr>
          <w:rFonts w:hint="eastAsia" w:eastAsia="仿宋_GB2312"/>
          <w:sz w:val="32"/>
          <w:szCs w:val="32"/>
        </w:rPr>
        <w:t>11</w:t>
      </w:r>
      <w:r>
        <w:rPr>
          <w:rFonts w:hint="eastAsia" w:ascii="仿宋_GB2312" w:hAnsi="仿宋_GB2312" w:eastAsia="仿宋_GB2312" w:cs="仿宋_GB2312"/>
          <w:sz w:val="32"/>
          <w:szCs w:val="32"/>
        </w:rPr>
        <w:t>月底扣除质保金后拨付比例达</w:t>
      </w:r>
      <w:r>
        <w:rPr>
          <w:rFonts w:hint="eastAsia" w:eastAsia="仿宋_GB2312"/>
          <w:sz w:val="32"/>
          <w:szCs w:val="32"/>
        </w:rPr>
        <w:t>97%以</w:t>
      </w:r>
      <w:r>
        <w:rPr>
          <w:rFonts w:hint="eastAsia" w:ascii="仿宋_GB2312" w:hAnsi="仿宋_GB2312" w:eastAsia="仿宋_GB2312" w:cs="仿宋_GB2312"/>
          <w:sz w:val="32"/>
          <w:szCs w:val="32"/>
        </w:rPr>
        <w:t>上。同时按省级绩效要求做好单个项目和总体项目绩效评价工作。</w:t>
      </w:r>
    </w:p>
    <w:p>
      <w:pPr>
        <w:keepNext w:val="0"/>
        <w:keepLines w:val="0"/>
        <w:pageBreakBefore w:val="0"/>
        <w:widowControl w:val="0"/>
        <w:kinsoku/>
        <w:wordWrap/>
        <w:topLinePunct w:val="0"/>
        <w:bidi w:val="0"/>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五、组织保障与资源配置</w:t>
      </w:r>
    </w:p>
    <w:p>
      <w:pPr>
        <w:keepNext w:val="0"/>
        <w:keepLines w:val="0"/>
        <w:pageBreakBefore w:val="0"/>
        <w:widowControl w:val="0"/>
        <w:kinsoku/>
        <w:wordWrap/>
        <w:topLinePunct w:val="0"/>
        <w:bidi w:val="0"/>
        <w:snapToGrid/>
        <w:spacing w:line="56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（一）组织保障</w:t>
      </w:r>
    </w:p>
    <w:p>
      <w:pPr>
        <w:keepNext w:val="0"/>
        <w:keepLines w:val="0"/>
        <w:pageBreakBefore w:val="0"/>
        <w:widowControl w:val="0"/>
        <w:kinsoku/>
        <w:wordWrap/>
        <w:topLinePunct w:val="0"/>
        <w:bidi w:val="0"/>
        <w:snapToGrid/>
        <w:spacing w:line="560" w:lineRule="exact"/>
        <w:ind w:firstLine="640" w:firstLineChars="200"/>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健全中央统筹、省负总责、市县乡抓落实的工作机制，构建责任清晰、各负其责、执行有力的乡村振兴领导体制，层层压实责任。充分发挥中央和地方各级巩固脱贫攻坚推进乡村振兴领导小组作用，建立统一高效的实现巩固拓展脱贫攻坚成果同乡村振兴有效衔接的决策议事协调工作机制。</w:t>
      </w:r>
    </w:p>
    <w:p>
      <w:pPr>
        <w:keepNext w:val="0"/>
        <w:keepLines w:val="0"/>
        <w:pageBreakBefore w:val="0"/>
        <w:widowControl w:val="0"/>
        <w:kinsoku/>
        <w:wordWrap/>
        <w:topLinePunct w:val="0"/>
        <w:bidi w:val="0"/>
        <w:snapToGrid/>
        <w:spacing w:line="56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（二）健全协调配合机制</w:t>
      </w:r>
    </w:p>
    <w:p>
      <w:pPr>
        <w:keepNext w:val="0"/>
        <w:keepLines w:val="0"/>
        <w:pageBreakBefore w:val="0"/>
        <w:widowControl w:val="0"/>
        <w:kinsoku/>
        <w:wordWrap/>
        <w:topLinePunct w:val="0"/>
        <w:bidi w:val="0"/>
        <w:snapToGrid/>
        <w:spacing w:line="560" w:lineRule="exact"/>
        <w:ind w:firstLine="643"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晋宁区农业农村局负责项目规划和资金的分配、安排、下达等工作；</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乡镇（街道）、项目村委会要做好协调配合，及时启动项目，真抓实干，做到产业发展、基础设施、社会事业等各项到村到户项目如期落地建设，并按衔接资金拨付时序进度要求及时拨付资金，按质按量完成项目建设任务；</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建立健全督查机制，区纪委监委、区委、区政府目督办、区委组织部、区财政局、区民宗局、区农业农村局等部门做好项目检查、督查督办工作。</w:t>
      </w:r>
      <w:r>
        <w:rPr>
          <w:rFonts w:hint="eastAsia" w:ascii="仿宋_GB2312" w:hAnsi="仿宋_GB2312" w:eastAsia="仿宋_GB2312" w:cs="仿宋_GB2312"/>
          <w:b/>
          <w:bCs/>
          <w:sz w:val="32"/>
          <w:szCs w:val="32"/>
        </w:rPr>
        <w:t>四是</w:t>
      </w:r>
      <w:r>
        <w:rPr>
          <w:rFonts w:hint="eastAsia" w:ascii="仿宋_GB2312" w:hAnsi="仿宋_GB2312" w:eastAsia="仿宋_GB2312" w:cs="仿宋_GB2312"/>
          <w:sz w:val="32"/>
          <w:szCs w:val="32"/>
        </w:rPr>
        <w:t>实行月报制度，从</w:t>
      </w:r>
      <w:r>
        <w:rPr>
          <w:rFonts w:hint="eastAsia" w:eastAsia="仿宋_GB2312"/>
          <w:sz w:val="32"/>
          <w:szCs w:val="32"/>
        </w:rPr>
        <w:t>2024年5</w:t>
      </w:r>
      <w:r>
        <w:rPr>
          <w:rFonts w:hint="eastAsia" w:ascii="仿宋_GB2312" w:hAnsi="仿宋_GB2312" w:eastAsia="仿宋_GB2312" w:cs="仿宋_GB2312"/>
          <w:sz w:val="32"/>
          <w:szCs w:val="32"/>
        </w:rPr>
        <w:t>月起乡镇（街道）每月</w:t>
      </w:r>
      <w:r>
        <w:rPr>
          <w:rFonts w:eastAsia="仿宋_GB2312"/>
          <w:sz w:val="32"/>
          <w:szCs w:val="32"/>
        </w:rPr>
        <w:t>30</w:t>
      </w:r>
      <w:r>
        <w:rPr>
          <w:rFonts w:hint="eastAsia" w:ascii="仿宋_GB2312" w:hAnsi="仿宋_GB2312" w:eastAsia="仿宋_GB2312" w:cs="仿宋_GB2312"/>
          <w:sz w:val="32"/>
          <w:szCs w:val="32"/>
        </w:rPr>
        <w:t>日前按时上报项目进度及资金拨付进度；</w:t>
      </w:r>
      <w:r>
        <w:rPr>
          <w:rFonts w:hint="eastAsia" w:ascii="仿宋_GB2312" w:hAnsi="仿宋_GB2312" w:eastAsia="仿宋_GB2312" w:cs="仿宋_GB2312"/>
          <w:b/>
          <w:bCs/>
          <w:sz w:val="32"/>
          <w:szCs w:val="32"/>
        </w:rPr>
        <w:t>五是</w:t>
      </w:r>
      <w:r>
        <w:rPr>
          <w:rFonts w:hint="eastAsia" w:ascii="仿宋_GB2312" w:hAnsi="仿宋_GB2312" w:eastAsia="仿宋_GB2312" w:cs="仿宋_GB2312"/>
          <w:sz w:val="32"/>
          <w:szCs w:val="32"/>
        </w:rPr>
        <w:t>建立项目绩效目标考核制度，严格按省绩效目标考核内容开展绩效自评工作。</w:t>
      </w:r>
    </w:p>
    <w:p>
      <w:pPr>
        <w:keepNext w:val="0"/>
        <w:keepLines w:val="0"/>
        <w:pageBreakBefore w:val="0"/>
        <w:widowControl w:val="0"/>
        <w:kinsoku/>
        <w:wordWrap/>
        <w:topLinePunct w:val="0"/>
        <w:bidi w:val="0"/>
        <w:snapToGrid/>
        <w:spacing w:line="56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（三）精准计划项目</w:t>
      </w:r>
    </w:p>
    <w:p>
      <w:pPr>
        <w:keepNext w:val="0"/>
        <w:keepLines w:val="0"/>
        <w:pageBreakBefore w:val="0"/>
        <w:widowControl w:val="0"/>
        <w:kinsoku/>
        <w:wordWrap/>
        <w:topLinePunct w:val="0"/>
        <w:bidi w:val="0"/>
        <w:snapToGrid/>
        <w:spacing w:line="560" w:lineRule="exact"/>
        <w:ind w:firstLine="640" w:firstLineChars="200"/>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本方案从《</w:t>
      </w:r>
      <w:r>
        <w:rPr>
          <w:rFonts w:hint="eastAsia" w:ascii="仿宋_GB2312" w:hAnsi="仿宋_GB2312" w:eastAsia="仿宋_GB2312" w:cs="仿宋_GB2312"/>
          <w:sz w:val="32"/>
          <w:szCs w:val="32"/>
          <w:lang w:val="zh-CN"/>
        </w:rPr>
        <w:t>昆明市晋宁区</w:t>
      </w:r>
      <w:r>
        <w:rPr>
          <w:rFonts w:eastAsia="仿宋_GB2312"/>
          <w:sz w:val="32"/>
          <w:szCs w:val="32"/>
          <w:lang w:val="zh-CN"/>
        </w:rPr>
        <w:t>202</w:t>
      </w:r>
      <w:r>
        <w:rPr>
          <w:rFonts w:eastAsia="仿宋_GB2312"/>
          <w:sz w:val="32"/>
          <w:szCs w:val="32"/>
        </w:rPr>
        <w:t>4</w:t>
      </w:r>
      <w:r>
        <w:rPr>
          <w:rFonts w:hint="eastAsia" w:ascii="仿宋_GB2312" w:hAnsi="仿宋_GB2312" w:eastAsia="仿宋_GB2312" w:cs="仿宋_GB2312"/>
          <w:sz w:val="32"/>
          <w:szCs w:val="32"/>
          <w:lang w:val="zh-CN"/>
        </w:rPr>
        <w:t>年度财政衔接推进乡村振兴项目实施计划》</w:t>
      </w:r>
      <w:r>
        <w:rPr>
          <w:rFonts w:hint="eastAsia" w:ascii="仿宋_GB2312" w:hAnsi="仿宋_GB2312" w:eastAsia="仿宋_GB2312" w:cs="仿宋_GB2312"/>
          <w:sz w:val="32"/>
          <w:szCs w:val="32"/>
        </w:rPr>
        <w:t>中，按产业资金投入占比不低</w:t>
      </w:r>
      <w:r>
        <w:rPr>
          <w:rFonts w:hint="eastAsia" w:eastAsia="仿宋_GB2312"/>
          <w:sz w:val="32"/>
          <w:szCs w:val="32"/>
        </w:rPr>
        <w:t>于</w:t>
      </w:r>
      <w:r>
        <w:rPr>
          <w:rFonts w:eastAsia="仿宋_GB2312"/>
          <w:sz w:val="32"/>
          <w:szCs w:val="32"/>
        </w:rPr>
        <w:t>6</w:t>
      </w:r>
      <w:r>
        <w:rPr>
          <w:rFonts w:hint="eastAsia" w:eastAsia="仿宋_GB2312"/>
          <w:sz w:val="32"/>
          <w:szCs w:val="32"/>
        </w:rPr>
        <w:t>3%的</w:t>
      </w:r>
      <w:r>
        <w:rPr>
          <w:rFonts w:hint="eastAsia" w:ascii="仿宋_GB2312" w:hAnsi="仿宋_GB2312" w:eastAsia="仿宋_GB2312" w:cs="仿宋_GB2312"/>
          <w:sz w:val="32"/>
          <w:szCs w:val="32"/>
        </w:rPr>
        <w:t>目标，围绕产业发展、</w:t>
      </w:r>
      <w:r>
        <w:rPr>
          <w:rFonts w:hint="eastAsia" w:ascii="仿宋_GB2312" w:hAnsi="仿宋_GB2312" w:eastAsia="仿宋_GB2312" w:cs="仿宋_GB2312"/>
          <w:bCs/>
          <w:sz w:val="32"/>
          <w:szCs w:val="32"/>
        </w:rPr>
        <w:t>乡村建设行动</w:t>
      </w:r>
      <w:r>
        <w:rPr>
          <w:rFonts w:hint="eastAsia" w:ascii="仿宋_GB2312" w:hAnsi="仿宋_GB2312" w:eastAsia="仿宋_GB2312" w:cs="仿宋_GB2312"/>
          <w:sz w:val="32"/>
          <w:szCs w:val="32"/>
        </w:rPr>
        <w:t>等选择了</w:t>
      </w:r>
      <w:r>
        <w:rPr>
          <w:rFonts w:hint="eastAsia" w:eastAsia="仿宋_GB2312"/>
          <w:sz w:val="32"/>
          <w:szCs w:val="32"/>
        </w:rPr>
        <w:t>4</w:t>
      </w:r>
      <w:r>
        <w:rPr>
          <w:rFonts w:hint="eastAsia" w:ascii="仿宋_GB2312" w:hAnsi="仿宋_GB2312" w:eastAsia="仿宋_GB2312" w:cs="仿宋_GB2312"/>
          <w:sz w:val="32"/>
          <w:szCs w:val="32"/>
        </w:rPr>
        <w:t>个项目；</w:t>
      </w:r>
      <w:r>
        <w:rPr>
          <w:rFonts w:hint="eastAsia" w:ascii="仿宋_GB2312" w:hAnsi="仿宋_GB2312" w:eastAsia="仿宋_GB2312" w:cs="仿宋_GB2312"/>
          <w:b/>
          <w:bCs/>
          <w:sz w:val="32"/>
          <w:szCs w:val="32"/>
          <w:shd w:val="clear" w:color="auto" w:fill="FFFFFF"/>
        </w:rPr>
        <w:t>一是</w:t>
      </w:r>
      <w:r>
        <w:rPr>
          <w:rFonts w:hint="eastAsia" w:ascii="仿宋_GB2312" w:hAnsi="仿宋_GB2312" w:eastAsia="仿宋_GB2312" w:cs="仿宋_GB2312"/>
          <w:sz w:val="32"/>
          <w:szCs w:val="32"/>
          <w:shd w:val="clear" w:color="auto" w:fill="FFFFFF"/>
        </w:rPr>
        <w:t>支持乡村特色建设发展。</w:t>
      </w:r>
      <w:r>
        <w:rPr>
          <w:rFonts w:hint="eastAsia" w:ascii="仿宋_GB2312" w:hAnsi="仿宋_GB2312" w:eastAsia="仿宋_GB2312" w:cs="仿宋_GB2312"/>
          <w:b/>
          <w:bCs/>
          <w:sz w:val="32"/>
          <w:szCs w:val="32"/>
          <w:shd w:val="clear" w:color="auto" w:fill="FFFFFF"/>
        </w:rPr>
        <w:t>二是</w:t>
      </w:r>
      <w:r>
        <w:rPr>
          <w:rFonts w:hint="eastAsia" w:ascii="仿宋_GB2312" w:hAnsi="仿宋_GB2312" w:eastAsia="仿宋_GB2312" w:cs="仿宋_GB2312"/>
          <w:sz w:val="32"/>
          <w:szCs w:val="32"/>
          <w:shd w:val="clear" w:color="auto" w:fill="FFFFFF"/>
        </w:rPr>
        <w:t>支持脱贫村宜居宜业示范村建设。</w:t>
      </w:r>
      <w:r>
        <w:rPr>
          <w:rFonts w:hint="eastAsia" w:ascii="仿宋_GB2312" w:hAnsi="仿宋_GB2312" w:eastAsia="仿宋_GB2312" w:cs="仿宋_GB2312"/>
          <w:b/>
          <w:bCs/>
          <w:sz w:val="32"/>
          <w:szCs w:val="32"/>
          <w:shd w:val="clear" w:color="auto" w:fill="FFFFFF"/>
        </w:rPr>
        <w:t>三是</w:t>
      </w:r>
      <w:r>
        <w:rPr>
          <w:rFonts w:hint="eastAsia" w:ascii="仿宋_GB2312" w:hAnsi="仿宋_GB2312" w:eastAsia="仿宋_GB2312" w:cs="仿宋_GB2312"/>
          <w:bCs/>
          <w:sz w:val="32"/>
          <w:szCs w:val="32"/>
          <w:shd w:val="clear" w:color="auto" w:fill="FFFFFF"/>
        </w:rPr>
        <w:t>提取必要的</w:t>
      </w:r>
      <w:r>
        <w:rPr>
          <w:rFonts w:hint="eastAsia" w:ascii="仿宋_GB2312" w:hAnsi="仿宋_GB2312" w:eastAsia="仿宋_GB2312" w:cs="仿宋_GB2312"/>
          <w:sz w:val="32"/>
          <w:szCs w:val="32"/>
          <w:shd w:val="clear" w:color="auto" w:fill="FFFFFF"/>
        </w:rPr>
        <w:t>项目管理费。</w:t>
      </w:r>
    </w:p>
    <w:p>
      <w:pPr>
        <w:keepNext w:val="0"/>
        <w:keepLines w:val="0"/>
        <w:pageBreakBefore w:val="0"/>
        <w:widowControl w:val="0"/>
        <w:kinsoku/>
        <w:wordWrap/>
        <w:topLinePunct w:val="0"/>
        <w:bidi w:val="0"/>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六、资金投入</w:t>
      </w:r>
    </w:p>
    <w:p>
      <w:pPr>
        <w:keepNext w:val="0"/>
        <w:keepLines w:val="0"/>
        <w:pageBreakBefore w:val="0"/>
        <w:widowControl w:val="0"/>
        <w:kinsoku/>
        <w:wordWrap/>
        <w:topLinePunct w:val="0"/>
        <w:bidi w:val="0"/>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本方案从产业发展、乡村建设行动等方面安排第一批省级财政衔接推进乡村振兴补助资金，概算总投资</w:t>
      </w:r>
      <w:r>
        <w:rPr>
          <w:rFonts w:hint="eastAsia" w:eastAsia="仿宋_GB2312"/>
          <w:bCs/>
          <w:sz w:val="32"/>
          <w:szCs w:val="32"/>
        </w:rPr>
        <w:t>4128</w:t>
      </w:r>
      <w:r>
        <w:rPr>
          <w:rFonts w:hint="eastAsia" w:ascii="仿宋_GB2312" w:hAnsi="仿宋_GB2312" w:eastAsia="仿宋_GB2312" w:cs="仿宋_GB2312"/>
          <w:bCs/>
          <w:sz w:val="32"/>
          <w:szCs w:val="32"/>
        </w:rPr>
        <w:t>万元，其中，省级衔接资金</w:t>
      </w:r>
      <w:r>
        <w:rPr>
          <w:rFonts w:hint="eastAsia" w:eastAsia="仿宋_GB2312"/>
          <w:bCs/>
          <w:sz w:val="32"/>
          <w:szCs w:val="32"/>
        </w:rPr>
        <w:t>512</w:t>
      </w:r>
      <w:r>
        <w:rPr>
          <w:rFonts w:hint="eastAsia" w:ascii="仿宋_GB2312" w:hAnsi="仿宋_GB2312" w:eastAsia="仿宋_GB2312" w:cs="仿宋_GB2312"/>
          <w:bCs/>
          <w:sz w:val="32"/>
          <w:szCs w:val="32"/>
        </w:rPr>
        <w:t>万元，整合资金</w:t>
      </w:r>
      <w:r>
        <w:rPr>
          <w:rFonts w:hint="eastAsia" w:eastAsia="仿宋_GB2312"/>
          <w:sz w:val="32"/>
          <w:szCs w:val="32"/>
        </w:rPr>
        <w:t>2325</w:t>
      </w:r>
      <w:r>
        <w:rPr>
          <w:rFonts w:hint="eastAsia" w:ascii="仿宋_GB2312" w:hAnsi="仿宋_GB2312" w:eastAsia="仿宋_GB2312" w:cs="仿宋_GB2312"/>
          <w:bCs/>
          <w:sz w:val="32"/>
          <w:szCs w:val="32"/>
        </w:rPr>
        <w:t>万元，业主投入</w:t>
      </w:r>
      <w:r>
        <w:rPr>
          <w:rFonts w:hint="eastAsia" w:eastAsia="仿宋_GB2312"/>
          <w:bCs/>
          <w:sz w:val="32"/>
          <w:szCs w:val="32"/>
        </w:rPr>
        <w:t>1291</w:t>
      </w:r>
      <w:r>
        <w:rPr>
          <w:rFonts w:hint="eastAsia" w:ascii="仿宋_GB2312" w:hAnsi="仿宋_GB2312" w:eastAsia="仿宋_GB2312" w:cs="仿宋_GB2312"/>
          <w:bCs/>
          <w:sz w:val="32"/>
          <w:szCs w:val="32"/>
        </w:rPr>
        <w:t>万元。</w:t>
      </w:r>
      <w:r>
        <w:rPr>
          <w:rFonts w:hint="eastAsia" w:ascii="仿宋_GB2312" w:hAnsi="仿宋_GB2312" w:eastAsia="仿宋_GB2312" w:cs="仿宋_GB2312"/>
          <w:b/>
          <w:sz w:val="32"/>
          <w:szCs w:val="32"/>
        </w:rPr>
        <w:t>一是</w:t>
      </w:r>
      <w:r>
        <w:rPr>
          <w:rFonts w:hint="eastAsia" w:ascii="仿宋_GB2312" w:hAnsi="仿宋_GB2312" w:eastAsia="仿宋_GB2312" w:cs="仿宋_GB2312"/>
          <w:bCs/>
          <w:sz w:val="32"/>
          <w:szCs w:val="32"/>
        </w:rPr>
        <w:t>产业发展项目，计划总投资</w:t>
      </w:r>
      <w:r>
        <w:rPr>
          <w:rFonts w:hint="eastAsia" w:eastAsia="仿宋_GB2312"/>
          <w:bCs/>
          <w:color w:val="000000" w:themeColor="text1"/>
          <w:sz w:val="32"/>
          <w:szCs w:val="32"/>
        </w:rPr>
        <w:t>1826</w:t>
      </w:r>
      <w:r>
        <w:rPr>
          <w:rFonts w:hint="eastAsia" w:ascii="仿宋_GB2312" w:hAnsi="仿宋_GB2312" w:eastAsia="仿宋_GB2312" w:cs="仿宋_GB2312"/>
          <w:bCs/>
          <w:sz w:val="32"/>
          <w:szCs w:val="32"/>
        </w:rPr>
        <w:t>万元，其中，省级衔接资金</w:t>
      </w:r>
      <w:r>
        <w:rPr>
          <w:rFonts w:hint="eastAsia" w:eastAsia="仿宋_GB2312"/>
          <w:bCs/>
          <w:sz w:val="32"/>
          <w:szCs w:val="32"/>
        </w:rPr>
        <w:t>325</w:t>
      </w:r>
      <w:r>
        <w:rPr>
          <w:rFonts w:hint="eastAsia" w:ascii="仿宋_GB2312" w:hAnsi="仿宋_GB2312" w:eastAsia="仿宋_GB2312" w:cs="仿宋_GB2312"/>
          <w:bCs/>
          <w:sz w:val="32"/>
          <w:szCs w:val="32"/>
        </w:rPr>
        <w:t>万元；</w:t>
      </w:r>
      <w:r>
        <w:rPr>
          <w:rFonts w:hint="eastAsia" w:ascii="仿宋_GB2312" w:hAnsi="仿宋_GB2312" w:eastAsia="仿宋_GB2312" w:cs="仿宋_GB2312"/>
          <w:b/>
          <w:sz w:val="32"/>
          <w:szCs w:val="32"/>
        </w:rPr>
        <w:t>二是</w:t>
      </w:r>
      <w:r>
        <w:rPr>
          <w:rFonts w:hint="eastAsia" w:ascii="仿宋_GB2312" w:hAnsi="仿宋_GB2312" w:eastAsia="仿宋_GB2312" w:cs="仿宋_GB2312"/>
          <w:bCs/>
          <w:sz w:val="32"/>
          <w:szCs w:val="32"/>
        </w:rPr>
        <w:t>乡村建设行动，计划投入资金</w:t>
      </w:r>
      <w:r>
        <w:rPr>
          <w:rFonts w:hint="eastAsia" w:eastAsia="仿宋_GB2312"/>
          <w:bCs/>
          <w:sz w:val="32"/>
          <w:szCs w:val="32"/>
        </w:rPr>
        <w:t>2300</w:t>
      </w:r>
      <w:r>
        <w:rPr>
          <w:rFonts w:hint="eastAsia" w:ascii="仿宋_GB2312" w:hAnsi="仿宋_GB2312" w:eastAsia="仿宋_GB2312" w:cs="仿宋_GB2312"/>
          <w:bCs/>
          <w:sz w:val="32"/>
          <w:szCs w:val="32"/>
        </w:rPr>
        <w:t>万元，其中，省级衔接资金</w:t>
      </w:r>
      <w:r>
        <w:rPr>
          <w:rFonts w:hint="eastAsia" w:eastAsia="仿宋_GB2312"/>
          <w:bCs/>
          <w:sz w:val="32"/>
          <w:szCs w:val="32"/>
        </w:rPr>
        <w:t>185</w:t>
      </w:r>
      <w:r>
        <w:rPr>
          <w:rFonts w:hint="eastAsia" w:ascii="仿宋_GB2312" w:hAnsi="仿宋_GB2312" w:eastAsia="仿宋_GB2312" w:cs="仿宋_GB2312"/>
          <w:bCs/>
          <w:sz w:val="32"/>
          <w:szCs w:val="32"/>
        </w:rPr>
        <w:t>万元。</w:t>
      </w:r>
      <w:r>
        <w:rPr>
          <w:rFonts w:hint="eastAsia" w:ascii="仿宋_GB2312" w:hAnsi="仿宋_GB2312" w:eastAsia="仿宋_GB2312" w:cs="仿宋_GB2312"/>
          <w:b/>
          <w:bCs/>
          <w:sz w:val="32"/>
          <w:szCs w:val="32"/>
        </w:rPr>
        <w:t>三是</w:t>
      </w:r>
      <w:r>
        <w:rPr>
          <w:rFonts w:hint="eastAsia" w:ascii="仿宋_GB2312" w:hAnsi="仿宋_GB2312" w:eastAsia="仿宋_GB2312" w:cs="仿宋_GB2312"/>
          <w:bCs/>
          <w:sz w:val="32"/>
          <w:szCs w:val="32"/>
        </w:rPr>
        <w:t>项目管理费，按</w:t>
      </w:r>
      <w:r>
        <w:rPr>
          <w:rFonts w:hint="eastAsia" w:eastAsia="仿宋_GB2312"/>
          <w:sz w:val="32"/>
          <w:szCs w:val="32"/>
        </w:rPr>
        <w:t>0.66%</w:t>
      </w:r>
      <w:r>
        <w:rPr>
          <w:rFonts w:hint="eastAsia" w:ascii="仿宋_GB2312" w:hAnsi="仿宋_GB2312" w:eastAsia="仿宋_GB2312" w:cs="仿宋_GB2312"/>
          <w:bCs/>
          <w:sz w:val="32"/>
          <w:szCs w:val="32"/>
        </w:rPr>
        <w:t>的比例计提省级衔接资金管理费</w:t>
      </w:r>
      <w:r>
        <w:rPr>
          <w:rFonts w:hint="eastAsia" w:eastAsia="仿宋_GB2312"/>
          <w:bCs/>
          <w:sz w:val="32"/>
          <w:szCs w:val="32"/>
        </w:rPr>
        <w:t>2</w:t>
      </w:r>
      <w:r>
        <w:rPr>
          <w:rFonts w:hint="eastAsia" w:ascii="仿宋_GB2312" w:hAnsi="仿宋_GB2312" w:eastAsia="仿宋_GB2312" w:cs="仿宋_GB2312"/>
          <w:bCs/>
          <w:sz w:val="32"/>
          <w:szCs w:val="32"/>
        </w:rPr>
        <w:t>万元。</w:t>
      </w:r>
    </w:p>
    <w:p>
      <w:pPr>
        <w:keepNext w:val="0"/>
        <w:keepLines w:val="0"/>
        <w:pageBreakBefore w:val="0"/>
        <w:widowControl w:val="0"/>
        <w:kinsoku/>
        <w:wordWrap/>
        <w:topLinePunct w:val="0"/>
        <w:bidi w:val="0"/>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七、项目建设内容</w:t>
      </w:r>
    </w:p>
    <w:p>
      <w:pPr>
        <w:keepNext w:val="0"/>
        <w:keepLines w:val="0"/>
        <w:pageBreakBefore w:val="0"/>
        <w:widowControl w:val="0"/>
        <w:kinsoku/>
        <w:wordWrap/>
        <w:topLinePunct w:val="0"/>
        <w:bidi w:val="0"/>
        <w:snapToGrid/>
        <w:spacing w:line="56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（一）产业项目</w:t>
      </w:r>
      <w:r>
        <w:rPr>
          <w:rFonts w:eastAsia="楷体_GB2312"/>
          <w:sz w:val="32"/>
          <w:szCs w:val="32"/>
        </w:rPr>
        <w:t>2</w:t>
      </w:r>
      <w:r>
        <w:rPr>
          <w:rFonts w:hint="eastAsia" w:ascii="楷体_GB2312" w:hAnsi="楷体_GB2312" w:eastAsia="楷体_GB2312" w:cs="楷体_GB2312"/>
          <w:sz w:val="32"/>
          <w:szCs w:val="32"/>
        </w:rPr>
        <w:t>件，计划资金</w:t>
      </w:r>
      <w:r>
        <w:rPr>
          <w:rFonts w:hint="eastAsia" w:eastAsia="楷体_GB2312"/>
          <w:sz w:val="32"/>
          <w:szCs w:val="32"/>
        </w:rPr>
        <w:t>1826</w:t>
      </w:r>
      <w:r>
        <w:rPr>
          <w:rFonts w:hint="eastAsia" w:ascii="楷体_GB2312" w:hAnsi="楷体_GB2312" w:eastAsia="楷体_GB2312" w:cs="楷体_GB2312"/>
          <w:sz w:val="32"/>
          <w:szCs w:val="32"/>
        </w:rPr>
        <w:t>万元，其中：省级衔接资金</w:t>
      </w:r>
      <w:r>
        <w:rPr>
          <w:rFonts w:hint="eastAsia" w:eastAsia="楷体_GB2312"/>
          <w:sz w:val="32"/>
          <w:szCs w:val="32"/>
        </w:rPr>
        <w:t>325</w:t>
      </w:r>
      <w:r>
        <w:rPr>
          <w:rFonts w:hint="eastAsia" w:ascii="楷体_GB2312" w:hAnsi="楷体_GB2312" w:eastAsia="楷体_GB2312" w:cs="楷体_GB2312"/>
          <w:sz w:val="32"/>
          <w:szCs w:val="32"/>
        </w:rPr>
        <w:t>万元。</w:t>
      </w:r>
    </w:p>
    <w:p>
      <w:pPr>
        <w:keepNext w:val="0"/>
        <w:keepLines w:val="0"/>
        <w:pageBreakBefore w:val="0"/>
        <w:widowControl w:val="0"/>
        <w:kinsoku/>
        <w:wordWrap/>
        <w:topLinePunct w:val="0"/>
        <w:bidi w:val="0"/>
        <w:snapToGrid/>
        <w:spacing w:line="560" w:lineRule="exact"/>
        <w:ind w:firstLine="640" w:firstLineChars="200"/>
        <w:textAlignment w:val="auto"/>
        <w:rPr>
          <w:rFonts w:ascii="仿宋_GB2312" w:hAnsi="仿宋_GB2312" w:eastAsia="仿宋_GB2312" w:cs="仿宋_GB2312"/>
          <w:bCs/>
          <w:sz w:val="32"/>
          <w:szCs w:val="32"/>
        </w:rPr>
      </w:pPr>
      <w:r>
        <w:rPr>
          <w:rFonts w:hint="eastAsia" w:eastAsia="仿宋_GB2312"/>
          <w:sz w:val="32"/>
          <w:szCs w:val="32"/>
        </w:rPr>
        <w:t>1.</w:t>
      </w:r>
      <w:r>
        <w:rPr>
          <w:rFonts w:hint="eastAsia" w:ascii="仿宋_GB2312" w:hAnsi="仿宋_GB2312" w:eastAsia="仿宋_GB2312" w:cs="仿宋_GB2312"/>
          <w:bCs/>
          <w:sz w:val="32"/>
          <w:szCs w:val="32"/>
        </w:rPr>
        <w:t>昆明市晋宁区六街镇龙王塘村等</w:t>
      </w:r>
      <w:r>
        <w:rPr>
          <w:rFonts w:eastAsia="仿宋_GB2312"/>
          <w:bCs/>
          <w:sz w:val="32"/>
          <w:szCs w:val="32"/>
        </w:rPr>
        <w:t>5</w:t>
      </w:r>
      <w:r>
        <w:rPr>
          <w:rFonts w:hint="eastAsia" w:ascii="仿宋_GB2312" w:hAnsi="仿宋_GB2312" w:eastAsia="仿宋_GB2312" w:cs="仿宋_GB2312"/>
          <w:bCs/>
          <w:sz w:val="32"/>
          <w:szCs w:val="32"/>
        </w:rPr>
        <w:t>个村农产品分拣包装及仓储设施建设项目。计划投入资金</w:t>
      </w:r>
      <w:r>
        <w:rPr>
          <w:rFonts w:eastAsia="仿宋_GB2312"/>
          <w:sz w:val="32"/>
          <w:szCs w:val="32"/>
        </w:rPr>
        <w:t>1070</w:t>
      </w:r>
      <w:r>
        <w:rPr>
          <w:rFonts w:hint="eastAsia" w:ascii="仿宋_GB2312" w:hAnsi="仿宋_GB2312" w:eastAsia="仿宋_GB2312" w:cs="仿宋_GB2312"/>
          <w:bCs/>
          <w:sz w:val="32"/>
          <w:szCs w:val="32"/>
        </w:rPr>
        <w:t>万元，其中补助省级衔接资金</w:t>
      </w:r>
      <w:r>
        <w:rPr>
          <w:rFonts w:hint="eastAsia" w:eastAsia="仿宋_GB2312"/>
          <w:bCs/>
          <w:sz w:val="32"/>
          <w:szCs w:val="32"/>
        </w:rPr>
        <w:t>210</w:t>
      </w:r>
      <w:r>
        <w:rPr>
          <w:rFonts w:hint="eastAsia" w:ascii="仿宋_GB2312" w:hAnsi="仿宋_GB2312" w:eastAsia="仿宋_GB2312" w:cs="仿宋_GB2312"/>
          <w:bCs/>
          <w:sz w:val="32"/>
          <w:szCs w:val="32"/>
        </w:rPr>
        <w:t>万元；建设内容：</w:t>
      </w:r>
      <w:r>
        <w:rPr>
          <w:rFonts w:hint="eastAsia" w:eastAsia="仿宋_GB2312"/>
          <w:sz w:val="32"/>
          <w:szCs w:val="32"/>
        </w:rPr>
        <w:t>（1）</w:t>
      </w:r>
      <w:r>
        <w:rPr>
          <w:rFonts w:hint="eastAsia" w:ascii="仿宋_GB2312" w:hAnsi="仿宋_GB2312" w:eastAsia="仿宋_GB2312" w:cs="仿宋_GB2312"/>
          <w:bCs/>
          <w:sz w:val="32"/>
          <w:szCs w:val="32"/>
        </w:rPr>
        <w:t>建设钢架结构的分拣包装及仓储用房</w:t>
      </w:r>
      <w:r>
        <w:rPr>
          <w:rFonts w:eastAsia="仿宋_GB2312"/>
          <w:bCs/>
          <w:sz w:val="32"/>
          <w:szCs w:val="32"/>
        </w:rPr>
        <w:t>2</w:t>
      </w:r>
      <w:r>
        <w:rPr>
          <w:rFonts w:hint="eastAsia" w:ascii="仿宋_GB2312" w:hAnsi="仿宋_GB2312" w:eastAsia="仿宋_GB2312" w:cs="仿宋_GB2312"/>
          <w:bCs/>
          <w:sz w:val="32"/>
          <w:szCs w:val="32"/>
        </w:rPr>
        <w:t>间，每间</w:t>
      </w:r>
      <w:r>
        <w:rPr>
          <w:rFonts w:eastAsia="仿宋_GB2312"/>
          <w:bCs/>
          <w:sz w:val="32"/>
          <w:szCs w:val="32"/>
        </w:rPr>
        <w:t>500</w:t>
      </w:r>
      <w:r>
        <w:rPr>
          <w:rFonts w:hAnsi="宋体"/>
          <w:bCs/>
          <w:sz w:val="32"/>
          <w:szCs w:val="32"/>
        </w:rPr>
        <w:t>㎡</w:t>
      </w:r>
      <w:r>
        <w:rPr>
          <w:rFonts w:hint="eastAsia" w:ascii="仿宋_GB2312" w:hAnsi="仿宋_GB2312" w:eastAsia="仿宋_GB2312" w:cs="仿宋_GB2312"/>
          <w:bCs/>
          <w:sz w:val="32"/>
          <w:szCs w:val="32"/>
        </w:rPr>
        <w:t>，建设单价</w:t>
      </w:r>
      <w:r>
        <w:rPr>
          <w:rFonts w:eastAsia="仿宋_GB2312"/>
          <w:sz w:val="32"/>
          <w:szCs w:val="32"/>
        </w:rPr>
        <w:t>3300</w:t>
      </w:r>
      <w:r>
        <w:rPr>
          <w:rFonts w:hAnsi="仿宋_GB2312" w:eastAsia="仿宋_GB2312"/>
          <w:bCs/>
          <w:sz w:val="32"/>
          <w:szCs w:val="32"/>
        </w:rPr>
        <w:t>元</w:t>
      </w:r>
      <w:r>
        <w:rPr>
          <w:rFonts w:eastAsia="仿宋_GB2312"/>
          <w:bCs/>
          <w:sz w:val="32"/>
          <w:szCs w:val="32"/>
        </w:rPr>
        <w:t>/</w:t>
      </w:r>
      <w:r>
        <w:rPr>
          <w:rFonts w:hAnsi="宋体"/>
          <w:bCs/>
          <w:sz w:val="32"/>
          <w:szCs w:val="32"/>
        </w:rPr>
        <w:t>㎡</w:t>
      </w:r>
      <w:r>
        <w:rPr>
          <w:rFonts w:hint="eastAsia" w:ascii="仿宋_GB2312" w:hAnsi="仿宋_GB2312" w:eastAsia="仿宋_GB2312" w:cs="仿宋_GB2312"/>
          <w:bCs/>
          <w:sz w:val="32"/>
          <w:szCs w:val="32"/>
        </w:rPr>
        <w:t>，概算投资约</w:t>
      </w:r>
      <w:r>
        <w:rPr>
          <w:rFonts w:eastAsia="仿宋_GB2312"/>
          <w:bCs/>
          <w:sz w:val="32"/>
          <w:szCs w:val="32"/>
        </w:rPr>
        <w:t>330</w:t>
      </w:r>
      <w:r>
        <w:rPr>
          <w:rFonts w:hint="eastAsia" w:ascii="仿宋_GB2312" w:hAnsi="仿宋_GB2312" w:eastAsia="仿宋_GB2312" w:cs="仿宋_GB2312"/>
          <w:bCs/>
          <w:sz w:val="32"/>
          <w:szCs w:val="32"/>
        </w:rPr>
        <w:t>万元；</w:t>
      </w:r>
      <w:r>
        <w:rPr>
          <w:rFonts w:hint="eastAsia" w:eastAsia="仿宋_GB2312"/>
          <w:sz w:val="32"/>
          <w:szCs w:val="32"/>
        </w:rPr>
        <w:t>（2）</w:t>
      </w:r>
      <w:r>
        <w:rPr>
          <w:rFonts w:hint="eastAsia" w:ascii="仿宋_GB2312" w:hAnsi="仿宋_GB2312" w:eastAsia="仿宋_GB2312" w:cs="仿宋_GB2312"/>
          <w:bCs/>
          <w:sz w:val="32"/>
          <w:szCs w:val="32"/>
        </w:rPr>
        <w:t>完善水、电、网路等配套设施，概算投资约</w:t>
      </w:r>
      <w:r>
        <w:rPr>
          <w:rFonts w:eastAsia="仿宋_GB2312"/>
          <w:bCs/>
          <w:sz w:val="32"/>
          <w:szCs w:val="32"/>
        </w:rPr>
        <w:t>20</w:t>
      </w:r>
      <w:r>
        <w:rPr>
          <w:rFonts w:hint="eastAsia" w:ascii="仿宋_GB2312" w:hAnsi="仿宋_GB2312" w:eastAsia="仿宋_GB2312" w:cs="仿宋_GB2312"/>
          <w:bCs/>
          <w:sz w:val="32"/>
          <w:szCs w:val="32"/>
        </w:rPr>
        <w:t>万元。预计产生租赁收益</w:t>
      </w:r>
      <w:r>
        <w:rPr>
          <w:rFonts w:eastAsia="仿宋_GB2312"/>
          <w:bCs/>
          <w:sz w:val="32"/>
          <w:szCs w:val="32"/>
        </w:rPr>
        <w:t>25</w:t>
      </w:r>
      <w:r>
        <w:rPr>
          <w:rFonts w:hint="eastAsia" w:ascii="仿宋_GB2312" w:hAnsi="仿宋_GB2312" w:eastAsia="仿宋_GB2312" w:cs="仿宋_GB2312"/>
          <w:bCs/>
          <w:sz w:val="32"/>
          <w:szCs w:val="32"/>
        </w:rPr>
        <w:t>万元/年，按照龙王塘村</w:t>
      </w:r>
      <w:r>
        <w:rPr>
          <w:rFonts w:hint="eastAsia" w:eastAsia="仿宋_GB2312"/>
          <w:sz w:val="32"/>
          <w:szCs w:val="32"/>
        </w:rPr>
        <w:t>30%、</w:t>
      </w:r>
      <w:r>
        <w:rPr>
          <w:rFonts w:hint="eastAsia" w:ascii="仿宋_GB2312" w:hAnsi="仿宋_GB2312" w:eastAsia="仿宋_GB2312" w:cs="仿宋_GB2312"/>
          <w:bCs/>
          <w:sz w:val="32"/>
          <w:szCs w:val="32"/>
        </w:rPr>
        <w:t>大营村、大庄村、新寨村、干海村</w:t>
      </w:r>
      <w:r>
        <w:rPr>
          <w:rFonts w:hint="eastAsia" w:eastAsia="仿宋_GB2312"/>
          <w:sz w:val="32"/>
          <w:szCs w:val="32"/>
        </w:rPr>
        <w:t>17.5%</w:t>
      </w:r>
      <w:r>
        <w:rPr>
          <w:rFonts w:hint="eastAsia" w:ascii="仿宋_GB2312" w:hAnsi="仿宋_GB2312" w:eastAsia="仿宋_GB2312" w:cs="仿宋_GB2312"/>
          <w:bCs/>
          <w:sz w:val="32"/>
          <w:szCs w:val="32"/>
        </w:rPr>
        <w:t>的比例分配收益。</w:t>
      </w:r>
    </w:p>
    <w:p>
      <w:pPr>
        <w:keepNext w:val="0"/>
        <w:keepLines w:val="0"/>
        <w:pageBreakBefore w:val="0"/>
        <w:widowControl w:val="0"/>
        <w:kinsoku/>
        <w:wordWrap/>
        <w:topLinePunct w:val="0"/>
        <w:bidi w:val="0"/>
        <w:snapToGrid/>
        <w:spacing w:line="560" w:lineRule="exact"/>
        <w:ind w:firstLine="640" w:firstLineChars="200"/>
        <w:textAlignment w:val="auto"/>
        <w:rPr>
          <w:rFonts w:ascii="仿宋_GB2312" w:hAnsi="仿宋_GB2312" w:eastAsia="仿宋_GB2312" w:cs="仿宋_GB2312"/>
          <w:bCs/>
          <w:sz w:val="32"/>
          <w:szCs w:val="32"/>
        </w:rPr>
      </w:pPr>
      <w:r>
        <w:rPr>
          <w:rFonts w:hint="eastAsia" w:eastAsia="仿宋_GB2312"/>
          <w:sz w:val="32"/>
          <w:szCs w:val="32"/>
        </w:rPr>
        <w:t>2.晋宁区宝峰街道花之间乡村振兴项目。计划投入资金756万元，其中补助省级衔接资金115万元；建设内容：（1）建设研学文化长廊约1500平方米，包括三通一平、绿化等；（2）</w:t>
      </w:r>
      <w:r>
        <w:rPr>
          <w:rFonts w:hint="eastAsia" w:ascii="仿宋_GB2312" w:hAnsi="仿宋_GB2312" w:eastAsia="仿宋_GB2312" w:cs="仿宋_GB2312"/>
          <w:bCs/>
          <w:sz w:val="32"/>
          <w:szCs w:val="32"/>
        </w:rPr>
        <w:t>新建改扩建餐馆、厨房、咖啡屋、研学基地约</w:t>
      </w:r>
      <w:r>
        <w:rPr>
          <w:rFonts w:hint="eastAsia" w:eastAsia="仿宋_GB2312"/>
          <w:sz w:val="32"/>
          <w:szCs w:val="32"/>
        </w:rPr>
        <w:t>1000</w:t>
      </w:r>
      <w:r>
        <w:rPr>
          <w:rFonts w:hint="eastAsia" w:ascii="仿宋_GB2312" w:hAnsi="仿宋_GB2312" w:eastAsia="仿宋_GB2312" w:cs="仿宋_GB2312"/>
          <w:bCs/>
          <w:sz w:val="32"/>
          <w:szCs w:val="32"/>
        </w:rPr>
        <w:t>平方米。将清水河月季新品种研发基地建设成为“青少年社会实践教育基地”和“种质资源科普基地”，推动产学研深度融合发展，赋能产业振兴。项目预计力争</w:t>
      </w:r>
      <w:r>
        <w:rPr>
          <w:rFonts w:hint="eastAsia" w:eastAsia="仿宋_GB2312"/>
          <w:sz w:val="32"/>
          <w:szCs w:val="32"/>
        </w:rPr>
        <w:t>2—3</w:t>
      </w:r>
      <w:r>
        <w:rPr>
          <w:rFonts w:hint="eastAsia" w:ascii="仿宋_GB2312" w:hAnsi="仿宋_GB2312" w:eastAsia="仿宋_GB2312" w:cs="仿宋_GB2312"/>
          <w:bCs/>
          <w:sz w:val="32"/>
          <w:szCs w:val="32"/>
        </w:rPr>
        <w:t>年村集体经济收入实现翻番，通过联农带农效应，大力示范引导村民发展“庭院经济”，带动附近</w:t>
      </w:r>
      <w:r>
        <w:rPr>
          <w:rFonts w:hint="eastAsia" w:eastAsia="仿宋_GB2312"/>
          <w:sz w:val="32"/>
          <w:szCs w:val="32"/>
        </w:rPr>
        <w:t>600</w:t>
      </w:r>
      <w:r>
        <w:rPr>
          <w:rFonts w:hint="eastAsia" w:ascii="仿宋_GB2312" w:hAnsi="仿宋_GB2312" w:eastAsia="仿宋_GB2312" w:cs="仿宋_GB2312"/>
          <w:bCs/>
          <w:sz w:val="32"/>
          <w:szCs w:val="32"/>
        </w:rPr>
        <w:t>余名村民家门口创业和就业，力争让群众收入年均增长</w:t>
      </w:r>
      <w:r>
        <w:rPr>
          <w:rFonts w:hint="eastAsia" w:eastAsia="仿宋_GB2312"/>
          <w:sz w:val="32"/>
          <w:szCs w:val="32"/>
        </w:rPr>
        <w:t>15%左</w:t>
      </w:r>
      <w:r>
        <w:rPr>
          <w:rFonts w:hint="eastAsia" w:ascii="仿宋_GB2312" w:hAnsi="仿宋_GB2312" w:eastAsia="仿宋_GB2312" w:cs="仿宋_GB2312"/>
          <w:bCs/>
          <w:sz w:val="32"/>
          <w:szCs w:val="32"/>
        </w:rPr>
        <w:t>右。</w:t>
      </w:r>
    </w:p>
    <w:p>
      <w:pPr>
        <w:keepNext w:val="0"/>
        <w:keepLines w:val="0"/>
        <w:pageBreakBefore w:val="0"/>
        <w:widowControl w:val="0"/>
        <w:kinsoku/>
        <w:wordWrap/>
        <w:topLinePunct w:val="0"/>
        <w:bidi w:val="0"/>
        <w:snapToGrid/>
        <w:spacing w:line="56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（二）乡村建设行动</w:t>
      </w:r>
      <w:r>
        <w:rPr>
          <w:rFonts w:hint="eastAsia" w:eastAsia="楷体_GB2312"/>
          <w:sz w:val="32"/>
          <w:szCs w:val="32"/>
        </w:rPr>
        <w:t>1</w:t>
      </w:r>
      <w:r>
        <w:rPr>
          <w:rFonts w:hint="eastAsia" w:ascii="楷体_GB2312" w:hAnsi="楷体_GB2312" w:eastAsia="楷体_GB2312" w:cs="楷体_GB2312"/>
          <w:sz w:val="32"/>
          <w:szCs w:val="32"/>
        </w:rPr>
        <w:t>件，计划资金</w:t>
      </w:r>
      <w:r>
        <w:rPr>
          <w:rFonts w:hint="eastAsia" w:eastAsia="楷体_GB2312"/>
          <w:sz w:val="32"/>
          <w:szCs w:val="32"/>
        </w:rPr>
        <w:t>2300</w:t>
      </w:r>
      <w:r>
        <w:rPr>
          <w:rFonts w:hint="eastAsia" w:ascii="楷体_GB2312" w:hAnsi="楷体_GB2312" w:eastAsia="楷体_GB2312" w:cs="楷体_GB2312"/>
          <w:sz w:val="32"/>
          <w:szCs w:val="32"/>
        </w:rPr>
        <w:t>万元，其中衔接资金补助</w:t>
      </w:r>
      <w:r>
        <w:rPr>
          <w:rFonts w:hint="eastAsia" w:eastAsia="楷体_GB2312"/>
          <w:sz w:val="32"/>
          <w:szCs w:val="32"/>
        </w:rPr>
        <w:t>185万</w:t>
      </w:r>
      <w:r>
        <w:rPr>
          <w:rFonts w:hint="eastAsia" w:ascii="楷体_GB2312" w:hAnsi="楷体_GB2312" w:eastAsia="楷体_GB2312" w:cs="楷体_GB2312"/>
          <w:sz w:val="32"/>
          <w:szCs w:val="32"/>
        </w:rPr>
        <w:t>元。</w:t>
      </w:r>
    </w:p>
    <w:p>
      <w:pPr>
        <w:keepNext w:val="0"/>
        <w:keepLines w:val="0"/>
        <w:pageBreakBefore w:val="0"/>
        <w:widowControl w:val="0"/>
        <w:kinsoku/>
        <w:wordWrap/>
        <w:topLinePunct w:val="0"/>
        <w:bidi w:val="0"/>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夕阳彝族乡高粱地宜居宜业和美示范村建设项目。计划投入资金</w:t>
      </w:r>
      <w:r>
        <w:rPr>
          <w:rFonts w:hint="eastAsia" w:eastAsia="仿宋_GB2312"/>
          <w:sz w:val="32"/>
          <w:szCs w:val="32"/>
        </w:rPr>
        <w:t>2300</w:t>
      </w:r>
      <w:r>
        <w:rPr>
          <w:rFonts w:hint="eastAsia" w:ascii="仿宋_GB2312" w:hAnsi="仿宋_GB2312" w:eastAsia="仿宋_GB2312" w:cs="仿宋_GB2312"/>
          <w:bCs/>
          <w:sz w:val="32"/>
          <w:szCs w:val="32"/>
        </w:rPr>
        <w:t>万元，其中补助省级衔接资金</w:t>
      </w:r>
      <w:r>
        <w:rPr>
          <w:rFonts w:hint="eastAsia" w:eastAsia="仿宋_GB2312"/>
          <w:sz w:val="32"/>
          <w:szCs w:val="32"/>
        </w:rPr>
        <w:t>185</w:t>
      </w:r>
      <w:r>
        <w:rPr>
          <w:rFonts w:hint="eastAsia" w:ascii="仿宋_GB2312" w:hAnsi="仿宋_GB2312" w:eastAsia="仿宋_GB2312" w:cs="仿宋_GB2312"/>
          <w:bCs/>
          <w:sz w:val="32"/>
          <w:szCs w:val="32"/>
        </w:rPr>
        <w:t>万元；建设内容：高粱地小组村庄道路、人饮管网、污水管道、路灯及相关配套设施建设。项目建成后</w:t>
      </w:r>
      <w:r>
        <w:rPr>
          <w:rFonts w:hint="eastAsia" w:eastAsia="仿宋_GB2312"/>
          <w:sz w:val="32"/>
          <w:szCs w:val="32"/>
        </w:rPr>
        <w:t>，40</w:t>
      </w:r>
      <w:r>
        <w:rPr>
          <w:rFonts w:hint="eastAsia" w:ascii="仿宋_GB2312" w:hAnsi="仿宋_GB2312" w:eastAsia="仿宋_GB2312" w:cs="仿宋_GB2312"/>
          <w:bCs/>
          <w:sz w:val="32"/>
          <w:szCs w:val="32"/>
        </w:rPr>
        <w:t>户农户喜迁新居，推进乡村旅游，发展民宿等都市田园综合体项目，实施体验农业与传统农业相结合，让游客也可以通过现场采摘香水柠檬的方式体验到黑皮花生和柠檬的不同收成方式。在示范基地的带动引领下，按照“党组织+企业+村级集体经济合作社+基地+农户”“企业”和“基地+农户”等多种经营模式，助力农民增收、农业增效，推动乡村振兴。</w:t>
      </w:r>
    </w:p>
    <w:p>
      <w:pPr>
        <w:keepNext w:val="0"/>
        <w:keepLines w:val="0"/>
        <w:pageBreakBefore w:val="0"/>
        <w:widowControl w:val="0"/>
        <w:kinsoku/>
        <w:wordWrap/>
        <w:topLinePunct w:val="0"/>
        <w:bidi w:val="0"/>
        <w:snapToGrid/>
        <w:spacing w:line="560"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rPr>
        <w:t>（三）项目管理费</w:t>
      </w:r>
      <w:r>
        <w:rPr>
          <w:rFonts w:hint="eastAsia" w:eastAsia="楷体_GB2312"/>
          <w:sz w:val="32"/>
          <w:szCs w:val="32"/>
        </w:rPr>
        <w:t>1</w:t>
      </w:r>
      <w:r>
        <w:rPr>
          <w:rFonts w:hint="eastAsia" w:ascii="楷体_GB2312" w:hAnsi="楷体_GB2312" w:eastAsia="楷体_GB2312" w:cs="楷体_GB2312"/>
          <w:sz w:val="32"/>
          <w:szCs w:val="32"/>
        </w:rPr>
        <w:t>件，计划资金</w:t>
      </w:r>
      <w:r>
        <w:rPr>
          <w:rFonts w:hint="eastAsia" w:eastAsia="楷体_GB2312"/>
          <w:sz w:val="32"/>
          <w:szCs w:val="32"/>
        </w:rPr>
        <w:t>2</w:t>
      </w:r>
      <w:r>
        <w:rPr>
          <w:rFonts w:hint="eastAsia" w:ascii="楷体_GB2312" w:hAnsi="楷体_GB2312" w:eastAsia="楷体_GB2312" w:cs="楷体_GB2312"/>
          <w:sz w:val="32"/>
          <w:szCs w:val="32"/>
        </w:rPr>
        <w:t>万元</w:t>
      </w:r>
      <w:r>
        <w:rPr>
          <w:rFonts w:hint="eastAsia" w:ascii="楷体_GB2312" w:hAnsi="楷体_GB2312" w:eastAsia="楷体_GB2312" w:cs="楷体_GB2312"/>
          <w:sz w:val="32"/>
          <w:szCs w:val="32"/>
          <w:lang w:eastAsia="zh-CN"/>
        </w:rPr>
        <w:t>。</w:t>
      </w:r>
    </w:p>
    <w:p>
      <w:pPr>
        <w:keepNext w:val="0"/>
        <w:keepLines w:val="0"/>
        <w:pageBreakBefore w:val="0"/>
        <w:widowControl w:val="0"/>
        <w:kinsoku/>
        <w:wordWrap/>
        <w:topLinePunct w:val="0"/>
        <w:bidi w:val="0"/>
        <w:snapToGrid/>
        <w:spacing w:line="560" w:lineRule="exact"/>
        <w:ind w:firstLine="640" w:firstLineChars="200"/>
        <w:textAlignment w:val="auto"/>
      </w:pPr>
      <w:r>
        <w:rPr>
          <w:rFonts w:hint="eastAsia" w:ascii="仿宋_GB2312" w:hAnsi="仿宋_GB2312" w:eastAsia="仿宋_GB2312" w:cs="仿宋_GB2312"/>
          <w:bCs/>
          <w:sz w:val="32"/>
          <w:szCs w:val="32"/>
        </w:rPr>
        <w:t>晋宁区</w:t>
      </w:r>
      <w:r>
        <w:rPr>
          <w:rFonts w:hint="eastAsia" w:eastAsia="仿宋_GB2312"/>
          <w:sz w:val="32"/>
          <w:szCs w:val="32"/>
        </w:rPr>
        <w:t>2024</w:t>
      </w:r>
      <w:r>
        <w:rPr>
          <w:rFonts w:hint="eastAsia" w:ascii="仿宋_GB2312" w:hAnsi="仿宋_GB2312" w:eastAsia="仿宋_GB2312" w:cs="仿宋_GB2312"/>
          <w:bCs/>
          <w:sz w:val="32"/>
          <w:szCs w:val="32"/>
        </w:rPr>
        <w:t>年衔接资金项目管理费</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按</w:t>
      </w:r>
      <w:r>
        <w:rPr>
          <w:rFonts w:hint="eastAsia" w:eastAsia="仿宋_GB2312"/>
          <w:sz w:val="32"/>
          <w:szCs w:val="32"/>
        </w:rPr>
        <w:t>0.66%</w:t>
      </w:r>
      <w:r>
        <w:rPr>
          <w:rFonts w:hint="eastAsia" w:ascii="仿宋_GB2312" w:hAnsi="仿宋_GB2312" w:eastAsia="仿宋_GB2312" w:cs="仿宋_GB2312"/>
          <w:bCs/>
          <w:sz w:val="32"/>
          <w:szCs w:val="32"/>
        </w:rPr>
        <w:t>计提管理费</w:t>
      </w:r>
      <w:r>
        <w:rPr>
          <w:rFonts w:hint="eastAsia" w:eastAsia="仿宋_GB2312"/>
          <w:sz w:val="32"/>
          <w:szCs w:val="32"/>
        </w:rPr>
        <w:t>2</w:t>
      </w:r>
      <w:r>
        <w:rPr>
          <w:rFonts w:hint="eastAsia" w:ascii="仿宋_GB2312" w:hAnsi="仿宋_GB2312" w:eastAsia="仿宋_GB2312" w:cs="仿宋_GB2312"/>
          <w:bCs/>
          <w:sz w:val="32"/>
          <w:szCs w:val="32"/>
        </w:rPr>
        <w:t>万元。</w:t>
      </w:r>
    </w:p>
    <w:p>
      <w:pPr>
        <w:pStyle w:val="2"/>
        <w:keepNext w:val="0"/>
        <w:keepLines w:val="0"/>
        <w:pageBreakBefore w:val="0"/>
        <w:widowControl w:val="0"/>
        <w:kinsoku/>
        <w:wordWrap/>
        <w:topLinePunct w:val="0"/>
        <w:bidi w:val="0"/>
        <w:snapToGrid/>
        <w:spacing w:line="560" w:lineRule="exact"/>
        <w:ind w:firstLine="640" w:firstLineChars="200"/>
        <w:textAlignment w:val="auto"/>
      </w:pPr>
    </w:p>
    <w:p>
      <w:pPr>
        <w:keepNext w:val="0"/>
        <w:keepLines w:val="0"/>
        <w:pageBreakBefore w:val="0"/>
        <w:widowControl w:val="0"/>
        <w:kinsoku/>
        <w:wordWrap/>
        <w:topLinePunct w:val="0"/>
        <w:bidi w:val="0"/>
        <w:snapToGrid/>
        <w:spacing w:line="560" w:lineRule="exact"/>
        <w:ind w:left="1598" w:leftChars="304" w:hanging="960" w:hangingChars="3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附件：昆明市晋宁区第一批省级财政衔接推进乡村振兴项目计划表（</w:t>
      </w:r>
      <w:r>
        <w:rPr>
          <w:rFonts w:eastAsia="仿宋_GB2312"/>
          <w:sz w:val="32"/>
          <w:szCs w:val="32"/>
        </w:rPr>
        <w:t>2024</w:t>
      </w:r>
      <w:r>
        <w:rPr>
          <w:rFonts w:hint="eastAsia" w:ascii="仿宋_GB2312" w:hAnsi="仿宋_GB2312" w:eastAsia="仿宋_GB2312" w:cs="仿宋_GB2312"/>
          <w:sz w:val="32"/>
          <w:szCs w:val="32"/>
        </w:rPr>
        <w:t>年）</w:t>
      </w:r>
    </w:p>
    <w:p>
      <w:pPr>
        <w:keepNext w:val="0"/>
        <w:keepLines w:val="0"/>
        <w:pageBreakBefore w:val="0"/>
        <w:widowControl w:val="0"/>
        <w:kinsoku/>
        <w:wordWrap/>
        <w:topLinePunct w:val="0"/>
        <w:bidi w:val="0"/>
        <w:snapToGrid/>
        <w:spacing w:line="560" w:lineRule="exact"/>
        <w:ind w:firstLine="640" w:firstLineChars="200"/>
        <w:textAlignment w:val="auto"/>
        <w:rPr>
          <w:rFonts w:ascii="仿宋_GB2312" w:hAnsi="仿宋_GB2312" w:eastAsia="仿宋_GB2312" w:cs="仿宋_GB2312"/>
          <w:sz w:val="32"/>
          <w:szCs w:val="32"/>
        </w:rPr>
      </w:pPr>
    </w:p>
    <w:p>
      <w:pPr>
        <w:pStyle w:val="2"/>
        <w:keepNext w:val="0"/>
        <w:keepLines w:val="0"/>
        <w:pageBreakBefore w:val="0"/>
        <w:widowControl w:val="0"/>
        <w:kinsoku/>
        <w:wordWrap/>
        <w:topLinePunct w:val="0"/>
        <w:bidi w:val="0"/>
        <w:snapToGrid/>
        <w:spacing w:line="560" w:lineRule="exact"/>
        <w:ind w:firstLine="640" w:firstLineChars="200"/>
        <w:textAlignment w:val="auto"/>
      </w:pPr>
    </w:p>
    <w:p>
      <w:pPr>
        <w:keepNext w:val="0"/>
        <w:keepLines w:val="0"/>
        <w:pageBreakBefore w:val="0"/>
        <w:widowControl w:val="0"/>
        <w:kinsoku/>
        <w:wordWrap/>
        <w:topLinePunct w:val="0"/>
        <w:bidi w:val="0"/>
        <w:snapToGrid/>
        <w:spacing w:line="560" w:lineRule="exact"/>
        <w:ind w:firstLine="4160" w:firstLineChars="1300"/>
        <w:textAlignment w:val="auto"/>
        <w:rPr>
          <w:rFonts w:hint="eastAsia" w:ascii="仿宋_GB2312" w:hAnsi="仿宋_GB2312" w:eastAsia="仿宋_GB2312" w:cs="仿宋_GB2312"/>
          <w:sz w:val="32"/>
          <w:szCs w:val="32"/>
        </w:rPr>
      </w:pPr>
    </w:p>
    <w:p>
      <w:pPr>
        <w:keepNext w:val="0"/>
        <w:keepLines w:val="0"/>
        <w:pageBreakBefore w:val="0"/>
        <w:widowControl w:val="0"/>
        <w:kinsoku/>
        <w:wordWrap/>
        <w:topLinePunct w:val="0"/>
        <w:bidi w:val="0"/>
        <w:snapToGrid/>
        <w:spacing w:line="560" w:lineRule="exact"/>
        <w:ind w:firstLine="4160" w:firstLineChars="1300"/>
        <w:textAlignment w:val="auto"/>
        <w:rPr>
          <w:rFonts w:hint="eastAsia" w:ascii="仿宋_GB2312" w:hAnsi="仿宋_GB2312" w:eastAsia="仿宋_GB2312" w:cs="仿宋_GB2312"/>
          <w:sz w:val="32"/>
          <w:szCs w:val="32"/>
        </w:rPr>
      </w:pPr>
    </w:p>
    <w:p>
      <w:pPr>
        <w:keepNext w:val="0"/>
        <w:keepLines w:val="0"/>
        <w:pageBreakBefore w:val="0"/>
        <w:widowControl w:val="0"/>
        <w:kinsoku/>
        <w:wordWrap/>
        <w:topLinePunct w:val="0"/>
        <w:bidi w:val="0"/>
        <w:snapToGrid/>
        <w:spacing w:line="560" w:lineRule="exact"/>
        <w:ind w:firstLine="4160" w:firstLineChars="1300"/>
        <w:textAlignment w:val="auto"/>
        <w:rPr>
          <w:rFonts w:hint="eastAsia" w:ascii="仿宋_GB2312" w:hAnsi="仿宋_GB2312" w:eastAsia="仿宋_GB2312" w:cs="仿宋_GB2312"/>
          <w:sz w:val="32"/>
          <w:szCs w:val="32"/>
        </w:rPr>
      </w:pPr>
    </w:p>
    <w:p>
      <w:pPr>
        <w:keepNext w:val="0"/>
        <w:keepLines w:val="0"/>
        <w:pageBreakBefore w:val="0"/>
        <w:widowControl w:val="0"/>
        <w:kinsoku/>
        <w:wordWrap/>
        <w:topLinePunct w:val="0"/>
        <w:bidi w:val="0"/>
        <w:snapToGrid/>
        <w:spacing w:line="560" w:lineRule="exact"/>
        <w:ind w:firstLine="4160" w:firstLineChars="1300"/>
        <w:textAlignment w:val="auto"/>
        <w:rPr>
          <w:rFonts w:hint="eastAsia" w:ascii="仿宋_GB2312" w:hAnsi="仿宋_GB2312" w:eastAsia="仿宋_GB2312" w:cs="仿宋_GB2312"/>
          <w:sz w:val="32"/>
          <w:szCs w:val="32"/>
        </w:rPr>
      </w:pPr>
    </w:p>
    <w:p>
      <w:pPr>
        <w:keepNext w:val="0"/>
        <w:keepLines w:val="0"/>
        <w:pageBreakBefore w:val="0"/>
        <w:widowControl w:val="0"/>
        <w:kinsoku/>
        <w:wordWrap/>
        <w:topLinePunct w:val="0"/>
        <w:bidi w:val="0"/>
        <w:snapToGrid/>
        <w:spacing w:line="560" w:lineRule="exact"/>
        <w:ind w:firstLine="4160" w:firstLineChars="13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昆明市晋宁区农业农村局</w:t>
      </w:r>
    </w:p>
    <w:p>
      <w:pPr>
        <w:keepNext w:val="0"/>
        <w:keepLines w:val="0"/>
        <w:pageBreakBefore w:val="0"/>
        <w:widowControl w:val="0"/>
        <w:kinsoku/>
        <w:wordWrap/>
        <w:topLinePunct w:val="0"/>
        <w:bidi w:val="0"/>
        <w:snapToGrid/>
        <w:spacing w:line="560" w:lineRule="exact"/>
        <w:ind w:firstLine="4800" w:firstLineChars="1500"/>
        <w:textAlignment w:val="auto"/>
        <w:rPr>
          <w:rFonts w:eastAsia="仿宋_GB2312"/>
          <w:sz w:val="32"/>
          <w:szCs w:val="32"/>
        </w:rPr>
      </w:pPr>
      <w:r>
        <w:rPr>
          <w:rFonts w:eastAsia="仿宋_GB2312"/>
          <w:sz w:val="32"/>
          <w:szCs w:val="32"/>
        </w:rPr>
        <w:t>2024年</w:t>
      </w:r>
      <w:r>
        <w:rPr>
          <w:rFonts w:hint="eastAsia" w:eastAsia="仿宋_GB2312"/>
          <w:sz w:val="32"/>
          <w:szCs w:val="32"/>
        </w:rPr>
        <w:t>4</w:t>
      </w:r>
      <w:r>
        <w:rPr>
          <w:rFonts w:eastAsia="仿宋_GB2312"/>
          <w:sz w:val="32"/>
          <w:szCs w:val="32"/>
        </w:rPr>
        <w:t>月</w:t>
      </w:r>
      <w:r>
        <w:rPr>
          <w:rFonts w:hint="eastAsia" w:eastAsia="仿宋_GB2312"/>
          <w:sz w:val="32"/>
          <w:szCs w:val="32"/>
        </w:rPr>
        <w:t>29</w:t>
      </w:r>
      <w:r>
        <w:rPr>
          <w:rFonts w:hAnsi="仿宋_GB2312" w:eastAsia="仿宋_GB2312"/>
          <w:sz w:val="32"/>
          <w:szCs w:val="32"/>
        </w:rPr>
        <w:t>日</w:t>
      </w:r>
    </w:p>
    <w:sectPr>
      <w:footerReference r:id="rId3" w:type="default"/>
      <w:footerReference r:id="rId4" w:type="even"/>
      <w:pgSz w:w="12240" w:h="15840"/>
      <w:pgMar w:top="1417" w:right="1418" w:bottom="1417" w:left="1587"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B0+F+ksQEA&#10;AE4DAAAOAAAAAAAAAAEAIAAAAB4BAABkcnMvZTJvRG9jLnhtbFBLBQYAAAAABgAGAFkBAABBBQAA&#10;AAA=&#10;">
          <v:path/>
          <v:fill on="f" focussize="0,0"/>
          <v:stroke on="f" joinstyle="miter"/>
          <v:imagedata o:title=""/>
          <o:lock v:ext="edit"/>
          <v:textbox inset="0mm,0mm,0mm,0mm" style="mso-fit-shape-to-text:t;">
            <w:txbxContent>
              <w:p>
                <w:pPr>
                  <w:pStyle w:val="4"/>
                </w:pPr>
                <w:r>
                  <w:t xml:space="preserve">— </w:t>
                </w:r>
                <w:r>
                  <w:fldChar w:fldCharType="begin"/>
                </w:r>
                <w:r>
                  <w:instrText xml:space="preserve"> PAGE  \* MERGEFORMAT </w:instrText>
                </w:r>
                <w:r>
                  <w:fldChar w:fldCharType="separate"/>
                </w:r>
                <w:r>
                  <w:t>2</w:t>
                </w:r>
                <w:r>
                  <w:fldChar w:fldCharType="end"/>
                </w:r>
                <w: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4</w:t>
    </w:r>
    <w:r>
      <w:rPr>
        <w:rStyle w:val="9"/>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ljZjZmZGZiYjRkMzI3N2JhNTk0ZjUyN2ZmYzUxNGIifQ=="/>
  </w:docVars>
  <w:rsids>
    <w:rsidRoot w:val="000D4BAD"/>
    <w:rsid w:val="00025AEC"/>
    <w:rsid w:val="00031254"/>
    <w:rsid w:val="000535B9"/>
    <w:rsid w:val="00082EA2"/>
    <w:rsid w:val="000B4F7B"/>
    <w:rsid w:val="000D4BAD"/>
    <w:rsid w:val="0012378A"/>
    <w:rsid w:val="0012545C"/>
    <w:rsid w:val="00180389"/>
    <w:rsid w:val="0019549F"/>
    <w:rsid w:val="001B391F"/>
    <w:rsid w:val="00211152"/>
    <w:rsid w:val="00220A02"/>
    <w:rsid w:val="00224E29"/>
    <w:rsid w:val="00230D33"/>
    <w:rsid w:val="00272AF5"/>
    <w:rsid w:val="002A2401"/>
    <w:rsid w:val="002B3FA0"/>
    <w:rsid w:val="002B4188"/>
    <w:rsid w:val="002D52A1"/>
    <w:rsid w:val="002E1BA1"/>
    <w:rsid w:val="002E617B"/>
    <w:rsid w:val="002E7D57"/>
    <w:rsid w:val="002F44E3"/>
    <w:rsid w:val="00364190"/>
    <w:rsid w:val="00376A9D"/>
    <w:rsid w:val="00396048"/>
    <w:rsid w:val="003A3A9A"/>
    <w:rsid w:val="003D511E"/>
    <w:rsid w:val="0040482F"/>
    <w:rsid w:val="00404C29"/>
    <w:rsid w:val="00412C53"/>
    <w:rsid w:val="00421975"/>
    <w:rsid w:val="00437B75"/>
    <w:rsid w:val="0046534F"/>
    <w:rsid w:val="004764F2"/>
    <w:rsid w:val="00487EB8"/>
    <w:rsid w:val="004B1616"/>
    <w:rsid w:val="004E7E4F"/>
    <w:rsid w:val="00512C07"/>
    <w:rsid w:val="005143A7"/>
    <w:rsid w:val="00547CE7"/>
    <w:rsid w:val="00560609"/>
    <w:rsid w:val="005664E9"/>
    <w:rsid w:val="005877F7"/>
    <w:rsid w:val="0059437C"/>
    <w:rsid w:val="00597E5D"/>
    <w:rsid w:val="005E6FB8"/>
    <w:rsid w:val="005F1127"/>
    <w:rsid w:val="005F16C6"/>
    <w:rsid w:val="005F4E15"/>
    <w:rsid w:val="00616682"/>
    <w:rsid w:val="0063098E"/>
    <w:rsid w:val="00634DEB"/>
    <w:rsid w:val="0065138B"/>
    <w:rsid w:val="00675D0E"/>
    <w:rsid w:val="00691186"/>
    <w:rsid w:val="006B2C80"/>
    <w:rsid w:val="006B6DAE"/>
    <w:rsid w:val="006D1978"/>
    <w:rsid w:val="006F20A5"/>
    <w:rsid w:val="00700D89"/>
    <w:rsid w:val="00704C3D"/>
    <w:rsid w:val="00712AC0"/>
    <w:rsid w:val="00751496"/>
    <w:rsid w:val="00763B16"/>
    <w:rsid w:val="00785C40"/>
    <w:rsid w:val="0078662D"/>
    <w:rsid w:val="007B18BA"/>
    <w:rsid w:val="007B2714"/>
    <w:rsid w:val="007B36F0"/>
    <w:rsid w:val="007C6A6E"/>
    <w:rsid w:val="007C77D7"/>
    <w:rsid w:val="007F6964"/>
    <w:rsid w:val="00845632"/>
    <w:rsid w:val="00867191"/>
    <w:rsid w:val="008B76BB"/>
    <w:rsid w:val="008C1FEA"/>
    <w:rsid w:val="008C3511"/>
    <w:rsid w:val="008F3545"/>
    <w:rsid w:val="00904A3A"/>
    <w:rsid w:val="00927D54"/>
    <w:rsid w:val="00943BE3"/>
    <w:rsid w:val="0096457D"/>
    <w:rsid w:val="009826D8"/>
    <w:rsid w:val="009834EF"/>
    <w:rsid w:val="009962ED"/>
    <w:rsid w:val="009B6171"/>
    <w:rsid w:val="009F79F9"/>
    <w:rsid w:val="00A04E2F"/>
    <w:rsid w:val="00A2473F"/>
    <w:rsid w:val="00A251E5"/>
    <w:rsid w:val="00A3360B"/>
    <w:rsid w:val="00A4693D"/>
    <w:rsid w:val="00A50B1B"/>
    <w:rsid w:val="00A534D1"/>
    <w:rsid w:val="00A61F77"/>
    <w:rsid w:val="00A62357"/>
    <w:rsid w:val="00A67265"/>
    <w:rsid w:val="00AC3AAC"/>
    <w:rsid w:val="00AE7FAE"/>
    <w:rsid w:val="00AF3A18"/>
    <w:rsid w:val="00B01921"/>
    <w:rsid w:val="00B259E1"/>
    <w:rsid w:val="00B26127"/>
    <w:rsid w:val="00B56D0C"/>
    <w:rsid w:val="00B64D2B"/>
    <w:rsid w:val="00B67106"/>
    <w:rsid w:val="00B768DA"/>
    <w:rsid w:val="00BB4235"/>
    <w:rsid w:val="00BF013B"/>
    <w:rsid w:val="00BF5176"/>
    <w:rsid w:val="00BF6BE5"/>
    <w:rsid w:val="00C23A0D"/>
    <w:rsid w:val="00C80DF0"/>
    <w:rsid w:val="00C813DA"/>
    <w:rsid w:val="00C863CF"/>
    <w:rsid w:val="00C926EB"/>
    <w:rsid w:val="00CA01AE"/>
    <w:rsid w:val="00CA2FCB"/>
    <w:rsid w:val="00CA350D"/>
    <w:rsid w:val="00CA5834"/>
    <w:rsid w:val="00CB2722"/>
    <w:rsid w:val="00CC125A"/>
    <w:rsid w:val="00CE7483"/>
    <w:rsid w:val="00CE78FB"/>
    <w:rsid w:val="00D018CB"/>
    <w:rsid w:val="00D219FC"/>
    <w:rsid w:val="00D40809"/>
    <w:rsid w:val="00D454B7"/>
    <w:rsid w:val="00D6756B"/>
    <w:rsid w:val="00D678D9"/>
    <w:rsid w:val="00D75EDC"/>
    <w:rsid w:val="00D81CAF"/>
    <w:rsid w:val="00D83341"/>
    <w:rsid w:val="00D87F97"/>
    <w:rsid w:val="00D92700"/>
    <w:rsid w:val="00D932E6"/>
    <w:rsid w:val="00D96B20"/>
    <w:rsid w:val="00DA1A99"/>
    <w:rsid w:val="00DB4A0B"/>
    <w:rsid w:val="00E06861"/>
    <w:rsid w:val="00E06C03"/>
    <w:rsid w:val="00E11198"/>
    <w:rsid w:val="00E233F5"/>
    <w:rsid w:val="00E568D1"/>
    <w:rsid w:val="00E703C0"/>
    <w:rsid w:val="00EB0479"/>
    <w:rsid w:val="00ED3F99"/>
    <w:rsid w:val="00ED7B01"/>
    <w:rsid w:val="00ED7D8C"/>
    <w:rsid w:val="00EE488C"/>
    <w:rsid w:val="00EF0097"/>
    <w:rsid w:val="00EF3C1B"/>
    <w:rsid w:val="00F16F18"/>
    <w:rsid w:val="00F201DC"/>
    <w:rsid w:val="00F52C48"/>
    <w:rsid w:val="00F62DC3"/>
    <w:rsid w:val="00F66E7D"/>
    <w:rsid w:val="00F705F6"/>
    <w:rsid w:val="00F71797"/>
    <w:rsid w:val="00F964F7"/>
    <w:rsid w:val="00FA6625"/>
    <w:rsid w:val="02843E24"/>
    <w:rsid w:val="08127D03"/>
    <w:rsid w:val="0A0831A8"/>
    <w:rsid w:val="0A0E7782"/>
    <w:rsid w:val="0A9C3ABB"/>
    <w:rsid w:val="0C550DFE"/>
    <w:rsid w:val="0C5F10F1"/>
    <w:rsid w:val="14B23B56"/>
    <w:rsid w:val="16B2774C"/>
    <w:rsid w:val="16ED01AA"/>
    <w:rsid w:val="1C770F1A"/>
    <w:rsid w:val="1E971E3F"/>
    <w:rsid w:val="20376A5F"/>
    <w:rsid w:val="20A067B4"/>
    <w:rsid w:val="22AE10CA"/>
    <w:rsid w:val="23C00BB1"/>
    <w:rsid w:val="23C93BD9"/>
    <w:rsid w:val="26AC6BD8"/>
    <w:rsid w:val="27BC5F2F"/>
    <w:rsid w:val="29CE6C0F"/>
    <w:rsid w:val="2DB0505B"/>
    <w:rsid w:val="2E875FEB"/>
    <w:rsid w:val="331A4BF7"/>
    <w:rsid w:val="333940A7"/>
    <w:rsid w:val="34E46515"/>
    <w:rsid w:val="37E35E2D"/>
    <w:rsid w:val="3BD5653D"/>
    <w:rsid w:val="3BFE1AF0"/>
    <w:rsid w:val="3C593B99"/>
    <w:rsid w:val="3CE5395B"/>
    <w:rsid w:val="3F366A86"/>
    <w:rsid w:val="405865D4"/>
    <w:rsid w:val="42284E58"/>
    <w:rsid w:val="444775C6"/>
    <w:rsid w:val="45A5478B"/>
    <w:rsid w:val="482F69E6"/>
    <w:rsid w:val="4D441458"/>
    <w:rsid w:val="4F85419F"/>
    <w:rsid w:val="51C11454"/>
    <w:rsid w:val="526B2C2E"/>
    <w:rsid w:val="56B36625"/>
    <w:rsid w:val="58FB3B7E"/>
    <w:rsid w:val="5A480858"/>
    <w:rsid w:val="5A580DCF"/>
    <w:rsid w:val="5A6317AD"/>
    <w:rsid w:val="5B610DF6"/>
    <w:rsid w:val="5C834CE1"/>
    <w:rsid w:val="5FA35EE7"/>
    <w:rsid w:val="60AF4563"/>
    <w:rsid w:val="61D742DA"/>
    <w:rsid w:val="678A41D2"/>
    <w:rsid w:val="6A744AEE"/>
    <w:rsid w:val="6AF44E7E"/>
    <w:rsid w:val="6FCF4E71"/>
    <w:rsid w:val="71AA044A"/>
    <w:rsid w:val="729315A7"/>
    <w:rsid w:val="72B64E6F"/>
    <w:rsid w:val="72C83A7E"/>
    <w:rsid w:val="78BF5D97"/>
    <w:rsid w:val="791A3284"/>
    <w:rsid w:val="7B313111"/>
    <w:rsid w:val="7BB375A7"/>
    <w:rsid w:val="7BEE3352"/>
    <w:rsid w:val="7C9B7CC0"/>
    <w:rsid w:val="7F6F5AE7"/>
    <w:rsid w:val="7FBB612D"/>
    <w:rsid w:val="7FDE699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style>
  <w:style w:type="paragraph" w:styleId="3">
    <w:name w:val="Body Text Indent"/>
    <w:basedOn w:val="1"/>
    <w:qFormat/>
    <w:uiPriority w:val="0"/>
    <w:pPr>
      <w:spacing w:line="600" w:lineRule="exact"/>
      <w:ind w:firstLine="630"/>
    </w:pPr>
    <w:rPr>
      <w:rFonts w:eastAsia="仿宋_GB2312" w:cs="仿宋_GB2312"/>
      <w:sz w:val="32"/>
      <w:szCs w:val="30"/>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9">
    <w:name w:val="page number"/>
    <w:basedOn w:val="8"/>
    <w:qFormat/>
    <w:uiPriority w:val="0"/>
  </w:style>
  <w:style w:type="character" w:customStyle="1" w:styleId="10">
    <w:name w:val="页脚 Char"/>
    <w:basedOn w:val="8"/>
    <w:link w:val="4"/>
    <w:qFormat/>
    <w:uiPriority w:val="0"/>
    <w:rPr>
      <w:rFonts w:ascii="Times New Roman" w:hAnsi="Times New Roman" w:eastAsia="宋体" w:cs="Times New Roman"/>
      <w:sz w:val="18"/>
      <w:szCs w:val="18"/>
    </w:rPr>
  </w:style>
  <w:style w:type="character" w:customStyle="1" w:styleId="11">
    <w:name w:val="页眉 Char"/>
    <w:basedOn w:val="8"/>
    <w:link w:val="5"/>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2623</Words>
  <Characters>2779</Characters>
  <Lines>1</Lines>
  <Paragraphs>5</Paragraphs>
  <TotalTime>10</TotalTime>
  <ScaleCrop>false</ScaleCrop>
  <LinksUpToDate>false</LinksUpToDate>
  <CharactersWithSpaces>2779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2024-01-10T08:54:00Z</dcterms:created>
  <dc:creator>xsd</dc:creator>
  <cp:lastModifiedBy>陈素芬</cp:lastModifiedBy>
  <cp:lastPrinted>2022-01-05T02:47:00Z</cp:lastPrinted>
  <dcterms:modified xsi:type="dcterms:W3CDTF">2024-07-12T07:33:04Z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KSOSaveFontToCloudKey">
    <vt:lpwstr>556714777_btnclosed</vt:lpwstr>
  </property>
  <property fmtid="{D5CDD505-2E9C-101B-9397-08002B2CF9AE}" pid="4" name="ICV">
    <vt:lpwstr>27A650C654C342CB840B29C7D1F54CC5</vt:lpwstr>
  </property>
</Properties>
</file>