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附件：</w:t>
      </w:r>
    </w:p>
    <w:p>
      <w:pPr>
        <w:ind w:firstLine="1767" w:firstLineChars="400"/>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昆明市晋宁区园地、林地、草地定级与基准地价制定成果</w:t>
      </w:r>
    </w:p>
    <w:p>
      <w:pPr>
        <w:spacing w:line="360" w:lineRule="auto"/>
        <w:outlineLvl w:val="0"/>
        <w:rPr>
          <w:rFonts w:hint="eastAsia" w:ascii="黑体" w:hAnsi="黑体" w:eastAsia="黑体" w:cs="黑体"/>
          <w:b/>
          <w:bCs/>
          <w:sz w:val="32"/>
          <w:szCs w:val="32"/>
        </w:rPr>
      </w:pPr>
      <w:r>
        <w:rPr>
          <w:rFonts w:hint="eastAsia" w:ascii="黑体" w:hAnsi="黑体" w:eastAsia="黑体" w:cs="黑体"/>
          <w:b/>
          <w:bCs/>
          <w:sz w:val="32"/>
          <w:szCs w:val="32"/>
        </w:rPr>
        <w:t>一、</w:t>
      </w:r>
      <w:bookmarkStart w:id="0" w:name="_Toc30015003"/>
      <w:r>
        <w:rPr>
          <w:rFonts w:hint="eastAsia" w:ascii="黑体" w:hAnsi="黑体" w:eastAsia="黑体" w:cs="黑体"/>
          <w:b/>
          <w:bCs/>
          <w:sz w:val="32"/>
          <w:szCs w:val="32"/>
        </w:rPr>
        <w:t>项目实施范围</w:t>
      </w:r>
      <w:bookmarkEnd w:id="0"/>
    </w:p>
    <w:p>
      <w:pPr>
        <w:pStyle w:val="237"/>
        <w:spacing w:before="0" w:after="0" w:line="360" w:lineRule="auto"/>
        <w:ind w:left="0" w:leftChars="0" w:firstLine="480" w:firstLineChars="200"/>
        <w:outlineLvl w:val="9"/>
        <w:rPr>
          <w:rFonts w:asciiTheme="minorHAnsi" w:hAnsiTheme="minorHAnsi" w:eastAsiaTheme="minorEastAsia" w:cstheme="minorBidi"/>
          <w:b w:val="0"/>
          <w:bCs w:val="0"/>
          <w:sz w:val="24"/>
          <w:szCs w:val="24"/>
        </w:rPr>
      </w:pPr>
      <w:r>
        <w:rPr>
          <w:rFonts w:hint="eastAsia" w:asciiTheme="minorHAnsi" w:hAnsiTheme="minorHAnsi" w:eastAsiaTheme="minorEastAsia" w:cstheme="minorBidi"/>
          <w:b w:val="0"/>
          <w:bCs w:val="0"/>
          <w:sz w:val="24"/>
          <w:szCs w:val="24"/>
        </w:rPr>
        <w:t>昆明市晋宁区园地、林地、草地基准地价实施范围为晋宁区下辖三个街道办、三个镇、两个乡分别为：昆阳街道办事处、宝峰街道办事处、晋城街道办事处、二街镇、上蒜镇、六街镇、双河彝族乡、夕阳彝族乡，共含129个村民委员会，具体情况如下表：</w:t>
      </w:r>
    </w:p>
    <w:p>
      <w:pPr>
        <w:pStyle w:val="236"/>
        <w:ind w:firstLine="400"/>
        <w:rPr>
          <w:color w:val="auto"/>
          <w:sz w:val="24"/>
          <w:szCs w:val="24"/>
        </w:rPr>
      </w:pPr>
      <w:r>
        <w:rPr>
          <w:rFonts w:hint="eastAsia"/>
          <w:color w:val="auto"/>
          <w:sz w:val="24"/>
          <w:szCs w:val="24"/>
        </w:rPr>
        <w:t>表</w:t>
      </w:r>
      <w:r>
        <w:rPr>
          <w:color w:val="auto"/>
          <w:sz w:val="24"/>
          <w:szCs w:val="24"/>
        </w:rPr>
        <w:t xml:space="preserve">1 </w:t>
      </w:r>
      <w:r>
        <w:rPr>
          <w:rFonts w:hint="eastAsia"/>
          <w:color w:val="auto"/>
          <w:sz w:val="24"/>
          <w:szCs w:val="24"/>
        </w:rPr>
        <w:t xml:space="preserve"> 昆明市晋宁区园地、林地、草地实施</w:t>
      </w:r>
      <w:r>
        <w:rPr>
          <w:color w:val="auto"/>
          <w:sz w:val="24"/>
          <w:szCs w:val="24"/>
        </w:rPr>
        <w:t>范围统计一览表</w:t>
      </w:r>
    </w:p>
    <w:tbl>
      <w:tblPr>
        <w:tblStyle w:val="36"/>
        <w:tblW w:w="5106" w:type="pct"/>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3"/>
        <w:gridCol w:w="121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blHeader/>
        </w:trPr>
        <w:tc>
          <w:tcPr>
            <w:tcW w:w="792" w:type="pct"/>
            <w:shd w:val="clear" w:color="auto" w:fill="auto"/>
            <w:noWrap/>
            <w:vAlign w:val="center"/>
          </w:tcPr>
          <w:p>
            <w:pPr>
              <w:pStyle w:val="59"/>
            </w:pPr>
            <w:r>
              <w:rPr>
                <w:rFonts w:hint="eastAsia"/>
              </w:rPr>
              <w:t>乡镇（街道办）</w:t>
            </w:r>
          </w:p>
        </w:tc>
        <w:tc>
          <w:tcPr>
            <w:tcW w:w="4208" w:type="pct"/>
            <w:shd w:val="clear" w:color="auto" w:fill="auto"/>
            <w:vAlign w:val="center"/>
          </w:tcPr>
          <w:p>
            <w:pPr>
              <w:pStyle w:val="59"/>
            </w:pPr>
            <w:r>
              <w:rPr>
                <w:rFonts w:hint="eastAsia"/>
              </w:rPr>
              <w:t>村委会（社区居委会）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92" w:type="pct"/>
            <w:shd w:val="clear" w:color="auto" w:fill="auto"/>
            <w:noWrap/>
            <w:vAlign w:val="center"/>
          </w:tcPr>
          <w:p>
            <w:pPr>
              <w:pStyle w:val="59"/>
            </w:pPr>
            <w:r>
              <w:rPr>
                <w:rFonts w:hint="eastAsia"/>
              </w:rPr>
              <w:t>昆阳街道办事处</w:t>
            </w:r>
          </w:p>
        </w:tc>
        <w:tc>
          <w:tcPr>
            <w:tcW w:w="4208" w:type="pct"/>
            <w:shd w:val="clear" w:color="auto" w:fill="auto"/>
            <w:vAlign w:val="center"/>
          </w:tcPr>
          <w:p>
            <w:pPr>
              <w:pStyle w:val="59"/>
            </w:pPr>
            <w:r>
              <w:rPr>
                <w:rFonts w:hint="eastAsia"/>
              </w:rPr>
              <w:t>安企村、堡孜村、储英村、大新村、甸心村、墩子村、凤踪村、汉营村、恢厂村、回龙村、旧寨村、礼智村、南村、普达村、渠东村、仁义村、太史村、田心村、瓦窑村、乌龙村、下方古城村、兴隆村、兴旺村、余家海村、中谊村、昆阳街道办直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92" w:type="pct"/>
            <w:shd w:val="clear" w:color="auto" w:fill="auto"/>
            <w:noWrap/>
            <w:vAlign w:val="center"/>
          </w:tcPr>
          <w:p>
            <w:pPr>
              <w:pStyle w:val="59"/>
            </w:pPr>
            <w:r>
              <w:rPr>
                <w:rFonts w:hint="eastAsia"/>
              </w:rPr>
              <w:t>宝峰街道办事处</w:t>
            </w:r>
          </w:p>
        </w:tc>
        <w:tc>
          <w:tcPr>
            <w:tcW w:w="4208" w:type="pct"/>
            <w:shd w:val="clear" w:color="auto" w:fill="auto"/>
            <w:vAlign w:val="center"/>
          </w:tcPr>
          <w:p>
            <w:pPr>
              <w:pStyle w:val="59"/>
            </w:pPr>
            <w:r>
              <w:rPr>
                <w:rFonts w:hint="eastAsia"/>
              </w:rPr>
              <w:t>宝峰村、昌家营村、海龙村、韩家营村、前卫村、青龙村、清水河村、上方古城村、上方新街村、酸水塘村、挖矿坡村、小河口村、中和铺村、宝峰街道办直属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trPr>
        <w:tc>
          <w:tcPr>
            <w:tcW w:w="792" w:type="pct"/>
            <w:shd w:val="clear" w:color="auto" w:fill="auto"/>
            <w:noWrap/>
            <w:vAlign w:val="center"/>
          </w:tcPr>
          <w:p>
            <w:pPr>
              <w:pStyle w:val="59"/>
            </w:pPr>
            <w:r>
              <w:rPr>
                <w:rFonts w:hint="eastAsia"/>
              </w:rPr>
              <w:t>晋城街道办事处</w:t>
            </w:r>
          </w:p>
        </w:tc>
        <w:tc>
          <w:tcPr>
            <w:tcW w:w="4208" w:type="pct"/>
            <w:shd w:val="clear" w:color="auto" w:fill="auto"/>
            <w:vAlign w:val="center"/>
          </w:tcPr>
          <w:p>
            <w:pPr>
              <w:pStyle w:val="59"/>
            </w:pPr>
            <w:r>
              <w:rPr>
                <w:rFonts w:hint="eastAsia"/>
              </w:rPr>
              <w:t>安江村、安乐村、八家村、白沙村、北门村、草村、柴河村、大西村、东门村、福安村、富有村、关岭村、广济村、海宴村、化乐村、回龙村、火石坡村、梁王村、南门村、南山村、三合村、三槐村、沙堤村、十里村、石碑村、石龙村、宋家营村、孙家坝村、天城门村、团山村、文河村、五里村、西门村、小海村、小寨村、新街村、新庄村、盐井村、永和村、雨孜雾村、钟贵村、古城村、晋城街道办直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92" w:type="pct"/>
            <w:shd w:val="clear" w:color="auto" w:fill="auto"/>
            <w:noWrap/>
            <w:vAlign w:val="center"/>
          </w:tcPr>
          <w:p>
            <w:pPr>
              <w:pStyle w:val="59"/>
            </w:pPr>
            <w:r>
              <w:rPr>
                <w:rFonts w:hint="eastAsia"/>
              </w:rPr>
              <w:t>二街镇</w:t>
            </w:r>
          </w:p>
        </w:tc>
        <w:tc>
          <w:tcPr>
            <w:tcW w:w="4208" w:type="pct"/>
            <w:shd w:val="clear" w:color="auto" w:fill="auto"/>
            <w:vAlign w:val="center"/>
          </w:tcPr>
          <w:p>
            <w:pPr>
              <w:pStyle w:val="59"/>
            </w:pPr>
            <w:r>
              <w:rPr>
                <w:rFonts w:hint="eastAsia"/>
              </w:rPr>
              <w:t>甸头村、老高村、栗庙村、鲁黑村、三家村、锁溪渡村、响水村、肖家营村、朱家营村、二街镇直属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792" w:type="pct"/>
            <w:shd w:val="clear" w:color="auto" w:fill="auto"/>
            <w:noWrap/>
            <w:vAlign w:val="center"/>
          </w:tcPr>
          <w:p>
            <w:pPr>
              <w:pStyle w:val="59"/>
            </w:pPr>
            <w:r>
              <w:rPr>
                <w:rFonts w:hint="eastAsia"/>
              </w:rPr>
              <w:t>上蒜镇</w:t>
            </w:r>
          </w:p>
        </w:tc>
        <w:tc>
          <w:tcPr>
            <w:tcW w:w="4208" w:type="pct"/>
            <w:shd w:val="clear" w:color="auto" w:fill="auto"/>
            <w:vAlign w:val="center"/>
          </w:tcPr>
          <w:p>
            <w:pPr>
              <w:pStyle w:val="59"/>
            </w:pPr>
            <w:r>
              <w:rPr>
                <w:rFonts w:hint="eastAsia"/>
              </w:rPr>
              <w:t>宝兴村、段七村、河泊村、金砂村、科地村、柳坝村、鲁纳村、牛恋村、三多村、上蒜村、石寨村、洗澡塘村、下石美村、小朴村、竹园村、上蒜镇直属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92" w:type="pct"/>
            <w:shd w:val="clear" w:color="auto" w:fill="auto"/>
            <w:noWrap/>
            <w:vAlign w:val="center"/>
          </w:tcPr>
          <w:p>
            <w:pPr>
              <w:pStyle w:val="59"/>
            </w:pPr>
            <w:r>
              <w:rPr>
                <w:rFonts w:hint="eastAsia"/>
              </w:rPr>
              <w:t>六街镇</w:t>
            </w:r>
          </w:p>
        </w:tc>
        <w:tc>
          <w:tcPr>
            <w:tcW w:w="4208" w:type="pct"/>
            <w:shd w:val="clear" w:color="auto" w:fill="auto"/>
            <w:noWrap/>
            <w:vAlign w:val="center"/>
          </w:tcPr>
          <w:p>
            <w:pPr>
              <w:pStyle w:val="59"/>
            </w:pPr>
            <w:r>
              <w:rPr>
                <w:rFonts w:hint="eastAsia"/>
              </w:rPr>
              <w:t>大营村、大庄村、干海村、六街村、龙王塘村、青菜村、三印村、王家湾村、新寨村、六街镇直属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92" w:type="pct"/>
            <w:shd w:val="clear" w:color="auto" w:fill="auto"/>
            <w:noWrap/>
            <w:vAlign w:val="center"/>
          </w:tcPr>
          <w:p>
            <w:pPr>
              <w:pStyle w:val="59"/>
            </w:pPr>
            <w:r>
              <w:rPr>
                <w:rFonts w:hint="eastAsia"/>
              </w:rPr>
              <w:t>双河彝族乡</w:t>
            </w:r>
          </w:p>
        </w:tc>
        <w:tc>
          <w:tcPr>
            <w:tcW w:w="4208" w:type="pct"/>
            <w:shd w:val="clear" w:color="auto" w:fill="auto"/>
            <w:noWrap/>
            <w:vAlign w:val="center"/>
          </w:tcPr>
          <w:p>
            <w:pPr>
              <w:pStyle w:val="59"/>
            </w:pPr>
            <w:r>
              <w:rPr>
                <w:rFonts w:hint="eastAsia"/>
              </w:rPr>
              <w:t>干河村、核桃园村、荒川村、老江河村、双河村、田坝村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92" w:type="pct"/>
            <w:shd w:val="clear" w:color="auto" w:fill="auto"/>
            <w:noWrap/>
            <w:vAlign w:val="center"/>
          </w:tcPr>
          <w:p>
            <w:pPr>
              <w:pStyle w:val="59"/>
            </w:pPr>
            <w:r>
              <w:rPr>
                <w:rFonts w:hint="eastAsia"/>
              </w:rPr>
              <w:t>夕阳彝族乡</w:t>
            </w:r>
          </w:p>
        </w:tc>
        <w:tc>
          <w:tcPr>
            <w:tcW w:w="4208" w:type="pct"/>
            <w:shd w:val="clear" w:color="auto" w:fill="auto"/>
            <w:vAlign w:val="center"/>
          </w:tcPr>
          <w:p>
            <w:pPr>
              <w:pStyle w:val="59"/>
            </w:pPr>
            <w:r>
              <w:rPr>
                <w:rFonts w:hint="eastAsia"/>
              </w:rPr>
              <w:t>保安村、打黑村、高粱地村、绿溪村、木杵榔村、木鲊村、田房村、夕阳村、新山村、一字格村</w:t>
            </w:r>
          </w:p>
        </w:tc>
      </w:tr>
    </w:tbl>
    <w:p>
      <w:pPr>
        <w:spacing w:line="360" w:lineRule="auto"/>
        <w:rPr>
          <w:rFonts w:ascii="Times New Roman" w:hAnsi="宋体"/>
          <w:b/>
          <w:bCs/>
          <w:sz w:val="30"/>
          <w:szCs w:val="30"/>
        </w:rPr>
      </w:pPr>
    </w:p>
    <w:p>
      <w:pPr>
        <w:pStyle w:val="2"/>
      </w:pPr>
      <w:r>
        <w:br w:type="page"/>
      </w:r>
    </w:p>
    <w:p>
      <w:pPr>
        <w:spacing w:line="360" w:lineRule="auto"/>
        <w:outlineLvl w:val="0"/>
        <w:rPr>
          <w:rFonts w:hint="eastAsia" w:ascii="黑体" w:hAnsi="黑体" w:eastAsia="黑体" w:cs="黑体"/>
          <w:b/>
          <w:bCs/>
          <w:sz w:val="32"/>
          <w:szCs w:val="32"/>
        </w:rPr>
      </w:pPr>
      <w:r>
        <w:rPr>
          <w:rFonts w:hint="eastAsia" w:ascii="黑体" w:hAnsi="黑体" w:eastAsia="黑体" w:cs="黑体"/>
          <w:b/>
          <w:bCs/>
          <w:sz w:val="32"/>
          <w:szCs w:val="32"/>
        </w:rPr>
        <w:t>二、园地、林地、草地定级与基准地价制定成果</w:t>
      </w:r>
    </w:p>
    <w:p>
      <w:pPr>
        <w:pStyle w:val="237"/>
        <w:ind w:left="0" w:leftChars="0" w:firstLine="641" w:firstLineChars="200"/>
        <w:rPr>
          <w:rFonts w:hint="eastAsia" w:ascii="华文楷体" w:hAnsi="华文楷体" w:eastAsia="华文楷体" w:cs="华文楷体"/>
          <w:sz w:val="32"/>
          <w:szCs w:val="32"/>
        </w:rPr>
      </w:pPr>
      <w:r>
        <w:rPr>
          <w:rFonts w:hint="eastAsia" w:ascii="华文楷体" w:hAnsi="华文楷体" w:eastAsia="华文楷体" w:cs="华文楷体"/>
          <w:sz w:val="32"/>
          <w:szCs w:val="32"/>
        </w:rPr>
        <w:t>（一）园地定级与基准地价制定成果</w:t>
      </w:r>
    </w:p>
    <w:p>
      <w:pPr>
        <w:pStyle w:val="233"/>
        <w:ind w:firstLine="482" w:firstLineChars="200"/>
      </w:pPr>
      <w:r>
        <w:rPr>
          <w:rFonts w:hint="eastAsia"/>
        </w:rPr>
        <w:t>1、定级结果</w:t>
      </w:r>
    </w:p>
    <w:p>
      <w:pPr>
        <w:pStyle w:val="236"/>
        <w:rPr>
          <w:color w:val="auto"/>
          <w:sz w:val="24"/>
          <w:szCs w:val="24"/>
        </w:rPr>
      </w:pPr>
      <w:r>
        <w:rPr>
          <w:rFonts w:hint="eastAsia"/>
          <w:color w:val="auto"/>
          <w:sz w:val="24"/>
          <w:szCs w:val="24"/>
        </w:rPr>
        <w:t>表</w:t>
      </w:r>
      <w:r>
        <w:rPr>
          <w:color w:val="auto"/>
          <w:sz w:val="24"/>
          <w:szCs w:val="24"/>
        </w:rPr>
        <w:t xml:space="preserve">2 </w:t>
      </w:r>
      <w:r>
        <w:rPr>
          <w:rFonts w:hint="eastAsia"/>
          <w:color w:val="auto"/>
          <w:sz w:val="24"/>
          <w:szCs w:val="24"/>
        </w:rPr>
        <w:t>昆明市晋宁</w:t>
      </w:r>
      <w:r>
        <w:rPr>
          <w:color w:val="auto"/>
          <w:sz w:val="24"/>
          <w:szCs w:val="24"/>
        </w:rPr>
        <w:t>区</w:t>
      </w:r>
      <w:r>
        <w:rPr>
          <w:rFonts w:hint="eastAsia"/>
          <w:color w:val="auto"/>
          <w:sz w:val="24"/>
          <w:szCs w:val="24"/>
        </w:rPr>
        <w:t>园地各级别</w:t>
      </w:r>
      <w:r>
        <w:rPr>
          <w:color w:val="auto"/>
          <w:sz w:val="24"/>
          <w:szCs w:val="24"/>
        </w:rPr>
        <w:t>面积统计表</w:t>
      </w:r>
    </w:p>
    <w:p>
      <w:pPr>
        <w:pStyle w:val="242"/>
        <w:spacing w:before="120"/>
        <w:ind w:firstLine="210"/>
        <w:jc w:val="right"/>
        <w:rPr>
          <w:color w:val="auto"/>
        </w:rPr>
      </w:pPr>
      <w:r>
        <w:rPr>
          <w:rFonts w:hint="eastAsia"/>
          <w:color w:val="auto"/>
        </w:rPr>
        <w:t>单位</w:t>
      </w:r>
      <w:r>
        <w:rPr>
          <w:color w:val="auto"/>
        </w:rPr>
        <w:t>：</w:t>
      </w:r>
      <w:r>
        <w:rPr>
          <w:rFonts w:hint="eastAsia"/>
          <w:color w:val="auto"/>
        </w:rPr>
        <w:t>公顷</w:t>
      </w:r>
    </w:p>
    <w:tbl>
      <w:tblPr>
        <w:tblStyle w:val="36"/>
        <w:tblW w:w="5000" w:type="pct"/>
        <w:tblInd w:w="0" w:type="dxa"/>
        <w:tblLayout w:type="autofit"/>
        <w:tblCellMar>
          <w:top w:w="0" w:type="dxa"/>
          <w:left w:w="108" w:type="dxa"/>
          <w:bottom w:w="0" w:type="dxa"/>
          <w:right w:w="108" w:type="dxa"/>
        </w:tblCellMar>
      </w:tblPr>
      <w:tblGrid>
        <w:gridCol w:w="2486"/>
        <w:gridCol w:w="2798"/>
        <w:gridCol w:w="1908"/>
        <w:gridCol w:w="2489"/>
        <w:gridCol w:w="2798"/>
        <w:gridCol w:w="1695"/>
      </w:tblGrid>
      <w:tr>
        <w:tblPrEx>
          <w:tblCellMar>
            <w:top w:w="0" w:type="dxa"/>
            <w:left w:w="108" w:type="dxa"/>
            <w:bottom w:w="0" w:type="dxa"/>
            <w:right w:w="108" w:type="dxa"/>
          </w:tblCellMar>
        </w:tblPrEx>
        <w:trPr>
          <w:trHeight w:val="300" w:hRule="atLeast"/>
        </w:trPr>
        <w:tc>
          <w:tcPr>
            <w:tcW w:w="2537" w:type="pct"/>
            <w:gridSpan w:val="3"/>
            <w:tcBorders>
              <w:top w:val="single" w:color="auto" w:sz="8" w:space="0"/>
              <w:left w:val="single" w:color="auto" w:sz="8" w:space="0"/>
              <w:bottom w:val="single" w:color="auto" w:sz="8" w:space="0"/>
              <w:right w:val="single" w:color="000000"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二级地类</w:t>
            </w:r>
          </w:p>
        </w:tc>
        <w:tc>
          <w:tcPr>
            <w:tcW w:w="878" w:type="pct"/>
            <w:tcBorders>
              <w:top w:val="single" w:color="auto" w:sz="8" w:space="0"/>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园地级别</w:t>
            </w:r>
          </w:p>
        </w:tc>
        <w:tc>
          <w:tcPr>
            <w:tcW w:w="987" w:type="pct"/>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面积</w:t>
            </w:r>
          </w:p>
        </w:tc>
        <w:tc>
          <w:tcPr>
            <w:tcW w:w="598" w:type="pct"/>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占比</w:t>
            </w:r>
          </w:p>
        </w:tc>
      </w:tr>
      <w:tr>
        <w:tblPrEx>
          <w:tblCellMar>
            <w:top w:w="0" w:type="dxa"/>
            <w:left w:w="108" w:type="dxa"/>
            <w:bottom w:w="0" w:type="dxa"/>
            <w:right w:w="108" w:type="dxa"/>
          </w:tblCellMar>
        </w:tblPrEx>
        <w:trPr>
          <w:trHeight w:val="300" w:hRule="atLeast"/>
        </w:trPr>
        <w:tc>
          <w:tcPr>
            <w:tcW w:w="877" w:type="pct"/>
            <w:tcBorders>
              <w:top w:val="nil"/>
              <w:left w:val="single" w:color="auto" w:sz="8" w:space="0"/>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地类名称</w:t>
            </w:r>
          </w:p>
        </w:tc>
        <w:tc>
          <w:tcPr>
            <w:tcW w:w="987"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面积</w:t>
            </w:r>
          </w:p>
        </w:tc>
        <w:tc>
          <w:tcPr>
            <w:tcW w:w="673"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比例</w:t>
            </w:r>
          </w:p>
        </w:tc>
        <w:tc>
          <w:tcPr>
            <w:tcW w:w="87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（均质区）</w:t>
            </w:r>
          </w:p>
        </w:tc>
        <w:tc>
          <w:tcPr>
            <w:tcW w:w="987" w:type="pct"/>
            <w:vMerge w:val="continue"/>
            <w:tcBorders>
              <w:top w:val="single" w:color="auto" w:sz="8" w:space="0"/>
              <w:left w:val="single" w:color="auto" w:sz="8" w:space="0"/>
              <w:bottom w:val="single" w:color="000000" w:sz="8" w:space="0"/>
              <w:right w:val="single" w:color="auto" w:sz="8" w:space="0"/>
            </w:tcBorders>
            <w:vAlign w:val="center"/>
          </w:tcPr>
          <w:p>
            <w:pPr>
              <w:pStyle w:val="59"/>
              <w:spacing w:line="400" w:lineRule="exact"/>
              <w:rPr>
                <w:rFonts w:ascii="Times New Roman" w:hAnsi="Times New Roman" w:cs="Times New Roman"/>
                <w:sz w:val="21"/>
                <w:szCs w:val="21"/>
              </w:rPr>
            </w:pPr>
          </w:p>
        </w:tc>
        <w:tc>
          <w:tcPr>
            <w:tcW w:w="598" w:type="pct"/>
            <w:vMerge w:val="continue"/>
            <w:tcBorders>
              <w:top w:val="single" w:color="auto" w:sz="8" w:space="0"/>
              <w:left w:val="single" w:color="auto" w:sz="8" w:space="0"/>
              <w:bottom w:val="single" w:color="000000" w:sz="8" w:space="0"/>
              <w:right w:val="single" w:color="auto" w:sz="8" w:space="0"/>
            </w:tcBorders>
            <w:vAlign w:val="center"/>
          </w:tcPr>
          <w:p>
            <w:pPr>
              <w:pStyle w:val="59"/>
              <w:spacing w:line="400" w:lineRule="exact"/>
              <w:rPr>
                <w:rFonts w:ascii="Times New Roman" w:hAnsi="Times New Roman" w:cs="Times New Roman"/>
                <w:sz w:val="21"/>
                <w:szCs w:val="21"/>
              </w:rPr>
            </w:pPr>
          </w:p>
        </w:tc>
      </w:tr>
      <w:tr>
        <w:tblPrEx>
          <w:tblCellMar>
            <w:top w:w="0" w:type="dxa"/>
            <w:left w:w="108" w:type="dxa"/>
            <w:bottom w:w="0" w:type="dxa"/>
            <w:right w:w="108" w:type="dxa"/>
          </w:tblCellMar>
        </w:tblPrEx>
        <w:trPr>
          <w:trHeight w:val="300" w:hRule="atLeast"/>
        </w:trPr>
        <w:tc>
          <w:tcPr>
            <w:tcW w:w="877" w:type="pct"/>
            <w:vMerge w:val="restart"/>
            <w:tcBorders>
              <w:top w:val="nil"/>
              <w:left w:val="single" w:color="auto" w:sz="8" w:space="0"/>
              <w:bottom w:val="single" w:color="000000"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果园</w:t>
            </w:r>
          </w:p>
        </w:tc>
        <w:tc>
          <w:tcPr>
            <w:tcW w:w="987" w:type="pct"/>
            <w:vMerge w:val="restart"/>
            <w:tcBorders>
              <w:top w:val="nil"/>
              <w:left w:val="single" w:color="auto" w:sz="8" w:space="0"/>
              <w:bottom w:val="single" w:color="000000" w:sz="8" w:space="0"/>
              <w:right w:val="single" w:color="auto" w:sz="8" w:space="0"/>
            </w:tcBorders>
            <w:shd w:val="clear" w:color="auto" w:fill="auto"/>
            <w:noWrap/>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 xml:space="preserve">2074.326140 </w:t>
            </w:r>
          </w:p>
        </w:tc>
        <w:tc>
          <w:tcPr>
            <w:tcW w:w="673" w:type="pct"/>
            <w:vMerge w:val="restart"/>
            <w:tcBorders>
              <w:top w:val="nil"/>
              <w:left w:val="single" w:color="auto" w:sz="8" w:space="0"/>
              <w:bottom w:val="single" w:color="000000"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33.00%</w:t>
            </w:r>
          </w:p>
        </w:tc>
        <w:tc>
          <w:tcPr>
            <w:tcW w:w="87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1</w:t>
            </w:r>
            <w:r>
              <w:rPr>
                <w:rFonts w:hint="eastAsia" w:ascii="Times New Roman" w:hAnsi="Times New Roman" w:cs="Times New Roman"/>
                <w:sz w:val="21"/>
                <w:szCs w:val="21"/>
              </w:rPr>
              <w:t>级</w:t>
            </w:r>
          </w:p>
        </w:tc>
        <w:tc>
          <w:tcPr>
            <w:tcW w:w="987" w:type="pct"/>
            <w:tcBorders>
              <w:top w:val="nil"/>
              <w:left w:val="nil"/>
              <w:bottom w:val="single" w:color="auto" w:sz="8" w:space="0"/>
              <w:right w:val="single" w:color="auto" w:sz="8" w:space="0"/>
            </w:tcBorders>
            <w:shd w:val="clear" w:color="auto" w:fill="auto"/>
            <w:noWrap/>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1062.791432</w:t>
            </w:r>
          </w:p>
        </w:tc>
        <w:tc>
          <w:tcPr>
            <w:tcW w:w="59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51.24%</w:t>
            </w:r>
          </w:p>
        </w:tc>
      </w:tr>
      <w:tr>
        <w:tblPrEx>
          <w:tblCellMar>
            <w:top w:w="0" w:type="dxa"/>
            <w:left w:w="108" w:type="dxa"/>
            <w:bottom w:w="0" w:type="dxa"/>
            <w:right w:w="108" w:type="dxa"/>
          </w:tblCellMar>
        </w:tblPrEx>
        <w:trPr>
          <w:trHeight w:val="300" w:hRule="atLeast"/>
        </w:trPr>
        <w:tc>
          <w:tcPr>
            <w:tcW w:w="877" w:type="pct"/>
            <w:vMerge w:val="continue"/>
            <w:tcBorders>
              <w:top w:val="nil"/>
              <w:left w:val="single" w:color="auto" w:sz="8" w:space="0"/>
              <w:bottom w:val="single" w:color="000000" w:sz="8" w:space="0"/>
              <w:right w:val="single" w:color="auto" w:sz="8" w:space="0"/>
            </w:tcBorders>
            <w:vAlign w:val="center"/>
          </w:tcPr>
          <w:p>
            <w:pPr>
              <w:pStyle w:val="59"/>
              <w:spacing w:line="400" w:lineRule="exact"/>
              <w:rPr>
                <w:rFonts w:ascii="Times New Roman" w:hAnsi="Times New Roman" w:cs="Times New Roman"/>
                <w:sz w:val="21"/>
                <w:szCs w:val="21"/>
              </w:rPr>
            </w:pPr>
          </w:p>
        </w:tc>
        <w:tc>
          <w:tcPr>
            <w:tcW w:w="987" w:type="pct"/>
            <w:vMerge w:val="continue"/>
            <w:tcBorders>
              <w:top w:val="nil"/>
              <w:left w:val="single" w:color="auto" w:sz="8" w:space="0"/>
              <w:bottom w:val="single" w:color="000000" w:sz="8" w:space="0"/>
              <w:right w:val="single" w:color="auto" w:sz="8" w:space="0"/>
            </w:tcBorders>
            <w:vAlign w:val="center"/>
          </w:tcPr>
          <w:p>
            <w:pPr>
              <w:pStyle w:val="59"/>
              <w:spacing w:line="400" w:lineRule="exact"/>
              <w:rPr>
                <w:rFonts w:ascii="Times New Roman" w:hAnsi="Times New Roman" w:cs="Times New Roman"/>
                <w:sz w:val="21"/>
                <w:szCs w:val="21"/>
              </w:rPr>
            </w:pPr>
          </w:p>
        </w:tc>
        <w:tc>
          <w:tcPr>
            <w:tcW w:w="673" w:type="pct"/>
            <w:vMerge w:val="continue"/>
            <w:tcBorders>
              <w:top w:val="nil"/>
              <w:left w:val="single" w:color="auto" w:sz="8" w:space="0"/>
              <w:bottom w:val="single" w:color="000000" w:sz="8" w:space="0"/>
              <w:right w:val="single" w:color="auto" w:sz="8" w:space="0"/>
            </w:tcBorders>
            <w:vAlign w:val="center"/>
          </w:tcPr>
          <w:p>
            <w:pPr>
              <w:pStyle w:val="59"/>
              <w:spacing w:line="400" w:lineRule="exact"/>
              <w:rPr>
                <w:rFonts w:ascii="Times New Roman" w:hAnsi="Times New Roman" w:cs="Times New Roman"/>
                <w:sz w:val="21"/>
                <w:szCs w:val="21"/>
              </w:rPr>
            </w:pPr>
          </w:p>
        </w:tc>
        <w:tc>
          <w:tcPr>
            <w:tcW w:w="87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2</w:t>
            </w:r>
            <w:r>
              <w:rPr>
                <w:rFonts w:hint="eastAsia" w:ascii="Times New Roman" w:hAnsi="Times New Roman" w:cs="Times New Roman"/>
                <w:sz w:val="21"/>
                <w:szCs w:val="21"/>
              </w:rPr>
              <w:t>级</w:t>
            </w:r>
          </w:p>
        </w:tc>
        <w:tc>
          <w:tcPr>
            <w:tcW w:w="987" w:type="pct"/>
            <w:tcBorders>
              <w:top w:val="nil"/>
              <w:left w:val="nil"/>
              <w:bottom w:val="single" w:color="auto" w:sz="8" w:space="0"/>
              <w:right w:val="single" w:color="auto" w:sz="8" w:space="0"/>
            </w:tcBorders>
            <w:shd w:val="clear" w:color="auto" w:fill="auto"/>
            <w:noWrap/>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1011.534708</w:t>
            </w:r>
          </w:p>
        </w:tc>
        <w:tc>
          <w:tcPr>
            <w:tcW w:w="59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48.76%</w:t>
            </w:r>
          </w:p>
        </w:tc>
      </w:tr>
      <w:tr>
        <w:tblPrEx>
          <w:tblCellMar>
            <w:top w:w="0" w:type="dxa"/>
            <w:left w:w="108" w:type="dxa"/>
            <w:bottom w:w="0" w:type="dxa"/>
            <w:right w:w="108" w:type="dxa"/>
          </w:tblCellMar>
        </w:tblPrEx>
        <w:trPr>
          <w:trHeight w:val="300" w:hRule="atLeast"/>
        </w:trPr>
        <w:tc>
          <w:tcPr>
            <w:tcW w:w="877" w:type="pct"/>
            <w:vMerge w:val="restart"/>
            <w:tcBorders>
              <w:top w:val="nil"/>
              <w:left w:val="single" w:color="auto" w:sz="8" w:space="0"/>
              <w:bottom w:val="single" w:color="000000"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其他园地</w:t>
            </w:r>
          </w:p>
        </w:tc>
        <w:tc>
          <w:tcPr>
            <w:tcW w:w="987" w:type="pct"/>
            <w:vMerge w:val="restart"/>
            <w:tcBorders>
              <w:top w:val="nil"/>
              <w:left w:val="single" w:color="auto" w:sz="8" w:space="0"/>
              <w:bottom w:val="single" w:color="000000" w:sz="8" w:space="0"/>
              <w:right w:val="single" w:color="auto" w:sz="8" w:space="0"/>
            </w:tcBorders>
            <w:shd w:val="clear" w:color="auto" w:fill="auto"/>
            <w:noWrap/>
            <w:vAlign w:val="center"/>
          </w:tcPr>
          <w:p>
            <w:pPr>
              <w:jc w:val="center"/>
              <w:rPr>
                <w:rFonts w:ascii="Times New Roman" w:hAnsi="Times New Roman" w:cs="Times New Roman"/>
                <w:kern w:val="0"/>
                <w:szCs w:val="21"/>
              </w:rPr>
            </w:pPr>
            <w:r>
              <w:rPr>
                <w:rFonts w:ascii="Times New Roman" w:hAnsi="Times New Roman" w:cs="Times New Roman"/>
                <w:kern w:val="0"/>
                <w:szCs w:val="21"/>
              </w:rPr>
              <w:t xml:space="preserve">4211.868955 </w:t>
            </w:r>
          </w:p>
        </w:tc>
        <w:tc>
          <w:tcPr>
            <w:tcW w:w="673" w:type="pct"/>
            <w:vMerge w:val="restart"/>
            <w:tcBorders>
              <w:top w:val="nil"/>
              <w:left w:val="single" w:color="auto" w:sz="8" w:space="0"/>
              <w:bottom w:val="single" w:color="000000"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67.00%</w:t>
            </w:r>
          </w:p>
        </w:tc>
        <w:tc>
          <w:tcPr>
            <w:tcW w:w="87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1</w:t>
            </w:r>
            <w:r>
              <w:rPr>
                <w:rFonts w:hint="eastAsia" w:ascii="Times New Roman" w:hAnsi="Times New Roman" w:cs="Times New Roman"/>
                <w:sz w:val="21"/>
                <w:szCs w:val="21"/>
              </w:rPr>
              <w:t>级</w:t>
            </w:r>
          </w:p>
        </w:tc>
        <w:tc>
          <w:tcPr>
            <w:tcW w:w="987" w:type="pct"/>
            <w:tcBorders>
              <w:top w:val="nil"/>
              <w:left w:val="nil"/>
              <w:bottom w:val="single" w:color="auto" w:sz="8" w:space="0"/>
              <w:right w:val="single" w:color="auto" w:sz="8" w:space="0"/>
            </w:tcBorders>
            <w:shd w:val="clear" w:color="auto" w:fill="auto"/>
            <w:noWrap/>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3162.343189</w:t>
            </w:r>
          </w:p>
        </w:tc>
        <w:tc>
          <w:tcPr>
            <w:tcW w:w="59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75.08%</w:t>
            </w:r>
          </w:p>
        </w:tc>
      </w:tr>
      <w:tr>
        <w:tblPrEx>
          <w:tblCellMar>
            <w:top w:w="0" w:type="dxa"/>
            <w:left w:w="108" w:type="dxa"/>
            <w:bottom w:w="0" w:type="dxa"/>
            <w:right w:w="108" w:type="dxa"/>
          </w:tblCellMar>
        </w:tblPrEx>
        <w:trPr>
          <w:trHeight w:val="300" w:hRule="atLeast"/>
        </w:trPr>
        <w:tc>
          <w:tcPr>
            <w:tcW w:w="877" w:type="pct"/>
            <w:vMerge w:val="continue"/>
            <w:tcBorders>
              <w:top w:val="nil"/>
              <w:left w:val="single" w:color="auto" w:sz="8" w:space="0"/>
              <w:bottom w:val="single" w:color="000000" w:sz="8" w:space="0"/>
              <w:right w:val="single" w:color="auto" w:sz="8" w:space="0"/>
            </w:tcBorders>
            <w:vAlign w:val="center"/>
          </w:tcPr>
          <w:p>
            <w:pPr>
              <w:pStyle w:val="59"/>
              <w:spacing w:line="400" w:lineRule="exact"/>
              <w:rPr>
                <w:rFonts w:ascii="Times New Roman" w:hAnsi="Times New Roman" w:cs="Times New Roman"/>
                <w:sz w:val="21"/>
                <w:szCs w:val="21"/>
              </w:rPr>
            </w:pPr>
          </w:p>
        </w:tc>
        <w:tc>
          <w:tcPr>
            <w:tcW w:w="987" w:type="pct"/>
            <w:vMerge w:val="continue"/>
            <w:tcBorders>
              <w:top w:val="nil"/>
              <w:left w:val="single" w:color="auto" w:sz="8" w:space="0"/>
              <w:bottom w:val="single" w:color="000000" w:sz="8" w:space="0"/>
              <w:right w:val="single" w:color="auto" w:sz="8" w:space="0"/>
            </w:tcBorders>
            <w:vAlign w:val="center"/>
          </w:tcPr>
          <w:p>
            <w:pPr>
              <w:pStyle w:val="59"/>
              <w:spacing w:line="400" w:lineRule="exact"/>
              <w:rPr>
                <w:rFonts w:ascii="Times New Roman" w:hAnsi="Times New Roman" w:cs="Times New Roman"/>
                <w:sz w:val="21"/>
                <w:szCs w:val="21"/>
              </w:rPr>
            </w:pPr>
          </w:p>
        </w:tc>
        <w:tc>
          <w:tcPr>
            <w:tcW w:w="673" w:type="pct"/>
            <w:vMerge w:val="continue"/>
            <w:tcBorders>
              <w:top w:val="nil"/>
              <w:left w:val="single" w:color="auto" w:sz="8" w:space="0"/>
              <w:bottom w:val="single" w:color="000000" w:sz="8" w:space="0"/>
              <w:right w:val="single" w:color="auto" w:sz="8" w:space="0"/>
            </w:tcBorders>
            <w:vAlign w:val="center"/>
          </w:tcPr>
          <w:p>
            <w:pPr>
              <w:pStyle w:val="59"/>
              <w:spacing w:line="400" w:lineRule="exact"/>
              <w:rPr>
                <w:rFonts w:ascii="Times New Roman" w:hAnsi="Times New Roman" w:cs="Times New Roman"/>
                <w:sz w:val="21"/>
                <w:szCs w:val="21"/>
              </w:rPr>
            </w:pPr>
          </w:p>
        </w:tc>
        <w:tc>
          <w:tcPr>
            <w:tcW w:w="87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2</w:t>
            </w:r>
            <w:r>
              <w:rPr>
                <w:rFonts w:hint="eastAsia" w:ascii="Times New Roman" w:hAnsi="Times New Roman" w:cs="Times New Roman"/>
                <w:sz w:val="21"/>
                <w:szCs w:val="21"/>
              </w:rPr>
              <w:t>级</w:t>
            </w:r>
          </w:p>
        </w:tc>
        <w:tc>
          <w:tcPr>
            <w:tcW w:w="987" w:type="pct"/>
            <w:tcBorders>
              <w:top w:val="nil"/>
              <w:left w:val="nil"/>
              <w:bottom w:val="single" w:color="auto" w:sz="8" w:space="0"/>
              <w:right w:val="single" w:color="auto" w:sz="8" w:space="0"/>
            </w:tcBorders>
            <w:shd w:val="clear" w:color="auto" w:fill="auto"/>
            <w:noWrap/>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1049.525766</w:t>
            </w:r>
          </w:p>
        </w:tc>
        <w:tc>
          <w:tcPr>
            <w:tcW w:w="59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24.92%</w:t>
            </w:r>
          </w:p>
        </w:tc>
      </w:tr>
      <w:tr>
        <w:tblPrEx>
          <w:tblCellMar>
            <w:top w:w="0" w:type="dxa"/>
            <w:left w:w="108" w:type="dxa"/>
            <w:bottom w:w="0" w:type="dxa"/>
            <w:right w:w="108" w:type="dxa"/>
          </w:tblCellMar>
        </w:tblPrEx>
        <w:trPr>
          <w:trHeight w:val="300" w:hRule="atLeast"/>
        </w:trPr>
        <w:tc>
          <w:tcPr>
            <w:tcW w:w="877" w:type="pct"/>
            <w:tcBorders>
              <w:top w:val="nil"/>
              <w:left w:val="single" w:color="auto" w:sz="8" w:space="0"/>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合计</w:t>
            </w:r>
          </w:p>
        </w:tc>
        <w:tc>
          <w:tcPr>
            <w:tcW w:w="987" w:type="pct"/>
            <w:tcBorders>
              <w:top w:val="nil"/>
              <w:left w:val="nil"/>
              <w:bottom w:val="single" w:color="auto" w:sz="8" w:space="0"/>
              <w:right w:val="single" w:color="auto" w:sz="8" w:space="0"/>
            </w:tcBorders>
            <w:shd w:val="clear" w:color="auto" w:fill="auto"/>
            <w:noWrap/>
            <w:vAlign w:val="center"/>
          </w:tcPr>
          <w:p>
            <w:pPr>
              <w:jc w:val="center"/>
              <w:rPr>
                <w:rFonts w:ascii="Times New Roman" w:hAnsi="Times New Roman" w:cs="Times New Roman"/>
                <w:kern w:val="0"/>
                <w:szCs w:val="21"/>
              </w:rPr>
            </w:pPr>
            <w:r>
              <w:rPr>
                <w:rFonts w:ascii="Times New Roman" w:hAnsi="Times New Roman" w:cs="Times New Roman"/>
                <w:kern w:val="0"/>
                <w:szCs w:val="21"/>
              </w:rPr>
              <w:t xml:space="preserve">6286.195095 </w:t>
            </w:r>
          </w:p>
        </w:tc>
        <w:tc>
          <w:tcPr>
            <w:tcW w:w="673"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100.00%</w:t>
            </w:r>
          </w:p>
        </w:tc>
        <w:tc>
          <w:tcPr>
            <w:tcW w:w="87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w:t>
            </w:r>
          </w:p>
        </w:tc>
        <w:tc>
          <w:tcPr>
            <w:tcW w:w="987" w:type="pct"/>
            <w:tcBorders>
              <w:top w:val="nil"/>
              <w:left w:val="nil"/>
              <w:bottom w:val="single" w:color="auto" w:sz="8" w:space="0"/>
              <w:right w:val="single" w:color="auto" w:sz="8" w:space="0"/>
            </w:tcBorders>
            <w:shd w:val="clear" w:color="auto" w:fill="auto"/>
            <w:noWrap/>
            <w:vAlign w:val="center"/>
          </w:tcPr>
          <w:p>
            <w:pPr>
              <w:widowControl/>
              <w:jc w:val="center"/>
              <w:rPr>
                <w:rFonts w:ascii="Times New Roman" w:hAnsi="Times New Roman" w:cs="Times New Roman"/>
                <w:kern w:val="0"/>
                <w:szCs w:val="21"/>
              </w:rPr>
            </w:pPr>
            <w:r>
              <w:rPr>
                <w:rFonts w:ascii="Times New Roman" w:hAnsi="Times New Roman" w:cs="Times New Roman"/>
                <w:kern w:val="0"/>
                <w:szCs w:val="21"/>
              </w:rPr>
              <w:t xml:space="preserve">6286.195095 </w:t>
            </w:r>
          </w:p>
        </w:tc>
        <w:tc>
          <w:tcPr>
            <w:tcW w:w="598" w:type="pct"/>
            <w:tcBorders>
              <w:top w:val="nil"/>
              <w:left w:val="nil"/>
              <w:bottom w:val="single" w:color="auto" w:sz="8" w:space="0"/>
              <w:right w:val="single" w:color="auto" w:sz="8" w:space="0"/>
            </w:tcBorders>
            <w:shd w:val="clear" w:color="auto" w:fill="auto"/>
            <w:noWrap/>
            <w:vAlign w:val="center"/>
          </w:tcPr>
          <w:p>
            <w:pPr>
              <w:pStyle w:val="59"/>
              <w:spacing w:line="400" w:lineRule="exact"/>
              <w:rPr>
                <w:rFonts w:ascii="Times New Roman" w:hAnsi="Times New Roman" w:cs="Times New Roman"/>
                <w:sz w:val="21"/>
                <w:szCs w:val="21"/>
              </w:rPr>
            </w:pPr>
            <w:r>
              <w:rPr>
                <w:rFonts w:ascii="Times New Roman" w:hAnsi="Times New Roman" w:cs="Times New Roman"/>
                <w:sz w:val="21"/>
                <w:szCs w:val="21"/>
              </w:rPr>
              <w:t>-</w:t>
            </w:r>
          </w:p>
        </w:tc>
      </w:tr>
    </w:tbl>
    <w:p>
      <w:pPr>
        <w:widowControl/>
        <w:jc w:val="center"/>
        <w:rPr>
          <w:rFonts w:ascii="Times New Roman" w:hAnsi="Times New Roman"/>
          <w:b/>
          <w:spacing w:val="5"/>
          <w:kern w:val="0"/>
          <w:position w:val="-6"/>
          <w:szCs w:val="21"/>
        </w:rPr>
      </w:pPr>
      <w:bookmarkStart w:id="1" w:name="_Toc53394926"/>
    </w:p>
    <w:p>
      <w:pPr>
        <w:pStyle w:val="233"/>
        <w:ind w:firstLine="480"/>
      </w:pPr>
      <w:r>
        <w:rPr>
          <w:rFonts w:hint="eastAsia"/>
        </w:rPr>
        <w:t>2、基准地价内涵</w:t>
      </w:r>
    </w:p>
    <w:p>
      <w:pPr>
        <w:spacing w:line="360" w:lineRule="auto"/>
        <w:ind w:firstLine="480" w:firstLineChars="200"/>
        <w:rPr>
          <w:sz w:val="24"/>
          <w:szCs w:val="24"/>
        </w:rPr>
      </w:pPr>
      <w:r>
        <w:rPr>
          <w:rFonts w:hint="eastAsia"/>
          <w:sz w:val="24"/>
          <w:szCs w:val="24"/>
        </w:rPr>
        <w:t>估价期日为</w:t>
      </w:r>
      <w:r>
        <w:rPr>
          <w:rFonts w:hint="eastAsia" w:ascii="Times New Roman" w:hAnsi="Times New Roman" w:cs="Times New Roman"/>
          <w:kern w:val="0"/>
          <w:sz w:val="24"/>
          <w:szCs w:val="24"/>
        </w:rPr>
        <w:t>2023</w:t>
      </w:r>
      <w:r>
        <w:rPr>
          <w:rFonts w:hint="eastAsia"/>
          <w:sz w:val="24"/>
          <w:szCs w:val="24"/>
        </w:rPr>
        <w:t>年</w:t>
      </w:r>
      <w:r>
        <w:rPr>
          <w:rFonts w:hint="eastAsia" w:ascii="Times New Roman" w:hAnsi="Times New Roman" w:cs="Times New Roman"/>
          <w:kern w:val="0"/>
          <w:sz w:val="24"/>
          <w:szCs w:val="24"/>
        </w:rPr>
        <w:t>1月1日，</w:t>
      </w:r>
      <w:r>
        <w:rPr>
          <w:rFonts w:hint="eastAsia"/>
          <w:sz w:val="24"/>
          <w:szCs w:val="24"/>
        </w:rPr>
        <w:t>在平稳正常情况、公开市场条件下，设定宗地外道路通达且有水源保障、宗地内土地平整、有基本的排水与灌溉设施，按照果园、其他园地分别评估各级别年期</w:t>
      </w:r>
      <w:r>
        <w:rPr>
          <w:rFonts w:hint="eastAsia" w:ascii="Times New Roman" w:hAnsi="Times New Roman" w:cs="Times New Roman"/>
          <w:kern w:val="0"/>
          <w:sz w:val="24"/>
          <w:szCs w:val="24"/>
        </w:rPr>
        <w:t>为3</w:t>
      </w:r>
      <w:r>
        <w:rPr>
          <w:rFonts w:ascii="Times New Roman" w:hAnsi="Times New Roman" w:cs="Times New Roman"/>
          <w:kern w:val="0"/>
          <w:sz w:val="24"/>
          <w:szCs w:val="24"/>
        </w:rPr>
        <w:t>0</w:t>
      </w:r>
      <w:r>
        <w:rPr>
          <w:rFonts w:hint="eastAsia" w:ascii="Times New Roman" w:hAnsi="Times New Roman" w:cs="Times New Roman"/>
          <w:kern w:val="0"/>
          <w:sz w:val="24"/>
          <w:szCs w:val="24"/>
        </w:rPr>
        <w:t>年</w:t>
      </w:r>
      <w:r>
        <w:rPr>
          <w:rFonts w:hint="eastAsia"/>
          <w:sz w:val="24"/>
          <w:szCs w:val="24"/>
        </w:rPr>
        <w:t>的承包经营权价格，园地不包含地上附着作物价值。</w:t>
      </w:r>
    </w:p>
    <w:p>
      <w:pPr>
        <w:pStyle w:val="236"/>
        <w:rPr>
          <w:rFonts w:hint="eastAsia"/>
          <w:color w:val="auto"/>
          <w:sz w:val="24"/>
          <w:szCs w:val="24"/>
        </w:rPr>
      </w:pPr>
    </w:p>
    <w:p>
      <w:pPr>
        <w:pStyle w:val="236"/>
        <w:rPr>
          <w:color w:val="auto"/>
          <w:sz w:val="24"/>
          <w:szCs w:val="24"/>
        </w:rPr>
      </w:pPr>
      <w:r>
        <w:rPr>
          <w:rFonts w:hint="eastAsia"/>
          <w:color w:val="auto"/>
          <w:sz w:val="24"/>
          <w:szCs w:val="24"/>
        </w:rPr>
        <w:t>表</w:t>
      </w:r>
      <w:r>
        <w:rPr>
          <w:color w:val="auto"/>
          <w:sz w:val="24"/>
          <w:szCs w:val="24"/>
        </w:rPr>
        <w:t>3</w:t>
      </w:r>
      <w:r>
        <w:rPr>
          <w:rFonts w:hint="eastAsia"/>
          <w:color w:val="auto"/>
          <w:sz w:val="24"/>
          <w:szCs w:val="24"/>
        </w:rPr>
        <w:t xml:space="preserve"> 昆明</w:t>
      </w:r>
      <w:r>
        <w:rPr>
          <w:color w:val="auto"/>
          <w:sz w:val="24"/>
          <w:szCs w:val="24"/>
        </w:rPr>
        <w:t>市晋宁区</w:t>
      </w:r>
      <w:r>
        <w:rPr>
          <w:rFonts w:hint="eastAsia"/>
          <w:color w:val="auto"/>
          <w:sz w:val="24"/>
          <w:szCs w:val="24"/>
        </w:rPr>
        <w:t>202</w:t>
      </w:r>
      <w:r>
        <w:rPr>
          <w:color w:val="auto"/>
          <w:sz w:val="24"/>
          <w:szCs w:val="24"/>
        </w:rPr>
        <w:t>3</w:t>
      </w:r>
      <w:r>
        <w:rPr>
          <w:rFonts w:hint="eastAsia"/>
          <w:color w:val="auto"/>
          <w:sz w:val="24"/>
          <w:szCs w:val="24"/>
        </w:rPr>
        <w:t>年园</w:t>
      </w:r>
      <w:r>
        <w:rPr>
          <w:color w:val="auto"/>
          <w:sz w:val="24"/>
          <w:szCs w:val="24"/>
        </w:rPr>
        <w:t>地基准地价内涵表</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3067"/>
        <w:gridCol w:w="11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25" w:hRule="exact"/>
          <w:jc w:val="center"/>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地类</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园地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25" w:hRule="exact"/>
          <w:jc w:val="center"/>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估价期日</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2023年1月1日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25" w:hRule="exact"/>
          <w:jc w:val="center"/>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市场特征</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公开市场价值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25" w:hRule="exact"/>
          <w:jc w:val="center"/>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权利类型</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承包经营权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25" w:hRule="exact"/>
          <w:jc w:val="center"/>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权利年期</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30年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25" w:hRule="exact"/>
          <w:jc w:val="center"/>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利用类型</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果园</w:t>
            </w:r>
            <w:r>
              <w:rPr>
                <w:rFonts w:hint="eastAsia" w:ascii="Times New Roman" w:hAnsi="Times New Roman" w:cs="Times New Roman"/>
                <w:sz w:val="21"/>
                <w:szCs w:val="21"/>
              </w:rPr>
              <w:t>、</w:t>
            </w:r>
            <w:r>
              <w:rPr>
                <w:rFonts w:ascii="Times New Roman" w:hAnsi="Times New Roman" w:cs="Times New Roman"/>
                <w:sz w:val="21"/>
                <w:szCs w:val="21"/>
              </w:rPr>
              <w:t>其他园地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832" w:hRule="exact"/>
          <w:jc w:val="center"/>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基础设施状况</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设定宗地外道路通达且有水源保障、宗地内土地平整，有基本的排水与灌溉设施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61" w:hRule="exact"/>
          <w:jc w:val="center"/>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其他说明</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不含地上附着物价值</w:t>
            </w:r>
          </w:p>
        </w:tc>
      </w:tr>
    </w:tbl>
    <w:p>
      <w:pPr>
        <w:pStyle w:val="2"/>
      </w:pPr>
    </w:p>
    <w:bookmarkEnd w:id="1"/>
    <w:p>
      <w:pPr>
        <w:widowControl/>
        <w:jc w:val="left"/>
        <w:rPr>
          <w:rFonts w:ascii="Times New Roman" w:hAnsi="Times New Roman" w:eastAsia="宋体" w:cs="Times New Roman"/>
          <w:b/>
          <w:sz w:val="24"/>
          <w:szCs w:val="24"/>
        </w:rPr>
      </w:pPr>
      <w:r>
        <w:br w:type="page"/>
      </w:r>
    </w:p>
    <w:p>
      <w:pPr>
        <w:pStyle w:val="233"/>
        <w:ind w:firstLine="480"/>
      </w:pPr>
      <w:r>
        <w:rPr>
          <w:rFonts w:hint="eastAsia"/>
          <w:lang w:val="en-US" w:eastAsia="zh-CN"/>
        </w:rPr>
        <w:t>3、</w:t>
      </w:r>
      <w:r>
        <w:t>基准地价</w:t>
      </w:r>
      <w:r>
        <w:rPr>
          <w:rFonts w:hint="eastAsia"/>
        </w:rPr>
        <w:t>结果</w:t>
      </w:r>
    </w:p>
    <w:p>
      <w:pPr>
        <w:pStyle w:val="236"/>
        <w:rPr>
          <w:color w:val="auto"/>
          <w:sz w:val="24"/>
          <w:szCs w:val="24"/>
        </w:rPr>
      </w:pPr>
      <w:r>
        <w:rPr>
          <w:rFonts w:hint="eastAsia"/>
          <w:color w:val="auto"/>
          <w:sz w:val="24"/>
          <w:szCs w:val="24"/>
        </w:rPr>
        <w:t>表</w:t>
      </w:r>
      <w:r>
        <w:rPr>
          <w:color w:val="auto"/>
          <w:sz w:val="24"/>
          <w:szCs w:val="24"/>
        </w:rPr>
        <w:t xml:space="preserve">4 </w:t>
      </w:r>
      <w:r>
        <w:rPr>
          <w:rFonts w:hint="eastAsia"/>
          <w:color w:val="auto"/>
          <w:sz w:val="24"/>
          <w:szCs w:val="24"/>
        </w:rPr>
        <w:t>昆明市晋宁</w:t>
      </w:r>
      <w:r>
        <w:rPr>
          <w:color w:val="auto"/>
          <w:sz w:val="24"/>
          <w:szCs w:val="24"/>
        </w:rPr>
        <w:t>区</w:t>
      </w:r>
      <w:r>
        <w:rPr>
          <w:rFonts w:hint="eastAsia"/>
          <w:color w:val="auto"/>
          <w:sz w:val="24"/>
          <w:szCs w:val="24"/>
        </w:rPr>
        <w:t>园地-</w:t>
      </w:r>
      <w:r>
        <w:rPr>
          <w:color w:val="auto"/>
          <w:sz w:val="24"/>
          <w:szCs w:val="24"/>
        </w:rPr>
        <w:t>果园、其他园地</w:t>
      </w:r>
      <w:r>
        <w:rPr>
          <w:rFonts w:hint="eastAsia"/>
          <w:color w:val="auto"/>
          <w:sz w:val="24"/>
          <w:szCs w:val="24"/>
        </w:rPr>
        <w:t>基准地价结果表</w:t>
      </w:r>
    </w:p>
    <w:tbl>
      <w:tblPr>
        <w:tblStyle w:val="36"/>
        <w:tblW w:w="5000" w:type="pct"/>
        <w:tblInd w:w="0" w:type="dxa"/>
        <w:tblLayout w:type="autofit"/>
        <w:tblCellMar>
          <w:top w:w="0" w:type="dxa"/>
          <w:left w:w="108" w:type="dxa"/>
          <w:bottom w:w="0" w:type="dxa"/>
          <w:right w:w="108" w:type="dxa"/>
        </w:tblCellMar>
      </w:tblPr>
      <w:tblGrid>
        <w:gridCol w:w="2522"/>
        <w:gridCol w:w="2245"/>
        <w:gridCol w:w="2118"/>
        <w:gridCol w:w="2359"/>
        <w:gridCol w:w="2591"/>
        <w:gridCol w:w="2339"/>
      </w:tblGrid>
      <w:tr>
        <w:tblPrEx>
          <w:tblCellMar>
            <w:top w:w="0" w:type="dxa"/>
            <w:left w:w="108" w:type="dxa"/>
            <w:bottom w:w="0" w:type="dxa"/>
            <w:right w:w="108" w:type="dxa"/>
          </w:tblCellMar>
        </w:tblPrEx>
        <w:trPr>
          <w:trHeight w:val="488" w:hRule="atLeast"/>
          <w:tblHeader/>
        </w:trPr>
        <w:tc>
          <w:tcPr>
            <w:tcW w:w="89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园地利用类型</w:t>
            </w:r>
          </w:p>
        </w:tc>
        <w:tc>
          <w:tcPr>
            <w:tcW w:w="2370" w:type="pct"/>
            <w:gridSpan w:val="3"/>
            <w:tcBorders>
              <w:top w:val="single" w:color="auto" w:sz="4" w:space="0"/>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基准地价</w:t>
            </w:r>
          </w:p>
        </w:tc>
        <w:tc>
          <w:tcPr>
            <w:tcW w:w="914" w:type="pct"/>
            <w:tcBorders>
              <w:top w:val="single" w:color="auto" w:sz="4" w:space="0"/>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面积</w:t>
            </w:r>
          </w:p>
        </w:tc>
        <w:tc>
          <w:tcPr>
            <w:tcW w:w="825" w:type="pct"/>
            <w:tcBorders>
              <w:top w:val="single" w:color="auto" w:sz="4" w:space="0"/>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所占比例</w:t>
            </w:r>
          </w:p>
        </w:tc>
      </w:tr>
      <w:tr>
        <w:tblPrEx>
          <w:tblCellMar>
            <w:top w:w="0" w:type="dxa"/>
            <w:left w:w="108" w:type="dxa"/>
            <w:bottom w:w="0" w:type="dxa"/>
            <w:right w:w="108" w:type="dxa"/>
          </w:tblCellMar>
        </w:tblPrEx>
        <w:trPr>
          <w:trHeight w:val="565" w:hRule="atLeast"/>
          <w:tblHeader/>
        </w:trPr>
        <w:tc>
          <w:tcPr>
            <w:tcW w:w="890" w:type="pct"/>
            <w:vMerge w:val="continue"/>
            <w:tcBorders>
              <w:top w:val="single" w:color="auto" w:sz="4" w:space="0"/>
              <w:left w:val="single" w:color="auto" w:sz="4" w:space="0"/>
              <w:bottom w:val="single" w:color="auto" w:sz="4" w:space="0"/>
              <w:right w:val="single" w:color="auto" w:sz="4" w:space="0"/>
            </w:tcBorders>
            <w:vAlign w:val="center"/>
          </w:tcPr>
          <w:p>
            <w:pPr>
              <w:pStyle w:val="59"/>
              <w:spacing w:line="500" w:lineRule="exact"/>
              <w:rPr>
                <w:rFonts w:ascii="Times New Roman" w:hAnsi="Times New Roman" w:cs="Times New Roman"/>
                <w:sz w:val="21"/>
                <w:szCs w:val="21"/>
              </w:rPr>
            </w:pPr>
          </w:p>
        </w:tc>
        <w:tc>
          <w:tcPr>
            <w:tcW w:w="792" w:type="pct"/>
            <w:tcBorders>
              <w:top w:val="nil"/>
              <w:left w:val="nil"/>
              <w:bottom w:val="single" w:color="auto" w:sz="4" w:space="0"/>
              <w:right w:val="single" w:color="auto" w:sz="4" w:space="0"/>
            </w:tcBorders>
            <w:shd w:val="clear" w:color="auto" w:fill="auto"/>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园地级别（均质区）</w:t>
            </w:r>
          </w:p>
        </w:tc>
        <w:tc>
          <w:tcPr>
            <w:tcW w:w="747" w:type="pct"/>
            <w:tcBorders>
              <w:top w:val="nil"/>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元/㎡</w:t>
            </w:r>
          </w:p>
        </w:tc>
        <w:tc>
          <w:tcPr>
            <w:tcW w:w="832" w:type="pct"/>
            <w:tcBorders>
              <w:top w:val="nil"/>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万元/亩</w:t>
            </w:r>
          </w:p>
        </w:tc>
        <w:tc>
          <w:tcPr>
            <w:tcW w:w="914" w:type="pct"/>
            <w:tcBorders>
              <w:top w:val="nil"/>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公顷</w:t>
            </w:r>
          </w:p>
        </w:tc>
        <w:tc>
          <w:tcPr>
            <w:tcW w:w="825" w:type="pct"/>
            <w:tcBorders>
              <w:top w:val="nil"/>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w:t>
            </w:r>
          </w:p>
        </w:tc>
      </w:tr>
      <w:tr>
        <w:tblPrEx>
          <w:tblCellMar>
            <w:top w:w="0" w:type="dxa"/>
            <w:left w:w="108" w:type="dxa"/>
            <w:bottom w:w="0" w:type="dxa"/>
            <w:right w:w="108" w:type="dxa"/>
          </w:tblCellMar>
        </w:tblPrEx>
        <w:trPr>
          <w:trHeight w:val="405" w:hRule="atLeast"/>
        </w:trPr>
        <w:tc>
          <w:tcPr>
            <w:tcW w:w="890" w:type="pct"/>
            <w:vMerge w:val="restart"/>
            <w:tcBorders>
              <w:top w:val="single" w:color="auto" w:sz="4" w:space="0"/>
              <w:left w:val="single" w:color="auto" w:sz="4" w:space="0"/>
              <w:right w:val="single" w:color="auto" w:sz="4" w:space="0"/>
            </w:tcBorders>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果园</w:t>
            </w:r>
          </w:p>
        </w:tc>
        <w:tc>
          <w:tcPr>
            <w:tcW w:w="792" w:type="pct"/>
            <w:tcBorders>
              <w:top w:val="nil"/>
              <w:left w:val="nil"/>
              <w:bottom w:val="single" w:color="auto" w:sz="4" w:space="0"/>
              <w:right w:val="single" w:color="auto" w:sz="4" w:space="0"/>
            </w:tcBorders>
            <w:shd w:val="clear" w:color="auto" w:fill="auto"/>
            <w:vAlign w:val="center"/>
          </w:tcPr>
          <w:p>
            <w:pPr>
              <w:pStyle w:val="59"/>
              <w:spacing w:line="500" w:lineRule="exact"/>
              <w:rPr>
                <w:rFonts w:ascii="Times New Roman" w:hAnsi="Times New Roman" w:cs="Times New Roman"/>
                <w:sz w:val="21"/>
                <w:szCs w:val="21"/>
              </w:rPr>
            </w:pPr>
            <w:r>
              <w:rPr>
                <w:rFonts w:ascii="Times New Roman" w:hAnsi="Times New Roman" w:cs="Times New Roman"/>
                <w:sz w:val="21"/>
                <w:szCs w:val="21"/>
              </w:rPr>
              <w:t>1</w:t>
            </w:r>
            <w:r>
              <w:rPr>
                <w:rFonts w:hint="eastAsia" w:ascii="Times New Roman" w:hAnsi="Times New Roman" w:cs="Times New Roman"/>
                <w:sz w:val="21"/>
                <w:szCs w:val="21"/>
              </w:rPr>
              <w:t>级</w:t>
            </w:r>
          </w:p>
        </w:tc>
        <w:tc>
          <w:tcPr>
            <w:tcW w:w="747"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40.95</w:t>
            </w:r>
          </w:p>
        </w:tc>
        <w:tc>
          <w:tcPr>
            <w:tcW w:w="832"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2.73</w:t>
            </w:r>
          </w:p>
        </w:tc>
        <w:tc>
          <w:tcPr>
            <w:tcW w:w="91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1062.791432</w:t>
            </w:r>
          </w:p>
        </w:tc>
        <w:tc>
          <w:tcPr>
            <w:tcW w:w="82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51.24%</w:t>
            </w:r>
          </w:p>
        </w:tc>
      </w:tr>
      <w:tr>
        <w:tblPrEx>
          <w:tblCellMar>
            <w:top w:w="0" w:type="dxa"/>
            <w:left w:w="108" w:type="dxa"/>
            <w:bottom w:w="0" w:type="dxa"/>
            <w:right w:w="108" w:type="dxa"/>
          </w:tblCellMar>
        </w:tblPrEx>
        <w:trPr>
          <w:trHeight w:val="412" w:hRule="atLeast"/>
        </w:trPr>
        <w:tc>
          <w:tcPr>
            <w:tcW w:w="890" w:type="pct"/>
            <w:vMerge w:val="continue"/>
            <w:tcBorders>
              <w:left w:val="single" w:color="auto" w:sz="4" w:space="0"/>
              <w:bottom w:val="single" w:color="auto" w:sz="4" w:space="0"/>
              <w:right w:val="single" w:color="auto" w:sz="4" w:space="0"/>
            </w:tcBorders>
            <w:vAlign w:val="center"/>
          </w:tcPr>
          <w:p>
            <w:pPr>
              <w:pStyle w:val="59"/>
              <w:spacing w:line="500" w:lineRule="exact"/>
              <w:rPr>
                <w:rFonts w:ascii="Times New Roman" w:hAnsi="Times New Roman" w:cs="Times New Roman"/>
                <w:sz w:val="21"/>
                <w:szCs w:val="21"/>
              </w:rPr>
            </w:pPr>
          </w:p>
        </w:tc>
        <w:tc>
          <w:tcPr>
            <w:tcW w:w="792" w:type="pct"/>
            <w:tcBorders>
              <w:top w:val="nil"/>
              <w:left w:val="nil"/>
              <w:bottom w:val="single" w:color="auto" w:sz="4" w:space="0"/>
              <w:right w:val="single" w:color="auto" w:sz="4" w:space="0"/>
            </w:tcBorders>
            <w:shd w:val="clear" w:color="auto" w:fill="auto"/>
            <w:vAlign w:val="center"/>
          </w:tcPr>
          <w:p>
            <w:pPr>
              <w:pStyle w:val="59"/>
              <w:spacing w:line="500" w:lineRule="exact"/>
              <w:rPr>
                <w:rFonts w:ascii="Times New Roman" w:hAnsi="Times New Roman" w:cs="Times New Roman"/>
                <w:sz w:val="21"/>
                <w:szCs w:val="21"/>
              </w:rPr>
            </w:pPr>
            <w:r>
              <w:rPr>
                <w:rFonts w:ascii="Times New Roman" w:hAnsi="Times New Roman" w:cs="Times New Roman"/>
                <w:sz w:val="21"/>
                <w:szCs w:val="21"/>
              </w:rPr>
              <w:t>2</w:t>
            </w:r>
            <w:r>
              <w:rPr>
                <w:rFonts w:hint="eastAsia" w:ascii="Times New Roman" w:hAnsi="Times New Roman" w:cs="Times New Roman"/>
                <w:sz w:val="21"/>
                <w:szCs w:val="21"/>
              </w:rPr>
              <w:t>级</w:t>
            </w:r>
          </w:p>
        </w:tc>
        <w:tc>
          <w:tcPr>
            <w:tcW w:w="747"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34.20</w:t>
            </w:r>
          </w:p>
        </w:tc>
        <w:tc>
          <w:tcPr>
            <w:tcW w:w="832"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2.28</w:t>
            </w:r>
          </w:p>
        </w:tc>
        <w:tc>
          <w:tcPr>
            <w:tcW w:w="91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1011.534708</w:t>
            </w:r>
          </w:p>
        </w:tc>
        <w:tc>
          <w:tcPr>
            <w:tcW w:w="82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48.76%</w:t>
            </w:r>
          </w:p>
        </w:tc>
      </w:tr>
      <w:tr>
        <w:tblPrEx>
          <w:tblCellMar>
            <w:top w:w="0" w:type="dxa"/>
            <w:left w:w="108" w:type="dxa"/>
            <w:bottom w:w="0" w:type="dxa"/>
            <w:right w:w="108" w:type="dxa"/>
          </w:tblCellMar>
        </w:tblPrEx>
        <w:trPr>
          <w:trHeight w:val="409" w:hRule="atLeast"/>
        </w:trPr>
        <w:tc>
          <w:tcPr>
            <w:tcW w:w="890" w:type="pct"/>
            <w:vMerge w:val="restart"/>
            <w:tcBorders>
              <w:top w:val="single" w:color="auto" w:sz="4" w:space="0"/>
              <w:left w:val="single" w:color="auto" w:sz="4" w:space="0"/>
              <w:right w:val="single" w:color="auto" w:sz="4" w:space="0"/>
            </w:tcBorders>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其他</w:t>
            </w:r>
            <w:r>
              <w:rPr>
                <w:rFonts w:ascii="Times New Roman" w:hAnsi="Times New Roman" w:cs="Times New Roman"/>
                <w:sz w:val="21"/>
                <w:szCs w:val="21"/>
              </w:rPr>
              <w:t>园地</w:t>
            </w:r>
          </w:p>
        </w:tc>
        <w:tc>
          <w:tcPr>
            <w:tcW w:w="792" w:type="pct"/>
            <w:tcBorders>
              <w:top w:val="nil"/>
              <w:left w:val="nil"/>
              <w:bottom w:val="single" w:color="auto" w:sz="4" w:space="0"/>
              <w:right w:val="single" w:color="auto" w:sz="4" w:space="0"/>
            </w:tcBorders>
            <w:shd w:val="clear" w:color="auto" w:fill="auto"/>
            <w:vAlign w:val="center"/>
          </w:tcPr>
          <w:p>
            <w:pPr>
              <w:pStyle w:val="59"/>
              <w:spacing w:line="500" w:lineRule="exact"/>
              <w:rPr>
                <w:rFonts w:ascii="Times New Roman" w:hAnsi="Times New Roman" w:cs="Times New Roman"/>
                <w:sz w:val="21"/>
                <w:szCs w:val="21"/>
              </w:rPr>
            </w:pPr>
            <w:r>
              <w:rPr>
                <w:rFonts w:ascii="Times New Roman" w:hAnsi="Times New Roman" w:cs="Times New Roman"/>
                <w:sz w:val="21"/>
                <w:szCs w:val="21"/>
              </w:rPr>
              <w:t>1</w:t>
            </w:r>
            <w:r>
              <w:rPr>
                <w:rFonts w:hint="eastAsia" w:ascii="Times New Roman" w:hAnsi="Times New Roman" w:cs="Times New Roman"/>
                <w:sz w:val="21"/>
                <w:szCs w:val="21"/>
              </w:rPr>
              <w:t>级</w:t>
            </w:r>
          </w:p>
        </w:tc>
        <w:tc>
          <w:tcPr>
            <w:tcW w:w="747"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38.85</w:t>
            </w:r>
          </w:p>
        </w:tc>
        <w:tc>
          <w:tcPr>
            <w:tcW w:w="832"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2.59</w:t>
            </w:r>
          </w:p>
        </w:tc>
        <w:tc>
          <w:tcPr>
            <w:tcW w:w="91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3162.343189</w:t>
            </w:r>
          </w:p>
        </w:tc>
        <w:tc>
          <w:tcPr>
            <w:tcW w:w="82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75.08%</w:t>
            </w:r>
          </w:p>
        </w:tc>
      </w:tr>
      <w:tr>
        <w:tblPrEx>
          <w:tblCellMar>
            <w:top w:w="0" w:type="dxa"/>
            <w:left w:w="108" w:type="dxa"/>
            <w:bottom w:w="0" w:type="dxa"/>
            <w:right w:w="108" w:type="dxa"/>
          </w:tblCellMar>
        </w:tblPrEx>
        <w:trPr>
          <w:trHeight w:val="77" w:hRule="atLeast"/>
        </w:trPr>
        <w:tc>
          <w:tcPr>
            <w:tcW w:w="890" w:type="pct"/>
            <w:vMerge w:val="continue"/>
            <w:tcBorders>
              <w:left w:val="single" w:color="auto" w:sz="4" w:space="0"/>
              <w:bottom w:val="single" w:color="auto" w:sz="4" w:space="0"/>
              <w:right w:val="single" w:color="auto" w:sz="4" w:space="0"/>
            </w:tcBorders>
            <w:vAlign w:val="center"/>
          </w:tcPr>
          <w:p>
            <w:pPr>
              <w:pStyle w:val="59"/>
              <w:spacing w:line="500" w:lineRule="exact"/>
              <w:rPr>
                <w:rFonts w:ascii="Times New Roman" w:hAnsi="Times New Roman" w:cs="Times New Roman"/>
                <w:sz w:val="21"/>
                <w:szCs w:val="21"/>
              </w:rPr>
            </w:pPr>
          </w:p>
        </w:tc>
        <w:tc>
          <w:tcPr>
            <w:tcW w:w="792" w:type="pct"/>
            <w:tcBorders>
              <w:top w:val="nil"/>
              <w:left w:val="nil"/>
              <w:bottom w:val="single" w:color="auto" w:sz="4" w:space="0"/>
              <w:right w:val="single" w:color="auto" w:sz="4" w:space="0"/>
            </w:tcBorders>
            <w:shd w:val="clear" w:color="auto" w:fill="auto"/>
            <w:vAlign w:val="center"/>
          </w:tcPr>
          <w:p>
            <w:pPr>
              <w:pStyle w:val="59"/>
              <w:spacing w:line="500" w:lineRule="exact"/>
              <w:rPr>
                <w:rFonts w:ascii="Times New Roman" w:hAnsi="Times New Roman" w:cs="Times New Roman"/>
                <w:sz w:val="21"/>
                <w:szCs w:val="21"/>
              </w:rPr>
            </w:pPr>
            <w:r>
              <w:rPr>
                <w:rFonts w:ascii="Times New Roman" w:hAnsi="Times New Roman" w:cs="Times New Roman"/>
                <w:sz w:val="21"/>
                <w:szCs w:val="21"/>
              </w:rPr>
              <w:t>2</w:t>
            </w:r>
            <w:r>
              <w:rPr>
                <w:rFonts w:hint="eastAsia" w:ascii="Times New Roman" w:hAnsi="Times New Roman" w:cs="Times New Roman"/>
                <w:sz w:val="21"/>
                <w:szCs w:val="21"/>
              </w:rPr>
              <w:t>级</w:t>
            </w:r>
          </w:p>
        </w:tc>
        <w:tc>
          <w:tcPr>
            <w:tcW w:w="747"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32.55</w:t>
            </w:r>
          </w:p>
        </w:tc>
        <w:tc>
          <w:tcPr>
            <w:tcW w:w="832"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2.17</w:t>
            </w:r>
          </w:p>
        </w:tc>
        <w:tc>
          <w:tcPr>
            <w:tcW w:w="91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1049.525766</w:t>
            </w:r>
          </w:p>
        </w:tc>
        <w:tc>
          <w:tcPr>
            <w:tcW w:w="82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24.92%</w:t>
            </w:r>
          </w:p>
        </w:tc>
      </w:tr>
    </w:tbl>
    <w:p>
      <w:pPr>
        <w:pStyle w:val="237"/>
        <w:ind w:left="0" w:leftChars="0" w:firstLine="641" w:firstLineChars="200"/>
        <w:rPr>
          <w:rFonts w:hint="eastAsia" w:ascii="华文楷体" w:hAnsi="华文楷体" w:eastAsia="华文楷体" w:cs="华文楷体"/>
          <w:sz w:val="32"/>
          <w:szCs w:val="32"/>
        </w:rPr>
      </w:pPr>
      <w:r>
        <w:rPr>
          <w:rFonts w:hint="eastAsia" w:ascii="华文楷体" w:hAnsi="华文楷体" w:eastAsia="华文楷体" w:cs="华文楷体"/>
          <w:sz w:val="32"/>
          <w:szCs w:val="32"/>
        </w:rPr>
        <w:t>（二）林地定级与基准地价制定成果</w:t>
      </w:r>
    </w:p>
    <w:p>
      <w:pPr>
        <w:pStyle w:val="233"/>
        <w:ind w:firstLine="480"/>
      </w:pPr>
      <w:r>
        <w:rPr>
          <w:rFonts w:hint="eastAsia"/>
        </w:rPr>
        <w:t>1、定级结果</w:t>
      </w:r>
    </w:p>
    <w:p>
      <w:pPr>
        <w:pStyle w:val="236"/>
        <w:rPr>
          <w:color w:val="auto"/>
          <w:sz w:val="24"/>
          <w:szCs w:val="24"/>
        </w:rPr>
      </w:pPr>
      <w:r>
        <w:rPr>
          <w:color w:val="auto"/>
          <w:sz w:val="24"/>
          <w:szCs w:val="24"/>
        </w:rPr>
        <w:t>表5</w:t>
      </w:r>
      <w:r>
        <w:rPr>
          <w:rFonts w:hint="eastAsia"/>
          <w:color w:val="auto"/>
          <w:sz w:val="24"/>
          <w:szCs w:val="24"/>
        </w:rPr>
        <w:t xml:space="preserve"> 昆明市晋宁</w:t>
      </w:r>
      <w:r>
        <w:rPr>
          <w:color w:val="auto"/>
          <w:sz w:val="24"/>
          <w:szCs w:val="24"/>
        </w:rPr>
        <w:t>区</w:t>
      </w:r>
      <w:r>
        <w:rPr>
          <w:rFonts w:hint="eastAsia"/>
          <w:color w:val="auto"/>
          <w:sz w:val="24"/>
          <w:szCs w:val="24"/>
        </w:rPr>
        <w:t>林地各级别</w:t>
      </w:r>
      <w:r>
        <w:rPr>
          <w:color w:val="auto"/>
          <w:sz w:val="24"/>
          <w:szCs w:val="24"/>
        </w:rPr>
        <w:t>面积统计表</w:t>
      </w:r>
    </w:p>
    <w:p>
      <w:pPr>
        <w:pStyle w:val="242"/>
        <w:spacing w:before="120"/>
        <w:ind w:right="380" w:firstLine="480"/>
        <w:jc w:val="right"/>
        <w:rPr>
          <w:color w:val="auto"/>
        </w:rPr>
      </w:pPr>
      <w:r>
        <w:rPr>
          <w:rFonts w:hint="eastAsia"/>
          <w:color w:val="auto"/>
        </w:rPr>
        <w:t>单位</w:t>
      </w:r>
      <w:r>
        <w:rPr>
          <w:color w:val="auto"/>
        </w:rPr>
        <w:t>：</w:t>
      </w:r>
      <w:r>
        <w:rPr>
          <w:rFonts w:hint="eastAsia"/>
          <w:color w:val="auto"/>
        </w:rPr>
        <w:t>公顷</w:t>
      </w:r>
    </w:p>
    <w:tbl>
      <w:tblPr>
        <w:tblStyle w:val="36"/>
        <w:tblW w:w="5000" w:type="pct"/>
        <w:tblInd w:w="0" w:type="dxa"/>
        <w:tblLayout w:type="autofit"/>
        <w:tblCellMar>
          <w:top w:w="0" w:type="dxa"/>
          <w:left w:w="108" w:type="dxa"/>
          <w:bottom w:w="0" w:type="dxa"/>
          <w:right w:w="108" w:type="dxa"/>
        </w:tblCellMar>
      </w:tblPr>
      <w:tblGrid>
        <w:gridCol w:w="4856"/>
        <w:gridCol w:w="4856"/>
        <w:gridCol w:w="4462"/>
      </w:tblGrid>
      <w:tr>
        <w:tblPrEx>
          <w:tblCellMar>
            <w:top w:w="0" w:type="dxa"/>
            <w:left w:w="108" w:type="dxa"/>
            <w:bottom w:w="0" w:type="dxa"/>
            <w:right w:w="108" w:type="dxa"/>
          </w:tblCellMar>
        </w:tblPrEx>
        <w:trPr>
          <w:trHeight w:val="454" w:hRule="atLeast"/>
        </w:trPr>
        <w:tc>
          <w:tcPr>
            <w:tcW w:w="1713"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林地级别</w:t>
            </w:r>
          </w:p>
        </w:tc>
        <w:tc>
          <w:tcPr>
            <w:tcW w:w="1713" w:type="pct"/>
            <w:tcBorders>
              <w:top w:val="single" w:color="auto" w:sz="4" w:space="0"/>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面积</w:t>
            </w:r>
          </w:p>
        </w:tc>
        <w:tc>
          <w:tcPr>
            <w:tcW w:w="1574" w:type="pct"/>
            <w:tcBorders>
              <w:top w:val="single" w:color="auto" w:sz="4" w:space="0"/>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占比</w:t>
            </w:r>
          </w:p>
        </w:tc>
      </w:tr>
      <w:tr>
        <w:tblPrEx>
          <w:tblCellMar>
            <w:top w:w="0" w:type="dxa"/>
            <w:left w:w="108" w:type="dxa"/>
            <w:bottom w:w="0" w:type="dxa"/>
            <w:right w:w="108" w:type="dxa"/>
          </w:tblCellMar>
        </w:tblPrEx>
        <w:trPr>
          <w:trHeight w:val="454" w:hRule="atLeast"/>
        </w:trPr>
        <w:tc>
          <w:tcPr>
            <w:tcW w:w="1713"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1</w:t>
            </w:r>
            <w:r>
              <w:rPr>
                <w:rFonts w:hint="eastAsia" w:ascii="Times New Roman" w:hAnsi="Times New Roman" w:cs="Times New Roman"/>
                <w:sz w:val="21"/>
                <w:szCs w:val="21"/>
              </w:rPr>
              <w:t>级</w:t>
            </w:r>
          </w:p>
        </w:tc>
        <w:tc>
          <w:tcPr>
            <w:tcW w:w="171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cs="Times New Roman"/>
                <w:kern w:val="0"/>
                <w:szCs w:val="21"/>
              </w:rPr>
            </w:pPr>
            <w:r>
              <w:rPr>
                <w:rFonts w:hint="eastAsia" w:ascii="Times New Roman" w:hAnsi="Times New Roman" w:cs="Times New Roman"/>
                <w:kern w:val="0"/>
                <w:szCs w:val="21"/>
              </w:rPr>
              <w:t>3926.328438</w:t>
            </w:r>
          </w:p>
        </w:tc>
        <w:tc>
          <w:tcPr>
            <w:tcW w:w="1574"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kern w:val="0"/>
                <w:szCs w:val="21"/>
              </w:rPr>
            </w:pPr>
            <w:r>
              <w:rPr>
                <w:rFonts w:hint="eastAsia" w:ascii="Times New Roman" w:hAnsi="Times New Roman" w:cs="Times New Roman"/>
                <w:kern w:val="0"/>
                <w:szCs w:val="21"/>
              </w:rPr>
              <w:t>5.15%</w:t>
            </w:r>
          </w:p>
        </w:tc>
      </w:tr>
      <w:tr>
        <w:tblPrEx>
          <w:tblCellMar>
            <w:top w:w="0" w:type="dxa"/>
            <w:left w:w="108" w:type="dxa"/>
            <w:bottom w:w="0" w:type="dxa"/>
            <w:right w:w="108" w:type="dxa"/>
          </w:tblCellMar>
        </w:tblPrEx>
        <w:trPr>
          <w:trHeight w:val="454" w:hRule="atLeast"/>
        </w:trPr>
        <w:tc>
          <w:tcPr>
            <w:tcW w:w="1713"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2</w:t>
            </w:r>
            <w:r>
              <w:rPr>
                <w:rFonts w:hint="eastAsia" w:ascii="Times New Roman" w:hAnsi="Times New Roman" w:cs="Times New Roman"/>
                <w:sz w:val="21"/>
                <w:szCs w:val="21"/>
              </w:rPr>
              <w:t>级</w:t>
            </w:r>
          </w:p>
        </w:tc>
        <w:tc>
          <w:tcPr>
            <w:tcW w:w="1713"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kern w:val="0"/>
                <w:szCs w:val="21"/>
              </w:rPr>
            </w:pPr>
            <w:r>
              <w:rPr>
                <w:rFonts w:hint="eastAsia" w:ascii="Times New Roman" w:hAnsi="Times New Roman" w:cs="Times New Roman"/>
                <w:kern w:val="0"/>
                <w:szCs w:val="21"/>
              </w:rPr>
              <w:t>38949.512941</w:t>
            </w:r>
          </w:p>
        </w:tc>
        <w:tc>
          <w:tcPr>
            <w:tcW w:w="1574"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kern w:val="0"/>
                <w:szCs w:val="21"/>
              </w:rPr>
            </w:pPr>
            <w:r>
              <w:rPr>
                <w:rFonts w:hint="eastAsia" w:ascii="Times New Roman" w:hAnsi="Times New Roman" w:cs="Times New Roman"/>
                <w:kern w:val="0"/>
                <w:szCs w:val="21"/>
              </w:rPr>
              <w:t>51.12%</w:t>
            </w:r>
          </w:p>
        </w:tc>
      </w:tr>
      <w:tr>
        <w:tblPrEx>
          <w:tblCellMar>
            <w:top w:w="0" w:type="dxa"/>
            <w:left w:w="108" w:type="dxa"/>
            <w:bottom w:w="0" w:type="dxa"/>
            <w:right w:w="108" w:type="dxa"/>
          </w:tblCellMar>
        </w:tblPrEx>
        <w:trPr>
          <w:trHeight w:val="454" w:hRule="atLeast"/>
        </w:trPr>
        <w:tc>
          <w:tcPr>
            <w:tcW w:w="1713"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ascii="Times New Roman" w:hAnsi="Times New Roman" w:cs="Times New Roman"/>
                <w:sz w:val="21"/>
                <w:szCs w:val="21"/>
              </w:rPr>
              <w:t>3</w:t>
            </w:r>
            <w:r>
              <w:rPr>
                <w:rFonts w:hint="eastAsia" w:ascii="Times New Roman" w:hAnsi="Times New Roman" w:cs="Times New Roman"/>
                <w:sz w:val="21"/>
                <w:szCs w:val="21"/>
              </w:rPr>
              <w:t>级</w:t>
            </w:r>
          </w:p>
        </w:tc>
        <w:tc>
          <w:tcPr>
            <w:tcW w:w="1713"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kern w:val="0"/>
                <w:szCs w:val="21"/>
              </w:rPr>
            </w:pPr>
            <w:r>
              <w:rPr>
                <w:rFonts w:hint="eastAsia" w:ascii="Times New Roman" w:hAnsi="Times New Roman" w:cs="Times New Roman"/>
                <w:kern w:val="0"/>
                <w:szCs w:val="21"/>
              </w:rPr>
              <w:t>33311.052966</w:t>
            </w:r>
          </w:p>
        </w:tc>
        <w:tc>
          <w:tcPr>
            <w:tcW w:w="1574"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kern w:val="0"/>
                <w:szCs w:val="21"/>
              </w:rPr>
            </w:pPr>
            <w:r>
              <w:rPr>
                <w:rFonts w:hint="eastAsia" w:ascii="Times New Roman" w:hAnsi="Times New Roman" w:cs="Times New Roman"/>
                <w:kern w:val="0"/>
                <w:szCs w:val="21"/>
              </w:rPr>
              <w:t>43.72%</w:t>
            </w:r>
          </w:p>
        </w:tc>
      </w:tr>
      <w:tr>
        <w:tblPrEx>
          <w:tblCellMar>
            <w:top w:w="0" w:type="dxa"/>
            <w:left w:w="108" w:type="dxa"/>
            <w:bottom w:w="0" w:type="dxa"/>
            <w:right w:w="108" w:type="dxa"/>
          </w:tblCellMar>
        </w:tblPrEx>
        <w:trPr>
          <w:trHeight w:val="454" w:hRule="atLeast"/>
        </w:trPr>
        <w:tc>
          <w:tcPr>
            <w:tcW w:w="1713"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合计</w:t>
            </w:r>
          </w:p>
        </w:tc>
        <w:tc>
          <w:tcPr>
            <w:tcW w:w="1713"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kern w:val="0"/>
                <w:szCs w:val="21"/>
              </w:rPr>
            </w:pPr>
            <w:r>
              <w:rPr>
                <w:rFonts w:hint="eastAsia" w:ascii="Times New Roman" w:hAnsi="Times New Roman" w:cs="Times New Roman"/>
                <w:kern w:val="0"/>
                <w:szCs w:val="21"/>
              </w:rPr>
              <w:t>76186.894345</w:t>
            </w:r>
          </w:p>
        </w:tc>
        <w:tc>
          <w:tcPr>
            <w:tcW w:w="1574"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s="Times New Roman"/>
                <w:kern w:val="0"/>
                <w:szCs w:val="21"/>
              </w:rPr>
            </w:pPr>
            <w:r>
              <w:rPr>
                <w:rFonts w:hint="eastAsia" w:ascii="Times New Roman" w:hAnsi="Times New Roman" w:cs="Times New Roman"/>
                <w:kern w:val="0"/>
                <w:szCs w:val="21"/>
              </w:rPr>
              <w:t>100 %</w:t>
            </w:r>
          </w:p>
        </w:tc>
      </w:tr>
    </w:tbl>
    <w:p>
      <w:pPr>
        <w:pStyle w:val="233"/>
        <w:ind w:firstLine="480"/>
      </w:pPr>
      <w:r>
        <w:rPr>
          <w:rFonts w:hint="eastAsia"/>
        </w:rPr>
        <w:t>2、基准地价内涵</w:t>
      </w:r>
    </w:p>
    <w:p>
      <w:pPr>
        <w:spacing w:line="360" w:lineRule="auto"/>
        <w:ind w:firstLine="480" w:firstLineChars="200"/>
        <w:rPr>
          <w:sz w:val="24"/>
          <w:szCs w:val="24"/>
        </w:rPr>
      </w:pPr>
      <w:r>
        <w:rPr>
          <w:rFonts w:hint="eastAsia"/>
          <w:sz w:val="24"/>
          <w:szCs w:val="24"/>
        </w:rPr>
        <w:t>估价期日</w:t>
      </w:r>
      <w:r>
        <w:rPr>
          <w:rFonts w:hint="eastAsia" w:ascii="Times New Roman" w:hAnsi="Times New Roman" w:cs="Times New Roman"/>
          <w:kern w:val="0"/>
          <w:sz w:val="24"/>
          <w:szCs w:val="24"/>
        </w:rPr>
        <w:t>为2023年1月1日</w:t>
      </w:r>
      <w:r>
        <w:rPr>
          <w:rFonts w:hint="eastAsia"/>
          <w:sz w:val="24"/>
          <w:szCs w:val="24"/>
        </w:rPr>
        <w:t>，在平稳正常情况、公开市场条件下，设定宗地外道路通达，宗地内有集材道，按照乔木林地、竹林地、灌木林地和其他林地评估各级别年期</w:t>
      </w:r>
      <w:r>
        <w:rPr>
          <w:rFonts w:hint="eastAsia" w:ascii="Times New Roman" w:hAnsi="Times New Roman" w:cs="Times New Roman"/>
          <w:kern w:val="0"/>
          <w:sz w:val="24"/>
          <w:szCs w:val="24"/>
        </w:rPr>
        <w:t>为7</w:t>
      </w:r>
      <w:r>
        <w:rPr>
          <w:rFonts w:ascii="Times New Roman" w:hAnsi="Times New Roman" w:cs="Times New Roman"/>
          <w:kern w:val="0"/>
          <w:sz w:val="24"/>
          <w:szCs w:val="24"/>
        </w:rPr>
        <w:t>0</w:t>
      </w:r>
      <w:r>
        <w:rPr>
          <w:rFonts w:hint="eastAsia" w:ascii="Times New Roman" w:hAnsi="Times New Roman" w:cs="Times New Roman"/>
          <w:kern w:val="0"/>
          <w:sz w:val="24"/>
          <w:szCs w:val="24"/>
        </w:rPr>
        <w:t>年</w:t>
      </w:r>
      <w:r>
        <w:rPr>
          <w:rFonts w:hint="eastAsia"/>
          <w:sz w:val="24"/>
          <w:szCs w:val="24"/>
        </w:rPr>
        <w:t>的承包经营权价格，包含地上附着物和定着物价值。</w:t>
      </w:r>
    </w:p>
    <w:p>
      <w:pPr>
        <w:pStyle w:val="236"/>
        <w:rPr>
          <w:color w:val="auto"/>
          <w:sz w:val="24"/>
          <w:szCs w:val="24"/>
        </w:rPr>
      </w:pPr>
      <w:r>
        <w:rPr>
          <w:rFonts w:hint="eastAsia"/>
          <w:color w:val="auto"/>
          <w:sz w:val="24"/>
          <w:szCs w:val="24"/>
        </w:rPr>
        <w:t>表</w:t>
      </w:r>
      <w:r>
        <w:rPr>
          <w:color w:val="auto"/>
          <w:sz w:val="24"/>
          <w:szCs w:val="24"/>
        </w:rPr>
        <w:t xml:space="preserve">6 </w:t>
      </w:r>
      <w:r>
        <w:rPr>
          <w:rFonts w:hint="eastAsia"/>
          <w:color w:val="auto"/>
          <w:sz w:val="24"/>
          <w:szCs w:val="24"/>
        </w:rPr>
        <w:t>昆明市晋宁</w:t>
      </w:r>
      <w:r>
        <w:rPr>
          <w:color w:val="auto"/>
          <w:sz w:val="24"/>
          <w:szCs w:val="24"/>
        </w:rPr>
        <w:t>区</w:t>
      </w:r>
      <w:r>
        <w:rPr>
          <w:rFonts w:hint="eastAsia"/>
          <w:color w:val="auto"/>
          <w:sz w:val="24"/>
          <w:szCs w:val="24"/>
        </w:rPr>
        <w:t>202</w:t>
      </w:r>
      <w:r>
        <w:rPr>
          <w:color w:val="auto"/>
          <w:sz w:val="24"/>
          <w:szCs w:val="24"/>
        </w:rPr>
        <w:t>3</w:t>
      </w:r>
      <w:r>
        <w:rPr>
          <w:rFonts w:hint="eastAsia"/>
          <w:color w:val="auto"/>
          <w:sz w:val="24"/>
          <w:szCs w:val="24"/>
        </w:rPr>
        <w:t>年林地</w:t>
      </w:r>
      <w:r>
        <w:rPr>
          <w:color w:val="auto"/>
          <w:sz w:val="24"/>
          <w:szCs w:val="24"/>
        </w:rPr>
        <w:t>基准地价内涵表</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5"/>
        <w:gridCol w:w="11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1081"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地类</w:t>
            </w:r>
          </w:p>
        </w:tc>
        <w:tc>
          <w:tcPr>
            <w:tcW w:w="3918"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1"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估价期日</w:t>
            </w:r>
          </w:p>
        </w:tc>
        <w:tc>
          <w:tcPr>
            <w:tcW w:w="3918"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2023年1月1日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1"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市场特征</w:t>
            </w:r>
          </w:p>
        </w:tc>
        <w:tc>
          <w:tcPr>
            <w:tcW w:w="3918"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公开市场价格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1"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权利类型</w:t>
            </w:r>
          </w:p>
        </w:tc>
        <w:tc>
          <w:tcPr>
            <w:tcW w:w="3918"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承包经营权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1"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权利年期</w:t>
            </w:r>
          </w:p>
        </w:tc>
        <w:tc>
          <w:tcPr>
            <w:tcW w:w="3918"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70年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1"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利用类型</w:t>
            </w:r>
          </w:p>
        </w:tc>
        <w:tc>
          <w:tcPr>
            <w:tcW w:w="3918"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乔木林地、竹林地、灌木林地和其他林地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1"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林业设施状况</w:t>
            </w:r>
          </w:p>
        </w:tc>
        <w:tc>
          <w:tcPr>
            <w:tcW w:w="3918"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设定宗地外道路通达，宗地内有集材道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1"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地上林木状况</w:t>
            </w:r>
          </w:p>
        </w:tc>
        <w:tc>
          <w:tcPr>
            <w:tcW w:w="3918"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以</w:t>
            </w:r>
            <w:r>
              <w:rPr>
                <w:rFonts w:hint="eastAsia" w:ascii="Times New Roman" w:hAnsi="Times New Roman" w:cs="Times New Roman"/>
                <w:sz w:val="21"/>
                <w:szCs w:val="21"/>
              </w:rPr>
              <w:t>云南松、华山松</w:t>
            </w:r>
            <w:r>
              <w:rPr>
                <w:rFonts w:ascii="Times New Roman" w:hAnsi="Times New Roman" w:cs="Times New Roman"/>
                <w:sz w:val="21"/>
                <w:szCs w:val="21"/>
              </w:rPr>
              <w:t>为优势树种，龄组为成熟林，主导功能为用材林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081"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其他说明</w:t>
            </w:r>
          </w:p>
        </w:tc>
        <w:tc>
          <w:tcPr>
            <w:tcW w:w="3918" w:type="pct"/>
            <w:shd w:val="clear" w:color="auto" w:fill="auto"/>
            <w:vAlign w:val="center"/>
          </w:tcPr>
          <w:p>
            <w:pPr>
              <w:pStyle w:val="59"/>
              <w:spacing w:line="320" w:lineRule="exact"/>
              <w:rPr>
                <w:rFonts w:ascii="Times New Roman" w:hAnsi="Times New Roman" w:cs="Times New Roman"/>
                <w:sz w:val="21"/>
                <w:szCs w:val="21"/>
              </w:rPr>
            </w:pPr>
            <w:r>
              <w:rPr>
                <w:rFonts w:ascii="Times New Roman" w:hAnsi="Times New Roman" w:cs="Times New Roman"/>
                <w:sz w:val="21"/>
                <w:szCs w:val="21"/>
              </w:rPr>
              <w:t>本次测算林地的经济价值，不包含生态价值，基准地价包含地上附着物和定着物价值</w:t>
            </w:r>
          </w:p>
        </w:tc>
      </w:tr>
    </w:tbl>
    <w:p>
      <w:pPr>
        <w:pStyle w:val="233"/>
        <w:ind w:firstLine="480"/>
        <w:rPr>
          <w:rFonts w:hint="eastAsia"/>
          <w:lang w:val="en-US" w:eastAsia="zh-CN"/>
        </w:rPr>
      </w:pPr>
    </w:p>
    <w:p>
      <w:pPr>
        <w:pStyle w:val="233"/>
        <w:ind w:firstLine="480"/>
        <w:rPr>
          <w:rFonts w:hint="eastAsia"/>
          <w:lang w:val="en-US" w:eastAsia="zh-CN"/>
        </w:rPr>
      </w:pPr>
    </w:p>
    <w:p>
      <w:pPr>
        <w:pStyle w:val="233"/>
        <w:ind w:firstLine="480"/>
        <w:rPr>
          <w:rFonts w:hint="eastAsia"/>
          <w:lang w:val="en-US" w:eastAsia="zh-CN"/>
        </w:rPr>
      </w:pPr>
    </w:p>
    <w:p>
      <w:pPr>
        <w:pStyle w:val="233"/>
        <w:ind w:firstLine="480"/>
      </w:pPr>
      <w:bookmarkStart w:id="2" w:name="_GoBack"/>
      <w:bookmarkEnd w:id="2"/>
      <w:r>
        <w:rPr>
          <w:rFonts w:hint="eastAsia"/>
          <w:lang w:val="en-US" w:eastAsia="zh-CN"/>
        </w:rPr>
        <w:t>3、</w:t>
      </w:r>
      <w:r>
        <w:t>基准地价</w:t>
      </w:r>
      <w:r>
        <w:rPr>
          <w:rFonts w:hint="eastAsia"/>
        </w:rPr>
        <w:t>结果</w:t>
      </w:r>
    </w:p>
    <w:p>
      <w:pPr>
        <w:pStyle w:val="236"/>
        <w:rPr>
          <w:color w:val="auto"/>
          <w:sz w:val="24"/>
          <w:szCs w:val="24"/>
        </w:rPr>
      </w:pPr>
      <w:r>
        <w:rPr>
          <w:rFonts w:hint="eastAsia"/>
          <w:color w:val="auto"/>
          <w:sz w:val="24"/>
          <w:szCs w:val="24"/>
        </w:rPr>
        <w:t>表</w:t>
      </w:r>
      <w:r>
        <w:rPr>
          <w:color w:val="auto"/>
          <w:sz w:val="24"/>
          <w:szCs w:val="24"/>
        </w:rPr>
        <w:t xml:space="preserve">7  </w:t>
      </w:r>
      <w:r>
        <w:rPr>
          <w:rFonts w:hint="eastAsia"/>
          <w:color w:val="auto"/>
          <w:sz w:val="24"/>
          <w:szCs w:val="24"/>
        </w:rPr>
        <w:t>昆明市晋宁</w:t>
      </w:r>
      <w:r>
        <w:rPr>
          <w:color w:val="auto"/>
          <w:sz w:val="24"/>
          <w:szCs w:val="24"/>
        </w:rPr>
        <w:t>区</w:t>
      </w:r>
      <w:r>
        <w:rPr>
          <w:rFonts w:hint="eastAsia"/>
          <w:color w:val="auto"/>
          <w:sz w:val="24"/>
          <w:szCs w:val="24"/>
        </w:rPr>
        <w:t>林地基准地价成果表</w:t>
      </w:r>
    </w:p>
    <w:tbl>
      <w:tblPr>
        <w:tblStyle w:val="36"/>
        <w:tblW w:w="5000" w:type="pct"/>
        <w:tblInd w:w="0" w:type="dxa"/>
        <w:tblLayout w:type="autofit"/>
        <w:tblCellMar>
          <w:top w:w="0" w:type="dxa"/>
          <w:left w:w="108" w:type="dxa"/>
          <w:bottom w:w="0" w:type="dxa"/>
          <w:right w:w="108" w:type="dxa"/>
        </w:tblCellMar>
      </w:tblPr>
      <w:tblGrid>
        <w:gridCol w:w="2225"/>
        <w:gridCol w:w="2225"/>
        <w:gridCol w:w="2225"/>
        <w:gridCol w:w="2225"/>
        <w:gridCol w:w="3051"/>
        <w:gridCol w:w="2223"/>
      </w:tblGrid>
      <w:tr>
        <w:tblPrEx>
          <w:tblCellMar>
            <w:top w:w="0" w:type="dxa"/>
            <w:left w:w="108" w:type="dxa"/>
            <w:bottom w:w="0" w:type="dxa"/>
            <w:right w:w="108" w:type="dxa"/>
          </w:tblCellMar>
        </w:tblPrEx>
        <w:trPr>
          <w:trHeight w:val="374" w:hRule="atLeast"/>
          <w:tblHeader/>
        </w:trPr>
        <w:tc>
          <w:tcPr>
            <w:tcW w:w="785" w:type="pct"/>
            <w:tcBorders>
              <w:top w:val="single" w:color="auto" w:sz="8" w:space="0"/>
              <w:left w:val="single" w:color="auto" w:sz="8" w:space="0"/>
              <w:bottom w:val="single" w:color="auto" w:sz="8" w:space="0"/>
              <w:right w:val="single" w:color="auto" w:sz="8" w:space="0"/>
            </w:tcBorders>
            <w:shd w:val="clear" w:color="auto" w:fill="auto"/>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林地级别</w:t>
            </w:r>
          </w:p>
        </w:tc>
        <w:tc>
          <w:tcPr>
            <w:tcW w:w="785" w:type="pct"/>
            <w:tcBorders>
              <w:top w:val="single" w:color="auto" w:sz="8" w:space="0"/>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林地类别</w:t>
            </w:r>
          </w:p>
        </w:tc>
        <w:tc>
          <w:tcPr>
            <w:tcW w:w="785" w:type="pct"/>
            <w:tcBorders>
              <w:top w:val="single" w:color="auto" w:sz="8" w:space="0"/>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万元</w:t>
            </w:r>
            <w:r>
              <w:rPr>
                <w:rFonts w:ascii="Times New Roman" w:hAnsi="Times New Roman" w:cs="Times New Roman"/>
                <w:kern w:val="0"/>
                <w:szCs w:val="21"/>
              </w:rPr>
              <w:t>/</w:t>
            </w:r>
            <w:r>
              <w:rPr>
                <w:rFonts w:hint="eastAsia" w:ascii="Times New Roman" w:hAnsi="Times New Roman" w:cs="Times New Roman"/>
                <w:kern w:val="0"/>
                <w:szCs w:val="21"/>
              </w:rPr>
              <w:t>公顷</w:t>
            </w:r>
          </w:p>
        </w:tc>
        <w:tc>
          <w:tcPr>
            <w:tcW w:w="785" w:type="pct"/>
            <w:tcBorders>
              <w:top w:val="single" w:color="auto" w:sz="8" w:space="0"/>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万元</w:t>
            </w:r>
            <w:r>
              <w:rPr>
                <w:rFonts w:ascii="Times New Roman" w:hAnsi="Times New Roman" w:cs="Times New Roman"/>
                <w:kern w:val="0"/>
                <w:szCs w:val="21"/>
              </w:rPr>
              <w:t>/</w:t>
            </w:r>
            <w:r>
              <w:rPr>
                <w:rFonts w:hint="eastAsia" w:ascii="Times New Roman" w:hAnsi="Times New Roman" w:cs="Times New Roman"/>
                <w:kern w:val="0"/>
                <w:szCs w:val="21"/>
              </w:rPr>
              <w:t>亩</w:t>
            </w:r>
          </w:p>
        </w:tc>
        <w:tc>
          <w:tcPr>
            <w:tcW w:w="1076" w:type="pct"/>
            <w:tcBorders>
              <w:top w:val="single" w:color="auto" w:sz="8" w:space="0"/>
              <w:left w:val="nil"/>
              <w:bottom w:val="single" w:color="auto" w:sz="8" w:space="0"/>
              <w:right w:val="single" w:color="auto" w:sz="8" w:space="0"/>
            </w:tcBorders>
            <w:shd w:val="clear" w:color="auto" w:fill="auto"/>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面积（公顷）</w:t>
            </w:r>
          </w:p>
        </w:tc>
        <w:tc>
          <w:tcPr>
            <w:tcW w:w="784" w:type="pct"/>
            <w:tcBorders>
              <w:top w:val="single" w:color="auto" w:sz="8" w:space="0"/>
              <w:left w:val="nil"/>
              <w:bottom w:val="single" w:color="auto" w:sz="8" w:space="0"/>
              <w:right w:val="single" w:color="auto" w:sz="8" w:space="0"/>
            </w:tcBorders>
            <w:shd w:val="clear" w:color="auto" w:fill="auto"/>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所占比例</w:t>
            </w:r>
            <w:r>
              <w:rPr>
                <w:rFonts w:ascii="Times New Roman" w:hAnsi="Times New Roman" w:cs="Times New Roman"/>
                <w:kern w:val="0"/>
                <w:szCs w:val="21"/>
              </w:rPr>
              <w:t>%</w:t>
            </w:r>
          </w:p>
        </w:tc>
      </w:tr>
      <w:tr>
        <w:tblPrEx>
          <w:tblCellMar>
            <w:top w:w="0" w:type="dxa"/>
            <w:left w:w="108" w:type="dxa"/>
            <w:bottom w:w="0" w:type="dxa"/>
            <w:right w:w="108" w:type="dxa"/>
          </w:tblCellMar>
        </w:tblPrEx>
        <w:trPr>
          <w:trHeight w:val="285" w:hRule="atLeast"/>
        </w:trPr>
        <w:tc>
          <w:tcPr>
            <w:tcW w:w="785" w:type="pct"/>
            <w:vMerge w:val="restart"/>
            <w:tcBorders>
              <w:top w:val="nil"/>
              <w:left w:val="single" w:color="auto" w:sz="8" w:space="0"/>
              <w:bottom w:val="single" w:color="000000"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1</w:t>
            </w:r>
            <w:r>
              <w:rPr>
                <w:rFonts w:hint="eastAsia" w:ascii="Times New Roman" w:hAnsi="Times New Roman" w:cs="Times New Roman"/>
                <w:kern w:val="0"/>
                <w:szCs w:val="21"/>
              </w:rPr>
              <w:t>级</w:t>
            </w: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乔木林地</w:t>
            </w:r>
          </w:p>
        </w:tc>
        <w:tc>
          <w:tcPr>
            <w:tcW w:w="785" w:type="pct"/>
            <w:tcBorders>
              <w:top w:val="single" w:color="auto" w:sz="4" w:space="0"/>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27.90</w:t>
            </w:r>
          </w:p>
        </w:tc>
        <w:tc>
          <w:tcPr>
            <w:tcW w:w="785" w:type="pct"/>
            <w:tcBorders>
              <w:top w:val="single" w:color="auto" w:sz="4" w:space="0"/>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1.86</w:t>
            </w:r>
          </w:p>
        </w:tc>
        <w:tc>
          <w:tcPr>
            <w:tcW w:w="1076" w:type="pct"/>
            <w:tcBorders>
              <w:top w:val="single" w:color="auto" w:sz="4" w:space="0"/>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3584.024938</w:t>
            </w:r>
          </w:p>
        </w:tc>
        <w:tc>
          <w:tcPr>
            <w:tcW w:w="784" w:type="pct"/>
            <w:tcBorders>
              <w:top w:val="single" w:color="auto" w:sz="4" w:space="0"/>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4.70%</w:t>
            </w:r>
          </w:p>
        </w:tc>
      </w:tr>
      <w:tr>
        <w:tblPrEx>
          <w:tblCellMar>
            <w:top w:w="0" w:type="dxa"/>
            <w:left w:w="108" w:type="dxa"/>
            <w:bottom w:w="0" w:type="dxa"/>
            <w:right w:w="108" w:type="dxa"/>
          </w:tblCellMar>
        </w:tblPrEx>
        <w:trPr>
          <w:trHeight w:val="285" w:hRule="atLeast"/>
        </w:trPr>
        <w:tc>
          <w:tcPr>
            <w:tcW w:w="785" w:type="pct"/>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竹林地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26.55</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1.77</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6.534545</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0.01%</w:t>
            </w:r>
          </w:p>
        </w:tc>
      </w:tr>
      <w:tr>
        <w:tblPrEx>
          <w:tblCellMar>
            <w:top w:w="0" w:type="dxa"/>
            <w:left w:w="108" w:type="dxa"/>
            <w:bottom w:w="0" w:type="dxa"/>
            <w:right w:w="108" w:type="dxa"/>
          </w:tblCellMar>
        </w:tblPrEx>
        <w:trPr>
          <w:trHeight w:val="285" w:hRule="atLeast"/>
        </w:trPr>
        <w:tc>
          <w:tcPr>
            <w:tcW w:w="785" w:type="pct"/>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灌木林地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25.05</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1.67</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106.452370</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0.14%</w:t>
            </w:r>
          </w:p>
        </w:tc>
      </w:tr>
      <w:tr>
        <w:tblPrEx>
          <w:tblCellMar>
            <w:top w:w="0" w:type="dxa"/>
            <w:left w:w="108" w:type="dxa"/>
            <w:bottom w:w="0" w:type="dxa"/>
            <w:right w:w="108" w:type="dxa"/>
          </w:tblCellMar>
        </w:tblPrEx>
        <w:trPr>
          <w:trHeight w:val="285" w:hRule="atLeast"/>
        </w:trPr>
        <w:tc>
          <w:tcPr>
            <w:tcW w:w="785" w:type="pct"/>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其他林地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23.70</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1.58</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229.316585</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0.30%</w:t>
            </w:r>
          </w:p>
        </w:tc>
      </w:tr>
      <w:tr>
        <w:tblPrEx>
          <w:tblCellMar>
            <w:top w:w="0" w:type="dxa"/>
            <w:left w:w="108" w:type="dxa"/>
            <w:bottom w:w="0" w:type="dxa"/>
            <w:right w:w="108" w:type="dxa"/>
          </w:tblCellMar>
        </w:tblPrEx>
        <w:trPr>
          <w:trHeight w:val="285" w:hRule="atLeast"/>
        </w:trPr>
        <w:tc>
          <w:tcPr>
            <w:tcW w:w="785" w:type="pct"/>
            <w:vMerge w:val="restart"/>
            <w:tcBorders>
              <w:top w:val="nil"/>
              <w:left w:val="single" w:color="auto" w:sz="8" w:space="0"/>
              <w:bottom w:val="single" w:color="000000"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级</w:t>
            </w: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乔木林地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22.65</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1.51</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32322.919832</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42.43%</w:t>
            </w:r>
          </w:p>
        </w:tc>
      </w:tr>
      <w:tr>
        <w:tblPrEx>
          <w:tblCellMar>
            <w:top w:w="0" w:type="dxa"/>
            <w:left w:w="108" w:type="dxa"/>
            <w:bottom w:w="0" w:type="dxa"/>
            <w:right w:w="108" w:type="dxa"/>
          </w:tblCellMar>
        </w:tblPrEx>
        <w:trPr>
          <w:trHeight w:val="285" w:hRule="atLeast"/>
        </w:trPr>
        <w:tc>
          <w:tcPr>
            <w:tcW w:w="785" w:type="pct"/>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竹林地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21.45</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1.43</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23.047388</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0.03%</w:t>
            </w:r>
          </w:p>
        </w:tc>
      </w:tr>
      <w:tr>
        <w:tblPrEx>
          <w:tblCellMar>
            <w:top w:w="0" w:type="dxa"/>
            <w:left w:w="108" w:type="dxa"/>
            <w:bottom w:w="0" w:type="dxa"/>
            <w:right w:w="108" w:type="dxa"/>
          </w:tblCellMar>
        </w:tblPrEx>
        <w:trPr>
          <w:trHeight w:val="285" w:hRule="atLeast"/>
        </w:trPr>
        <w:tc>
          <w:tcPr>
            <w:tcW w:w="785" w:type="pct"/>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灌木林地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20.40</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1.36</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2270.828697</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2.98%</w:t>
            </w:r>
          </w:p>
        </w:tc>
      </w:tr>
      <w:tr>
        <w:tblPrEx>
          <w:tblCellMar>
            <w:top w:w="0" w:type="dxa"/>
            <w:left w:w="108" w:type="dxa"/>
            <w:bottom w:w="0" w:type="dxa"/>
            <w:right w:w="108" w:type="dxa"/>
          </w:tblCellMar>
        </w:tblPrEx>
        <w:trPr>
          <w:trHeight w:val="285" w:hRule="atLeast"/>
        </w:trPr>
        <w:tc>
          <w:tcPr>
            <w:tcW w:w="785" w:type="pct"/>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其他林地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19.20</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1.28</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4332.717024</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5.69%</w:t>
            </w:r>
          </w:p>
        </w:tc>
      </w:tr>
      <w:tr>
        <w:tblPrEx>
          <w:tblCellMar>
            <w:top w:w="0" w:type="dxa"/>
            <w:left w:w="108" w:type="dxa"/>
            <w:bottom w:w="0" w:type="dxa"/>
            <w:right w:w="108" w:type="dxa"/>
          </w:tblCellMar>
        </w:tblPrEx>
        <w:trPr>
          <w:trHeight w:val="285" w:hRule="atLeast"/>
        </w:trPr>
        <w:tc>
          <w:tcPr>
            <w:tcW w:w="785" w:type="pct"/>
            <w:vMerge w:val="restart"/>
            <w:tcBorders>
              <w:top w:val="nil"/>
              <w:left w:val="single" w:color="auto" w:sz="8" w:space="0"/>
              <w:bottom w:val="single" w:color="000000"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3</w:t>
            </w:r>
            <w:r>
              <w:rPr>
                <w:rFonts w:hint="eastAsia" w:ascii="Times New Roman" w:hAnsi="Times New Roman" w:cs="Times New Roman"/>
                <w:kern w:val="0"/>
                <w:szCs w:val="21"/>
              </w:rPr>
              <w:t>级</w:t>
            </w: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乔木林地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17.55</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1.17</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28804.409796</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37.81%</w:t>
            </w:r>
          </w:p>
        </w:tc>
      </w:tr>
      <w:tr>
        <w:tblPrEx>
          <w:tblCellMar>
            <w:top w:w="0" w:type="dxa"/>
            <w:left w:w="108" w:type="dxa"/>
            <w:bottom w:w="0" w:type="dxa"/>
            <w:right w:w="108" w:type="dxa"/>
          </w:tblCellMar>
        </w:tblPrEx>
        <w:trPr>
          <w:trHeight w:val="285" w:hRule="atLeast"/>
        </w:trPr>
        <w:tc>
          <w:tcPr>
            <w:tcW w:w="785" w:type="pct"/>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竹林地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16.65</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1.11</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19.504537</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0.03%</w:t>
            </w:r>
          </w:p>
        </w:tc>
      </w:tr>
      <w:tr>
        <w:tblPrEx>
          <w:tblCellMar>
            <w:top w:w="0" w:type="dxa"/>
            <w:left w:w="108" w:type="dxa"/>
            <w:bottom w:w="0" w:type="dxa"/>
            <w:right w:w="108" w:type="dxa"/>
          </w:tblCellMar>
        </w:tblPrEx>
        <w:trPr>
          <w:trHeight w:val="285" w:hRule="atLeast"/>
        </w:trPr>
        <w:tc>
          <w:tcPr>
            <w:tcW w:w="785" w:type="pct"/>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灌木林地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15.75</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1.05</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1320.193130</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1.73%</w:t>
            </w:r>
          </w:p>
        </w:tc>
      </w:tr>
      <w:tr>
        <w:tblPrEx>
          <w:tblCellMar>
            <w:top w:w="0" w:type="dxa"/>
            <w:left w:w="108" w:type="dxa"/>
            <w:bottom w:w="0" w:type="dxa"/>
            <w:right w:w="108" w:type="dxa"/>
          </w:tblCellMar>
        </w:tblPrEx>
        <w:trPr>
          <w:trHeight w:val="285" w:hRule="atLeast"/>
        </w:trPr>
        <w:tc>
          <w:tcPr>
            <w:tcW w:w="785" w:type="pct"/>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785" w:type="pct"/>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其他林地</w:t>
            </w:r>
          </w:p>
        </w:tc>
        <w:tc>
          <w:tcPr>
            <w:tcW w:w="785" w:type="pct"/>
            <w:tcBorders>
              <w:top w:val="nil"/>
              <w:left w:val="single" w:color="auto" w:sz="4" w:space="0"/>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14.85</w:t>
            </w:r>
          </w:p>
        </w:tc>
        <w:tc>
          <w:tcPr>
            <w:tcW w:w="785"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0.99</w:t>
            </w:r>
          </w:p>
        </w:tc>
        <w:tc>
          <w:tcPr>
            <w:tcW w:w="107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3166.945503</w:t>
            </w:r>
          </w:p>
        </w:tc>
        <w:tc>
          <w:tcPr>
            <w:tcW w:w="78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4.16%</w:t>
            </w:r>
          </w:p>
        </w:tc>
      </w:tr>
    </w:tbl>
    <w:p>
      <w:pPr>
        <w:widowControl/>
        <w:spacing w:line="360" w:lineRule="exact"/>
        <w:jc w:val="center"/>
        <w:rPr>
          <w:rFonts w:ascii="Times New Roman" w:hAnsi="Times New Roman"/>
        </w:rPr>
      </w:pPr>
      <w:r>
        <w:rPr>
          <w:rFonts w:ascii="Times New Roman" w:hAnsi="Times New Roman"/>
        </w:rPr>
        <w:br w:type="page"/>
      </w:r>
    </w:p>
    <w:p>
      <w:pPr>
        <w:pStyle w:val="237"/>
        <w:ind w:left="0" w:leftChars="0" w:firstLine="641" w:firstLineChars="200"/>
        <w:rPr>
          <w:rFonts w:hint="eastAsia" w:ascii="华文楷体" w:hAnsi="华文楷体" w:eastAsia="华文楷体" w:cs="华文楷体"/>
          <w:sz w:val="32"/>
          <w:szCs w:val="32"/>
        </w:rPr>
      </w:pPr>
      <w:r>
        <w:rPr>
          <w:rFonts w:hint="eastAsia" w:ascii="华文楷体" w:hAnsi="华文楷体" w:eastAsia="华文楷体" w:cs="华文楷体"/>
          <w:sz w:val="32"/>
          <w:szCs w:val="32"/>
        </w:rPr>
        <w:t>（三）草地定级与基准地价制定成果</w:t>
      </w:r>
    </w:p>
    <w:p>
      <w:pPr>
        <w:pStyle w:val="233"/>
        <w:ind w:firstLine="480"/>
      </w:pPr>
      <w:r>
        <w:rPr>
          <w:rFonts w:hint="eastAsia"/>
        </w:rPr>
        <w:t>1、定级结果</w:t>
      </w:r>
    </w:p>
    <w:p>
      <w:pPr>
        <w:pStyle w:val="236"/>
        <w:rPr>
          <w:color w:val="auto"/>
          <w:sz w:val="24"/>
          <w:szCs w:val="24"/>
        </w:rPr>
      </w:pPr>
      <w:r>
        <w:rPr>
          <w:color w:val="auto"/>
          <w:sz w:val="24"/>
          <w:szCs w:val="24"/>
        </w:rPr>
        <w:t>表8</w:t>
      </w:r>
      <w:r>
        <w:rPr>
          <w:rFonts w:hint="eastAsia"/>
          <w:color w:val="auto"/>
          <w:sz w:val="24"/>
          <w:szCs w:val="24"/>
        </w:rPr>
        <w:t xml:space="preserve"> 昆明市晋宁</w:t>
      </w:r>
      <w:r>
        <w:rPr>
          <w:color w:val="auto"/>
          <w:sz w:val="24"/>
          <w:szCs w:val="24"/>
        </w:rPr>
        <w:t>区</w:t>
      </w:r>
      <w:r>
        <w:rPr>
          <w:rFonts w:hint="eastAsia"/>
          <w:color w:val="auto"/>
          <w:sz w:val="24"/>
          <w:szCs w:val="24"/>
        </w:rPr>
        <w:t>草地各级别</w:t>
      </w:r>
      <w:r>
        <w:rPr>
          <w:color w:val="auto"/>
          <w:sz w:val="24"/>
          <w:szCs w:val="24"/>
        </w:rPr>
        <w:t>面积统计表</w:t>
      </w:r>
    </w:p>
    <w:p>
      <w:pPr>
        <w:pStyle w:val="242"/>
        <w:spacing w:before="120"/>
        <w:ind w:firstLine="480"/>
        <w:jc w:val="right"/>
        <w:rPr>
          <w:color w:val="auto"/>
        </w:rPr>
      </w:pPr>
      <w:r>
        <w:rPr>
          <w:rFonts w:hint="eastAsia"/>
          <w:color w:val="auto"/>
        </w:rPr>
        <w:t>单位</w:t>
      </w:r>
      <w:r>
        <w:rPr>
          <w:color w:val="auto"/>
        </w:rPr>
        <w:t>：</w:t>
      </w:r>
      <w:r>
        <w:rPr>
          <w:rFonts w:hint="eastAsia"/>
          <w:color w:val="auto"/>
        </w:rPr>
        <w:t>公顷</w:t>
      </w:r>
    </w:p>
    <w:tbl>
      <w:tblPr>
        <w:tblStyle w:val="36"/>
        <w:tblW w:w="13990" w:type="dxa"/>
        <w:tblInd w:w="-10" w:type="dxa"/>
        <w:tblLayout w:type="fixed"/>
        <w:tblCellMar>
          <w:top w:w="0" w:type="dxa"/>
          <w:left w:w="108" w:type="dxa"/>
          <w:bottom w:w="0" w:type="dxa"/>
          <w:right w:w="108" w:type="dxa"/>
        </w:tblCellMar>
      </w:tblPr>
      <w:tblGrid>
        <w:gridCol w:w="1701"/>
        <w:gridCol w:w="1701"/>
        <w:gridCol w:w="2803"/>
        <w:gridCol w:w="2505"/>
        <w:gridCol w:w="3150"/>
        <w:gridCol w:w="2130"/>
      </w:tblGrid>
      <w:tr>
        <w:tblPrEx>
          <w:tblCellMar>
            <w:top w:w="0" w:type="dxa"/>
            <w:left w:w="108" w:type="dxa"/>
            <w:bottom w:w="0" w:type="dxa"/>
            <w:right w:w="108" w:type="dxa"/>
          </w:tblCellMar>
        </w:tblPrEx>
        <w:trPr>
          <w:trHeight w:val="300" w:hRule="atLeast"/>
        </w:trPr>
        <w:tc>
          <w:tcPr>
            <w:tcW w:w="6205" w:type="dxa"/>
            <w:gridSpan w:val="3"/>
            <w:tcBorders>
              <w:top w:val="single" w:color="auto" w:sz="8" w:space="0"/>
              <w:left w:val="single" w:color="auto" w:sz="8" w:space="0"/>
              <w:bottom w:val="single" w:color="auto" w:sz="8" w:space="0"/>
              <w:right w:val="single" w:color="000000"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二级地类</w:t>
            </w:r>
          </w:p>
        </w:tc>
        <w:tc>
          <w:tcPr>
            <w:tcW w:w="2505" w:type="dxa"/>
            <w:tcBorders>
              <w:top w:val="single" w:color="auto" w:sz="8" w:space="0"/>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草地级别</w:t>
            </w:r>
          </w:p>
        </w:tc>
        <w:tc>
          <w:tcPr>
            <w:tcW w:w="3150"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面积</w:t>
            </w:r>
          </w:p>
        </w:tc>
        <w:tc>
          <w:tcPr>
            <w:tcW w:w="2130" w:type="dxa"/>
            <w:vMerge w:val="restart"/>
            <w:tcBorders>
              <w:top w:val="single" w:color="auto" w:sz="8" w:space="0"/>
              <w:left w:val="single" w:color="auto" w:sz="8" w:space="0"/>
              <w:bottom w:val="single" w:color="000000"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占比</w:t>
            </w:r>
          </w:p>
        </w:tc>
      </w:tr>
      <w:tr>
        <w:tblPrEx>
          <w:tblCellMar>
            <w:top w:w="0" w:type="dxa"/>
            <w:left w:w="108" w:type="dxa"/>
            <w:bottom w:w="0" w:type="dxa"/>
            <w:right w:w="108" w:type="dxa"/>
          </w:tblCellMar>
        </w:tblPrEx>
        <w:trPr>
          <w:trHeight w:val="300" w:hRule="atLeast"/>
        </w:trPr>
        <w:tc>
          <w:tcPr>
            <w:tcW w:w="1701" w:type="dxa"/>
            <w:tcBorders>
              <w:top w:val="nil"/>
              <w:left w:val="single" w:color="auto" w:sz="8" w:space="0"/>
              <w:bottom w:val="single" w:color="auto" w:sz="8" w:space="0"/>
              <w:right w:val="single" w:color="auto" w:sz="8" w:space="0"/>
            </w:tcBorders>
            <w:shd w:val="clear" w:color="auto" w:fill="auto"/>
            <w:noWrap/>
            <w:vAlign w:val="center"/>
          </w:tcPr>
          <w:p>
            <w:pPr>
              <w:pStyle w:val="59"/>
              <w:spacing w:line="500" w:lineRule="exact"/>
            </w:pPr>
            <w:r>
              <w:rPr>
                <w:rFonts w:hint="eastAsia" w:ascii="Times New Roman" w:hAnsi="Times New Roman" w:cs="Times New Roman"/>
                <w:sz w:val="21"/>
                <w:szCs w:val="21"/>
              </w:rPr>
              <w:t>地类名称</w:t>
            </w:r>
          </w:p>
        </w:tc>
        <w:tc>
          <w:tcPr>
            <w:tcW w:w="1701" w:type="dxa"/>
            <w:tcBorders>
              <w:top w:val="nil"/>
              <w:left w:val="nil"/>
              <w:bottom w:val="single" w:color="auto" w:sz="8" w:space="0"/>
              <w:right w:val="single" w:color="auto" w:sz="8"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面积</w:t>
            </w:r>
          </w:p>
        </w:tc>
        <w:tc>
          <w:tcPr>
            <w:tcW w:w="2803" w:type="dxa"/>
            <w:tcBorders>
              <w:top w:val="nil"/>
              <w:left w:val="nil"/>
              <w:bottom w:val="single" w:color="auto" w:sz="8" w:space="0"/>
              <w:right w:val="single" w:color="auto" w:sz="8"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比例</w:t>
            </w:r>
          </w:p>
        </w:tc>
        <w:tc>
          <w:tcPr>
            <w:tcW w:w="2505" w:type="dxa"/>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（均质区）</w:t>
            </w:r>
          </w:p>
        </w:tc>
        <w:tc>
          <w:tcPr>
            <w:tcW w:w="3150" w:type="dxa"/>
            <w:vMerge w:val="continue"/>
            <w:tcBorders>
              <w:top w:val="single" w:color="auto" w:sz="8" w:space="0"/>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2130" w:type="dxa"/>
            <w:vMerge w:val="continue"/>
            <w:tcBorders>
              <w:top w:val="single" w:color="auto" w:sz="8" w:space="0"/>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r>
      <w:tr>
        <w:tblPrEx>
          <w:tblCellMar>
            <w:top w:w="0" w:type="dxa"/>
            <w:left w:w="108" w:type="dxa"/>
            <w:bottom w:w="0" w:type="dxa"/>
            <w:right w:w="108" w:type="dxa"/>
          </w:tblCellMar>
        </w:tblPrEx>
        <w:trPr>
          <w:trHeight w:val="300" w:hRule="atLeast"/>
        </w:trPr>
        <w:tc>
          <w:tcPr>
            <w:tcW w:w="1701" w:type="dxa"/>
            <w:vMerge w:val="restart"/>
            <w:tcBorders>
              <w:top w:val="nil"/>
              <w:left w:val="single" w:color="auto" w:sz="8" w:space="0"/>
              <w:bottom w:val="single" w:color="000000"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其他草地</w:t>
            </w:r>
          </w:p>
        </w:tc>
        <w:tc>
          <w:tcPr>
            <w:tcW w:w="1701" w:type="dxa"/>
            <w:vMerge w:val="restart"/>
            <w:tcBorders>
              <w:top w:val="nil"/>
              <w:left w:val="single" w:color="auto" w:sz="8" w:space="0"/>
              <w:bottom w:val="single" w:color="000000"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3761.089201</w:t>
            </w:r>
          </w:p>
        </w:tc>
        <w:tc>
          <w:tcPr>
            <w:tcW w:w="2803" w:type="dxa"/>
            <w:vMerge w:val="restart"/>
            <w:tcBorders>
              <w:top w:val="nil"/>
              <w:left w:val="single" w:color="auto" w:sz="8" w:space="0"/>
              <w:bottom w:val="single" w:color="000000"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100.00%</w:t>
            </w:r>
          </w:p>
        </w:tc>
        <w:tc>
          <w:tcPr>
            <w:tcW w:w="2505" w:type="dxa"/>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1</w:t>
            </w:r>
            <w:r>
              <w:rPr>
                <w:rFonts w:hint="eastAsia" w:ascii="Times New Roman" w:hAnsi="Times New Roman" w:cs="Times New Roman"/>
                <w:kern w:val="0"/>
                <w:szCs w:val="21"/>
              </w:rPr>
              <w:t>级</w:t>
            </w:r>
          </w:p>
        </w:tc>
        <w:tc>
          <w:tcPr>
            <w:tcW w:w="3150" w:type="dxa"/>
            <w:tcBorders>
              <w:top w:val="nil"/>
              <w:left w:val="nil"/>
              <w:bottom w:val="single" w:color="auto" w:sz="8" w:space="0"/>
              <w:right w:val="single" w:color="auto" w:sz="8"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2021.617015</w:t>
            </w:r>
          </w:p>
        </w:tc>
        <w:tc>
          <w:tcPr>
            <w:tcW w:w="2130" w:type="dxa"/>
            <w:tcBorders>
              <w:top w:val="nil"/>
              <w:left w:val="nil"/>
              <w:bottom w:val="single" w:color="auto" w:sz="8" w:space="0"/>
              <w:right w:val="single" w:color="auto" w:sz="8"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53.75%</w:t>
            </w:r>
          </w:p>
        </w:tc>
      </w:tr>
      <w:tr>
        <w:tblPrEx>
          <w:tblCellMar>
            <w:top w:w="0" w:type="dxa"/>
            <w:left w:w="108" w:type="dxa"/>
            <w:bottom w:w="0" w:type="dxa"/>
            <w:right w:w="108" w:type="dxa"/>
          </w:tblCellMar>
        </w:tblPrEx>
        <w:trPr>
          <w:trHeight w:val="300" w:hRule="atLeast"/>
        </w:trPr>
        <w:tc>
          <w:tcPr>
            <w:tcW w:w="1701" w:type="dxa"/>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1701" w:type="dxa"/>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2803" w:type="dxa"/>
            <w:vMerge w:val="continue"/>
            <w:tcBorders>
              <w:top w:val="nil"/>
              <w:left w:val="single" w:color="auto" w:sz="8" w:space="0"/>
              <w:bottom w:val="single" w:color="000000" w:sz="8" w:space="0"/>
              <w:right w:val="single" w:color="auto" w:sz="8" w:space="0"/>
            </w:tcBorders>
            <w:vAlign w:val="center"/>
          </w:tcPr>
          <w:p>
            <w:pPr>
              <w:widowControl/>
              <w:spacing w:line="500" w:lineRule="exact"/>
              <w:jc w:val="center"/>
              <w:rPr>
                <w:rFonts w:ascii="Times New Roman" w:hAnsi="Times New Roman" w:cs="Times New Roman"/>
                <w:kern w:val="0"/>
                <w:szCs w:val="21"/>
              </w:rPr>
            </w:pPr>
          </w:p>
        </w:tc>
        <w:tc>
          <w:tcPr>
            <w:tcW w:w="2505" w:type="dxa"/>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2</w:t>
            </w:r>
            <w:r>
              <w:rPr>
                <w:rFonts w:hint="eastAsia" w:ascii="Times New Roman" w:hAnsi="Times New Roman" w:cs="Times New Roman"/>
                <w:kern w:val="0"/>
                <w:szCs w:val="21"/>
              </w:rPr>
              <w:t>级</w:t>
            </w:r>
          </w:p>
        </w:tc>
        <w:tc>
          <w:tcPr>
            <w:tcW w:w="3150" w:type="dxa"/>
            <w:tcBorders>
              <w:top w:val="nil"/>
              <w:left w:val="nil"/>
              <w:bottom w:val="single" w:color="auto" w:sz="8" w:space="0"/>
              <w:right w:val="single" w:color="auto" w:sz="8"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1739.472186</w:t>
            </w:r>
          </w:p>
        </w:tc>
        <w:tc>
          <w:tcPr>
            <w:tcW w:w="2130" w:type="dxa"/>
            <w:tcBorders>
              <w:top w:val="nil"/>
              <w:left w:val="nil"/>
              <w:bottom w:val="single" w:color="auto" w:sz="8" w:space="0"/>
              <w:right w:val="single" w:color="auto" w:sz="8"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46.25%</w:t>
            </w:r>
          </w:p>
        </w:tc>
      </w:tr>
      <w:tr>
        <w:tblPrEx>
          <w:tblCellMar>
            <w:top w:w="0" w:type="dxa"/>
            <w:left w:w="108" w:type="dxa"/>
            <w:bottom w:w="0" w:type="dxa"/>
            <w:right w:w="108" w:type="dxa"/>
          </w:tblCellMar>
        </w:tblPrEx>
        <w:trPr>
          <w:trHeight w:val="300" w:hRule="atLeast"/>
        </w:trPr>
        <w:tc>
          <w:tcPr>
            <w:tcW w:w="1701" w:type="dxa"/>
            <w:tcBorders>
              <w:top w:val="nil"/>
              <w:left w:val="single" w:color="auto" w:sz="8" w:space="0"/>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hint="eastAsia" w:ascii="Times New Roman" w:hAnsi="Times New Roman" w:cs="Times New Roman"/>
                <w:kern w:val="0"/>
                <w:szCs w:val="21"/>
              </w:rPr>
              <w:t>合计</w:t>
            </w:r>
          </w:p>
        </w:tc>
        <w:tc>
          <w:tcPr>
            <w:tcW w:w="1701" w:type="dxa"/>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3761.089201</w:t>
            </w:r>
          </w:p>
        </w:tc>
        <w:tc>
          <w:tcPr>
            <w:tcW w:w="2803" w:type="dxa"/>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w:t>
            </w:r>
          </w:p>
        </w:tc>
        <w:tc>
          <w:tcPr>
            <w:tcW w:w="2505" w:type="dxa"/>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w:t>
            </w:r>
          </w:p>
        </w:tc>
        <w:tc>
          <w:tcPr>
            <w:tcW w:w="3150" w:type="dxa"/>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3761.089201</w:t>
            </w:r>
          </w:p>
        </w:tc>
        <w:tc>
          <w:tcPr>
            <w:tcW w:w="2130" w:type="dxa"/>
            <w:tcBorders>
              <w:top w:val="nil"/>
              <w:left w:val="nil"/>
              <w:bottom w:val="single" w:color="auto" w:sz="8" w:space="0"/>
              <w:right w:val="single" w:color="auto" w:sz="8" w:space="0"/>
            </w:tcBorders>
            <w:shd w:val="clear" w:color="auto" w:fill="auto"/>
            <w:noWrap/>
            <w:vAlign w:val="center"/>
          </w:tcPr>
          <w:p>
            <w:pPr>
              <w:widowControl/>
              <w:spacing w:line="500" w:lineRule="exact"/>
              <w:jc w:val="center"/>
              <w:rPr>
                <w:rFonts w:ascii="Times New Roman" w:hAnsi="Times New Roman" w:cs="Times New Roman"/>
                <w:kern w:val="0"/>
                <w:szCs w:val="21"/>
              </w:rPr>
            </w:pPr>
            <w:r>
              <w:rPr>
                <w:rFonts w:ascii="Times New Roman" w:hAnsi="Times New Roman" w:cs="Times New Roman"/>
                <w:kern w:val="0"/>
                <w:szCs w:val="21"/>
              </w:rPr>
              <w:t>-</w:t>
            </w:r>
          </w:p>
        </w:tc>
      </w:tr>
    </w:tbl>
    <w:p>
      <w:pPr>
        <w:pStyle w:val="233"/>
        <w:ind w:firstLine="480"/>
      </w:pPr>
      <w:r>
        <w:t>2</w:t>
      </w:r>
      <w:r>
        <w:rPr>
          <w:rFonts w:hint="eastAsia"/>
        </w:rPr>
        <w:t>、基准地价内涵</w:t>
      </w:r>
    </w:p>
    <w:p>
      <w:pPr>
        <w:spacing w:line="360" w:lineRule="auto"/>
        <w:ind w:firstLine="480" w:firstLineChars="200"/>
        <w:rPr>
          <w:sz w:val="24"/>
          <w:szCs w:val="24"/>
        </w:rPr>
      </w:pPr>
      <w:r>
        <w:rPr>
          <w:rFonts w:hint="eastAsia"/>
          <w:sz w:val="24"/>
          <w:szCs w:val="24"/>
        </w:rPr>
        <w:t>估价期日为</w:t>
      </w:r>
      <w:r>
        <w:rPr>
          <w:rFonts w:hint="eastAsia" w:ascii="Times New Roman" w:hAnsi="Times New Roman" w:cs="Times New Roman"/>
          <w:kern w:val="0"/>
          <w:sz w:val="24"/>
          <w:szCs w:val="24"/>
        </w:rPr>
        <w:t>2023年1月1日，</w:t>
      </w:r>
      <w:r>
        <w:rPr>
          <w:rFonts w:hint="eastAsia"/>
          <w:sz w:val="24"/>
          <w:szCs w:val="24"/>
        </w:rPr>
        <w:t>在平稳正常情况、公开市场条件下，设定宗地内达到草地利用条件，宗地外道路通达、水源供给有保障，按照其他草地评估各级别土地使用</w:t>
      </w:r>
      <w:r>
        <w:rPr>
          <w:rFonts w:hint="eastAsia" w:ascii="Times New Roman" w:hAnsi="Times New Roman" w:cs="Times New Roman"/>
          <w:kern w:val="0"/>
          <w:sz w:val="24"/>
          <w:szCs w:val="24"/>
        </w:rPr>
        <w:t>年期为30年</w:t>
      </w:r>
      <w:r>
        <w:rPr>
          <w:rFonts w:hint="eastAsia"/>
          <w:sz w:val="24"/>
          <w:szCs w:val="24"/>
        </w:rPr>
        <w:t>的承包经营权价格，草地不包含地上附着作物价值。</w:t>
      </w:r>
    </w:p>
    <w:p>
      <w:pPr>
        <w:pStyle w:val="236"/>
        <w:rPr>
          <w:color w:val="auto"/>
          <w:sz w:val="24"/>
          <w:szCs w:val="24"/>
        </w:rPr>
      </w:pPr>
      <w:r>
        <w:rPr>
          <w:rFonts w:hint="eastAsia"/>
          <w:color w:val="auto"/>
          <w:sz w:val="24"/>
          <w:szCs w:val="24"/>
        </w:rPr>
        <w:t>表</w:t>
      </w:r>
      <w:r>
        <w:rPr>
          <w:color w:val="auto"/>
          <w:sz w:val="24"/>
          <w:szCs w:val="24"/>
        </w:rPr>
        <w:t>9</w:t>
      </w:r>
      <w:r>
        <w:rPr>
          <w:rFonts w:hint="eastAsia"/>
          <w:color w:val="auto"/>
          <w:sz w:val="24"/>
          <w:szCs w:val="24"/>
        </w:rPr>
        <w:t xml:space="preserve"> 昆明市晋宁</w:t>
      </w:r>
      <w:r>
        <w:rPr>
          <w:color w:val="auto"/>
          <w:sz w:val="24"/>
          <w:szCs w:val="24"/>
        </w:rPr>
        <w:t>区</w:t>
      </w:r>
      <w:r>
        <w:rPr>
          <w:rFonts w:hint="eastAsia"/>
          <w:color w:val="auto"/>
          <w:sz w:val="24"/>
          <w:szCs w:val="24"/>
        </w:rPr>
        <w:t>202</w:t>
      </w:r>
      <w:r>
        <w:rPr>
          <w:color w:val="auto"/>
          <w:sz w:val="24"/>
          <w:szCs w:val="24"/>
        </w:rPr>
        <w:t>3</w:t>
      </w:r>
      <w:r>
        <w:rPr>
          <w:rFonts w:hint="eastAsia"/>
          <w:color w:val="auto"/>
          <w:sz w:val="24"/>
          <w:szCs w:val="24"/>
        </w:rPr>
        <w:t>年草</w:t>
      </w:r>
      <w:r>
        <w:rPr>
          <w:color w:val="auto"/>
          <w:sz w:val="24"/>
          <w:szCs w:val="24"/>
        </w:rPr>
        <w:t>地基准地价内涵表</w:t>
      </w: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7"/>
        <w:gridCol w:w="11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地类</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草地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估价期日</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2023年1月1日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市场特征</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公开市场价值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权利类型</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承包经营权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权利年期</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30年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利用类型</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其他草地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基础设施状况</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设定宗地内达到草地利用条件，宗地外道路通达、水源供给有保障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82"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其他说明</w:t>
            </w:r>
          </w:p>
        </w:tc>
        <w:tc>
          <w:tcPr>
            <w:tcW w:w="3918" w:type="pct"/>
            <w:shd w:val="clear" w:color="auto" w:fill="auto"/>
            <w:vAlign w:val="center"/>
          </w:tcPr>
          <w:p>
            <w:pPr>
              <w:pStyle w:val="59"/>
              <w:rPr>
                <w:rFonts w:ascii="Times New Roman" w:hAnsi="Times New Roman" w:cs="Times New Roman"/>
                <w:sz w:val="21"/>
                <w:szCs w:val="21"/>
              </w:rPr>
            </w:pPr>
            <w:r>
              <w:rPr>
                <w:rFonts w:ascii="Times New Roman" w:hAnsi="Times New Roman" w:cs="Times New Roman"/>
                <w:sz w:val="21"/>
                <w:szCs w:val="21"/>
              </w:rPr>
              <w:t>不包含地上附着作物价值</w:t>
            </w:r>
          </w:p>
        </w:tc>
      </w:tr>
    </w:tbl>
    <w:p>
      <w:pPr>
        <w:pStyle w:val="233"/>
        <w:ind w:firstLine="480"/>
      </w:pPr>
    </w:p>
    <w:p>
      <w:pPr>
        <w:pStyle w:val="2"/>
        <w:rPr>
          <w:rFonts w:ascii="Times New Roman" w:hAnsi="Times New Roman" w:eastAsia="宋体" w:cs="Times New Roman"/>
          <w:sz w:val="24"/>
          <w:szCs w:val="24"/>
        </w:rPr>
      </w:pPr>
    </w:p>
    <w:p>
      <w:pPr>
        <w:pStyle w:val="233"/>
        <w:ind w:firstLine="480"/>
      </w:pPr>
      <w:r>
        <w:rPr>
          <w:rFonts w:hint="eastAsia"/>
          <w:lang w:val="en-US" w:eastAsia="zh-CN"/>
        </w:rPr>
        <w:t>3、</w:t>
      </w:r>
      <w:r>
        <w:t>基准地价</w:t>
      </w:r>
      <w:r>
        <w:rPr>
          <w:rFonts w:hint="eastAsia"/>
        </w:rPr>
        <w:t>结果</w:t>
      </w:r>
    </w:p>
    <w:p>
      <w:pPr>
        <w:pStyle w:val="236"/>
        <w:rPr>
          <w:color w:val="auto"/>
          <w:sz w:val="24"/>
          <w:szCs w:val="24"/>
        </w:rPr>
      </w:pPr>
      <w:r>
        <w:rPr>
          <w:rFonts w:hint="eastAsia"/>
          <w:color w:val="auto"/>
          <w:sz w:val="24"/>
          <w:szCs w:val="24"/>
        </w:rPr>
        <w:t>表</w:t>
      </w:r>
      <w:r>
        <w:rPr>
          <w:color w:val="auto"/>
          <w:sz w:val="24"/>
          <w:szCs w:val="24"/>
        </w:rPr>
        <w:t xml:space="preserve">10  </w:t>
      </w:r>
      <w:r>
        <w:rPr>
          <w:rFonts w:hint="eastAsia"/>
          <w:color w:val="auto"/>
          <w:sz w:val="24"/>
          <w:szCs w:val="24"/>
        </w:rPr>
        <w:t>昆明市晋宁</w:t>
      </w:r>
      <w:r>
        <w:rPr>
          <w:color w:val="auto"/>
          <w:sz w:val="24"/>
          <w:szCs w:val="24"/>
        </w:rPr>
        <w:t>区</w:t>
      </w:r>
      <w:r>
        <w:rPr>
          <w:rFonts w:hint="eastAsia"/>
          <w:color w:val="auto"/>
          <w:sz w:val="24"/>
          <w:szCs w:val="24"/>
        </w:rPr>
        <w:t>草地-其他草地基准地价结果表</w:t>
      </w:r>
    </w:p>
    <w:tbl>
      <w:tblPr>
        <w:tblStyle w:val="36"/>
        <w:tblW w:w="5000" w:type="pct"/>
        <w:tblInd w:w="0" w:type="dxa"/>
        <w:tblLayout w:type="autofit"/>
        <w:tblCellMar>
          <w:top w:w="0" w:type="dxa"/>
          <w:left w:w="108" w:type="dxa"/>
          <w:bottom w:w="0" w:type="dxa"/>
          <w:right w:w="108" w:type="dxa"/>
        </w:tblCellMar>
      </w:tblPr>
      <w:tblGrid>
        <w:gridCol w:w="2522"/>
        <w:gridCol w:w="3277"/>
        <w:gridCol w:w="1860"/>
        <w:gridCol w:w="2101"/>
        <w:gridCol w:w="2333"/>
        <w:gridCol w:w="2081"/>
      </w:tblGrid>
      <w:tr>
        <w:tblPrEx>
          <w:tblCellMar>
            <w:top w:w="0" w:type="dxa"/>
            <w:left w:w="108" w:type="dxa"/>
            <w:bottom w:w="0" w:type="dxa"/>
            <w:right w:w="108" w:type="dxa"/>
          </w:tblCellMar>
        </w:tblPrEx>
        <w:trPr>
          <w:trHeight w:val="510" w:hRule="atLeast"/>
        </w:trPr>
        <w:tc>
          <w:tcPr>
            <w:tcW w:w="89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草地利用类型</w:t>
            </w:r>
          </w:p>
        </w:tc>
        <w:tc>
          <w:tcPr>
            <w:tcW w:w="2552" w:type="pct"/>
            <w:gridSpan w:val="3"/>
            <w:tcBorders>
              <w:top w:val="single" w:color="auto" w:sz="4" w:space="0"/>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基准地价</w:t>
            </w:r>
          </w:p>
        </w:tc>
        <w:tc>
          <w:tcPr>
            <w:tcW w:w="823" w:type="pct"/>
            <w:tcBorders>
              <w:top w:val="single" w:color="auto" w:sz="4" w:space="0"/>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面积</w:t>
            </w:r>
          </w:p>
        </w:tc>
        <w:tc>
          <w:tcPr>
            <w:tcW w:w="734" w:type="pct"/>
            <w:tcBorders>
              <w:top w:val="single" w:color="auto" w:sz="4" w:space="0"/>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所占比例</w:t>
            </w:r>
          </w:p>
        </w:tc>
      </w:tr>
      <w:tr>
        <w:tblPrEx>
          <w:tblCellMar>
            <w:top w:w="0" w:type="dxa"/>
            <w:left w:w="108" w:type="dxa"/>
            <w:bottom w:w="0" w:type="dxa"/>
            <w:right w:w="108" w:type="dxa"/>
          </w:tblCellMar>
        </w:tblPrEx>
        <w:trPr>
          <w:trHeight w:val="510" w:hRule="atLeast"/>
        </w:trPr>
        <w:tc>
          <w:tcPr>
            <w:tcW w:w="890" w:type="pct"/>
            <w:vMerge w:val="continue"/>
            <w:tcBorders>
              <w:top w:val="single" w:color="auto" w:sz="4" w:space="0"/>
              <w:left w:val="single" w:color="auto" w:sz="4" w:space="0"/>
              <w:bottom w:val="single" w:color="auto" w:sz="4" w:space="0"/>
              <w:right w:val="single" w:color="auto" w:sz="4" w:space="0"/>
            </w:tcBorders>
            <w:vAlign w:val="center"/>
          </w:tcPr>
          <w:p>
            <w:pPr>
              <w:pStyle w:val="59"/>
              <w:spacing w:line="500" w:lineRule="exact"/>
              <w:rPr>
                <w:rFonts w:ascii="Times New Roman" w:hAnsi="Times New Roman" w:cs="Times New Roman"/>
                <w:sz w:val="21"/>
                <w:szCs w:val="21"/>
              </w:rPr>
            </w:pPr>
          </w:p>
        </w:tc>
        <w:tc>
          <w:tcPr>
            <w:tcW w:w="1156" w:type="pct"/>
            <w:tcBorders>
              <w:top w:val="nil"/>
              <w:left w:val="nil"/>
              <w:bottom w:val="single" w:color="auto" w:sz="4" w:space="0"/>
              <w:right w:val="single" w:color="auto" w:sz="4" w:space="0"/>
            </w:tcBorders>
            <w:shd w:val="clear" w:color="auto" w:fill="auto"/>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草地级别</w:t>
            </w:r>
            <w:r>
              <w:rPr>
                <w:rFonts w:hint="eastAsia" w:ascii="Times New Roman" w:hAnsi="Times New Roman" w:cs="Times New Roman"/>
                <w:sz w:val="21"/>
                <w:szCs w:val="21"/>
              </w:rPr>
              <w:br w:type="textWrapping"/>
            </w:r>
            <w:r>
              <w:rPr>
                <w:rFonts w:hint="eastAsia" w:ascii="Times New Roman" w:hAnsi="Times New Roman" w:cs="Times New Roman"/>
                <w:sz w:val="21"/>
                <w:szCs w:val="21"/>
              </w:rPr>
              <w:t>（均质区）</w:t>
            </w:r>
          </w:p>
        </w:tc>
        <w:tc>
          <w:tcPr>
            <w:tcW w:w="656" w:type="pct"/>
            <w:tcBorders>
              <w:top w:val="nil"/>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元/㎡</w:t>
            </w:r>
          </w:p>
        </w:tc>
        <w:tc>
          <w:tcPr>
            <w:tcW w:w="741" w:type="pct"/>
            <w:tcBorders>
              <w:top w:val="nil"/>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万元/亩</w:t>
            </w:r>
          </w:p>
        </w:tc>
        <w:tc>
          <w:tcPr>
            <w:tcW w:w="823" w:type="pct"/>
            <w:tcBorders>
              <w:top w:val="nil"/>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公顷</w:t>
            </w:r>
          </w:p>
        </w:tc>
        <w:tc>
          <w:tcPr>
            <w:tcW w:w="734" w:type="pct"/>
            <w:tcBorders>
              <w:top w:val="nil"/>
              <w:left w:val="nil"/>
              <w:bottom w:val="single" w:color="auto" w:sz="4" w:space="0"/>
              <w:right w:val="single" w:color="auto" w:sz="4" w:space="0"/>
            </w:tcBorders>
            <w:shd w:val="clear" w:color="auto" w:fill="auto"/>
            <w:noWrap/>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w:t>
            </w:r>
          </w:p>
        </w:tc>
      </w:tr>
      <w:tr>
        <w:tblPrEx>
          <w:tblCellMar>
            <w:top w:w="0" w:type="dxa"/>
            <w:left w:w="108" w:type="dxa"/>
            <w:bottom w:w="0" w:type="dxa"/>
            <w:right w:w="108" w:type="dxa"/>
          </w:tblCellMar>
        </w:tblPrEx>
        <w:trPr>
          <w:trHeight w:val="510" w:hRule="atLeast"/>
        </w:trPr>
        <w:tc>
          <w:tcPr>
            <w:tcW w:w="890" w:type="pct"/>
            <w:vMerge w:val="restart"/>
            <w:tcBorders>
              <w:top w:val="nil"/>
              <w:left w:val="single" w:color="auto" w:sz="4" w:space="0"/>
              <w:right w:val="single" w:color="auto" w:sz="4" w:space="0"/>
            </w:tcBorders>
            <w:shd w:val="clear" w:color="auto" w:fill="auto"/>
            <w:vAlign w:val="center"/>
          </w:tcPr>
          <w:p>
            <w:pPr>
              <w:pStyle w:val="59"/>
              <w:spacing w:line="500" w:lineRule="exact"/>
              <w:rPr>
                <w:rFonts w:ascii="Times New Roman" w:hAnsi="Times New Roman" w:cs="Times New Roman"/>
                <w:sz w:val="21"/>
                <w:szCs w:val="21"/>
              </w:rPr>
            </w:pPr>
            <w:r>
              <w:rPr>
                <w:rFonts w:hint="eastAsia" w:ascii="Times New Roman" w:hAnsi="Times New Roman" w:cs="Times New Roman"/>
                <w:sz w:val="21"/>
                <w:szCs w:val="21"/>
              </w:rPr>
              <w:t>其他草地</w:t>
            </w:r>
          </w:p>
        </w:tc>
        <w:tc>
          <w:tcPr>
            <w:tcW w:w="1156" w:type="pct"/>
            <w:tcBorders>
              <w:top w:val="nil"/>
              <w:left w:val="nil"/>
              <w:bottom w:val="single" w:color="auto" w:sz="4" w:space="0"/>
              <w:right w:val="single" w:color="auto" w:sz="4" w:space="0"/>
            </w:tcBorders>
            <w:shd w:val="clear" w:color="auto" w:fill="auto"/>
            <w:vAlign w:val="center"/>
          </w:tcPr>
          <w:p>
            <w:pPr>
              <w:pStyle w:val="59"/>
              <w:spacing w:line="500" w:lineRule="exact"/>
              <w:rPr>
                <w:rFonts w:ascii="Times New Roman" w:hAnsi="Times New Roman" w:cs="Times New Roman"/>
                <w:sz w:val="21"/>
                <w:szCs w:val="21"/>
              </w:rPr>
            </w:pPr>
            <w:r>
              <w:rPr>
                <w:rFonts w:ascii="Times New Roman" w:hAnsi="Times New Roman" w:cs="Times New Roman"/>
                <w:sz w:val="21"/>
                <w:szCs w:val="21"/>
              </w:rPr>
              <w:t>1</w:t>
            </w:r>
            <w:r>
              <w:rPr>
                <w:rFonts w:hint="eastAsia" w:ascii="Times New Roman" w:hAnsi="Times New Roman" w:cs="Times New Roman"/>
                <w:sz w:val="21"/>
                <w:szCs w:val="21"/>
              </w:rPr>
              <w:t>级</w:t>
            </w:r>
          </w:p>
        </w:tc>
        <w:tc>
          <w:tcPr>
            <w:tcW w:w="65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13.95</w:t>
            </w:r>
          </w:p>
        </w:tc>
        <w:tc>
          <w:tcPr>
            <w:tcW w:w="741"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0.93</w:t>
            </w:r>
          </w:p>
        </w:tc>
        <w:tc>
          <w:tcPr>
            <w:tcW w:w="823"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2021.617015</w:t>
            </w:r>
          </w:p>
        </w:tc>
        <w:tc>
          <w:tcPr>
            <w:tcW w:w="73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53.75%</w:t>
            </w:r>
          </w:p>
        </w:tc>
      </w:tr>
      <w:tr>
        <w:tblPrEx>
          <w:tblCellMar>
            <w:top w:w="0" w:type="dxa"/>
            <w:left w:w="108" w:type="dxa"/>
            <w:bottom w:w="0" w:type="dxa"/>
            <w:right w:w="108" w:type="dxa"/>
          </w:tblCellMar>
        </w:tblPrEx>
        <w:trPr>
          <w:trHeight w:val="510" w:hRule="atLeast"/>
        </w:trPr>
        <w:tc>
          <w:tcPr>
            <w:tcW w:w="890" w:type="pct"/>
            <w:vMerge w:val="continue"/>
            <w:tcBorders>
              <w:left w:val="single" w:color="auto" w:sz="4" w:space="0"/>
              <w:bottom w:val="single" w:color="auto" w:sz="4" w:space="0"/>
              <w:right w:val="single" w:color="auto" w:sz="4" w:space="0"/>
            </w:tcBorders>
            <w:shd w:val="clear" w:color="auto" w:fill="auto"/>
            <w:vAlign w:val="center"/>
          </w:tcPr>
          <w:p>
            <w:pPr>
              <w:pStyle w:val="59"/>
              <w:spacing w:line="500" w:lineRule="exact"/>
              <w:rPr>
                <w:rFonts w:ascii="Times New Roman" w:hAnsi="Times New Roman" w:cs="Times New Roman"/>
                <w:sz w:val="21"/>
                <w:szCs w:val="21"/>
              </w:rPr>
            </w:pPr>
          </w:p>
        </w:tc>
        <w:tc>
          <w:tcPr>
            <w:tcW w:w="1156" w:type="pct"/>
            <w:tcBorders>
              <w:top w:val="nil"/>
              <w:left w:val="nil"/>
              <w:bottom w:val="single" w:color="auto" w:sz="4" w:space="0"/>
              <w:right w:val="single" w:color="auto" w:sz="4" w:space="0"/>
            </w:tcBorders>
            <w:shd w:val="clear" w:color="auto" w:fill="auto"/>
            <w:vAlign w:val="center"/>
          </w:tcPr>
          <w:p>
            <w:pPr>
              <w:pStyle w:val="59"/>
              <w:spacing w:line="500" w:lineRule="exact"/>
              <w:rPr>
                <w:rFonts w:ascii="Times New Roman" w:hAnsi="Times New Roman" w:cs="Times New Roman"/>
                <w:sz w:val="21"/>
                <w:szCs w:val="21"/>
              </w:rPr>
            </w:pPr>
            <w:r>
              <w:rPr>
                <w:rFonts w:ascii="Times New Roman" w:hAnsi="Times New Roman" w:cs="Times New Roman"/>
                <w:sz w:val="21"/>
                <w:szCs w:val="21"/>
              </w:rPr>
              <w:t>2</w:t>
            </w:r>
            <w:r>
              <w:rPr>
                <w:rFonts w:hint="eastAsia" w:ascii="Times New Roman" w:hAnsi="Times New Roman" w:cs="Times New Roman"/>
                <w:sz w:val="21"/>
                <w:szCs w:val="21"/>
              </w:rPr>
              <w:t>级</w:t>
            </w:r>
          </w:p>
        </w:tc>
        <w:tc>
          <w:tcPr>
            <w:tcW w:w="656"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11.40</w:t>
            </w:r>
          </w:p>
        </w:tc>
        <w:tc>
          <w:tcPr>
            <w:tcW w:w="741"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0.76</w:t>
            </w:r>
          </w:p>
        </w:tc>
        <w:tc>
          <w:tcPr>
            <w:tcW w:w="823"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1739.472186</w:t>
            </w:r>
          </w:p>
        </w:tc>
        <w:tc>
          <w:tcPr>
            <w:tcW w:w="734" w:type="pct"/>
            <w:tcBorders>
              <w:top w:val="nil"/>
              <w:left w:val="nil"/>
              <w:bottom w:val="single" w:color="auto" w:sz="4" w:space="0"/>
              <w:right w:val="single" w:color="auto" w:sz="4" w:space="0"/>
            </w:tcBorders>
            <w:shd w:val="clear" w:color="auto" w:fill="auto"/>
            <w:noWrap/>
            <w:vAlign w:val="center"/>
          </w:tcPr>
          <w:p>
            <w:pPr>
              <w:pStyle w:val="59"/>
              <w:rPr>
                <w:rFonts w:ascii="Times New Roman" w:hAnsi="Times New Roman" w:cs="Times New Roman"/>
                <w:sz w:val="21"/>
                <w:szCs w:val="21"/>
              </w:rPr>
            </w:pPr>
            <w:r>
              <w:rPr>
                <w:rFonts w:hint="eastAsia" w:ascii="Times New Roman" w:hAnsi="Times New Roman" w:cs="Times New Roman"/>
                <w:sz w:val="21"/>
                <w:szCs w:val="21"/>
              </w:rPr>
              <w:t>46.25%</w:t>
            </w:r>
          </w:p>
        </w:tc>
      </w:tr>
    </w:tbl>
    <w:p>
      <w:pPr>
        <w:pStyle w:val="2"/>
        <w:spacing w:after="0" w:line="360" w:lineRule="auto"/>
        <w:ind w:firstLine="480" w:firstLineChars="200"/>
        <w:jc w:val="left"/>
        <w:rPr>
          <w:rFonts w:ascii="Times New Roman" w:hAnsi="Times New Roman" w:cs="Times New Roman"/>
          <w:kern w:val="0"/>
          <w:sz w:val="24"/>
          <w:szCs w:val="24"/>
        </w:rPr>
      </w:pPr>
    </w:p>
    <w:sectPr>
      <w:headerReference r:id="rId3" w:type="default"/>
      <w:footerReference r:id="rId4" w:type="default"/>
      <w:pgSz w:w="16838" w:h="11906" w:orient="landscape"/>
      <w:pgMar w:top="1803" w:right="1440" w:bottom="1417" w:left="1440"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黑体简体">
    <w:altName w:val="微软雅黑"/>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仿宋_GBK">
    <w:altName w:val="Microsoft YaHei UI"/>
    <w:panose1 w:val="03000509000000000000"/>
    <w:charset w:val="86"/>
    <w:family w:val="script"/>
    <w:pitch w:val="default"/>
    <w:sig w:usb0="00000000" w:usb1="00000000" w:usb2="00000000" w:usb3="00000000" w:csb0="00040000" w:csb1="00000000"/>
  </w:font>
  <w:font w:name="方正书宋闡..">
    <w:altName w:val="宋体"/>
    <w:panose1 w:val="00000000000000000000"/>
    <w:charset w:val="86"/>
    <w:family w:val="roman"/>
    <w:pitch w:val="default"/>
    <w:sig w:usb0="00000000" w:usb1="00000000" w:usb2="00000010" w:usb3="00000000" w:csb0="00040000" w:csb1="00000000"/>
  </w:font>
  <w:font w:name="MingLiU">
    <w:panose1 w:val="02020509000000000000"/>
    <w:charset w:val="88"/>
    <w:family w:val="modern"/>
    <w:pitch w:val="default"/>
    <w:sig w:usb0="A00002FF" w:usb1="28CFFCFA" w:usb2="00000016" w:usb3="00000000" w:csb0="00100001"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IzNjNhMDY1ZGZjYjllOWMwMDFkOGIzYWRjMjdmYjgifQ=="/>
  </w:docVars>
  <w:rsids>
    <w:rsidRoot w:val="00172A27"/>
    <w:rsid w:val="000050A4"/>
    <w:rsid w:val="00025873"/>
    <w:rsid w:val="00026EDB"/>
    <w:rsid w:val="00034CEC"/>
    <w:rsid w:val="00040072"/>
    <w:rsid w:val="000C5410"/>
    <w:rsid w:val="000D44F6"/>
    <w:rsid w:val="000F42C5"/>
    <w:rsid w:val="001637C0"/>
    <w:rsid w:val="0016530A"/>
    <w:rsid w:val="00172A27"/>
    <w:rsid w:val="001A72A5"/>
    <w:rsid w:val="001D5A94"/>
    <w:rsid w:val="001E50AD"/>
    <w:rsid w:val="00241466"/>
    <w:rsid w:val="002463B1"/>
    <w:rsid w:val="0024688E"/>
    <w:rsid w:val="00255C3E"/>
    <w:rsid w:val="00267AEE"/>
    <w:rsid w:val="0027540C"/>
    <w:rsid w:val="00283D5D"/>
    <w:rsid w:val="00294DE1"/>
    <w:rsid w:val="002B6CE9"/>
    <w:rsid w:val="002C7F14"/>
    <w:rsid w:val="002D4B85"/>
    <w:rsid w:val="002F1683"/>
    <w:rsid w:val="002F36DE"/>
    <w:rsid w:val="00313A91"/>
    <w:rsid w:val="003623A7"/>
    <w:rsid w:val="003743FF"/>
    <w:rsid w:val="00394783"/>
    <w:rsid w:val="003B2E77"/>
    <w:rsid w:val="003C0617"/>
    <w:rsid w:val="003C1761"/>
    <w:rsid w:val="003D17BE"/>
    <w:rsid w:val="003E261D"/>
    <w:rsid w:val="003F6D51"/>
    <w:rsid w:val="004243D3"/>
    <w:rsid w:val="00441D6E"/>
    <w:rsid w:val="00472A66"/>
    <w:rsid w:val="00491D24"/>
    <w:rsid w:val="004A0693"/>
    <w:rsid w:val="004A1EDE"/>
    <w:rsid w:val="004C5E74"/>
    <w:rsid w:val="00556F0B"/>
    <w:rsid w:val="00565139"/>
    <w:rsid w:val="005741B5"/>
    <w:rsid w:val="0057745C"/>
    <w:rsid w:val="00595EBC"/>
    <w:rsid w:val="005B4256"/>
    <w:rsid w:val="005C567A"/>
    <w:rsid w:val="005C7F72"/>
    <w:rsid w:val="006039E7"/>
    <w:rsid w:val="00611127"/>
    <w:rsid w:val="00616F11"/>
    <w:rsid w:val="00620CFE"/>
    <w:rsid w:val="00624FAF"/>
    <w:rsid w:val="00627A57"/>
    <w:rsid w:val="006406B3"/>
    <w:rsid w:val="0064301E"/>
    <w:rsid w:val="00664459"/>
    <w:rsid w:val="0068390A"/>
    <w:rsid w:val="0068577C"/>
    <w:rsid w:val="006A6E3F"/>
    <w:rsid w:val="006D4C43"/>
    <w:rsid w:val="00772A22"/>
    <w:rsid w:val="007837D9"/>
    <w:rsid w:val="00790443"/>
    <w:rsid w:val="00792D78"/>
    <w:rsid w:val="007D575C"/>
    <w:rsid w:val="007F35D8"/>
    <w:rsid w:val="00807102"/>
    <w:rsid w:val="008079C2"/>
    <w:rsid w:val="00815460"/>
    <w:rsid w:val="00831D76"/>
    <w:rsid w:val="0083467E"/>
    <w:rsid w:val="008930DA"/>
    <w:rsid w:val="008B3B71"/>
    <w:rsid w:val="008D3659"/>
    <w:rsid w:val="008D5D33"/>
    <w:rsid w:val="00914D49"/>
    <w:rsid w:val="00920B1E"/>
    <w:rsid w:val="009417EB"/>
    <w:rsid w:val="00953A6A"/>
    <w:rsid w:val="00967F16"/>
    <w:rsid w:val="00990754"/>
    <w:rsid w:val="009A5ED2"/>
    <w:rsid w:val="009A6ED9"/>
    <w:rsid w:val="009C259E"/>
    <w:rsid w:val="009D3594"/>
    <w:rsid w:val="009F056F"/>
    <w:rsid w:val="009F393B"/>
    <w:rsid w:val="009F4F56"/>
    <w:rsid w:val="009F6A09"/>
    <w:rsid w:val="00A0465A"/>
    <w:rsid w:val="00A14609"/>
    <w:rsid w:val="00A33B21"/>
    <w:rsid w:val="00A36733"/>
    <w:rsid w:val="00A4240B"/>
    <w:rsid w:val="00A92F8F"/>
    <w:rsid w:val="00AA7D32"/>
    <w:rsid w:val="00AB52A1"/>
    <w:rsid w:val="00B428DE"/>
    <w:rsid w:val="00B457E0"/>
    <w:rsid w:val="00B55EC4"/>
    <w:rsid w:val="00B7227E"/>
    <w:rsid w:val="00B90891"/>
    <w:rsid w:val="00BB1BC6"/>
    <w:rsid w:val="00BE7DDF"/>
    <w:rsid w:val="00C0138B"/>
    <w:rsid w:val="00C2004D"/>
    <w:rsid w:val="00C429AC"/>
    <w:rsid w:val="00C7093F"/>
    <w:rsid w:val="00C76EE0"/>
    <w:rsid w:val="00C97F26"/>
    <w:rsid w:val="00CA19C8"/>
    <w:rsid w:val="00CC65DA"/>
    <w:rsid w:val="00CE5470"/>
    <w:rsid w:val="00D17D3C"/>
    <w:rsid w:val="00D20A32"/>
    <w:rsid w:val="00D27B88"/>
    <w:rsid w:val="00D3056D"/>
    <w:rsid w:val="00DE1435"/>
    <w:rsid w:val="00DF0E40"/>
    <w:rsid w:val="00DF4776"/>
    <w:rsid w:val="00E24F16"/>
    <w:rsid w:val="00E53D9D"/>
    <w:rsid w:val="00E614E1"/>
    <w:rsid w:val="00E62012"/>
    <w:rsid w:val="00E67E26"/>
    <w:rsid w:val="00E8039C"/>
    <w:rsid w:val="00E85134"/>
    <w:rsid w:val="00EA0415"/>
    <w:rsid w:val="00EA10D7"/>
    <w:rsid w:val="00EE18D6"/>
    <w:rsid w:val="00EF19E8"/>
    <w:rsid w:val="00F1671C"/>
    <w:rsid w:val="00F21460"/>
    <w:rsid w:val="00F3485B"/>
    <w:rsid w:val="00F37244"/>
    <w:rsid w:val="00F43ACF"/>
    <w:rsid w:val="00F5419E"/>
    <w:rsid w:val="00F61A3E"/>
    <w:rsid w:val="00F757A5"/>
    <w:rsid w:val="00F80692"/>
    <w:rsid w:val="00F8192C"/>
    <w:rsid w:val="00F82F3D"/>
    <w:rsid w:val="00F83771"/>
    <w:rsid w:val="00F86CAF"/>
    <w:rsid w:val="00F872CC"/>
    <w:rsid w:val="00F96DF1"/>
    <w:rsid w:val="00FB5F9A"/>
    <w:rsid w:val="00FC2AC9"/>
    <w:rsid w:val="00FD07B8"/>
    <w:rsid w:val="00FD4794"/>
    <w:rsid w:val="02A67DA8"/>
    <w:rsid w:val="039527DF"/>
    <w:rsid w:val="0DA63DC7"/>
    <w:rsid w:val="0E4F1A2E"/>
    <w:rsid w:val="147E3F46"/>
    <w:rsid w:val="14DF1632"/>
    <w:rsid w:val="14FD6A00"/>
    <w:rsid w:val="1541659C"/>
    <w:rsid w:val="15A24B3A"/>
    <w:rsid w:val="177A5491"/>
    <w:rsid w:val="18367494"/>
    <w:rsid w:val="20A849AF"/>
    <w:rsid w:val="268F21FF"/>
    <w:rsid w:val="2BFA0DD4"/>
    <w:rsid w:val="2D6B7AAF"/>
    <w:rsid w:val="2F820E78"/>
    <w:rsid w:val="315840D5"/>
    <w:rsid w:val="38934BD9"/>
    <w:rsid w:val="394C636C"/>
    <w:rsid w:val="3D245BF8"/>
    <w:rsid w:val="3E107723"/>
    <w:rsid w:val="42F36125"/>
    <w:rsid w:val="43A318F9"/>
    <w:rsid w:val="43FB34E3"/>
    <w:rsid w:val="447F5EC2"/>
    <w:rsid w:val="46045D4D"/>
    <w:rsid w:val="4EC65997"/>
    <w:rsid w:val="509506DB"/>
    <w:rsid w:val="53514ECE"/>
    <w:rsid w:val="5B150ED7"/>
    <w:rsid w:val="5D205867"/>
    <w:rsid w:val="5DBF6141"/>
    <w:rsid w:val="62764E83"/>
    <w:rsid w:val="63ED479F"/>
    <w:rsid w:val="6470717E"/>
    <w:rsid w:val="6578453C"/>
    <w:rsid w:val="6D5632E9"/>
    <w:rsid w:val="6E962B7B"/>
    <w:rsid w:val="6F14262C"/>
    <w:rsid w:val="6F6C665E"/>
    <w:rsid w:val="7058363A"/>
    <w:rsid w:val="71854A21"/>
    <w:rsid w:val="76D90A03"/>
    <w:rsid w:val="76E7418D"/>
    <w:rsid w:val="77091498"/>
    <w:rsid w:val="7AA03152"/>
    <w:rsid w:val="7C376828"/>
    <w:rsid w:val="7E8E672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iPriority="9" w:semiHidden="0" w:name="heading 6"/>
    <w:lsdException w:qFormat="1" w:uiPriority="9" w:semiHidden="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uiPriority="0" w:name="Body Text 2"/>
    <w:lsdException w:qFormat="1" w:unhideWhenUsed="0" w:uiPriority="99"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99"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48"/>
    <w:qFormat/>
    <w:uiPriority w:val="99"/>
    <w:pPr>
      <w:keepNext/>
      <w:keepLines/>
      <w:widowControl/>
      <w:spacing w:before="340" w:after="330" w:line="578" w:lineRule="auto"/>
      <w:jc w:val="left"/>
      <w:outlineLvl w:val="0"/>
    </w:pPr>
    <w:rPr>
      <w:rFonts w:ascii="Times New Roman" w:hAnsi="Times New Roman" w:eastAsia="仿宋_GB2312" w:cs="Times New Roman"/>
      <w:b/>
      <w:bCs/>
      <w:kern w:val="44"/>
      <w:sz w:val="36"/>
      <w:szCs w:val="44"/>
    </w:rPr>
  </w:style>
  <w:style w:type="paragraph" w:styleId="4">
    <w:name w:val="heading 2"/>
    <w:basedOn w:val="1"/>
    <w:next w:val="1"/>
    <w:link w:val="49"/>
    <w:qFormat/>
    <w:uiPriority w:val="9"/>
    <w:pPr>
      <w:keepNext/>
      <w:keepLines/>
      <w:widowControl/>
      <w:spacing w:line="360" w:lineRule="auto"/>
      <w:jc w:val="left"/>
      <w:outlineLvl w:val="1"/>
    </w:pPr>
    <w:rPr>
      <w:rFonts w:ascii="Times New Roman" w:hAnsi="Times New Roman" w:eastAsia="仿宋_GB2312" w:cs="Times New Roman"/>
      <w:b/>
      <w:bCs/>
      <w:sz w:val="28"/>
      <w:szCs w:val="32"/>
    </w:rPr>
  </w:style>
  <w:style w:type="paragraph" w:styleId="5">
    <w:name w:val="heading 3"/>
    <w:basedOn w:val="1"/>
    <w:next w:val="1"/>
    <w:link w:val="50"/>
    <w:qFormat/>
    <w:uiPriority w:val="99"/>
    <w:pPr>
      <w:keepNext/>
      <w:keepLines/>
      <w:widowControl/>
      <w:spacing w:line="360" w:lineRule="auto"/>
      <w:jc w:val="left"/>
      <w:outlineLvl w:val="2"/>
    </w:pPr>
    <w:rPr>
      <w:rFonts w:ascii="Times New Roman" w:hAnsi="Times New Roman" w:eastAsia="仿宋_GB2312" w:cs="Times New Roman"/>
      <w:b/>
      <w:bCs/>
      <w:sz w:val="28"/>
      <w:szCs w:val="28"/>
    </w:rPr>
  </w:style>
  <w:style w:type="paragraph" w:styleId="6">
    <w:name w:val="heading 4"/>
    <w:basedOn w:val="1"/>
    <w:next w:val="1"/>
    <w:link w:val="51"/>
    <w:qFormat/>
    <w:uiPriority w:val="99"/>
    <w:pPr>
      <w:keepNext/>
      <w:keepLines/>
      <w:spacing w:line="360" w:lineRule="auto"/>
      <w:jc w:val="left"/>
      <w:outlineLvl w:val="3"/>
    </w:pPr>
    <w:rPr>
      <w:rFonts w:ascii="Times New Roman" w:hAnsi="Times New Roman" w:eastAsia="仿宋_GB2312" w:cs="Times New Roman"/>
      <w:b/>
      <w:bCs/>
      <w:kern w:val="0"/>
      <w:sz w:val="28"/>
      <w:szCs w:val="28"/>
    </w:rPr>
  </w:style>
  <w:style w:type="paragraph" w:styleId="7">
    <w:name w:val="heading 5"/>
    <w:basedOn w:val="1"/>
    <w:next w:val="1"/>
    <w:link w:val="52"/>
    <w:qFormat/>
    <w:uiPriority w:val="99"/>
    <w:pPr>
      <w:keepNext/>
      <w:keepLines/>
      <w:spacing w:before="280" w:after="290" w:line="376" w:lineRule="auto"/>
      <w:ind w:firstLine="200" w:firstLineChars="200"/>
      <w:outlineLvl w:val="4"/>
    </w:pPr>
    <w:rPr>
      <w:rFonts w:ascii="Times New Roman" w:hAnsi="Times New Roman" w:eastAsia="宋体" w:cs="Times New Roman"/>
      <w:b/>
      <w:bCs/>
      <w:sz w:val="28"/>
      <w:szCs w:val="28"/>
    </w:rPr>
  </w:style>
  <w:style w:type="paragraph" w:styleId="8">
    <w:name w:val="heading 6"/>
    <w:basedOn w:val="1"/>
    <w:next w:val="1"/>
    <w:link w:val="53"/>
    <w:unhideWhenUsed/>
    <w:qFormat/>
    <w:uiPriority w:val="9"/>
    <w:pPr>
      <w:keepNext/>
      <w:keepLines/>
      <w:widowControl/>
      <w:spacing w:before="240" w:after="64" w:line="320" w:lineRule="auto"/>
      <w:ind w:firstLine="200" w:firstLineChars="200"/>
      <w:jc w:val="left"/>
      <w:outlineLvl w:val="5"/>
    </w:pPr>
    <w:rPr>
      <w:rFonts w:asciiTheme="majorHAnsi" w:hAnsiTheme="majorHAnsi" w:eastAsiaTheme="majorEastAsia" w:cstheme="majorBidi"/>
      <w:b/>
      <w:bCs/>
      <w:kern w:val="0"/>
      <w:sz w:val="24"/>
      <w:szCs w:val="24"/>
    </w:rPr>
  </w:style>
  <w:style w:type="paragraph" w:styleId="9">
    <w:name w:val="heading 7"/>
    <w:basedOn w:val="1"/>
    <w:next w:val="1"/>
    <w:link w:val="54"/>
    <w:unhideWhenUsed/>
    <w:qFormat/>
    <w:uiPriority w:val="9"/>
    <w:pPr>
      <w:keepNext/>
      <w:keepLines/>
      <w:widowControl/>
      <w:spacing w:before="240" w:after="64" w:line="320" w:lineRule="auto"/>
      <w:ind w:firstLine="200" w:firstLineChars="200"/>
      <w:jc w:val="left"/>
      <w:outlineLvl w:val="6"/>
    </w:pPr>
    <w:rPr>
      <w:rFonts w:ascii="Times New Roman" w:hAnsi="Times New Roman" w:eastAsia="仿宋_GB2312" w:cs="宋体"/>
      <w:b/>
      <w:bCs/>
      <w:kern w:val="0"/>
      <w:sz w:val="24"/>
      <w:szCs w:val="24"/>
    </w:rPr>
  </w:style>
  <w:style w:type="character" w:default="1" w:styleId="37">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1"/>
    <w:unhideWhenUsed/>
    <w:qFormat/>
    <w:uiPriority w:val="99"/>
    <w:pPr>
      <w:spacing w:after="120"/>
    </w:pPr>
    <w:rPr>
      <w:rFonts w:cs="Calibri"/>
      <w:szCs w:val="21"/>
    </w:rPr>
  </w:style>
  <w:style w:type="paragraph" w:styleId="10">
    <w:name w:val="toc 7"/>
    <w:basedOn w:val="1"/>
    <w:next w:val="1"/>
    <w:unhideWhenUsed/>
    <w:qFormat/>
    <w:uiPriority w:val="39"/>
    <w:pPr>
      <w:spacing w:line="360" w:lineRule="auto"/>
      <w:ind w:left="2520" w:leftChars="1200" w:firstLine="200" w:firstLineChars="200"/>
    </w:pPr>
    <w:rPr>
      <w:rFonts w:ascii="Calibri" w:hAnsi="Calibri" w:eastAsia="仿宋_GB2312" w:cs="Times New Roman"/>
    </w:rPr>
  </w:style>
  <w:style w:type="paragraph" w:styleId="11">
    <w:name w:val="Normal Indent"/>
    <w:basedOn w:val="1"/>
    <w:qFormat/>
    <w:uiPriority w:val="99"/>
    <w:pPr>
      <w:widowControl/>
      <w:spacing w:line="360" w:lineRule="auto"/>
      <w:ind w:firstLine="420" w:firstLineChars="200"/>
      <w:jc w:val="left"/>
    </w:pPr>
    <w:rPr>
      <w:rFonts w:ascii="Times New Roman" w:hAnsi="Times New Roman" w:eastAsia="仿宋_GB2312" w:cs="宋体"/>
      <w:kern w:val="0"/>
      <w:sz w:val="24"/>
      <w:szCs w:val="24"/>
    </w:rPr>
  </w:style>
  <w:style w:type="paragraph" w:styleId="12">
    <w:name w:val="Document Map"/>
    <w:basedOn w:val="1"/>
    <w:link w:val="47"/>
    <w:qFormat/>
    <w:uiPriority w:val="99"/>
    <w:rPr>
      <w:rFonts w:ascii="宋体" w:eastAsia="宋体"/>
      <w:sz w:val="18"/>
      <w:szCs w:val="18"/>
    </w:rPr>
  </w:style>
  <w:style w:type="paragraph" w:styleId="13">
    <w:name w:val="annotation text"/>
    <w:basedOn w:val="1"/>
    <w:link w:val="62"/>
    <w:qFormat/>
    <w:uiPriority w:val="99"/>
    <w:pPr>
      <w:widowControl/>
      <w:spacing w:line="360" w:lineRule="auto"/>
      <w:ind w:firstLine="200" w:firstLineChars="200"/>
      <w:jc w:val="left"/>
    </w:pPr>
    <w:rPr>
      <w:rFonts w:ascii="Times New Roman" w:hAnsi="Times New Roman" w:eastAsia="宋体" w:cs="Times New Roman"/>
      <w:kern w:val="0"/>
      <w:sz w:val="20"/>
      <w:szCs w:val="24"/>
    </w:rPr>
  </w:style>
  <w:style w:type="paragraph" w:styleId="14">
    <w:name w:val="Body Text 3"/>
    <w:basedOn w:val="1"/>
    <w:link w:val="63"/>
    <w:qFormat/>
    <w:uiPriority w:val="99"/>
    <w:pPr>
      <w:spacing w:after="120" w:line="360" w:lineRule="auto"/>
      <w:ind w:firstLine="200" w:firstLineChars="200"/>
    </w:pPr>
    <w:rPr>
      <w:rFonts w:ascii="Times New Roman" w:hAnsi="Times New Roman" w:eastAsia="宋体" w:cs="Times New Roman"/>
      <w:kern w:val="0"/>
      <w:sz w:val="16"/>
      <w:szCs w:val="16"/>
    </w:rPr>
  </w:style>
  <w:style w:type="paragraph" w:styleId="15">
    <w:name w:val="Body Text Indent"/>
    <w:basedOn w:val="1"/>
    <w:link w:val="65"/>
    <w:qFormat/>
    <w:uiPriority w:val="99"/>
    <w:pPr>
      <w:widowControl/>
      <w:spacing w:line="360" w:lineRule="auto"/>
      <w:ind w:left="538" w:leftChars="-1" w:hanging="540" w:hangingChars="193"/>
      <w:jc w:val="left"/>
    </w:pPr>
    <w:rPr>
      <w:rFonts w:ascii="Times New Roman" w:hAnsi="Times New Roman" w:eastAsia="宋体" w:cs="Times New Roman"/>
      <w:kern w:val="0"/>
      <w:sz w:val="28"/>
      <w:szCs w:val="24"/>
    </w:rPr>
  </w:style>
  <w:style w:type="paragraph" w:styleId="16">
    <w:name w:val="toc 5"/>
    <w:basedOn w:val="1"/>
    <w:next w:val="1"/>
    <w:unhideWhenUsed/>
    <w:qFormat/>
    <w:uiPriority w:val="39"/>
    <w:pPr>
      <w:spacing w:line="360" w:lineRule="auto"/>
      <w:ind w:left="1680" w:leftChars="800" w:firstLine="200" w:firstLineChars="200"/>
    </w:pPr>
    <w:rPr>
      <w:rFonts w:ascii="Calibri" w:hAnsi="Calibri" w:eastAsia="仿宋_GB2312" w:cs="Times New Roman"/>
    </w:rPr>
  </w:style>
  <w:style w:type="paragraph" w:styleId="17">
    <w:name w:val="toc 3"/>
    <w:basedOn w:val="1"/>
    <w:next w:val="1"/>
    <w:qFormat/>
    <w:uiPriority w:val="39"/>
    <w:pPr>
      <w:spacing w:line="360" w:lineRule="auto"/>
      <w:ind w:left="840" w:leftChars="400" w:firstLine="200" w:firstLineChars="200"/>
    </w:pPr>
    <w:rPr>
      <w:rFonts w:ascii="Times New Roman" w:hAnsi="Times New Roman" w:eastAsia="仿宋_GB2312" w:cs="Times New Roman"/>
      <w:sz w:val="28"/>
      <w:szCs w:val="24"/>
    </w:rPr>
  </w:style>
  <w:style w:type="paragraph" w:styleId="18">
    <w:name w:val="Plain Text"/>
    <w:basedOn w:val="1"/>
    <w:link w:val="66"/>
    <w:qFormat/>
    <w:uiPriority w:val="99"/>
    <w:pPr>
      <w:widowControl/>
      <w:overflowPunct w:val="0"/>
      <w:autoSpaceDE w:val="0"/>
      <w:autoSpaceDN w:val="0"/>
      <w:adjustRightInd w:val="0"/>
      <w:spacing w:line="360" w:lineRule="auto"/>
      <w:ind w:firstLine="200" w:firstLineChars="200"/>
      <w:jc w:val="left"/>
      <w:textAlignment w:val="baseline"/>
    </w:pPr>
    <w:rPr>
      <w:rFonts w:ascii="Times New Roman" w:hAnsi="Courier New" w:eastAsia="宋体" w:cs="Times New Roman"/>
      <w:kern w:val="0"/>
      <w:szCs w:val="20"/>
      <w:lang w:val="en-GB"/>
    </w:rPr>
  </w:style>
  <w:style w:type="paragraph" w:styleId="19">
    <w:name w:val="toc 8"/>
    <w:basedOn w:val="1"/>
    <w:next w:val="1"/>
    <w:unhideWhenUsed/>
    <w:qFormat/>
    <w:uiPriority w:val="39"/>
    <w:pPr>
      <w:spacing w:line="360" w:lineRule="auto"/>
      <w:ind w:left="2940" w:leftChars="1400" w:firstLine="200" w:firstLineChars="200"/>
    </w:pPr>
    <w:rPr>
      <w:rFonts w:ascii="Calibri" w:hAnsi="Calibri" w:eastAsia="仿宋_GB2312" w:cs="Times New Roman"/>
    </w:rPr>
  </w:style>
  <w:style w:type="paragraph" w:styleId="20">
    <w:name w:val="Date"/>
    <w:basedOn w:val="1"/>
    <w:next w:val="1"/>
    <w:link w:val="67"/>
    <w:qFormat/>
    <w:uiPriority w:val="0"/>
    <w:pPr>
      <w:widowControl/>
      <w:spacing w:line="360" w:lineRule="auto"/>
      <w:ind w:left="100" w:leftChars="2500" w:firstLine="200" w:firstLineChars="200"/>
      <w:jc w:val="left"/>
    </w:pPr>
    <w:rPr>
      <w:rFonts w:ascii="Times New Roman" w:hAnsi="Times New Roman" w:eastAsia="宋体" w:cs="Times New Roman"/>
      <w:kern w:val="0"/>
      <w:sz w:val="28"/>
      <w:szCs w:val="24"/>
    </w:rPr>
  </w:style>
  <w:style w:type="paragraph" w:styleId="21">
    <w:name w:val="Body Text Indent 2"/>
    <w:basedOn w:val="1"/>
    <w:link w:val="68"/>
    <w:qFormat/>
    <w:uiPriority w:val="0"/>
    <w:pPr>
      <w:widowControl/>
      <w:spacing w:line="360" w:lineRule="auto"/>
      <w:ind w:firstLine="435" w:firstLineChars="200"/>
      <w:jc w:val="left"/>
    </w:pPr>
    <w:rPr>
      <w:rFonts w:ascii="仿宋_GB2312" w:hAnsi="Times New Roman" w:eastAsia="仿宋_GB2312" w:cs="Times New Roman"/>
      <w:kern w:val="0"/>
      <w:sz w:val="28"/>
      <w:szCs w:val="28"/>
    </w:rPr>
  </w:style>
  <w:style w:type="paragraph" w:styleId="22">
    <w:name w:val="Balloon Text"/>
    <w:basedOn w:val="1"/>
    <w:link w:val="46"/>
    <w:qFormat/>
    <w:uiPriority w:val="99"/>
    <w:rPr>
      <w:sz w:val="18"/>
      <w:szCs w:val="18"/>
    </w:rPr>
  </w:style>
  <w:style w:type="paragraph" w:styleId="23">
    <w:name w:val="footer"/>
    <w:basedOn w:val="1"/>
    <w:link w:val="45"/>
    <w:qFormat/>
    <w:uiPriority w:val="99"/>
    <w:pPr>
      <w:tabs>
        <w:tab w:val="center" w:pos="4153"/>
        <w:tab w:val="right" w:pos="8306"/>
      </w:tabs>
      <w:snapToGrid w:val="0"/>
      <w:jc w:val="left"/>
    </w:pPr>
    <w:rPr>
      <w:sz w:val="18"/>
      <w:szCs w:val="18"/>
    </w:rPr>
  </w:style>
  <w:style w:type="paragraph" w:styleId="24">
    <w:name w:val="header"/>
    <w:basedOn w:val="1"/>
    <w:link w:val="44"/>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qFormat/>
    <w:uiPriority w:val="39"/>
    <w:pPr>
      <w:spacing w:line="360" w:lineRule="auto"/>
      <w:ind w:firstLine="200" w:firstLineChars="200"/>
    </w:pPr>
    <w:rPr>
      <w:rFonts w:ascii="Times New Roman" w:hAnsi="Times New Roman" w:eastAsia="仿宋_GB2312" w:cs="Times New Roman"/>
      <w:sz w:val="28"/>
      <w:szCs w:val="24"/>
    </w:rPr>
  </w:style>
  <w:style w:type="paragraph" w:styleId="26">
    <w:name w:val="toc 4"/>
    <w:basedOn w:val="1"/>
    <w:next w:val="1"/>
    <w:qFormat/>
    <w:uiPriority w:val="39"/>
    <w:pPr>
      <w:spacing w:line="360" w:lineRule="auto"/>
      <w:ind w:left="1260" w:leftChars="600" w:firstLine="200" w:firstLineChars="200"/>
    </w:pPr>
    <w:rPr>
      <w:rFonts w:ascii="Times New Roman" w:hAnsi="Times New Roman" w:eastAsia="仿宋_GB2312" w:cs="Times New Roman"/>
      <w:sz w:val="28"/>
      <w:szCs w:val="24"/>
    </w:rPr>
  </w:style>
  <w:style w:type="paragraph" w:styleId="27">
    <w:name w:val="Subtitle"/>
    <w:basedOn w:val="1"/>
    <w:next w:val="1"/>
    <w:link w:val="162"/>
    <w:qFormat/>
    <w:uiPriority w:val="11"/>
    <w:pPr>
      <w:widowControl/>
      <w:spacing w:before="240" w:after="60" w:line="312" w:lineRule="auto"/>
      <w:ind w:firstLine="200" w:firstLineChars="200"/>
      <w:jc w:val="center"/>
      <w:outlineLvl w:val="1"/>
    </w:pPr>
    <w:rPr>
      <w:rFonts w:eastAsia="宋体" w:asciiTheme="majorHAnsi" w:hAnsiTheme="majorHAnsi" w:cstheme="majorBidi"/>
      <w:b/>
      <w:bCs/>
      <w:kern w:val="28"/>
      <w:sz w:val="32"/>
      <w:szCs w:val="32"/>
    </w:rPr>
  </w:style>
  <w:style w:type="paragraph" w:styleId="28">
    <w:name w:val="toc 6"/>
    <w:basedOn w:val="1"/>
    <w:next w:val="1"/>
    <w:unhideWhenUsed/>
    <w:qFormat/>
    <w:uiPriority w:val="39"/>
    <w:pPr>
      <w:spacing w:line="360" w:lineRule="auto"/>
      <w:ind w:left="2100" w:leftChars="1000" w:firstLine="200" w:firstLineChars="200"/>
    </w:pPr>
    <w:rPr>
      <w:rFonts w:ascii="Calibri" w:hAnsi="Calibri" w:eastAsia="仿宋_GB2312" w:cs="Times New Roman"/>
    </w:rPr>
  </w:style>
  <w:style w:type="paragraph" w:styleId="29">
    <w:name w:val="Body Text Indent 3"/>
    <w:basedOn w:val="1"/>
    <w:link w:val="69"/>
    <w:qFormat/>
    <w:uiPriority w:val="0"/>
    <w:pPr>
      <w:widowControl/>
      <w:spacing w:beforeLines="50" w:line="600" w:lineRule="atLeast"/>
      <w:ind w:firstLine="840" w:firstLineChars="300"/>
      <w:jc w:val="left"/>
    </w:pPr>
    <w:rPr>
      <w:rFonts w:ascii="仿宋_GB2312" w:hAnsi="Times New Roman" w:eastAsia="仿宋_GB2312" w:cs="Times New Roman"/>
      <w:kern w:val="0"/>
      <w:sz w:val="28"/>
      <w:szCs w:val="24"/>
    </w:rPr>
  </w:style>
  <w:style w:type="paragraph" w:styleId="30">
    <w:name w:val="toc 2"/>
    <w:basedOn w:val="1"/>
    <w:next w:val="1"/>
    <w:qFormat/>
    <w:uiPriority w:val="39"/>
    <w:pPr>
      <w:spacing w:line="360" w:lineRule="auto"/>
      <w:ind w:left="420" w:leftChars="200" w:firstLine="200" w:firstLineChars="200"/>
    </w:pPr>
    <w:rPr>
      <w:rFonts w:ascii="Times New Roman" w:hAnsi="Times New Roman" w:eastAsia="仿宋_GB2312" w:cs="Times New Roman"/>
      <w:sz w:val="28"/>
      <w:szCs w:val="24"/>
    </w:rPr>
  </w:style>
  <w:style w:type="paragraph" w:styleId="31">
    <w:name w:val="toc 9"/>
    <w:basedOn w:val="1"/>
    <w:next w:val="1"/>
    <w:unhideWhenUsed/>
    <w:qFormat/>
    <w:uiPriority w:val="39"/>
    <w:pPr>
      <w:spacing w:line="360" w:lineRule="auto"/>
      <w:ind w:left="3360" w:leftChars="1600" w:firstLine="200" w:firstLineChars="200"/>
    </w:pPr>
    <w:rPr>
      <w:rFonts w:ascii="Calibri" w:hAnsi="Calibri" w:eastAsia="仿宋_GB2312" w:cs="Times New Roman"/>
    </w:rPr>
  </w:style>
  <w:style w:type="paragraph" w:styleId="32">
    <w:name w:val="Normal (Web)"/>
    <w:basedOn w:val="1"/>
    <w:unhideWhenUsed/>
    <w:qFormat/>
    <w:uiPriority w:val="0"/>
    <w:pPr>
      <w:widowControl/>
      <w:spacing w:before="100" w:beforeAutospacing="1" w:after="100" w:afterAutospacing="1" w:line="360" w:lineRule="auto"/>
      <w:ind w:firstLine="200" w:firstLineChars="200"/>
      <w:jc w:val="left"/>
    </w:pPr>
    <w:rPr>
      <w:rFonts w:ascii="Times New Roman" w:hAnsi="Times New Roman" w:eastAsia="仿宋_GB2312" w:cs="宋体"/>
      <w:kern w:val="0"/>
      <w:sz w:val="24"/>
      <w:szCs w:val="24"/>
    </w:rPr>
  </w:style>
  <w:style w:type="paragraph" w:styleId="33">
    <w:name w:val="Title"/>
    <w:basedOn w:val="1"/>
    <w:next w:val="1"/>
    <w:link w:val="60"/>
    <w:qFormat/>
    <w:uiPriority w:val="0"/>
    <w:pPr>
      <w:jc w:val="center"/>
    </w:pPr>
    <w:rPr>
      <w:rFonts w:ascii="仿宋_GB2312" w:eastAsia="仿宋_GB2312"/>
      <w:bCs/>
      <w:kern w:val="0"/>
      <w:sz w:val="28"/>
      <w:szCs w:val="32"/>
    </w:rPr>
  </w:style>
  <w:style w:type="paragraph" w:styleId="34">
    <w:name w:val="annotation subject"/>
    <w:basedOn w:val="13"/>
    <w:next w:val="13"/>
    <w:link w:val="70"/>
    <w:qFormat/>
    <w:uiPriority w:val="99"/>
    <w:rPr>
      <w:b/>
      <w:bCs/>
    </w:rPr>
  </w:style>
  <w:style w:type="paragraph" w:styleId="35">
    <w:name w:val="Body Text First Indent"/>
    <w:basedOn w:val="2"/>
    <w:link w:val="72"/>
    <w:qFormat/>
    <w:uiPriority w:val="0"/>
    <w:pPr>
      <w:spacing w:line="360" w:lineRule="auto"/>
      <w:ind w:firstLine="420" w:firstLineChars="100"/>
    </w:pPr>
    <w:rPr>
      <w:rFonts w:ascii="Times New Roman" w:hAnsi="Times New Roman" w:eastAsia="宋体" w:cs="Times New Roman"/>
      <w:szCs w:val="24"/>
    </w:rPr>
  </w:style>
  <w:style w:type="character" w:styleId="38">
    <w:name w:val="Strong"/>
    <w:qFormat/>
    <w:uiPriority w:val="22"/>
    <w:rPr>
      <w:b/>
      <w:bCs/>
    </w:rPr>
  </w:style>
  <w:style w:type="character" w:styleId="39">
    <w:name w:val="page number"/>
    <w:qFormat/>
    <w:uiPriority w:val="99"/>
  </w:style>
  <w:style w:type="character" w:styleId="40">
    <w:name w:val="FollowedHyperlink"/>
    <w:unhideWhenUsed/>
    <w:qFormat/>
    <w:uiPriority w:val="99"/>
    <w:rPr>
      <w:color w:val="680000"/>
      <w:u w:val="single"/>
    </w:rPr>
  </w:style>
  <w:style w:type="character" w:styleId="41">
    <w:name w:val="Emphasis"/>
    <w:basedOn w:val="37"/>
    <w:qFormat/>
    <w:uiPriority w:val="20"/>
    <w:rPr>
      <w:i/>
      <w:iCs/>
    </w:rPr>
  </w:style>
  <w:style w:type="character" w:styleId="42">
    <w:name w:val="Hyperlink"/>
    <w:qFormat/>
    <w:uiPriority w:val="99"/>
    <w:rPr>
      <w:color w:val="3366CC"/>
      <w:u w:val="single"/>
    </w:rPr>
  </w:style>
  <w:style w:type="character" w:styleId="43">
    <w:name w:val="annotation reference"/>
    <w:qFormat/>
    <w:uiPriority w:val="99"/>
    <w:rPr>
      <w:sz w:val="21"/>
      <w:szCs w:val="21"/>
    </w:rPr>
  </w:style>
  <w:style w:type="character" w:customStyle="1" w:styleId="44">
    <w:name w:val="页眉 字符1"/>
    <w:basedOn w:val="37"/>
    <w:link w:val="24"/>
    <w:qFormat/>
    <w:uiPriority w:val="0"/>
    <w:rPr>
      <w:kern w:val="2"/>
      <w:sz w:val="18"/>
      <w:szCs w:val="18"/>
    </w:rPr>
  </w:style>
  <w:style w:type="character" w:customStyle="1" w:styleId="45">
    <w:name w:val="页脚 字符"/>
    <w:basedOn w:val="37"/>
    <w:link w:val="23"/>
    <w:qFormat/>
    <w:uiPriority w:val="99"/>
    <w:rPr>
      <w:kern w:val="2"/>
      <w:sz w:val="18"/>
      <w:szCs w:val="18"/>
    </w:rPr>
  </w:style>
  <w:style w:type="character" w:customStyle="1" w:styleId="46">
    <w:name w:val="批注框文本 字符"/>
    <w:basedOn w:val="37"/>
    <w:link w:val="22"/>
    <w:qFormat/>
    <w:uiPriority w:val="99"/>
    <w:rPr>
      <w:kern w:val="2"/>
      <w:sz w:val="18"/>
      <w:szCs w:val="18"/>
    </w:rPr>
  </w:style>
  <w:style w:type="character" w:customStyle="1" w:styleId="47">
    <w:name w:val="文档结构图 字符"/>
    <w:basedOn w:val="37"/>
    <w:link w:val="12"/>
    <w:qFormat/>
    <w:uiPriority w:val="99"/>
    <w:rPr>
      <w:rFonts w:ascii="宋体" w:eastAsia="宋体"/>
      <w:kern w:val="2"/>
      <w:sz w:val="18"/>
      <w:szCs w:val="18"/>
    </w:rPr>
  </w:style>
  <w:style w:type="character" w:customStyle="1" w:styleId="48">
    <w:name w:val="标题 1 字符"/>
    <w:basedOn w:val="37"/>
    <w:link w:val="3"/>
    <w:qFormat/>
    <w:uiPriority w:val="99"/>
    <w:rPr>
      <w:rFonts w:ascii="Times New Roman" w:hAnsi="Times New Roman" w:eastAsia="仿宋_GB2312" w:cs="Times New Roman"/>
      <w:b/>
      <w:bCs/>
      <w:kern w:val="44"/>
      <w:sz w:val="36"/>
      <w:szCs w:val="44"/>
    </w:rPr>
  </w:style>
  <w:style w:type="character" w:customStyle="1" w:styleId="49">
    <w:name w:val="标题 2 字符"/>
    <w:basedOn w:val="37"/>
    <w:link w:val="4"/>
    <w:qFormat/>
    <w:uiPriority w:val="9"/>
    <w:rPr>
      <w:rFonts w:ascii="Times New Roman" w:hAnsi="Times New Roman" w:eastAsia="仿宋_GB2312" w:cs="Times New Roman"/>
      <w:b/>
      <w:bCs/>
      <w:kern w:val="2"/>
      <w:sz w:val="28"/>
      <w:szCs w:val="32"/>
    </w:rPr>
  </w:style>
  <w:style w:type="character" w:customStyle="1" w:styleId="50">
    <w:name w:val="标题 3 字符"/>
    <w:basedOn w:val="37"/>
    <w:link w:val="5"/>
    <w:qFormat/>
    <w:uiPriority w:val="99"/>
    <w:rPr>
      <w:rFonts w:ascii="Times New Roman" w:hAnsi="Times New Roman" w:eastAsia="仿宋_GB2312" w:cs="Times New Roman"/>
      <w:b/>
      <w:bCs/>
      <w:kern w:val="2"/>
      <w:sz w:val="28"/>
      <w:szCs w:val="28"/>
    </w:rPr>
  </w:style>
  <w:style w:type="character" w:customStyle="1" w:styleId="51">
    <w:name w:val="标题 4 字符"/>
    <w:basedOn w:val="37"/>
    <w:link w:val="6"/>
    <w:qFormat/>
    <w:uiPriority w:val="99"/>
    <w:rPr>
      <w:rFonts w:ascii="Times New Roman" w:hAnsi="Times New Roman" w:eastAsia="仿宋_GB2312" w:cs="Times New Roman"/>
      <w:b/>
      <w:bCs/>
      <w:sz w:val="28"/>
      <w:szCs w:val="28"/>
    </w:rPr>
  </w:style>
  <w:style w:type="character" w:customStyle="1" w:styleId="52">
    <w:name w:val="标题 5 字符"/>
    <w:basedOn w:val="37"/>
    <w:link w:val="7"/>
    <w:qFormat/>
    <w:uiPriority w:val="99"/>
    <w:rPr>
      <w:rFonts w:ascii="Times New Roman" w:hAnsi="Times New Roman" w:eastAsia="宋体" w:cs="Times New Roman"/>
      <w:b/>
      <w:bCs/>
      <w:kern w:val="2"/>
      <w:sz w:val="28"/>
      <w:szCs w:val="28"/>
    </w:rPr>
  </w:style>
  <w:style w:type="character" w:customStyle="1" w:styleId="53">
    <w:name w:val="标题 6 字符"/>
    <w:basedOn w:val="37"/>
    <w:link w:val="8"/>
    <w:qFormat/>
    <w:uiPriority w:val="9"/>
    <w:rPr>
      <w:rFonts w:asciiTheme="majorHAnsi" w:hAnsiTheme="majorHAnsi" w:eastAsiaTheme="majorEastAsia" w:cstheme="majorBidi"/>
      <w:b/>
      <w:bCs/>
      <w:sz w:val="24"/>
      <w:szCs w:val="24"/>
    </w:rPr>
  </w:style>
  <w:style w:type="character" w:customStyle="1" w:styleId="54">
    <w:name w:val="标题 7 字符"/>
    <w:basedOn w:val="37"/>
    <w:link w:val="9"/>
    <w:qFormat/>
    <w:uiPriority w:val="9"/>
    <w:rPr>
      <w:rFonts w:ascii="Times New Roman" w:hAnsi="Times New Roman" w:eastAsia="仿宋_GB2312" w:cs="宋体"/>
      <w:b/>
      <w:bCs/>
      <w:sz w:val="24"/>
      <w:szCs w:val="24"/>
    </w:rPr>
  </w:style>
  <w:style w:type="paragraph" w:customStyle="1" w:styleId="55">
    <w:name w:val="Char Char1 Char Char Char Char Char Char"/>
    <w:basedOn w:val="1"/>
    <w:qFormat/>
    <w:uiPriority w:val="0"/>
    <w:pPr>
      <w:widowControl/>
      <w:spacing w:after="160" w:line="640" w:lineRule="exact"/>
      <w:jc w:val="left"/>
    </w:pPr>
    <w:rPr>
      <w:rFonts w:ascii="Verdana" w:hAnsi="Verdana" w:eastAsia="仿宋_GB2312" w:cs="Times New Roman"/>
      <w:kern w:val="0"/>
      <w:sz w:val="44"/>
      <w:szCs w:val="44"/>
      <w:lang w:eastAsia="en-US"/>
    </w:rPr>
  </w:style>
  <w:style w:type="paragraph" w:styleId="56">
    <w:name w:val="List Paragraph"/>
    <w:basedOn w:val="1"/>
    <w:link w:val="57"/>
    <w:qFormat/>
    <w:uiPriority w:val="0"/>
    <w:pPr>
      <w:ind w:firstLine="420" w:firstLineChars="200"/>
    </w:pPr>
  </w:style>
  <w:style w:type="character" w:customStyle="1" w:styleId="57">
    <w:name w:val="列表段落 字符"/>
    <w:link w:val="56"/>
    <w:qFormat/>
    <w:uiPriority w:val="34"/>
    <w:rPr>
      <w:kern w:val="2"/>
      <w:sz w:val="21"/>
      <w:szCs w:val="22"/>
    </w:rPr>
  </w:style>
  <w:style w:type="character" w:customStyle="1" w:styleId="58">
    <w:name w:val="表中文字 Char"/>
    <w:link w:val="59"/>
    <w:qFormat/>
    <w:locked/>
    <w:uiPriority w:val="0"/>
    <w:rPr>
      <w:szCs w:val="24"/>
    </w:rPr>
  </w:style>
  <w:style w:type="paragraph" w:customStyle="1" w:styleId="59">
    <w:name w:val="表中文字"/>
    <w:basedOn w:val="1"/>
    <w:link w:val="58"/>
    <w:qFormat/>
    <w:uiPriority w:val="0"/>
    <w:pPr>
      <w:widowControl/>
      <w:spacing w:line="340" w:lineRule="exact"/>
      <w:jc w:val="center"/>
    </w:pPr>
    <w:rPr>
      <w:kern w:val="0"/>
      <w:sz w:val="20"/>
      <w:szCs w:val="24"/>
    </w:rPr>
  </w:style>
  <w:style w:type="character" w:customStyle="1" w:styleId="60">
    <w:name w:val="标题 字符"/>
    <w:link w:val="33"/>
    <w:qFormat/>
    <w:locked/>
    <w:uiPriority w:val="10"/>
    <w:rPr>
      <w:rFonts w:ascii="仿宋_GB2312" w:eastAsia="仿宋_GB2312"/>
      <w:bCs/>
      <w:sz w:val="28"/>
      <w:szCs w:val="32"/>
    </w:rPr>
  </w:style>
  <w:style w:type="character" w:customStyle="1" w:styleId="61">
    <w:name w:val="标题 Char1"/>
    <w:basedOn w:val="37"/>
    <w:qFormat/>
    <w:uiPriority w:val="10"/>
    <w:rPr>
      <w:rFonts w:eastAsia="宋体" w:asciiTheme="majorHAnsi" w:hAnsiTheme="majorHAnsi" w:cstheme="majorBidi"/>
      <w:b/>
      <w:bCs/>
      <w:kern w:val="2"/>
      <w:sz w:val="32"/>
      <w:szCs w:val="32"/>
    </w:rPr>
  </w:style>
  <w:style w:type="character" w:customStyle="1" w:styleId="62">
    <w:name w:val="批注文字 字符"/>
    <w:basedOn w:val="37"/>
    <w:link w:val="13"/>
    <w:qFormat/>
    <w:uiPriority w:val="99"/>
    <w:rPr>
      <w:rFonts w:ascii="Times New Roman" w:hAnsi="Times New Roman" w:eastAsia="宋体" w:cs="Times New Roman"/>
      <w:szCs w:val="24"/>
    </w:rPr>
  </w:style>
  <w:style w:type="character" w:customStyle="1" w:styleId="63">
    <w:name w:val="正文文本 3 字符"/>
    <w:basedOn w:val="37"/>
    <w:link w:val="14"/>
    <w:qFormat/>
    <w:uiPriority w:val="99"/>
    <w:rPr>
      <w:rFonts w:ascii="Times New Roman" w:hAnsi="Times New Roman" w:eastAsia="宋体" w:cs="Times New Roman"/>
      <w:sz w:val="16"/>
      <w:szCs w:val="16"/>
    </w:rPr>
  </w:style>
  <w:style w:type="character" w:customStyle="1" w:styleId="64">
    <w:name w:val="正文文本 Char"/>
    <w:basedOn w:val="37"/>
    <w:qFormat/>
    <w:uiPriority w:val="99"/>
    <w:rPr>
      <w:rFonts w:ascii="Times New Roman" w:hAnsi="Times New Roman" w:eastAsia="宋体" w:cs="Times New Roman"/>
      <w:szCs w:val="24"/>
    </w:rPr>
  </w:style>
  <w:style w:type="character" w:customStyle="1" w:styleId="65">
    <w:name w:val="正文文本缩进 字符"/>
    <w:basedOn w:val="37"/>
    <w:link w:val="15"/>
    <w:qFormat/>
    <w:uiPriority w:val="99"/>
    <w:rPr>
      <w:rFonts w:ascii="Times New Roman" w:hAnsi="Times New Roman" w:eastAsia="宋体" w:cs="Times New Roman"/>
      <w:sz w:val="28"/>
      <w:szCs w:val="24"/>
    </w:rPr>
  </w:style>
  <w:style w:type="character" w:customStyle="1" w:styleId="66">
    <w:name w:val="纯文本 字符"/>
    <w:basedOn w:val="37"/>
    <w:link w:val="18"/>
    <w:qFormat/>
    <w:uiPriority w:val="99"/>
    <w:rPr>
      <w:rFonts w:ascii="Times New Roman" w:hAnsi="Courier New" w:eastAsia="宋体" w:cs="Times New Roman"/>
      <w:sz w:val="21"/>
      <w:lang w:val="en-GB"/>
    </w:rPr>
  </w:style>
  <w:style w:type="character" w:customStyle="1" w:styleId="67">
    <w:name w:val="日期 字符"/>
    <w:basedOn w:val="37"/>
    <w:link w:val="20"/>
    <w:qFormat/>
    <w:uiPriority w:val="0"/>
    <w:rPr>
      <w:rFonts w:ascii="Times New Roman" w:hAnsi="Times New Roman" w:eastAsia="宋体" w:cs="Times New Roman"/>
      <w:sz w:val="28"/>
      <w:szCs w:val="24"/>
    </w:rPr>
  </w:style>
  <w:style w:type="character" w:customStyle="1" w:styleId="68">
    <w:name w:val="正文文本缩进 2 字符"/>
    <w:basedOn w:val="37"/>
    <w:link w:val="21"/>
    <w:qFormat/>
    <w:uiPriority w:val="0"/>
    <w:rPr>
      <w:rFonts w:ascii="仿宋_GB2312" w:hAnsi="Times New Roman" w:eastAsia="仿宋_GB2312" w:cs="Times New Roman"/>
      <w:sz w:val="28"/>
      <w:szCs w:val="28"/>
    </w:rPr>
  </w:style>
  <w:style w:type="character" w:customStyle="1" w:styleId="69">
    <w:name w:val="正文文本缩进 3 字符"/>
    <w:basedOn w:val="37"/>
    <w:link w:val="29"/>
    <w:qFormat/>
    <w:uiPriority w:val="0"/>
    <w:rPr>
      <w:rFonts w:ascii="仿宋_GB2312" w:hAnsi="Times New Roman" w:eastAsia="仿宋_GB2312" w:cs="Times New Roman"/>
      <w:sz w:val="28"/>
      <w:szCs w:val="24"/>
    </w:rPr>
  </w:style>
  <w:style w:type="character" w:customStyle="1" w:styleId="70">
    <w:name w:val="批注主题 字符"/>
    <w:basedOn w:val="62"/>
    <w:link w:val="34"/>
    <w:qFormat/>
    <w:uiPriority w:val="99"/>
    <w:rPr>
      <w:rFonts w:ascii="Times New Roman" w:hAnsi="Times New Roman" w:eastAsia="宋体" w:cs="Times New Roman"/>
      <w:b/>
      <w:bCs/>
      <w:szCs w:val="24"/>
    </w:rPr>
  </w:style>
  <w:style w:type="character" w:customStyle="1" w:styleId="71">
    <w:name w:val="正文文本 字符1"/>
    <w:basedOn w:val="37"/>
    <w:link w:val="2"/>
    <w:qFormat/>
    <w:uiPriority w:val="99"/>
    <w:rPr>
      <w:rFonts w:cs="Calibri"/>
      <w:kern w:val="2"/>
      <w:sz w:val="21"/>
      <w:szCs w:val="21"/>
    </w:rPr>
  </w:style>
  <w:style w:type="character" w:customStyle="1" w:styleId="72">
    <w:name w:val="正文文本首行缩进 字符"/>
    <w:basedOn w:val="71"/>
    <w:link w:val="35"/>
    <w:qFormat/>
    <w:uiPriority w:val="0"/>
    <w:rPr>
      <w:rFonts w:ascii="Times New Roman" w:hAnsi="Times New Roman" w:eastAsia="宋体" w:cs="Times New Roman"/>
      <w:kern w:val="2"/>
      <w:sz w:val="21"/>
      <w:szCs w:val="24"/>
    </w:rPr>
  </w:style>
  <w:style w:type="character" w:customStyle="1" w:styleId="73">
    <w:name w:val="font112"/>
    <w:qFormat/>
    <w:uiPriority w:val="0"/>
    <w:rPr>
      <w:rFonts w:ascii="方正黑体简体" w:hAnsi="方正黑体简体" w:eastAsia="方正黑体简体" w:cs="方正黑体简体"/>
      <w:color w:val="000000"/>
      <w:sz w:val="20"/>
      <w:szCs w:val="20"/>
      <w:u w:val="none"/>
    </w:rPr>
  </w:style>
  <w:style w:type="character" w:customStyle="1" w:styleId="74">
    <w:name w:val="页眉 Char2"/>
    <w:qFormat/>
    <w:uiPriority w:val="0"/>
    <w:rPr>
      <w:rFonts w:hint="default" w:ascii="Times New Roman" w:hAnsi="Times New Roman" w:eastAsia="宋体" w:cs="Times New Roman"/>
      <w:kern w:val="0"/>
      <w:sz w:val="18"/>
      <w:szCs w:val="18"/>
    </w:rPr>
  </w:style>
  <w:style w:type="character" w:customStyle="1" w:styleId="75">
    <w:name w:val="font31"/>
    <w:qFormat/>
    <w:uiPriority w:val="0"/>
    <w:rPr>
      <w:rFonts w:hint="eastAsia" w:ascii="仿宋_GB2312" w:eastAsia="仿宋_GB2312"/>
      <w:color w:val="000000"/>
      <w:sz w:val="22"/>
      <w:szCs w:val="22"/>
      <w:u w:val="none"/>
    </w:rPr>
  </w:style>
  <w:style w:type="character" w:customStyle="1" w:styleId="76">
    <w:name w:val="font01"/>
    <w:qFormat/>
    <w:uiPriority w:val="0"/>
    <w:rPr>
      <w:rFonts w:hint="eastAsia" w:ascii="宋体" w:hAnsi="宋体" w:eastAsia="宋体"/>
      <w:color w:val="000000"/>
      <w:sz w:val="22"/>
      <w:szCs w:val="22"/>
      <w:u w:val="none"/>
    </w:rPr>
  </w:style>
  <w:style w:type="character" w:customStyle="1" w:styleId="77">
    <w:name w:val="apple-converted-space"/>
    <w:qFormat/>
    <w:uiPriority w:val="0"/>
  </w:style>
  <w:style w:type="character" w:customStyle="1" w:styleId="78">
    <w:name w:val="页眉 Char1"/>
    <w:qFormat/>
    <w:uiPriority w:val="99"/>
    <w:rPr>
      <w:sz w:val="18"/>
      <w:szCs w:val="18"/>
    </w:rPr>
  </w:style>
  <w:style w:type="character" w:customStyle="1" w:styleId="79">
    <w:name w:val="Char Char9"/>
    <w:qFormat/>
    <w:uiPriority w:val="99"/>
    <w:rPr>
      <w:rFonts w:ascii="宋体" w:hAnsi="Courier New" w:eastAsia="宋体" w:cs="Times New Roman"/>
      <w:bCs/>
      <w:sz w:val="24"/>
      <w:szCs w:val="24"/>
    </w:rPr>
  </w:style>
  <w:style w:type="character" w:customStyle="1" w:styleId="80">
    <w:name w:val="Plain Text Char1"/>
    <w:qFormat/>
    <w:uiPriority w:val="99"/>
    <w:rPr>
      <w:rFonts w:ascii="宋体" w:hAnsi="Courier New" w:eastAsia="宋体"/>
      <w:sz w:val="24"/>
    </w:rPr>
  </w:style>
  <w:style w:type="character" w:customStyle="1" w:styleId="81">
    <w:name w:val="Char Char91"/>
    <w:qFormat/>
    <w:uiPriority w:val="99"/>
    <w:rPr>
      <w:rFonts w:ascii="宋体" w:hAnsi="Courier New" w:eastAsia="宋体" w:cs="Times New Roman"/>
      <w:bCs/>
      <w:sz w:val="24"/>
      <w:szCs w:val="24"/>
    </w:rPr>
  </w:style>
  <w:style w:type="character" w:customStyle="1" w:styleId="82">
    <w:name w:val="font21"/>
    <w:qFormat/>
    <w:uiPriority w:val="0"/>
    <w:rPr>
      <w:rFonts w:ascii="Calibri" w:hAnsi="Calibri" w:cs="Calibri"/>
      <w:color w:val="000000"/>
      <w:sz w:val="24"/>
      <w:szCs w:val="24"/>
      <w:u w:val="none"/>
    </w:rPr>
  </w:style>
  <w:style w:type="character" w:customStyle="1" w:styleId="83">
    <w:name w:val="Char Char1"/>
    <w:qFormat/>
    <w:uiPriority w:val="0"/>
    <w:rPr>
      <w:kern w:val="2"/>
      <w:sz w:val="21"/>
      <w:szCs w:val="24"/>
    </w:rPr>
  </w:style>
  <w:style w:type="character" w:customStyle="1" w:styleId="84">
    <w:name w:val="yanse"/>
    <w:qFormat/>
    <w:uiPriority w:val="0"/>
  </w:style>
  <w:style w:type="character" w:customStyle="1" w:styleId="85">
    <w:name w:val="font41"/>
    <w:qFormat/>
    <w:uiPriority w:val="0"/>
    <w:rPr>
      <w:rFonts w:ascii="Times New Roman" w:hAnsi="Times New Roman" w:cs="Times New Roman"/>
      <w:color w:val="000000"/>
      <w:sz w:val="24"/>
      <w:szCs w:val="24"/>
      <w:u w:val="none"/>
    </w:rPr>
  </w:style>
  <w:style w:type="character" w:customStyle="1" w:styleId="86">
    <w:name w:val="纯文本 Char1"/>
    <w:qFormat/>
    <w:uiPriority w:val="99"/>
    <w:rPr>
      <w:rFonts w:hint="eastAsia" w:ascii="宋体" w:hAnsi="Courier New" w:eastAsia="宋体" w:cs="Courier New"/>
      <w:szCs w:val="21"/>
    </w:rPr>
  </w:style>
  <w:style w:type="character" w:customStyle="1" w:styleId="87">
    <w:name w:val="15"/>
    <w:qFormat/>
    <w:uiPriority w:val="0"/>
  </w:style>
  <w:style w:type="character" w:customStyle="1" w:styleId="88">
    <w:name w:val="msoplaceholdertext"/>
    <w:qFormat/>
    <w:uiPriority w:val="0"/>
    <w:rPr>
      <w:color w:val="808080"/>
    </w:rPr>
  </w:style>
  <w:style w:type="character" w:customStyle="1" w:styleId="89">
    <w:name w:val="Char Char2"/>
    <w:qFormat/>
    <w:uiPriority w:val="99"/>
    <w:rPr>
      <w:kern w:val="2"/>
      <w:sz w:val="18"/>
    </w:rPr>
  </w:style>
  <w:style w:type="character" w:styleId="90">
    <w:name w:val="Placeholder Text"/>
    <w:unhideWhenUsed/>
    <w:qFormat/>
    <w:uiPriority w:val="99"/>
    <w:rPr>
      <w:color w:val="808080"/>
    </w:rPr>
  </w:style>
  <w:style w:type="character" w:customStyle="1" w:styleId="91">
    <w:name w:val="页脚 Char1"/>
    <w:qFormat/>
    <w:uiPriority w:val="99"/>
    <w:rPr>
      <w:sz w:val="18"/>
      <w:szCs w:val="18"/>
    </w:rPr>
  </w:style>
  <w:style w:type="character" w:customStyle="1" w:styleId="92">
    <w:name w:val="font71"/>
    <w:qFormat/>
    <w:uiPriority w:val="0"/>
    <w:rPr>
      <w:rFonts w:hint="eastAsia" w:ascii="仿宋" w:hAnsi="仿宋" w:eastAsia="仿宋" w:cs="仿宋"/>
      <w:color w:val="000000"/>
      <w:sz w:val="18"/>
      <w:szCs w:val="18"/>
      <w:u w:val="none"/>
    </w:rPr>
  </w:style>
  <w:style w:type="character" w:customStyle="1" w:styleId="93">
    <w:name w:val="font11"/>
    <w:qFormat/>
    <w:uiPriority w:val="0"/>
    <w:rPr>
      <w:rFonts w:ascii="楷体_GB2312" w:eastAsia="楷体_GB2312" w:cs="楷体_GB2312"/>
      <w:color w:val="000000"/>
      <w:sz w:val="24"/>
      <w:szCs w:val="24"/>
      <w:u w:val="none"/>
    </w:rPr>
  </w:style>
  <w:style w:type="character" w:customStyle="1" w:styleId="94">
    <w:name w:val="font91"/>
    <w:qFormat/>
    <w:uiPriority w:val="0"/>
    <w:rPr>
      <w:rFonts w:ascii="方正仿宋_GBK" w:hAnsi="方正仿宋_GBK" w:eastAsia="方正仿宋_GBK" w:cs="方正仿宋_GBK"/>
      <w:color w:val="000000"/>
      <w:sz w:val="20"/>
      <w:szCs w:val="20"/>
      <w:u w:val="none"/>
    </w:rPr>
  </w:style>
  <w:style w:type="character" w:customStyle="1" w:styleId="95">
    <w:name w:val="Char Char11"/>
    <w:qFormat/>
    <w:uiPriority w:val="0"/>
    <w:rPr>
      <w:kern w:val="2"/>
      <w:sz w:val="21"/>
      <w:szCs w:val="24"/>
    </w:rPr>
  </w:style>
  <w:style w:type="character" w:customStyle="1" w:styleId="96">
    <w:name w:val="font61"/>
    <w:qFormat/>
    <w:uiPriority w:val="99"/>
    <w:rPr>
      <w:rFonts w:ascii="宋体" w:hAnsi="宋体" w:eastAsia="宋体" w:cs="宋体"/>
      <w:color w:val="000000"/>
      <w:sz w:val="24"/>
      <w:szCs w:val="24"/>
      <w:u w:val="none"/>
    </w:rPr>
  </w:style>
  <w:style w:type="character" w:customStyle="1" w:styleId="97">
    <w:name w:val="Char Char6"/>
    <w:qFormat/>
    <w:uiPriority w:val="99"/>
    <w:rPr>
      <w:rFonts w:ascii="Times New Roman" w:hAnsi="Times New Roman" w:cs="Times New Roman"/>
      <w:b/>
      <w:bCs/>
      <w:kern w:val="2"/>
      <w:sz w:val="18"/>
      <w:szCs w:val="18"/>
    </w:rPr>
  </w:style>
  <w:style w:type="character" w:customStyle="1" w:styleId="98">
    <w:name w:val="font51"/>
    <w:qFormat/>
    <w:uiPriority w:val="99"/>
    <w:rPr>
      <w:rFonts w:ascii="Times New Roman" w:hAnsi="Times New Roman" w:cs="Times New Roman"/>
      <w:color w:val="000000"/>
      <w:sz w:val="24"/>
      <w:szCs w:val="24"/>
      <w:u w:val="none"/>
    </w:rPr>
  </w:style>
  <w:style w:type="character" w:customStyle="1" w:styleId="99">
    <w:name w:val="font_2"/>
    <w:qFormat/>
    <w:uiPriority w:val="0"/>
  </w:style>
  <w:style w:type="paragraph" w:customStyle="1" w:styleId="100">
    <w:name w:val="xl25"/>
    <w:basedOn w:val="1"/>
    <w:qFormat/>
    <w:uiPriority w:val="99"/>
    <w:pPr>
      <w:widowControl/>
      <w:spacing w:before="100" w:beforeAutospacing="1" w:after="100" w:afterAutospacing="1" w:line="360" w:lineRule="auto"/>
      <w:ind w:firstLine="200" w:firstLineChars="200"/>
      <w:jc w:val="left"/>
    </w:pPr>
    <w:rPr>
      <w:rFonts w:ascii="Calibri" w:hAnsi="Calibri" w:eastAsia="仿宋_GB2312" w:cs="Calibri"/>
      <w:kern w:val="0"/>
      <w:sz w:val="28"/>
      <w:szCs w:val="21"/>
    </w:rPr>
  </w:style>
  <w:style w:type="paragraph" w:customStyle="1" w:styleId="101">
    <w:name w:val="xl99"/>
    <w:basedOn w:val="1"/>
    <w:qFormat/>
    <w:uiPriority w:val="0"/>
    <w:pPr>
      <w:widowControl/>
      <w:pBdr>
        <w:left w:val="single" w:color="auto" w:sz="8" w:space="0"/>
        <w:bottom w:val="single" w:color="000000"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color w:val="000000"/>
      <w:kern w:val="0"/>
      <w:sz w:val="18"/>
      <w:szCs w:val="18"/>
    </w:rPr>
  </w:style>
  <w:style w:type="paragraph" w:customStyle="1" w:styleId="102">
    <w:name w:val="et6"/>
    <w:basedOn w:val="1"/>
    <w:qFormat/>
    <w:uiPriority w:val="0"/>
    <w:pPr>
      <w:widowControl/>
      <w:spacing w:before="100" w:beforeAutospacing="1" w:after="100" w:afterAutospacing="1" w:line="360" w:lineRule="auto"/>
      <w:ind w:firstLine="200" w:firstLineChars="200"/>
      <w:jc w:val="left"/>
      <w:textAlignment w:val="center"/>
    </w:pPr>
    <w:rPr>
      <w:rFonts w:ascii="Arial" w:hAnsi="Arial" w:eastAsia="仿宋_GB2312" w:cs="Arial"/>
      <w:color w:val="000000"/>
      <w:kern w:val="0"/>
      <w:sz w:val="20"/>
      <w:szCs w:val="20"/>
    </w:rPr>
  </w:style>
  <w:style w:type="paragraph" w:customStyle="1" w:styleId="103">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textAlignment w:val="bottom"/>
    </w:pPr>
    <w:rPr>
      <w:rFonts w:ascii="Times New Roman" w:hAnsi="Times New Roman" w:eastAsia="仿宋_GB2312" w:cs="宋体"/>
      <w:kern w:val="0"/>
      <w:sz w:val="28"/>
      <w:szCs w:val="24"/>
    </w:rPr>
  </w:style>
  <w:style w:type="paragraph" w:customStyle="1" w:styleId="104">
    <w:name w:val="xl106"/>
    <w:basedOn w:val="1"/>
    <w:qFormat/>
    <w:uiPriority w:val="0"/>
    <w:pPr>
      <w:widowControl/>
      <w:pBdr>
        <w:top w:val="single" w:color="auto" w:sz="8" w:space="0"/>
        <w:left w:val="single" w:color="auto"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color w:val="000000"/>
      <w:kern w:val="0"/>
      <w:sz w:val="18"/>
      <w:szCs w:val="18"/>
    </w:rPr>
  </w:style>
  <w:style w:type="paragraph" w:customStyle="1" w:styleId="105">
    <w:name w:val="xl101"/>
    <w:basedOn w:val="1"/>
    <w:qFormat/>
    <w:uiPriority w:val="0"/>
    <w:pPr>
      <w:widowControl/>
      <w:pBdr>
        <w:left w:val="single" w:color="auto" w:sz="8" w:space="0"/>
        <w:bottom w:val="single" w:color="000000"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color w:val="000000"/>
      <w:kern w:val="0"/>
      <w:sz w:val="18"/>
      <w:szCs w:val="18"/>
    </w:rPr>
  </w:style>
  <w:style w:type="paragraph" w:customStyle="1" w:styleId="106">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ascii="Times New Roman" w:hAnsi="Times New Roman" w:eastAsia="仿宋_GB2312" w:cs="宋体"/>
      <w:kern w:val="0"/>
      <w:sz w:val="28"/>
      <w:szCs w:val="24"/>
    </w:rPr>
  </w:style>
  <w:style w:type="paragraph" w:customStyle="1" w:styleId="107">
    <w:name w:val="样式7"/>
    <w:basedOn w:val="1"/>
    <w:qFormat/>
    <w:uiPriority w:val="0"/>
    <w:pPr>
      <w:spacing w:line="360" w:lineRule="auto"/>
      <w:ind w:firstLine="567" w:firstLineChars="200"/>
    </w:pPr>
    <w:rPr>
      <w:rFonts w:ascii="仿宋_GB2312" w:hAnsi="Times New Roman" w:eastAsia="仿宋_GB2312" w:cs="Times New Roman"/>
      <w:sz w:val="28"/>
      <w:szCs w:val="20"/>
    </w:rPr>
  </w:style>
  <w:style w:type="paragraph" w:customStyle="1" w:styleId="108">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仿宋" w:hAnsi="仿宋" w:eastAsia="仿宋_GB2312" w:cs="宋体"/>
      <w:kern w:val="0"/>
      <w:sz w:val="20"/>
      <w:szCs w:val="20"/>
    </w:rPr>
  </w:style>
  <w:style w:type="paragraph" w:customStyle="1" w:styleId="109">
    <w:name w:val="xl100"/>
    <w:basedOn w:val="1"/>
    <w:qFormat/>
    <w:uiPriority w:val="0"/>
    <w:pPr>
      <w:widowControl/>
      <w:pBdr>
        <w:top w:val="single" w:color="auto" w:sz="8" w:space="0"/>
        <w:left w:val="single" w:color="auto"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color w:val="000000"/>
      <w:kern w:val="0"/>
      <w:sz w:val="18"/>
      <w:szCs w:val="18"/>
    </w:rPr>
  </w:style>
  <w:style w:type="paragraph" w:customStyle="1" w:styleId="110">
    <w:name w:val="pic-info"/>
    <w:basedOn w:val="1"/>
    <w:qFormat/>
    <w:uiPriority w:val="0"/>
    <w:pPr>
      <w:widowControl/>
      <w:spacing w:before="100" w:beforeAutospacing="1" w:after="100" w:afterAutospacing="1" w:line="360" w:lineRule="auto"/>
      <w:ind w:firstLine="200" w:firstLineChars="200"/>
      <w:jc w:val="left"/>
    </w:pPr>
    <w:rPr>
      <w:rFonts w:ascii="Times New Roman" w:hAnsi="Times New Roman" w:eastAsia="仿宋_GB2312" w:cs="宋体"/>
      <w:kern w:val="0"/>
      <w:sz w:val="24"/>
      <w:szCs w:val="24"/>
    </w:rPr>
  </w:style>
  <w:style w:type="paragraph" w:customStyle="1" w:styleId="111">
    <w:name w:val="xl89"/>
    <w:basedOn w:val="1"/>
    <w:qFormat/>
    <w:uiPriority w:val="0"/>
    <w:pPr>
      <w:widowControl/>
      <w:spacing w:before="100" w:beforeAutospacing="1" w:after="100" w:afterAutospacing="1" w:line="360" w:lineRule="auto"/>
      <w:ind w:firstLine="200" w:firstLineChars="200"/>
      <w:jc w:val="left"/>
      <w:textAlignment w:val="center"/>
    </w:pPr>
    <w:rPr>
      <w:rFonts w:ascii="Times New Roman" w:hAnsi="Times New Roman" w:eastAsia="仿宋_GB2312" w:cs="宋体"/>
      <w:kern w:val="0"/>
      <w:sz w:val="28"/>
      <w:szCs w:val="24"/>
    </w:rPr>
  </w:style>
  <w:style w:type="paragraph" w:customStyle="1" w:styleId="112">
    <w:name w:val="xl34"/>
    <w:basedOn w:val="1"/>
    <w:qFormat/>
    <w:uiPriority w:val="99"/>
    <w:pPr>
      <w:widowControl/>
      <w:pBdr>
        <w:top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仿宋" w:hAnsi="仿宋" w:eastAsia="仿宋_GB2312" w:cs="宋体"/>
      <w:kern w:val="0"/>
      <w:sz w:val="20"/>
      <w:szCs w:val="20"/>
    </w:rPr>
  </w:style>
  <w:style w:type="paragraph" w:customStyle="1" w:styleId="113">
    <w:name w:val="xl2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仿宋" w:hAnsi="仿宋" w:eastAsia="仿宋_GB2312" w:cs="宋体"/>
      <w:kern w:val="0"/>
      <w:sz w:val="20"/>
      <w:szCs w:val="20"/>
    </w:rPr>
  </w:style>
  <w:style w:type="paragraph" w:customStyle="1" w:styleId="114">
    <w:name w:val="xl108"/>
    <w:basedOn w:val="1"/>
    <w:qFormat/>
    <w:uiPriority w:val="0"/>
    <w:pPr>
      <w:widowControl/>
      <w:pBdr>
        <w:top w:val="single" w:color="auto" w:sz="8" w:space="0"/>
        <w:left w:val="single" w:color="auto"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kern w:val="0"/>
      <w:sz w:val="18"/>
      <w:szCs w:val="18"/>
    </w:rPr>
  </w:style>
  <w:style w:type="paragraph" w:customStyle="1" w:styleId="115">
    <w:name w:val="xl30"/>
    <w:basedOn w:val="1"/>
    <w:qFormat/>
    <w:uiPriority w:val="99"/>
    <w:pPr>
      <w:widowControl/>
      <w:pBdr>
        <w:top w:val="single" w:color="auto" w:sz="4" w:space="0"/>
        <w:left w:val="single" w:color="auto" w:sz="4" w:space="0"/>
        <w:right w:val="single" w:color="auto" w:sz="4" w:space="0"/>
      </w:pBdr>
      <w:spacing w:before="100" w:beforeAutospacing="1" w:after="100" w:afterAutospacing="1" w:line="360" w:lineRule="auto"/>
      <w:ind w:firstLine="200" w:firstLineChars="200"/>
      <w:jc w:val="center"/>
    </w:pPr>
    <w:rPr>
      <w:rFonts w:ascii="仿宋" w:hAnsi="仿宋" w:eastAsia="仿宋_GB2312" w:cs="宋体"/>
      <w:kern w:val="0"/>
      <w:sz w:val="20"/>
      <w:szCs w:val="20"/>
    </w:rPr>
  </w:style>
  <w:style w:type="paragraph" w:customStyle="1" w:styleId="116">
    <w:name w:val="xl33"/>
    <w:basedOn w:val="1"/>
    <w:qFormat/>
    <w:uiPriority w:val="99"/>
    <w:pPr>
      <w:widowControl/>
      <w:pBdr>
        <w:top w:val="single" w:color="auto" w:sz="4" w:space="0"/>
        <w:left w:val="single" w:color="auto" w:sz="4" w:space="0"/>
        <w:bottom w:val="single" w:color="auto" w:sz="4" w:space="0"/>
      </w:pBdr>
      <w:spacing w:before="100" w:beforeAutospacing="1" w:after="100" w:afterAutospacing="1" w:line="360" w:lineRule="auto"/>
      <w:ind w:firstLine="200" w:firstLineChars="200"/>
      <w:jc w:val="center"/>
    </w:pPr>
    <w:rPr>
      <w:rFonts w:ascii="仿宋" w:hAnsi="仿宋" w:eastAsia="仿宋_GB2312" w:cs="宋体"/>
      <w:kern w:val="0"/>
      <w:sz w:val="20"/>
      <w:szCs w:val="20"/>
    </w:rPr>
  </w:style>
  <w:style w:type="paragraph" w:customStyle="1" w:styleId="117">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仿宋" w:hAnsi="仿宋" w:eastAsia="仿宋_GB2312" w:cs="宋体"/>
      <w:kern w:val="0"/>
      <w:sz w:val="20"/>
      <w:szCs w:val="20"/>
    </w:rPr>
  </w:style>
  <w:style w:type="character" w:customStyle="1" w:styleId="118">
    <w:name w:val="表头 字符"/>
    <w:qFormat/>
    <w:uiPriority w:val="0"/>
    <w:rPr>
      <w:rFonts w:ascii="Times New Roman" w:hAnsi="Times New Roman" w:eastAsia="仿宋_GB2312" w:cs="Times New Roman"/>
      <w:b/>
      <w:bCs/>
      <w:kern w:val="2"/>
      <w:sz w:val="24"/>
      <w:szCs w:val="21"/>
    </w:rPr>
  </w:style>
  <w:style w:type="paragraph" w:customStyle="1" w:styleId="119">
    <w:name w:val="列出段落11"/>
    <w:basedOn w:val="1"/>
    <w:qFormat/>
    <w:uiPriority w:val="99"/>
    <w:pPr>
      <w:spacing w:line="360" w:lineRule="auto"/>
      <w:ind w:firstLine="420" w:firstLineChars="200"/>
    </w:pPr>
    <w:rPr>
      <w:rFonts w:ascii="Times New Roman" w:hAnsi="Times New Roman" w:eastAsia="仿宋_GB2312" w:cs="Times New Roman"/>
      <w:sz w:val="28"/>
      <w:szCs w:val="24"/>
    </w:rPr>
  </w:style>
  <w:style w:type="paragraph" w:customStyle="1" w:styleId="12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1">
    <w:name w:val="WPSOffice手动目录 1"/>
    <w:qFormat/>
    <w:uiPriority w:val="0"/>
    <w:rPr>
      <w:rFonts w:ascii="Times New Roman" w:hAnsi="Times New Roman" w:eastAsia="宋体" w:cs="Times New Roman"/>
      <w:lang w:val="en-US" w:eastAsia="zh-CN" w:bidi="ar-SA"/>
    </w:rPr>
  </w:style>
  <w:style w:type="paragraph" w:customStyle="1" w:styleId="122">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ascii="Times New Roman" w:hAnsi="Times New Roman" w:eastAsia="仿宋_GB2312" w:cs="宋体"/>
      <w:kern w:val="0"/>
      <w:sz w:val="28"/>
      <w:szCs w:val="24"/>
    </w:rPr>
  </w:style>
  <w:style w:type="paragraph" w:customStyle="1" w:styleId="12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Times New Roman" w:hAnsi="Times New Roman" w:eastAsia="仿宋_GB2312" w:cs="宋体"/>
      <w:kern w:val="0"/>
      <w:sz w:val="28"/>
      <w:szCs w:val="24"/>
    </w:rPr>
  </w:style>
  <w:style w:type="paragraph" w:customStyle="1" w:styleId="124">
    <w:name w:val="xl90"/>
    <w:basedOn w:val="1"/>
    <w:qFormat/>
    <w:uiPriority w:val="0"/>
    <w:pPr>
      <w:widowControl/>
      <w:spacing w:before="100" w:beforeAutospacing="1" w:after="100" w:afterAutospacing="1" w:line="360" w:lineRule="auto"/>
      <w:ind w:firstLine="200" w:firstLineChars="200"/>
      <w:jc w:val="left"/>
      <w:textAlignment w:val="center"/>
    </w:pPr>
    <w:rPr>
      <w:rFonts w:ascii="Times New Roman" w:hAnsi="Times New Roman" w:eastAsia="仿宋_GB2312" w:cs="宋体"/>
      <w:kern w:val="0"/>
      <w:sz w:val="28"/>
      <w:szCs w:val="24"/>
    </w:rPr>
  </w:style>
  <w:style w:type="paragraph" w:customStyle="1" w:styleId="125">
    <w:name w:val="xl92"/>
    <w:basedOn w:val="1"/>
    <w:qFormat/>
    <w:uiPriority w:val="0"/>
    <w:pPr>
      <w:widowControl/>
      <w:shd w:val="clear" w:color="000000" w:fill="D99795"/>
      <w:spacing w:before="100" w:beforeAutospacing="1" w:after="100" w:afterAutospacing="1" w:line="360" w:lineRule="auto"/>
      <w:ind w:firstLine="200" w:firstLineChars="200"/>
      <w:jc w:val="left"/>
      <w:textAlignment w:val="center"/>
    </w:pPr>
    <w:rPr>
      <w:rFonts w:ascii="Times New Roman" w:hAnsi="Times New Roman" w:eastAsia="仿宋_GB2312" w:cs="宋体"/>
      <w:kern w:val="0"/>
      <w:sz w:val="28"/>
      <w:szCs w:val="24"/>
    </w:rPr>
  </w:style>
  <w:style w:type="paragraph" w:customStyle="1" w:styleId="126">
    <w:name w:val="xl93"/>
    <w:basedOn w:val="1"/>
    <w:qFormat/>
    <w:uiPriority w:val="0"/>
    <w:pPr>
      <w:widowControl/>
      <w:shd w:val="clear" w:color="000000" w:fill="D99795"/>
      <w:spacing w:before="100" w:beforeAutospacing="1" w:after="100" w:afterAutospacing="1" w:line="360" w:lineRule="auto"/>
      <w:ind w:firstLine="200" w:firstLineChars="200"/>
      <w:jc w:val="left"/>
      <w:textAlignment w:val="center"/>
    </w:pPr>
    <w:rPr>
      <w:rFonts w:ascii="Times New Roman" w:hAnsi="Times New Roman" w:eastAsia="仿宋_GB2312" w:cs="宋体"/>
      <w:kern w:val="0"/>
      <w:sz w:val="28"/>
      <w:szCs w:val="24"/>
    </w:rPr>
  </w:style>
  <w:style w:type="paragraph" w:customStyle="1" w:styleId="127">
    <w:name w:val="xl95"/>
    <w:basedOn w:val="1"/>
    <w:qFormat/>
    <w:uiPriority w:val="0"/>
    <w:pPr>
      <w:widowControl/>
      <w:spacing w:before="100" w:beforeAutospacing="1" w:after="100" w:afterAutospacing="1" w:line="360" w:lineRule="auto"/>
      <w:ind w:firstLine="200" w:firstLineChars="200"/>
      <w:jc w:val="left"/>
      <w:textAlignment w:val="center"/>
    </w:pPr>
    <w:rPr>
      <w:rFonts w:ascii="Times New Roman" w:hAnsi="Times New Roman" w:eastAsia="仿宋_GB2312" w:cs="宋体"/>
      <w:kern w:val="0"/>
      <w:sz w:val="28"/>
      <w:szCs w:val="24"/>
    </w:rPr>
  </w:style>
  <w:style w:type="paragraph" w:customStyle="1" w:styleId="128">
    <w:name w:val="xl98"/>
    <w:basedOn w:val="1"/>
    <w:qFormat/>
    <w:uiPriority w:val="0"/>
    <w:pPr>
      <w:widowControl/>
      <w:pBdr>
        <w:top w:val="single" w:color="auto" w:sz="8" w:space="0"/>
        <w:left w:val="single" w:color="auto"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color w:val="000000"/>
      <w:kern w:val="0"/>
      <w:sz w:val="18"/>
      <w:szCs w:val="18"/>
    </w:rPr>
  </w:style>
  <w:style w:type="paragraph" w:customStyle="1" w:styleId="129">
    <w:name w:val="xl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仿宋" w:hAnsi="仿宋" w:eastAsia="仿宋_GB2312" w:cs="宋体"/>
      <w:kern w:val="0"/>
      <w:sz w:val="20"/>
      <w:szCs w:val="20"/>
    </w:rPr>
  </w:style>
  <w:style w:type="paragraph" w:customStyle="1" w:styleId="130">
    <w:name w:val="xl102"/>
    <w:basedOn w:val="1"/>
    <w:qFormat/>
    <w:uiPriority w:val="0"/>
    <w:pPr>
      <w:widowControl/>
      <w:pBdr>
        <w:top w:val="single" w:color="auto" w:sz="8" w:space="0"/>
        <w:left w:val="single" w:color="auto"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color w:val="000000"/>
      <w:kern w:val="0"/>
      <w:sz w:val="16"/>
      <w:szCs w:val="16"/>
    </w:rPr>
  </w:style>
  <w:style w:type="paragraph" w:customStyle="1" w:styleId="131">
    <w:name w:val="列出段落1"/>
    <w:basedOn w:val="1"/>
    <w:qFormat/>
    <w:uiPriority w:val="99"/>
    <w:pPr>
      <w:spacing w:line="360" w:lineRule="auto"/>
      <w:ind w:firstLine="420" w:firstLineChars="200"/>
    </w:pPr>
    <w:rPr>
      <w:rFonts w:ascii="Times New Roman" w:hAnsi="Times New Roman" w:eastAsia="仿宋_GB2312" w:cs="Times New Roman"/>
      <w:sz w:val="28"/>
      <w:szCs w:val="24"/>
    </w:rPr>
  </w:style>
  <w:style w:type="paragraph" w:customStyle="1" w:styleId="132">
    <w:name w:val="xl94"/>
    <w:basedOn w:val="1"/>
    <w:qFormat/>
    <w:uiPriority w:val="0"/>
    <w:pPr>
      <w:widowControl/>
      <w:shd w:val="clear" w:color="000000" w:fill="D99795"/>
      <w:spacing w:before="100" w:beforeAutospacing="1" w:after="100" w:afterAutospacing="1" w:line="360" w:lineRule="auto"/>
      <w:ind w:firstLine="200" w:firstLineChars="200"/>
      <w:jc w:val="left"/>
      <w:textAlignment w:val="center"/>
    </w:pPr>
    <w:rPr>
      <w:rFonts w:ascii="Times New Roman" w:hAnsi="Times New Roman" w:eastAsia="仿宋_GB2312" w:cs="宋体"/>
      <w:kern w:val="0"/>
      <w:sz w:val="28"/>
      <w:szCs w:val="24"/>
    </w:rPr>
  </w:style>
  <w:style w:type="paragraph" w:customStyle="1" w:styleId="133">
    <w:name w:val="xl107"/>
    <w:basedOn w:val="1"/>
    <w:qFormat/>
    <w:uiPriority w:val="0"/>
    <w:pPr>
      <w:widowControl/>
      <w:pBdr>
        <w:left w:val="single" w:color="auto" w:sz="8" w:space="0"/>
        <w:bottom w:val="single" w:color="000000"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color w:val="000000"/>
      <w:kern w:val="0"/>
      <w:sz w:val="18"/>
      <w:szCs w:val="18"/>
    </w:rPr>
  </w:style>
  <w:style w:type="paragraph" w:customStyle="1" w:styleId="134">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ascii="仿宋" w:hAnsi="仿宋" w:eastAsia="仿宋_GB2312" w:cs="宋体"/>
      <w:kern w:val="0"/>
      <w:sz w:val="20"/>
      <w:szCs w:val="20"/>
    </w:rPr>
  </w:style>
  <w:style w:type="paragraph" w:customStyle="1" w:styleId="135">
    <w:name w:val="msolistparagraph"/>
    <w:basedOn w:val="1"/>
    <w:qFormat/>
    <w:uiPriority w:val="0"/>
    <w:pPr>
      <w:spacing w:line="360" w:lineRule="auto"/>
      <w:ind w:firstLine="420" w:firstLineChars="200"/>
    </w:pPr>
    <w:rPr>
      <w:rFonts w:ascii="Calibri" w:hAnsi="Calibri" w:eastAsia="宋体" w:cs="Times New Roman"/>
    </w:rPr>
  </w:style>
  <w:style w:type="paragraph" w:customStyle="1" w:styleId="13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pPr>
    <w:rPr>
      <w:rFonts w:ascii="Times New Roman" w:hAnsi="Times New Roman" w:eastAsia="仿宋_GB2312" w:cs="宋体"/>
      <w:kern w:val="0"/>
      <w:sz w:val="28"/>
      <w:szCs w:val="24"/>
    </w:rPr>
  </w:style>
  <w:style w:type="paragraph" w:customStyle="1" w:styleId="13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8">
    <w:name w:val="xl109"/>
    <w:basedOn w:val="1"/>
    <w:qFormat/>
    <w:uiPriority w:val="0"/>
    <w:pPr>
      <w:widowControl/>
      <w:pBdr>
        <w:left w:val="single" w:color="auto" w:sz="8" w:space="0"/>
        <w:bottom w:val="single" w:color="000000"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kern w:val="0"/>
      <w:sz w:val="18"/>
      <w:szCs w:val="18"/>
    </w:rPr>
  </w:style>
  <w:style w:type="paragraph" w:customStyle="1" w:styleId="139">
    <w:name w:val="xl35"/>
    <w:basedOn w:val="1"/>
    <w:qFormat/>
    <w:uiPriority w:val="99"/>
    <w:pPr>
      <w:widowControl/>
      <w:pBdr>
        <w:top w:val="single" w:color="auto" w:sz="4" w:space="0"/>
        <w:bottom w:val="single" w:color="auto" w:sz="4" w:space="0"/>
      </w:pBdr>
      <w:spacing w:before="100" w:beforeAutospacing="1" w:after="100" w:afterAutospacing="1" w:line="360" w:lineRule="auto"/>
      <w:ind w:firstLine="200" w:firstLineChars="200"/>
      <w:jc w:val="center"/>
    </w:pPr>
    <w:rPr>
      <w:rFonts w:ascii="仿宋" w:hAnsi="仿宋" w:eastAsia="仿宋_GB2312" w:cs="宋体"/>
      <w:kern w:val="0"/>
      <w:sz w:val="20"/>
      <w:szCs w:val="20"/>
    </w:rPr>
  </w:style>
  <w:style w:type="paragraph" w:customStyle="1" w:styleId="140">
    <w:name w:val="xl105"/>
    <w:basedOn w:val="1"/>
    <w:qFormat/>
    <w:uiPriority w:val="0"/>
    <w:pPr>
      <w:widowControl/>
      <w:pBdr>
        <w:bottom w:val="single" w:color="000000"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color w:val="000000"/>
      <w:kern w:val="0"/>
      <w:sz w:val="18"/>
      <w:szCs w:val="18"/>
    </w:rPr>
  </w:style>
  <w:style w:type="paragraph" w:customStyle="1" w:styleId="141">
    <w:name w:val="et4"/>
    <w:basedOn w:val="1"/>
    <w:qFormat/>
    <w:uiPriority w:val="0"/>
    <w:pPr>
      <w:widowControl/>
      <w:spacing w:before="100" w:beforeAutospacing="1" w:after="100" w:afterAutospacing="1" w:line="360" w:lineRule="auto"/>
      <w:ind w:firstLine="200" w:firstLineChars="200"/>
      <w:jc w:val="left"/>
      <w:textAlignment w:val="center"/>
    </w:pPr>
    <w:rPr>
      <w:rFonts w:ascii="Arial" w:hAnsi="Arial" w:eastAsia="仿宋_GB2312" w:cs="Arial"/>
      <w:color w:val="000000"/>
      <w:kern w:val="0"/>
      <w:sz w:val="20"/>
      <w:szCs w:val="20"/>
    </w:rPr>
  </w:style>
  <w:style w:type="paragraph" w:customStyle="1" w:styleId="142">
    <w:name w:val="p"/>
    <w:basedOn w:val="1"/>
    <w:qFormat/>
    <w:uiPriority w:val="0"/>
    <w:pPr>
      <w:widowControl/>
      <w:spacing w:before="100" w:beforeAutospacing="1" w:after="100" w:afterAutospacing="1" w:line="360" w:lineRule="auto"/>
      <w:ind w:firstLine="200" w:firstLineChars="200"/>
      <w:jc w:val="left"/>
    </w:pPr>
    <w:rPr>
      <w:rFonts w:ascii="Times New Roman" w:hAnsi="Times New Roman" w:eastAsia="仿宋_GB2312" w:cs="宋体"/>
      <w:kern w:val="0"/>
      <w:sz w:val="28"/>
      <w:szCs w:val="24"/>
    </w:rPr>
  </w:style>
  <w:style w:type="paragraph" w:customStyle="1" w:styleId="143">
    <w:name w:val="xl31"/>
    <w:basedOn w:val="1"/>
    <w:qFormat/>
    <w:uiPriority w:val="99"/>
    <w:pPr>
      <w:widowControl/>
      <w:pBdr>
        <w:left w:val="single" w:color="auto" w:sz="4" w:space="0"/>
        <w:right w:val="single" w:color="auto" w:sz="4" w:space="0"/>
      </w:pBdr>
      <w:spacing w:before="100" w:beforeAutospacing="1" w:after="100" w:afterAutospacing="1" w:line="360" w:lineRule="auto"/>
      <w:ind w:firstLine="200" w:firstLineChars="200"/>
      <w:jc w:val="center"/>
    </w:pPr>
    <w:rPr>
      <w:rFonts w:ascii="仿宋" w:hAnsi="仿宋" w:eastAsia="仿宋_GB2312" w:cs="宋体"/>
      <w:kern w:val="0"/>
      <w:sz w:val="20"/>
      <w:szCs w:val="20"/>
    </w:rPr>
  </w:style>
  <w:style w:type="paragraph" w:customStyle="1" w:styleId="144">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textAlignment w:val="bottom"/>
    </w:pPr>
    <w:rPr>
      <w:rFonts w:ascii="Times New Roman" w:hAnsi="Times New Roman" w:eastAsia="仿宋_GB2312" w:cs="宋体"/>
      <w:kern w:val="0"/>
      <w:sz w:val="28"/>
      <w:szCs w:val="24"/>
    </w:rPr>
  </w:style>
  <w:style w:type="paragraph" w:customStyle="1" w:styleId="145">
    <w:name w:val="et10"/>
    <w:basedOn w:val="1"/>
    <w:qFormat/>
    <w:uiPriority w:val="0"/>
    <w:pPr>
      <w:widowControl/>
      <w:spacing w:before="100" w:beforeAutospacing="1" w:after="100" w:afterAutospacing="1" w:line="360" w:lineRule="auto"/>
      <w:ind w:firstLine="200" w:firstLineChars="200"/>
      <w:jc w:val="left"/>
      <w:textAlignment w:val="center"/>
    </w:pPr>
    <w:rPr>
      <w:rFonts w:ascii="Arial" w:hAnsi="Arial" w:eastAsia="仿宋_GB2312" w:cs="Arial"/>
      <w:color w:val="000000"/>
      <w:kern w:val="0"/>
      <w:sz w:val="20"/>
      <w:szCs w:val="20"/>
    </w:rPr>
  </w:style>
  <w:style w:type="paragraph" w:customStyle="1" w:styleId="146">
    <w:name w:val="font5"/>
    <w:basedOn w:val="1"/>
    <w:qFormat/>
    <w:uiPriority w:val="0"/>
    <w:pPr>
      <w:widowControl/>
      <w:spacing w:before="100" w:beforeAutospacing="1" w:after="100" w:afterAutospacing="1" w:line="360" w:lineRule="auto"/>
      <w:ind w:firstLine="200" w:firstLineChars="200"/>
      <w:jc w:val="left"/>
    </w:pPr>
    <w:rPr>
      <w:rFonts w:ascii="Times New Roman" w:hAnsi="Times New Roman" w:eastAsia="仿宋_GB2312" w:cs="宋体"/>
      <w:kern w:val="0"/>
      <w:sz w:val="18"/>
      <w:szCs w:val="18"/>
    </w:rPr>
  </w:style>
  <w:style w:type="paragraph" w:customStyle="1" w:styleId="147">
    <w:name w:val="xl32"/>
    <w:basedOn w:val="1"/>
    <w:qFormat/>
    <w:uiPriority w:val="99"/>
    <w:pPr>
      <w:widowControl/>
      <w:pBdr>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仿宋" w:hAnsi="仿宋" w:eastAsia="仿宋_GB2312" w:cs="宋体"/>
      <w:kern w:val="0"/>
      <w:sz w:val="20"/>
      <w:szCs w:val="20"/>
    </w:rPr>
  </w:style>
  <w:style w:type="paragraph" w:customStyle="1" w:styleId="148">
    <w:name w:val="xl91"/>
    <w:basedOn w:val="1"/>
    <w:qFormat/>
    <w:uiPriority w:val="0"/>
    <w:pPr>
      <w:widowControl/>
      <w:spacing w:before="100" w:beforeAutospacing="1" w:after="100" w:afterAutospacing="1" w:line="360" w:lineRule="auto"/>
      <w:ind w:firstLine="200" w:firstLineChars="200"/>
      <w:jc w:val="left"/>
      <w:textAlignment w:val="center"/>
    </w:pPr>
    <w:rPr>
      <w:rFonts w:ascii="Times New Roman" w:hAnsi="Times New Roman" w:eastAsia="仿宋_GB2312" w:cs="宋体"/>
      <w:kern w:val="0"/>
      <w:sz w:val="28"/>
      <w:szCs w:val="24"/>
    </w:rPr>
  </w:style>
  <w:style w:type="paragraph" w:customStyle="1" w:styleId="149">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50">
    <w:name w:val="xl104"/>
    <w:basedOn w:val="1"/>
    <w:qFormat/>
    <w:uiPriority w:val="0"/>
    <w:pPr>
      <w:widowControl/>
      <w:pBdr>
        <w:top w:val="single" w:color="auto"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color w:val="000000"/>
      <w:kern w:val="0"/>
      <w:sz w:val="18"/>
      <w:szCs w:val="18"/>
    </w:rPr>
  </w:style>
  <w:style w:type="paragraph" w:customStyle="1" w:styleId="151">
    <w:name w:val="xl96"/>
    <w:basedOn w:val="1"/>
    <w:qFormat/>
    <w:uiPriority w:val="0"/>
    <w:pPr>
      <w:widowControl/>
      <w:shd w:val="clear" w:color="000000" w:fill="D99795"/>
      <w:spacing w:before="100" w:beforeAutospacing="1" w:after="100" w:afterAutospacing="1" w:line="360" w:lineRule="auto"/>
      <w:ind w:firstLine="200" w:firstLineChars="200"/>
      <w:jc w:val="center"/>
      <w:textAlignment w:val="center"/>
    </w:pPr>
    <w:rPr>
      <w:rFonts w:ascii="Times New Roman" w:hAnsi="Times New Roman" w:eastAsia="仿宋_GB2312" w:cs="宋体"/>
      <w:kern w:val="0"/>
      <w:sz w:val="28"/>
      <w:szCs w:val="24"/>
    </w:rPr>
  </w:style>
  <w:style w:type="paragraph" w:customStyle="1" w:styleId="152">
    <w:name w:val="et7"/>
    <w:basedOn w:val="1"/>
    <w:qFormat/>
    <w:uiPriority w:val="0"/>
    <w:pPr>
      <w:widowControl/>
      <w:spacing w:before="100" w:beforeAutospacing="1" w:after="100" w:afterAutospacing="1" w:line="360" w:lineRule="auto"/>
      <w:ind w:firstLine="200" w:firstLineChars="200"/>
      <w:jc w:val="left"/>
      <w:textAlignment w:val="center"/>
    </w:pPr>
    <w:rPr>
      <w:rFonts w:ascii="Arial" w:hAnsi="Arial" w:eastAsia="仿宋_GB2312" w:cs="Arial"/>
      <w:color w:val="000000"/>
      <w:kern w:val="0"/>
      <w:sz w:val="20"/>
      <w:szCs w:val="20"/>
    </w:rPr>
  </w:style>
  <w:style w:type="paragraph" w:customStyle="1" w:styleId="153">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left"/>
      <w:textAlignment w:val="bottom"/>
    </w:pPr>
    <w:rPr>
      <w:rFonts w:ascii="Times New Roman" w:hAnsi="Times New Roman" w:eastAsia="仿宋_GB2312" w:cs="宋体"/>
      <w:kern w:val="0"/>
      <w:sz w:val="28"/>
      <w:szCs w:val="24"/>
    </w:rPr>
  </w:style>
  <w:style w:type="paragraph" w:customStyle="1" w:styleId="154">
    <w:name w:val="reader-word-layer"/>
    <w:basedOn w:val="1"/>
    <w:qFormat/>
    <w:uiPriority w:val="0"/>
    <w:pPr>
      <w:widowControl/>
      <w:spacing w:before="100" w:beforeAutospacing="1" w:after="100" w:afterAutospacing="1" w:line="360" w:lineRule="auto"/>
      <w:ind w:firstLine="200" w:firstLineChars="200"/>
      <w:jc w:val="left"/>
    </w:pPr>
    <w:rPr>
      <w:rFonts w:ascii="Times New Roman" w:hAnsi="Times New Roman" w:eastAsia="仿宋_GB2312" w:cs="宋体"/>
      <w:kern w:val="0"/>
      <w:sz w:val="24"/>
      <w:szCs w:val="24"/>
    </w:rPr>
  </w:style>
  <w:style w:type="paragraph" w:customStyle="1" w:styleId="155">
    <w:name w:val="xl97"/>
    <w:basedOn w:val="1"/>
    <w:qFormat/>
    <w:uiPriority w:val="0"/>
    <w:pPr>
      <w:widowControl/>
      <w:shd w:val="clear" w:color="000000" w:fill="D99795"/>
      <w:spacing w:before="100" w:beforeAutospacing="1" w:after="100" w:afterAutospacing="1" w:line="360" w:lineRule="auto"/>
      <w:ind w:firstLine="200" w:firstLineChars="200"/>
      <w:jc w:val="center"/>
      <w:textAlignment w:val="center"/>
    </w:pPr>
    <w:rPr>
      <w:rFonts w:ascii="Times New Roman" w:hAnsi="Times New Roman" w:eastAsia="仿宋_GB2312" w:cs="宋体"/>
      <w:kern w:val="0"/>
      <w:sz w:val="28"/>
      <w:szCs w:val="24"/>
    </w:rPr>
  </w:style>
  <w:style w:type="paragraph" w:customStyle="1" w:styleId="156">
    <w:name w:val="font6"/>
    <w:basedOn w:val="1"/>
    <w:qFormat/>
    <w:uiPriority w:val="0"/>
    <w:pPr>
      <w:widowControl/>
      <w:spacing w:before="100" w:beforeAutospacing="1" w:after="100" w:afterAutospacing="1" w:line="360" w:lineRule="auto"/>
      <w:ind w:firstLine="200" w:firstLineChars="200"/>
      <w:jc w:val="left"/>
    </w:pPr>
    <w:rPr>
      <w:rFonts w:ascii="Times New Roman" w:hAnsi="Times New Roman" w:eastAsia="仿宋_GB2312" w:cs="宋体"/>
      <w:kern w:val="0"/>
      <w:sz w:val="20"/>
      <w:szCs w:val="20"/>
    </w:rPr>
  </w:style>
  <w:style w:type="paragraph" w:customStyle="1" w:styleId="157">
    <w:name w:val="xl103"/>
    <w:basedOn w:val="1"/>
    <w:qFormat/>
    <w:uiPriority w:val="0"/>
    <w:pPr>
      <w:widowControl/>
      <w:pBdr>
        <w:left w:val="single" w:color="auto" w:sz="8" w:space="0"/>
        <w:bottom w:val="single" w:color="000000" w:sz="8" w:space="0"/>
        <w:right w:val="single" w:color="auto" w:sz="8" w:space="0"/>
      </w:pBdr>
      <w:spacing w:before="100" w:beforeAutospacing="1" w:after="100" w:afterAutospacing="1" w:line="360" w:lineRule="auto"/>
      <w:ind w:firstLine="200" w:firstLineChars="200"/>
      <w:jc w:val="center"/>
      <w:textAlignment w:val="center"/>
    </w:pPr>
    <w:rPr>
      <w:rFonts w:ascii="Times New Roman" w:hAnsi="Times New Roman" w:eastAsia="仿宋_GB2312" w:cs="宋体"/>
      <w:color w:val="000000"/>
      <w:kern w:val="0"/>
      <w:sz w:val="16"/>
      <w:szCs w:val="16"/>
    </w:rPr>
  </w:style>
  <w:style w:type="paragraph" w:customStyle="1" w:styleId="158">
    <w:name w:val="Pa7"/>
    <w:basedOn w:val="1"/>
    <w:next w:val="1"/>
    <w:qFormat/>
    <w:uiPriority w:val="99"/>
    <w:pPr>
      <w:autoSpaceDE w:val="0"/>
      <w:autoSpaceDN w:val="0"/>
      <w:adjustRightInd w:val="0"/>
      <w:spacing w:line="141" w:lineRule="atLeast"/>
      <w:ind w:firstLine="200" w:firstLineChars="200"/>
      <w:jc w:val="left"/>
    </w:pPr>
    <w:rPr>
      <w:rFonts w:ascii="方正书宋闡.." w:hAnsi="Times New Roman" w:eastAsia="方正书宋闡.." w:cs="Times New Roman"/>
      <w:kern w:val="0"/>
      <w:sz w:val="28"/>
      <w:szCs w:val="24"/>
    </w:rPr>
  </w:style>
  <w:style w:type="paragraph" w:customStyle="1" w:styleId="159">
    <w:name w:val="_Style 164"/>
    <w:unhideWhenUsed/>
    <w:qFormat/>
    <w:uiPriority w:val="99"/>
    <w:pPr>
      <w:ind w:firstLine="560" w:firstLineChars="200"/>
    </w:pPr>
    <w:rPr>
      <w:rFonts w:ascii="宋体" w:hAnsi="宋体" w:eastAsia="仿宋" w:cs="宋体"/>
      <w:sz w:val="28"/>
      <w:szCs w:val="24"/>
      <w:lang w:val="en-US" w:eastAsia="zh-CN" w:bidi="ar-SA"/>
    </w:rPr>
  </w:style>
  <w:style w:type="character" w:customStyle="1" w:styleId="160">
    <w:name w:val="Char Char12"/>
    <w:qFormat/>
    <w:uiPriority w:val="0"/>
    <w:rPr>
      <w:kern w:val="2"/>
      <w:sz w:val="21"/>
      <w:szCs w:val="24"/>
    </w:rPr>
  </w:style>
  <w:style w:type="character" w:customStyle="1" w:styleId="161">
    <w:name w:val="页眉 字符"/>
    <w:qFormat/>
    <w:locked/>
    <w:uiPriority w:val="99"/>
    <w:rPr>
      <w:rFonts w:cs="Times New Roman"/>
      <w:sz w:val="18"/>
      <w:szCs w:val="18"/>
    </w:rPr>
  </w:style>
  <w:style w:type="character" w:customStyle="1" w:styleId="162">
    <w:name w:val="副标题 字符"/>
    <w:basedOn w:val="37"/>
    <w:link w:val="27"/>
    <w:qFormat/>
    <w:uiPriority w:val="11"/>
    <w:rPr>
      <w:rFonts w:eastAsia="宋体" w:asciiTheme="majorHAnsi" w:hAnsiTheme="majorHAnsi" w:cstheme="majorBidi"/>
      <w:b/>
      <w:bCs/>
      <w:kern w:val="28"/>
      <w:sz w:val="32"/>
      <w:szCs w:val="32"/>
    </w:rPr>
  </w:style>
  <w:style w:type="character" w:customStyle="1" w:styleId="163">
    <w:name w:val="不明显强调1"/>
    <w:basedOn w:val="37"/>
    <w:qFormat/>
    <w:uiPriority w:val="19"/>
    <w:rPr>
      <w:i/>
      <w:iCs/>
      <w:color w:val="808080" w:themeColor="text1" w:themeTint="80"/>
      <w14:textFill>
        <w14:solidFill>
          <w14:schemeClr w14:val="tx1">
            <w14:lumMod w14:val="50000"/>
            <w14:lumOff w14:val="50000"/>
          </w14:schemeClr>
        </w14:solidFill>
      </w14:textFill>
    </w:rPr>
  </w:style>
  <w:style w:type="character" w:customStyle="1" w:styleId="164">
    <w:name w:val="明显强调1"/>
    <w:basedOn w:val="37"/>
    <w:qFormat/>
    <w:uiPriority w:val="21"/>
    <w:rPr>
      <w:b/>
      <w:bCs/>
      <w:i/>
      <w:iCs/>
      <w:color w:val="5B9BD5" w:themeColor="accent1"/>
      <w14:textFill>
        <w14:solidFill>
          <w14:schemeClr w14:val="accent1"/>
        </w14:solidFill>
      </w14:textFill>
    </w:rPr>
  </w:style>
  <w:style w:type="character" w:customStyle="1" w:styleId="165">
    <w:name w:val="不明显参考1"/>
    <w:basedOn w:val="37"/>
    <w:qFormat/>
    <w:uiPriority w:val="31"/>
    <w:rPr>
      <w:smallCaps/>
      <w:color w:val="ED7D31" w:themeColor="accent2"/>
      <w:u w:val="single"/>
      <w14:textFill>
        <w14:solidFill>
          <w14:schemeClr w14:val="accent2"/>
        </w14:solidFill>
      </w14:textFill>
    </w:rPr>
  </w:style>
  <w:style w:type="character" w:customStyle="1" w:styleId="166">
    <w:name w:val="明显参考1"/>
    <w:basedOn w:val="37"/>
    <w:qFormat/>
    <w:uiPriority w:val="32"/>
    <w:rPr>
      <w:b/>
      <w:bCs/>
      <w:smallCaps/>
      <w:color w:val="ED7D31" w:themeColor="accent2"/>
      <w:spacing w:val="5"/>
      <w:u w:val="single"/>
      <w14:textFill>
        <w14:solidFill>
          <w14:schemeClr w14:val="accent2"/>
        </w14:solidFill>
      </w14:textFill>
    </w:rPr>
  </w:style>
  <w:style w:type="character" w:customStyle="1" w:styleId="167">
    <w:name w:val="书籍标题1"/>
    <w:basedOn w:val="37"/>
    <w:qFormat/>
    <w:uiPriority w:val="33"/>
    <w:rPr>
      <w:b/>
      <w:bCs/>
      <w:smallCaps/>
      <w:spacing w:val="5"/>
    </w:rPr>
  </w:style>
  <w:style w:type="paragraph" w:customStyle="1" w:styleId="168">
    <w:name w:val="内容"/>
    <w:basedOn w:val="1"/>
    <w:qFormat/>
    <w:uiPriority w:val="0"/>
    <w:pPr>
      <w:tabs>
        <w:tab w:val="left" w:leader="middleDot" w:pos="7955"/>
      </w:tabs>
      <w:adjustRightInd w:val="0"/>
      <w:snapToGrid w:val="0"/>
      <w:spacing w:line="640" w:lineRule="exact"/>
      <w:ind w:firstLine="200" w:firstLineChars="200"/>
      <w:textAlignment w:val="center"/>
    </w:pPr>
    <w:rPr>
      <w:rFonts w:ascii="Times New Roman" w:hAnsi="Times New Roman" w:eastAsia="方正仿宋_GBK" w:cs="宋体"/>
      <w:color w:val="000000"/>
      <w:sz w:val="30"/>
      <w:szCs w:val="28"/>
    </w:rPr>
  </w:style>
  <w:style w:type="paragraph" w:customStyle="1" w:styleId="169">
    <w:name w:val="Char1 Char Char Char Char Char Char Char Char Char Char Char Char Char Char Char Char Char Char Char Char Char"/>
    <w:basedOn w:val="1"/>
    <w:qFormat/>
    <w:uiPriority w:val="0"/>
    <w:pPr>
      <w:tabs>
        <w:tab w:val="left" w:pos="360"/>
      </w:tabs>
      <w:ind w:left="360" w:hanging="360"/>
    </w:pPr>
    <w:rPr>
      <w:rFonts w:ascii="Calibri" w:hAnsi="Calibri" w:eastAsia="宋体" w:cs="Times New Roman"/>
      <w:sz w:val="24"/>
      <w:szCs w:val="24"/>
    </w:rPr>
  </w:style>
  <w:style w:type="character" w:customStyle="1" w:styleId="170">
    <w:name w:val="页眉 Char3"/>
    <w:basedOn w:val="37"/>
    <w:qFormat/>
    <w:uiPriority w:val="0"/>
    <w:rPr>
      <w:rFonts w:ascii="Times New Roman" w:hAnsi="Times New Roman" w:eastAsia="宋体" w:cs="Times New Roman"/>
      <w:kern w:val="0"/>
      <w:sz w:val="18"/>
      <w:szCs w:val="18"/>
    </w:rPr>
  </w:style>
  <w:style w:type="paragraph" w:customStyle="1" w:styleId="171">
    <w:name w:val="Other|1"/>
    <w:basedOn w:val="1"/>
    <w:qFormat/>
    <w:uiPriority w:val="0"/>
    <w:rPr>
      <w:rFonts w:ascii="MingLiU" w:hAnsi="MingLiU" w:eastAsia="MingLiU" w:cs="MingLiU"/>
      <w:sz w:val="19"/>
      <w:szCs w:val="19"/>
      <w:lang w:val="zh-TW" w:eastAsia="zh-TW" w:bidi="zh-TW"/>
    </w:rPr>
  </w:style>
  <w:style w:type="paragraph" w:customStyle="1" w:styleId="172">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3">
    <w:name w:val="font7"/>
    <w:basedOn w:val="1"/>
    <w:qFormat/>
    <w:uiPriority w:val="0"/>
    <w:pPr>
      <w:widowControl/>
      <w:spacing w:before="100" w:beforeAutospacing="1" w:after="100" w:afterAutospacing="1"/>
      <w:jc w:val="left"/>
    </w:pPr>
    <w:rPr>
      <w:rFonts w:ascii="Tahoma" w:hAnsi="Tahoma" w:eastAsia="宋体" w:cs="Tahoma"/>
      <w:b/>
      <w:bCs/>
      <w:color w:val="000000"/>
      <w:kern w:val="0"/>
      <w:sz w:val="18"/>
      <w:szCs w:val="18"/>
    </w:rPr>
  </w:style>
  <w:style w:type="paragraph" w:customStyle="1" w:styleId="174">
    <w:name w:val="font8"/>
    <w:basedOn w:val="1"/>
    <w:qFormat/>
    <w:uiPriority w:val="0"/>
    <w:pPr>
      <w:widowControl/>
      <w:spacing w:before="100" w:beforeAutospacing="1" w:after="100" w:afterAutospacing="1"/>
      <w:jc w:val="left"/>
    </w:pPr>
    <w:rPr>
      <w:rFonts w:ascii="Tahoma" w:hAnsi="Tahoma" w:eastAsia="宋体" w:cs="Tahoma"/>
      <w:color w:val="000000"/>
      <w:kern w:val="0"/>
      <w:sz w:val="18"/>
      <w:szCs w:val="18"/>
    </w:rPr>
  </w:style>
  <w:style w:type="paragraph" w:customStyle="1" w:styleId="175">
    <w:name w:val="font9"/>
    <w:basedOn w:val="1"/>
    <w:qFormat/>
    <w:uiPriority w:val="0"/>
    <w:pPr>
      <w:widowControl/>
      <w:spacing w:before="100" w:beforeAutospacing="1" w:after="100" w:afterAutospacing="1"/>
      <w:jc w:val="left"/>
    </w:pPr>
    <w:rPr>
      <w:rFonts w:ascii="宋体" w:hAnsi="宋体" w:eastAsia="宋体" w:cs="宋体"/>
      <w:color w:val="000000"/>
      <w:kern w:val="0"/>
      <w:sz w:val="18"/>
      <w:szCs w:val="18"/>
    </w:rPr>
  </w:style>
  <w:style w:type="paragraph" w:customStyle="1" w:styleId="176">
    <w:name w:val="font10"/>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177">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B4C6E7"/>
      <w:spacing w:before="100" w:beforeAutospacing="1" w:after="100" w:afterAutospacing="1"/>
      <w:jc w:val="center"/>
      <w:textAlignment w:val="center"/>
    </w:pPr>
    <w:rPr>
      <w:rFonts w:ascii="宋体" w:hAnsi="宋体" w:eastAsia="宋体" w:cs="宋体"/>
      <w:kern w:val="0"/>
      <w:sz w:val="20"/>
      <w:szCs w:val="20"/>
    </w:rPr>
  </w:style>
  <w:style w:type="paragraph" w:customStyle="1" w:styleId="17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0"/>
      <w:szCs w:val="20"/>
    </w:rPr>
  </w:style>
  <w:style w:type="paragraph" w:customStyle="1" w:styleId="179">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0">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eastAsia="宋体" w:cs="宋体"/>
      <w:kern w:val="0"/>
      <w:sz w:val="20"/>
      <w:szCs w:val="20"/>
    </w:rPr>
  </w:style>
  <w:style w:type="paragraph" w:customStyle="1" w:styleId="181">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eastAsia="宋体" w:cs="宋体"/>
      <w:kern w:val="0"/>
      <w:sz w:val="20"/>
      <w:szCs w:val="20"/>
    </w:rPr>
  </w:style>
  <w:style w:type="paragraph" w:customStyle="1" w:styleId="182">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C9C9C9"/>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4">
    <w:name w:val="xl74"/>
    <w:basedOn w:val="1"/>
    <w:qFormat/>
    <w:uiPriority w:val="0"/>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18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86">
    <w:name w:val="xl76"/>
    <w:basedOn w:val="1"/>
    <w:qFormat/>
    <w:uiPriority w:val="0"/>
    <w:pPr>
      <w:widowControl/>
      <w:spacing w:before="100" w:beforeAutospacing="1" w:after="100" w:afterAutospacing="1"/>
      <w:jc w:val="center"/>
      <w:textAlignment w:val="center"/>
    </w:pPr>
    <w:rPr>
      <w:rFonts w:ascii="宋体" w:hAnsi="宋体" w:eastAsia="宋体" w:cs="宋体"/>
      <w:color w:val="FF0000"/>
      <w:kern w:val="0"/>
      <w:sz w:val="24"/>
      <w:szCs w:val="24"/>
    </w:rPr>
  </w:style>
  <w:style w:type="paragraph" w:customStyle="1" w:styleId="187">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FF0000"/>
      <w:kern w:val="0"/>
      <w:sz w:val="20"/>
      <w:szCs w:val="20"/>
    </w:rPr>
  </w:style>
  <w:style w:type="paragraph" w:customStyle="1" w:styleId="188">
    <w:name w:val="xl7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9">
    <w:name w:val="xl7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color w:val="FF0000"/>
      <w:kern w:val="0"/>
      <w:sz w:val="20"/>
      <w:szCs w:val="20"/>
    </w:rPr>
  </w:style>
  <w:style w:type="paragraph" w:customStyle="1" w:styleId="190">
    <w:name w:val="xl80"/>
    <w:basedOn w:val="1"/>
    <w:qFormat/>
    <w:uiPriority w:val="0"/>
    <w:pPr>
      <w:widowControl/>
      <w:pBdr>
        <w:top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eastAsia="宋体" w:cs="宋体"/>
      <w:kern w:val="0"/>
      <w:sz w:val="20"/>
      <w:szCs w:val="20"/>
    </w:rPr>
  </w:style>
  <w:style w:type="paragraph" w:customStyle="1" w:styleId="19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FF0000"/>
      <w:kern w:val="0"/>
      <w:sz w:val="24"/>
      <w:szCs w:val="24"/>
    </w:rPr>
  </w:style>
  <w:style w:type="paragraph" w:customStyle="1" w:styleId="192">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eastAsia="宋体" w:cs="宋体"/>
      <w:kern w:val="0"/>
      <w:sz w:val="24"/>
      <w:szCs w:val="24"/>
    </w:rPr>
  </w:style>
  <w:style w:type="paragraph" w:customStyle="1" w:styleId="193">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B0F0"/>
      <w:kern w:val="0"/>
      <w:sz w:val="24"/>
      <w:szCs w:val="24"/>
    </w:rPr>
  </w:style>
  <w:style w:type="paragraph" w:customStyle="1" w:styleId="194">
    <w:name w:val="xl84"/>
    <w:basedOn w:val="1"/>
    <w:qFormat/>
    <w:uiPriority w:val="0"/>
    <w:pPr>
      <w:widowControl/>
      <w:spacing w:before="100" w:beforeAutospacing="1" w:after="100" w:afterAutospacing="1"/>
      <w:jc w:val="center"/>
      <w:textAlignment w:val="center"/>
    </w:pPr>
    <w:rPr>
      <w:rFonts w:ascii="宋体" w:hAnsi="宋体" w:eastAsia="宋体" w:cs="宋体"/>
      <w:color w:val="00B0F0"/>
      <w:kern w:val="0"/>
      <w:sz w:val="24"/>
      <w:szCs w:val="24"/>
    </w:rPr>
  </w:style>
  <w:style w:type="paragraph" w:customStyle="1" w:styleId="195">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B0F0"/>
      <w:kern w:val="0"/>
      <w:sz w:val="20"/>
      <w:szCs w:val="20"/>
    </w:rPr>
  </w:style>
  <w:style w:type="paragraph" w:customStyle="1" w:styleId="19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7030A0"/>
      <w:kern w:val="0"/>
      <w:sz w:val="24"/>
      <w:szCs w:val="24"/>
    </w:rPr>
  </w:style>
  <w:style w:type="paragraph" w:customStyle="1" w:styleId="197">
    <w:name w:val="xl87"/>
    <w:basedOn w:val="1"/>
    <w:qFormat/>
    <w:uiPriority w:val="0"/>
    <w:pPr>
      <w:widowControl/>
      <w:spacing w:before="100" w:beforeAutospacing="1" w:after="100" w:afterAutospacing="1"/>
      <w:jc w:val="center"/>
      <w:textAlignment w:val="center"/>
    </w:pPr>
    <w:rPr>
      <w:rFonts w:ascii="宋体" w:hAnsi="宋体" w:eastAsia="宋体" w:cs="宋体"/>
      <w:color w:val="7030A0"/>
      <w:kern w:val="0"/>
      <w:sz w:val="24"/>
      <w:szCs w:val="24"/>
    </w:rPr>
  </w:style>
  <w:style w:type="paragraph" w:customStyle="1" w:styleId="19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7030A0"/>
      <w:kern w:val="0"/>
      <w:sz w:val="20"/>
      <w:szCs w:val="20"/>
    </w:rPr>
  </w:style>
  <w:style w:type="paragraph" w:customStyle="1" w:styleId="199">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00">
    <w:name w:val="xl110"/>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eastAsia="宋体" w:cs="宋体"/>
      <w:kern w:val="0"/>
      <w:sz w:val="20"/>
      <w:szCs w:val="20"/>
    </w:rPr>
  </w:style>
  <w:style w:type="paragraph" w:customStyle="1" w:styleId="201">
    <w:name w:val="xl111"/>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eastAsia="宋体" w:cs="宋体"/>
      <w:kern w:val="0"/>
      <w:sz w:val="20"/>
      <w:szCs w:val="20"/>
    </w:rPr>
  </w:style>
  <w:style w:type="paragraph" w:customStyle="1" w:styleId="202">
    <w:name w:val="xl112"/>
    <w:basedOn w:val="1"/>
    <w:qFormat/>
    <w:uiPriority w:val="0"/>
    <w:pPr>
      <w:widowControl/>
      <w:pBdr>
        <w:top w:val="single" w:color="auto" w:sz="4" w:space="0"/>
        <w:left w:val="single" w:color="auto" w:sz="4" w:space="0"/>
        <w:right w:val="single" w:color="auto" w:sz="4" w:space="0"/>
      </w:pBdr>
      <w:shd w:val="clear" w:color="000000" w:fill="538ED5"/>
      <w:spacing w:before="100" w:beforeAutospacing="1" w:after="100" w:afterAutospacing="1"/>
      <w:jc w:val="center"/>
      <w:textAlignment w:val="center"/>
    </w:pPr>
    <w:rPr>
      <w:rFonts w:ascii="宋体" w:hAnsi="宋体" w:eastAsia="宋体" w:cs="宋体"/>
      <w:kern w:val="0"/>
      <w:sz w:val="22"/>
    </w:rPr>
  </w:style>
  <w:style w:type="paragraph" w:customStyle="1" w:styleId="203">
    <w:name w:val="xl113"/>
    <w:basedOn w:val="1"/>
    <w:qFormat/>
    <w:uiPriority w:val="0"/>
    <w:pPr>
      <w:widowControl/>
      <w:pBdr>
        <w:left w:val="single" w:color="auto" w:sz="4" w:space="0"/>
        <w:right w:val="single" w:color="auto" w:sz="4" w:space="0"/>
      </w:pBdr>
      <w:shd w:val="clear" w:color="000000" w:fill="538ED5"/>
      <w:spacing w:before="100" w:beforeAutospacing="1" w:after="100" w:afterAutospacing="1"/>
      <w:jc w:val="center"/>
      <w:textAlignment w:val="center"/>
    </w:pPr>
    <w:rPr>
      <w:rFonts w:ascii="宋体" w:hAnsi="宋体" w:eastAsia="宋体" w:cs="宋体"/>
      <w:kern w:val="0"/>
      <w:sz w:val="22"/>
    </w:rPr>
  </w:style>
  <w:style w:type="paragraph" w:customStyle="1" w:styleId="204">
    <w:name w:val="xl114"/>
    <w:basedOn w:val="1"/>
    <w:qFormat/>
    <w:uiPriority w:val="0"/>
    <w:pPr>
      <w:widowControl/>
      <w:pBdr>
        <w:left w:val="single" w:color="auto" w:sz="4" w:space="0"/>
        <w:bottom w:val="single" w:color="auto" w:sz="4" w:space="0"/>
        <w:right w:val="single" w:color="auto" w:sz="4" w:space="0"/>
      </w:pBdr>
      <w:shd w:val="clear" w:color="000000" w:fill="538ED5"/>
      <w:spacing w:before="100" w:beforeAutospacing="1" w:after="100" w:afterAutospacing="1"/>
      <w:jc w:val="center"/>
      <w:textAlignment w:val="center"/>
    </w:pPr>
    <w:rPr>
      <w:rFonts w:ascii="宋体" w:hAnsi="宋体" w:eastAsia="宋体" w:cs="宋体"/>
      <w:kern w:val="0"/>
      <w:sz w:val="22"/>
    </w:rPr>
  </w:style>
  <w:style w:type="paragraph" w:customStyle="1" w:styleId="205">
    <w:name w:val="xl115"/>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206">
    <w:name w:val="xl116"/>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207">
    <w:name w:val="xl117"/>
    <w:basedOn w:val="1"/>
    <w:qFormat/>
    <w:uiPriority w:val="0"/>
    <w:pPr>
      <w:widowControl/>
      <w:pBdr>
        <w:lef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208">
    <w:name w:val="xl118"/>
    <w:basedOn w:val="1"/>
    <w:qFormat/>
    <w:uiPriority w:val="0"/>
    <w:pPr>
      <w:widowControl/>
      <w:pBdr>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209">
    <w:name w:val="xl11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210">
    <w:name w:val="xl120"/>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211">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2"/>
    </w:rPr>
  </w:style>
  <w:style w:type="paragraph" w:customStyle="1" w:styleId="212">
    <w:name w:val="xl122"/>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213">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FF0000"/>
      <w:kern w:val="0"/>
      <w:sz w:val="20"/>
      <w:szCs w:val="20"/>
    </w:rPr>
  </w:style>
  <w:style w:type="paragraph" w:customStyle="1" w:styleId="214">
    <w:name w:val="Char"/>
    <w:basedOn w:val="1"/>
    <w:qFormat/>
    <w:uiPriority w:val="0"/>
    <w:rPr>
      <w:rFonts w:ascii="Times New Roman" w:hAnsi="Times New Roman" w:eastAsia="宋体" w:cs="Times New Roman"/>
      <w:szCs w:val="24"/>
    </w:rPr>
  </w:style>
  <w:style w:type="character" w:customStyle="1" w:styleId="215">
    <w:name w:val="正文文本 字符"/>
    <w:basedOn w:val="37"/>
    <w:qFormat/>
    <w:uiPriority w:val="99"/>
    <w:rPr>
      <w:rFonts w:ascii="Times New Roman" w:hAnsi="Times New Roman" w:eastAsia="宋体" w:cs="Times New Roman"/>
      <w:szCs w:val="24"/>
    </w:rPr>
  </w:style>
  <w:style w:type="paragraph" w:customStyle="1" w:styleId="216">
    <w:name w:val="正文 New New New New New"/>
    <w:qFormat/>
    <w:uiPriority w:val="0"/>
    <w:pPr>
      <w:widowControl w:val="0"/>
      <w:spacing w:line="360" w:lineRule="auto"/>
      <w:ind w:firstLine="200" w:firstLineChars="200"/>
      <w:jc w:val="both"/>
    </w:pPr>
    <w:rPr>
      <w:rFonts w:ascii="Times New Roman" w:hAnsi="Times New Roman" w:eastAsia="仿宋_GB2312" w:cs="Times New Roman"/>
      <w:kern w:val="2"/>
      <w:sz w:val="28"/>
      <w:szCs w:val="24"/>
      <w:lang w:val="en-US" w:eastAsia="zh-CN" w:bidi="ar-SA"/>
    </w:rPr>
  </w:style>
  <w:style w:type="paragraph" w:customStyle="1" w:styleId="217">
    <w:name w:val="标题 1 New"/>
    <w:basedOn w:val="218"/>
    <w:next w:val="218"/>
    <w:qFormat/>
    <w:uiPriority w:val="0"/>
    <w:pPr>
      <w:keepNext/>
      <w:keepLines/>
      <w:jc w:val="center"/>
      <w:outlineLvl w:val="0"/>
    </w:pPr>
    <w:rPr>
      <w:rFonts w:eastAsia="黑体"/>
      <w:b/>
      <w:bCs/>
      <w:kern w:val="44"/>
      <w:sz w:val="36"/>
      <w:szCs w:val="44"/>
    </w:rPr>
  </w:style>
  <w:style w:type="paragraph" w:customStyle="1" w:styleId="218">
    <w:name w:val="正文 New New"/>
    <w:qFormat/>
    <w:uiPriority w:val="0"/>
    <w:pPr>
      <w:widowControl w:val="0"/>
      <w:spacing w:line="360" w:lineRule="auto"/>
      <w:ind w:firstLine="200" w:firstLineChars="200"/>
      <w:jc w:val="both"/>
    </w:pPr>
    <w:rPr>
      <w:rFonts w:ascii="Times New Roman" w:hAnsi="Times New Roman" w:eastAsia="仿宋_GB2312" w:cs="Times New Roman"/>
      <w:kern w:val="2"/>
      <w:sz w:val="28"/>
      <w:szCs w:val="24"/>
      <w:lang w:val="en-US" w:eastAsia="zh-CN" w:bidi="ar-SA"/>
    </w:rPr>
  </w:style>
  <w:style w:type="character" w:customStyle="1" w:styleId="219">
    <w:name w:val="font121"/>
    <w:basedOn w:val="37"/>
    <w:qFormat/>
    <w:uiPriority w:val="0"/>
    <w:rPr>
      <w:rFonts w:hint="eastAsia" w:ascii="宋体" w:hAnsi="宋体" w:eastAsia="宋体" w:cs="宋体"/>
      <w:color w:val="FF0000"/>
      <w:sz w:val="22"/>
      <w:szCs w:val="22"/>
      <w:u w:val="none"/>
    </w:rPr>
  </w:style>
  <w:style w:type="character" w:customStyle="1" w:styleId="220">
    <w:name w:val="font81"/>
    <w:basedOn w:val="37"/>
    <w:qFormat/>
    <w:uiPriority w:val="0"/>
    <w:rPr>
      <w:rFonts w:hint="default" w:ascii="Times New Roman" w:hAnsi="Times New Roman" w:cs="Times New Roman"/>
      <w:color w:val="000000"/>
      <w:sz w:val="22"/>
      <w:szCs w:val="22"/>
      <w:u w:val="none"/>
    </w:rPr>
  </w:style>
  <w:style w:type="character" w:customStyle="1" w:styleId="221">
    <w:name w:val="font101"/>
    <w:basedOn w:val="37"/>
    <w:qFormat/>
    <w:uiPriority w:val="0"/>
    <w:rPr>
      <w:rFonts w:hint="eastAsia" w:ascii="宋体" w:hAnsi="宋体" w:eastAsia="宋体" w:cs="宋体"/>
      <w:color w:val="000000"/>
      <w:sz w:val="22"/>
      <w:szCs w:val="22"/>
      <w:u w:val="none"/>
    </w:rPr>
  </w:style>
  <w:style w:type="paragraph" w:customStyle="1" w:styleId="222">
    <w:name w:val="正文终"/>
    <w:basedOn w:val="1"/>
    <w:link w:val="223"/>
    <w:qFormat/>
    <w:uiPriority w:val="0"/>
    <w:pPr>
      <w:spacing w:line="360" w:lineRule="auto"/>
      <w:ind w:firstLine="560" w:firstLineChars="200"/>
    </w:pPr>
    <w:rPr>
      <w:rFonts w:ascii="Times New Roman" w:hAnsi="Times New Roman" w:eastAsia="仿宋_GB2312" w:cs="Times New Roman"/>
      <w:sz w:val="28"/>
      <w:szCs w:val="24"/>
    </w:rPr>
  </w:style>
  <w:style w:type="character" w:customStyle="1" w:styleId="223">
    <w:name w:val="正文终 Char"/>
    <w:basedOn w:val="37"/>
    <w:link w:val="222"/>
    <w:qFormat/>
    <w:uiPriority w:val="0"/>
    <w:rPr>
      <w:rFonts w:ascii="Times New Roman" w:hAnsi="Times New Roman" w:eastAsia="仿宋_GB2312" w:cs="Times New Roman"/>
      <w:kern w:val="2"/>
      <w:sz w:val="28"/>
      <w:szCs w:val="24"/>
    </w:rPr>
  </w:style>
  <w:style w:type="paragraph" w:customStyle="1" w:styleId="224">
    <w:name w:val="正文终1"/>
    <w:basedOn w:val="18"/>
    <w:link w:val="225"/>
    <w:qFormat/>
    <w:uiPriority w:val="0"/>
    <w:pPr>
      <w:widowControl w:val="0"/>
      <w:ind w:firstLine="560"/>
      <w:jc w:val="both"/>
    </w:pPr>
    <w:rPr>
      <w:rFonts w:eastAsia="仿宋_GB2312"/>
      <w:sz w:val="28"/>
      <w:szCs w:val="28"/>
    </w:rPr>
  </w:style>
  <w:style w:type="character" w:customStyle="1" w:styleId="225">
    <w:name w:val="正文终1 字符"/>
    <w:basedOn w:val="66"/>
    <w:link w:val="224"/>
    <w:qFormat/>
    <w:uiPriority w:val="0"/>
    <w:rPr>
      <w:rFonts w:ascii="Times New Roman" w:hAnsi="Courier New" w:eastAsia="仿宋_GB2312" w:cs="Times New Roman"/>
      <w:sz w:val="28"/>
      <w:szCs w:val="28"/>
      <w:lang w:val="en-GB"/>
    </w:rPr>
  </w:style>
  <w:style w:type="character" w:customStyle="1" w:styleId="226">
    <w:name w:val="正文文本 Char1"/>
    <w:basedOn w:val="37"/>
    <w:qFormat/>
    <w:uiPriority w:val="99"/>
    <w:rPr>
      <w:rFonts w:cs="Calibri"/>
      <w:kern w:val="2"/>
      <w:sz w:val="21"/>
      <w:szCs w:val="21"/>
    </w:rPr>
  </w:style>
  <w:style w:type="paragraph" w:customStyle="1" w:styleId="22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方正仿宋_GBK" w:hAnsi="宋体" w:eastAsia="方正仿宋_GBK" w:cs="宋体"/>
      <w:b/>
      <w:bCs/>
      <w:kern w:val="0"/>
      <w:sz w:val="20"/>
      <w:szCs w:val="20"/>
    </w:rPr>
  </w:style>
  <w:style w:type="paragraph" w:customStyle="1" w:styleId="228">
    <w:name w:val="xl12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方正仿宋_GBK" w:hAnsi="宋体" w:eastAsia="方正仿宋_GBK" w:cs="宋体"/>
      <w:kern w:val="0"/>
      <w:sz w:val="20"/>
      <w:szCs w:val="20"/>
    </w:rPr>
  </w:style>
  <w:style w:type="paragraph" w:customStyle="1" w:styleId="229">
    <w:name w:val="xl12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方正仿宋_GBK" w:hAnsi="宋体" w:eastAsia="方正仿宋_GBK" w:cs="宋体"/>
      <w:kern w:val="0"/>
      <w:sz w:val="20"/>
      <w:szCs w:val="20"/>
    </w:rPr>
  </w:style>
  <w:style w:type="paragraph" w:customStyle="1" w:styleId="230">
    <w:name w:val="xl1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方正仿宋_GBK" w:hAnsi="宋体" w:eastAsia="方正仿宋_GBK" w:cs="宋体"/>
      <w:kern w:val="0"/>
      <w:sz w:val="20"/>
      <w:szCs w:val="20"/>
    </w:rPr>
  </w:style>
  <w:style w:type="paragraph" w:customStyle="1" w:styleId="231">
    <w:name w:val="文中小标题"/>
    <w:basedOn w:val="1"/>
    <w:link w:val="232"/>
    <w:qFormat/>
    <w:uiPriority w:val="0"/>
    <w:pPr>
      <w:spacing w:beforeLines="100" w:line="360" w:lineRule="auto"/>
      <w:ind w:firstLine="200" w:firstLineChars="200"/>
      <w:jc w:val="left"/>
      <w:outlineLvl w:val="3"/>
    </w:pPr>
    <w:rPr>
      <w:rFonts w:ascii="Times New Roman" w:hAnsi="Times New Roman" w:eastAsia="宋体" w:cs="Times New Roman"/>
      <w:b/>
      <w:sz w:val="24"/>
      <w:szCs w:val="24"/>
    </w:rPr>
  </w:style>
  <w:style w:type="character" w:customStyle="1" w:styleId="232">
    <w:name w:val="文中小标题 Char"/>
    <w:basedOn w:val="37"/>
    <w:link w:val="231"/>
    <w:qFormat/>
    <w:locked/>
    <w:uiPriority w:val="0"/>
    <w:rPr>
      <w:rFonts w:ascii="Times New Roman" w:hAnsi="Times New Roman" w:eastAsia="宋体" w:cs="Times New Roman"/>
      <w:b/>
      <w:kern w:val="2"/>
      <w:sz w:val="24"/>
      <w:szCs w:val="24"/>
    </w:rPr>
  </w:style>
  <w:style w:type="paragraph" w:customStyle="1" w:styleId="233">
    <w:name w:val="三级标题1"/>
    <w:basedOn w:val="1"/>
    <w:link w:val="234"/>
    <w:qFormat/>
    <w:uiPriority w:val="0"/>
    <w:pPr>
      <w:spacing w:line="360" w:lineRule="auto"/>
    </w:pPr>
    <w:rPr>
      <w:rFonts w:ascii="Times New Roman" w:hAnsi="Times New Roman" w:eastAsia="宋体" w:cs="Times New Roman"/>
      <w:b/>
      <w:sz w:val="24"/>
      <w:szCs w:val="24"/>
    </w:rPr>
  </w:style>
  <w:style w:type="character" w:customStyle="1" w:styleId="234">
    <w:name w:val="三级标题1 Char"/>
    <w:basedOn w:val="37"/>
    <w:link w:val="233"/>
    <w:qFormat/>
    <w:uiPriority w:val="0"/>
    <w:rPr>
      <w:rFonts w:ascii="Times New Roman" w:hAnsi="Times New Roman" w:eastAsia="宋体" w:cs="Times New Roman"/>
      <w:b/>
      <w:kern w:val="2"/>
      <w:sz w:val="24"/>
      <w:szCs w:val="24"/>
    </w:rPr>
  </w:style>
  <w:style w:type="character" w:customStyle="1" w:styleId="235">
    <w:name w:val="表头 Char"/>
    <w:basedOn w:val="37"/>
    <w:link w:val="236"/>
    <w:qFormat/>
    <w:locked/>
    <w:uiPriority w:val="0"/>
    <w:rPr>
      <w:rFonts w:ascii="Times New Roman" w:hAnsi="Times New Roman" w:eastAsia="宋体" w:cs="Times New Roman"/>
      <w:b/>
      <w:color w:val="000000"/>
      <w:spacing w:val="5"/>
      <w:kern w:val="0"/>
      <w:position w:val="-6"/>
      <w:szCs w:val="32"/>
    </w:rPr>
  </w:style>
  <w:style w:type="paragraph" w:customStyle="1" w:styleId="236">
    <w:name w:val="表头"/>
    <w:basedOn w:val="1"/>
    <w:link w:val="235"/>
    <w:qFormat/>
    <w:uiPriority w:val="0"/>
    <w:pPr>
      <w:widowControl/>
      <w:spacing w:line="360" w:lineRule="auto"/>
      <w:jc w:val="center"/>
    </w:pPr>
    <w:rPr>
      <w:rFonts w:ascii="Times New Roman" w:hAnsi="Times New Roman" w:eastAsia="宋体" w:cs="Times New Roman"/>
      <w:b/>
      <w:color w:val="000000"/>
      <w:spacing w:val="5"/>
      <w:kern w:val="0"/>
      <w:position w:val="-6"/>
      <w:sz w:val="20"/>
      <w:szCs w:val="32"/>
    </w:rPr>
  </w:style>
  <w:style w:type="paragraph" w:customStyle="1" w:styleId="237">
    <w:name w:val="二级标题"/>
    <w:basedOn w:val="4"/>
    <w:link w:val="238"/>
    <w:qFormat/>
    <w:uiPriority w:val="0"/>
    <w:pPr>
      <w:widowControl w:val="0"/>
      <w:spacing w:before="180" w:after="60" w:line="415" w:lineRule="auto"/>
      <w:ind w:left="-200" w:leftChars="-200"/>
    </w:pPr>
    <w:rPr>
      <w:rFonts w:ascii="Arial" w:hAnsi="Arial" w:eastAsia="宋体"/>
    </w:rPr>
  </w:style>
  <w:style w:type="character" w:customStyle="1" w:styleId="238">
    <w:name w:val="二级标题 Char Char"/>
    <w:basedOn w:val="37"/>
    <w:link w:val="237"/>
    <w:qFormat/>
    <w:uiPriority w:val="0"/>
    <w:rPr>
      <w:rFonts w:ascii="Arial" w:hAnsi="Arial" w:eastAsia="宋体" w:cs="Times New Roman"/>
      <w:b/>
      <w:bCs/>
      <w:kern w:val="2"/>
      <w:sz w:val="28"/>
      <w:szCs w:val="32"/>
    </w:rPr>
  </w:style>
  <w:style w:type="paragraph" w:customStyle="1" w:styleId="239">
    <w:name w:val="节名"/>
    <w:basedOn w:val="1"/>
    <w:link w:val="240"/>
    <w:qFormat/>
    <w:uiPriority w:val="0"/>
    <w:pPr>
      <w:keepNext/>
      <w:keepLines/>
      <w:spacing w:before="300" w:after="300"/>
      <w:contextualSpacing/>
      <w:jc w:val="center"/>
      <w:outlineLvl w:val="2"/>
    </w:pPr>
    <w:rPr>
      <w:rFonts w:ascii="Times New Roman" w:hAnsi="Times New Roman" w:eastAsia="黑体" w:cs="Arial"/>
      <w:kern w:val="44"/>
      <w:sz w:val="30"/>
      <w:szCs w:val="44"/>
    </w:rPr>
  </w:style>
  <w:style w:type="character" w:customStyle="1" w:styleId="240">
    <w:name w:val="节名 Char"/>
    <w:basedOn w:val="37"/>
    <w:link w:val="239"/>
    <w:qFormat/>
    <w:uiPriority w:val="0"/>
    <w:rPr>
      <w:rFonts w:ascii="Times New Roman" w:hAnsi="Times New Roman" w:eastAsia="黑体" w:cs="Arial"/>
      <w:kern w:val="44"/>
      <w:sz w:val="30"/>
      <w:szCs w:val="44"/>
    </w:rPr>
  </w:style>
  <w:style w:type="character" w:customStyle="1" w:styleId="241">
    <w:name w:val="表下注解 Char Char"/>
    <w:basedOn w:val="37"/>
    <w:link w:val="242"/>
    <w:qFormat/>
    <w:uiPriority w:val="0"/>
    <w:rPr>
      <w:rFonts w:cstheme="minorBidi"/>
      <w:color w:val="000000"/>
      <w:spacing w:val="5"/>
      <w:kern w:val="2"/>
      <w:position w:val="-6"/>
      <w:sz w:val="18"/>
      <w:szCs w:val="32"/>
    </w:rPr>
  </w:style>
  <w:style w:type="paragraph" w:customStyle="1" w:styleId="242">
    <w:name w:val="表下注解"/>
    <w:basedOn w:val="1"/>
    <w:link w:val="241"/>
    <w:qFormat/>
    <w:uiPriority w:val="0"/>
    <w:pPr>
      <w:widowControl/>
      <w:adjustRightInd w:val="0"/>
      <w:snapToGrid w:val="0"/>
      <w:jc w:val="left"/>
    </w:pPr>
    <w:rPr>
      <w:rFonts w:ascii="Times New Roman" w:hAnsi="Times New Roman" w:eastAsia="宋体"/>
      <w:color w:val="000000"/>
      <w:spacing w:val="5"/>
      <w:position w:val="-6"/>
      <w:sz w:val="18"/>
      <w:szCs w:val="32"/>
    </w:rPr>
  </w:style>
  <w:style w:type="character" w:customStyle="1" w:styleId="243">
    <w:name w:val="页脚 字符1"/>
    <w:basedOn w:val="37"/>
    <w:qFormat/>
    <w:uiPriority w:val="99"/>
    <w:rPr>
      <w:rFonts w:ascii="Calibri" w:hAnsi="Calibri" w:eastAsia="宋体" w:cs="Times New Roman"/>
      <w:kern w:val="0"/>
      <w:sz w:val="22"/>
    </w:rPr>
  </w:style>
  <w:style w:type="character" w:customStyle="1" w:styleId="244">
    <w:name w:val="标题 字符1"/>
    <w:qFormat/>
    <w:uiPriority w:val="0"/>
    <w:rPr>
      <w:rFonts w:ascii="Arial" w:hAnsi="Arial" w:cs="Arial"/>
      <w:b/>
      <w:bCs/>
      <w:kern w:val="2"/>
      <w:sz w:val="32"/>
      <w:szCs w:val="32"/>
    </w:rPr>
  </w:style>
  <w:style w:type="character" w:customStyle="1" w:styleId="245">
    <w:name w:val="表头 Char Char"/>
    <w:qFormat/>
    <w:uiPriority w:val="0"/>
    <w:rPr>
      <w:b/>
      <w:color w:val="000000"/>
      <w:spacing w:val="5"/>
      <w:kern w:val="2"/>
      <w:position w:val="-6"/>
      <w:sz w:val="21"/>
      <w:szCs w:val="32"/>
    </w:rPr>
  </w:style>
  <w:style w:type="paragraph" w:customStyle="1" w:styleId="246">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customStyle="1" w:styleId="247">
    <w:name w:val="样式1"/>
    <w:basedOn w:val="1"/>
    <w:link w:val="248"/>
    <w:qFormat/>
    <w:uiPriority w:val="0"/>
    <w:pPr>
      <w:widowControl/>
      <w:spacing w:line="360" w:lineRule="auto"/>
      <w:jc w:val="center"/>
    </w:pPr>
    <w:rPr>
      <w:b/>
      <w:spacing w:val="5"/>
      <w:kern w:val="0"/>
      <w:position w:val="-6"/>
      <w:szCs w:val="32"/>
    </w:rPr>
  </w:style>
  <w:style w:type="character" w:customStyle="1" w:styleId="248">
    <w:name w:val="样式1 字符"/>
    <w:basedOn w:val="37"/>
    <w:link w:val="247"/>
    <w:qFormat/>
    <w:uiPriority w:val="0"/>
    <w:rPr>
      <w:b/>
      <w:spacing w:val="5"/>
      <w:position w:val="-6"/>
      <w:sz w:val="21"/>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Pages>
  <Words>646</Words>
  <Characters>3688</Characters>
  <Lines>30</Lines>
  <Paragraphs>8</Paragraphs>
  <TotalTime>6</TotalTime>
  <ScaleCrop>false</ScaleCrop>
  <LinksUpToDate>false</LinksUpToDate>
  <CharactersWithSpaces>4326</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2024-05-28T02:43:00Z</dcterms:created>
  <dc:creator>Administrator</dc:creator>
  <cp:lastModifiedBy>NTKO</cp:lastModifiedBy>
  <dcterms:modified xsi:type="dcterms:W3CDTF">2024-07-11T02:23:49Z</dcterms:modified>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169D9ECA7CCD44E3A50F98D4E6471736</vt:lpwstr>
  </property>
</Properties>
</file>