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_GBK" w:hAnsi="方正小标宋_GBK" w:eastAsia="方正小标宋_GBK" w:cs="方正小标宋_GBK"/>
          <w:sz w:val="40"/>
          <w:szCs w:val="40"/>
          <w:lang w:val="en-US" w:eastAsia="zh-CN"/>
        </w:rPr>
      </w:pPr>
      <w:r>
        <w:rPr>
          <w:rFonts w:hint="eastAsia" w:ascii="方正小标宋_GBK" w:hAnsi="方正小标宋_GBK" w:eastAsia="方正小标宋_GBK" w:cs="方正小标宋_GBK"/>
          <w:sz w:val="40"/>
          <w:szCs w:val="40"/>
          <w:lang w:val="en-US" w:eastAsia="zh-CN"/>
        </w:rPr>
        <w:t>昆明市晋宁区住房和城乡建设局</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建设工程消防验收（新设）</w:t>
      </w:r>
    </w:p>
    <w:p>
      <w:pPr>
        <w:jc w:val="center"/>
        <w:rPr>
          <w:rFonts w:hint="eastAsia"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【00011713700301】</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基本要素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行政许可事项名称</w:t>
      </w:r>
      <w:r>
        <w:rPr>
          <w:rFonts w:hint="eastAsia" w:ascii="Times New Roman" w:hAnsi="Times New Roman" w:eastAsia="仿宋GB2312"/>
          <w:b/>
          <w:bCs/>
          <w:sz w:val="28"/>
          <w:szCs w:val="28"/>
        </w:rPr>
        <w:t>及编码</w:t>
      </w:r>
    </w:p>
    <w:p>
      <w:pPr>
        <w:spacing w:line="360" w:lineRule="auto"/>
        <w:ind w:firstLine="560" w:firstLineChars="200"/>
        <w:rPr>
          <w:rFonts w:hint="eastAsia" w:ascii="仿宋" w:hAnsi="仿宋" w:eastAsia="仿宋" w:cs="仿宋"/>
          <w:sz w:val="28"/>
          <w:szCs w:val="28"/>
        </w:rPr>
      </w:pPr>
      <w:r>
        <w:rPr>
          <w:rFonts w:hint="eastAsia" w:ascii="方正仿宋_GBK" w:hAnsi="方正仿宋_GBK" w:eastAsia="方正仿宋_GBK" w:cs="方正仿宋_GBK"/>
          <w:sz w:val="28"/>
          <w:szCs w:val="28"/>
        </w:rPr>
        <w:t>建设工程消防验收【00011713700Y】</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行政许可</w:t>
      </w:r>
      <w:r>
        <w:rPr>
          <w:rFonts w:hint="eastAsia" w:ascii="Times New Roman" w:hAnsi="Times New Roman" w:eastAsia="仿宋GB2312"/>
          <w:b/>
          <w:bCs/>
          <w:sz w:val="28"/>
          <w:szCs w:val="28"/>
        </w:rPr>
        <w:t>事项子项名称及编码</w:t>
      </w:r>
    </w:p>
    <w:p>
      <w:pPr>
        <w:spacing w:line="360" w:lineRule="auto"/>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建设工程消防验收（县级权限）【000117137003】</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3.行政许可事项业务办理项名称及编码</w:t>
      </w:r>
    </w:p>
    <w:p>
      <w:pPr>
        <w:spacing w:line="360" w:lineRule="auto"/>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建设工程消防验收（县级权限）（新设）(00011713700301)</w:t>
      </w:r>
    </w:p>
    <w:p>
      <w:pPr>
        <w:spacing w:line="360" w:lineRule="auto"/>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4.设定依据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（1）《中华人民共和国消防法》第十条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（2）《中华人民共和国消防法》第十三条</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（3）《建设工程消防设计审查验收管理暂行规定》 （住房和城乡建设部令第51号）第十五条</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5.实施依据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（1）《中华人民共和国消防法》第十三条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（2）《建设工程消防设计审查验收管理暂行规定》（住房和城乡建设部令第51号）第二十六条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（3）《建设工程消防设计审查验收管理暂行规定》（住房和城乡建设部令第51号）第二十八条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（4）《建设工程消防设计审查验收管理暂行规定》（住房和城乡建设部令第51号）第二十九条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（5）《建设工程消防设计审查验收管理暂行规定》（住房和城乡建设部令第51号）第三十条</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6.监管依据</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（1）《中华人民共和国消防法》第十四条</w:t>
      </w:r>
    </w:p>
    <w:p>
      <w:pPr>
        <w:spacing w:line="540" w:lineRule="exact"/>
        <w:ind w:firstLine="560" w:firstLineChars="200"/>
        <w:outlineLvl w:val="2"/>
        <w:rPr>
          <w:rFonts w:ascii="方正仿宋_GBK" w:hAnsi="方正仿宋_GBK" w:eastAsia="方正仿宋_GBK" w:cs="方正仿宋_GBK"/>
          <w:sz w:val="28"/>
          <w:szCs w:val="28"/>
        </w:rPr>
      </w:pPr>
      <w:r>
        <w:rPr>
          <w:rFonts w:ascii="方正仿宋_GBK" w:hAnsi="方正仿宋_GBK" w:eastAsia="方正仿宋_GBK" w:cs="方正仿宋_GBK"/>
          <w:sz w:val="28"/>
          <w:szCs w:val="28"/>
        </w:rPr>
        <w:t>（2）《建设工程消防设计审查验收管理暂行规定》（住房和城乡建设部令第51号）第三条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实施机关</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lang w:val="en-US" w:eastAsia="zh-CN"/>
        </w:rPr>
        <w:t>昆明市晋宁区住房和城乡建设局</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审批层级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9.行使</w:t>
      </w:r>
      <w:r>
        <w:rPr>
          <w:rFonts w:ascii="Times New Roman" w:hAnsi="Times New Roman" w:eastAsia="仿宋GB2312"/>
          <w:b/>
          <w:bCs/>
          <w:sz w:val="28"/>
          <w:szCs w:val="28"/>
        </w:rPr>
        <w:t>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是否由审批机关受理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11.</w:t>
      </w:r>
      <w:r>
        <w:rPr>
          <w:rFonts w:ascii="Times New Roman" w:hAnsi="Times New Roman" w:eastAsia="仿宋GB2312"/>
          <w:b/>
          <w:bCs/>
          <w:sz w:val="28"/>
          <w:szCs w:val="28"/>
        </w:rPr>
        <w:t>受理层级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县级</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12.</w:t>
      </w:r>
      <w:r>
        <w:rPr>
          <w:rFonts w:ascii="Times New Roman" w:hAnsi="Times New Roman" w:eastAsia="仿宋GB2312"/>
          <w:b/>
          <w:bCs/>
          <w:sz w:val="28"/>
          <w:szCs w:val="28"/>
        </w:rPr>
        <w:t>是否存在初审环节</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highlight w:val="yellow"/>
        </w:rPr>
      </w:pPr>
      <w:r>
        <w:rPr>
          <w:rFonts w:hint="eastAsia" w:ascii="Times New Roman" w:hAnsi="Times New Roman" w:eastAsia="仿宋GB2312"/>
          <w:b/>
          <w:bCs/>
          <w:sz w:val="28"/>
          <w:szCs w:val="28"/>
        </w:rPr>
        <w:t>13.</w:t>
      </w:r>
      <w:r>
        <w:rPr>
          <w:rFonts w:ascii="Times New Roman" w:hAnsi="Times New Roman" w:eastAsia="仿宋GB2312"/>
          <w:b/>
          <w:bCs/>
          <w:sz w:val="28"/>
          <w:szCs w:val="28"/>
        </w:rPr>
        <w:t>初审层级</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jc w:val="left"/>
        <w:rPr>
          <w:rFonts w:ascii="Times New Roman" w:hAnsi="Times New Roman" w:eastAsia="仿宋GB2312"/>
          <w:sz w:val="28"/>
          <w:szCs w:val="28"/>
        </w:rPr>
      </w:pPr>
      <w:r>
        <w:rPr>
          <w:rFonts w:hint="eastAsia" w:ascii="Times New Roman" w:hAnsi="Times New Roman" w:eastAsia="仿宋GB2312"/>
          <w:b/>
          <w:bCs/>
          <w:sz w:val="28"/>
          <w:szCs w:val="28"/>
        </w:rPr>
        <w:t>14.</w:t>
      </w:r>
      <w:r>
        <w:rPr>
          <w:rFonts w:ascii="Times New Roman" w:hAnsi="Times New Roman" w:eastAsia="仿宋GB2312"/>
          <w:b/>
          <w:bCs/>
          <w:sz w:val="28"/>
          <w:szCs w:val="28"/>
        </w:rPr>
        <w:t>对应政务服务事项国家级基本目录名称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建设工程消防验收</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行政许可事项类型</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条件型</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行政许可条件</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1.准予行政许可的条件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（一）申请材料齐全、符合法定形式；（二）工程竣工验收报告内容完备；（三）涉及消防的建设工程竣工图纸与经审查合格的消防设计文件相符；（四）现场评定结论合格。</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规定行政许可条件的依据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建设工程消防设计审查验收管理暂行规定》（住房和城乡建设部令第51号）第三十条消防设计审查验收主管部门应当自受理消防验收申请之日起十五日内出具消防验收意见。对符合下列条件的，应当出具消防验收合格意见：（一）申请材料齐全、符合法定形式；（二）工程竣工验收报告内容完备；（三）涉及消防的建设工程竣工图纸与经审查合格的消防设计文件相符；（四）现场评定结论合格。对不符合前款规定条件的，消防设计审查验收主管部门应当出具消防验收不合格意见，并说明理由。</w:t>
      </w:r>
    </w:p>
    <w:p>
      <w:pPr>
        <w:numPr>
          <w:ilvl w:val="0"/>
          <w:numId w:val="1"/>
        </w:numPr>
        <w:spacing w:line="540" w:lineRule="exact"/>
        <w:outlineLvl w:val="1"/>
        <w:rPr>
          <w:rFonts w:ascii="Times New Roman" w:hAnsi="Times New Roman" w:eastAsia="黑体"/>
          <w:sz w:val="28"/>
          <w:szCs w:val="28"/>
        </w:rPr>
      </w:pPr>
      <w:r>
        <w:rPr>
          <w:rFonts w:ascii="Times New Roman" w:hAnsi="Times New Roman" w:eastAsia="黑体"/>
          <w:sz w:val="28"/>
          <w:szCs w:val="28"/>
        </w:rPr>
        <w:t>行政许可服务对象类型</w:t>
      </w:r>
      <w:r>
        <w:rPr>
          <w:rFonts w:hint="eastAsia" w:ascii="Times New Roman" w:hAnsi="Times New Roman" w:eastAsia="黑体"/>
          <w:sz w:val="28"/>
          <w:szCs w:val="28"/>
        </w:rPr>
        <w:t>与改革举措</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1.服务对象类型：</w:t>
      </w:r>
      <w:r>
        <w:rPr>
          <w:rFonts w:ascii="方正仿宋_GBK" w:hAnsi="方正仿宋_GBK" w:eastAsia="方正仿宋_GBK" w:cs="方正仿宋_GBK"/>
          <w:sz w:val="28"/>
          <w:szCs w:val="28"/>
        </w:rPr>
        <w:t>自然人,企业法人,事业单位法人,社会组织法人,非法人企业,行政机关,其他组织</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2.是否为涉企许可事项：</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3.涉企经营许可事项名称：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4.许可证件名称：</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5.改革方式：</w:t>
      </w:r>
      <w:r>
        <w:rPr>
          <w:rFonts w:ascii="方正仿宋_GBK" w:hAnsi="方正仿宋_GBK" w:eastAsia="方正仿宋_GBK" w:cs="方正仿宋_GBK"/>
          <w:sz w:val="28"/>
          <w:szCs w:val="28"/>
        </w:rPr>
        <w:t>无</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6.具体改革举措</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一是缩减申请要件，将特殊建设工程消防验收的申请要件从8项缩减为3项。二是缩减审批时限，</w:t>
      </w:r>
      <w:r>
        <w:rPr>
          <w:rFonts w:hint="eastAsia" w:ascii="方正仿宋_GBK" w:hAnsi="方正仿宋_GBK" w:eastAsia="方正仿宋_GBK" w:cs="方正仿宋_GBK"/>
          <w:sz w:val="28"/>
          <w:szCs w:val="28"/>
        </w:rPr>
        <w:t>在国家审批时限压减至11个工作日基础上，进一步将承诺审批时限压减至4个工作日</w:t>
      </w:r>
      <w:r>
        <w:rPr>
          <w:rFonts w:ascii="方正仿宋_GBK" w:hAnsi="方正仿宋_GBK" w:eastAsia="方正仿宋_GBK" w:cs="方正仿宋_GBK"/>
          <w:sz w:val="28"/>
          <w:szCs w:val="28"/>
        </w:rPr>
        <w:t>。</w:t>
      </w:r>
    </w:p>
    <w:p>
      <w:pPr>
        <w:spacing w:line="54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7.加强事中事后监管措施</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1. 对依法应当进行消防验收建设工程进行监管，依法查处违法违规行为。2. 依法对建设、设计、施工、工程监理、技术服务等单位进行监管，落实建设单位的首要责任和设计、施工、工程监理、技术服务等单位的主体责任，依法查处违法违规行为。 3. 加强诚信体系建设，强化对建设、设计、施工、工程监理、技术服务单位和从业人员的信用约束。</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申请材料</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1.申请材料名称</w:t>
      </w:r>
    </w:p>
    <w:p>
      <w:pPr>
        <w:spacing w:line="600" w:lineRule="exact"/>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（一）消防验收申请表；（二）工程竣工验收报告；（三）涉及消防的建设工程竣工图纸。</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规定申请材料的依据</w:t>
      </w:r>
    </w:p>
    <w:p>
      <w:pPr>
        <w:keepNext w:val="0"/>
        <w:keepLines w:val="0"/>
        <w:widowControl/>
        <w:suppressLineNumbers w:val="0"/>
        <w:jc w:val="left"/>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（1）《建设工程消防设计审查验收管理暂行规定》（住房和城乡建设部令第51号）第二十八条建设单位申请消防验收，应当提交下列材料：（一）消防验收申请表；（二）工程竣工验收报告；（三）</w:t>
      </w:r>
      <w:r>
        <w:rPr>
          <w:rFonts w:hint="eastAsia" w:ascii="方正仿宋_GBK" w:hAnsi="方正仿宋_GBK" w:eastAsia="方正仿宋_GBK" w:cs="方正仿宋_GBK"/>
          <w:sz w:val="28"/>
          <w:szCs w:val="28"/>
          <w:lang w:val="en-US" w:eastAsia="zh-CN"/>
        </w:rPr>
        <w:t>《建设工程消防设计审核意见书》或多审合一后的《施工图 设计文件审查合格书》；</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四</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rPr>
        <w:t>涉及消防的建设工程竣工图纸</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五</w:t>
      </w:r>
      <w:r>
        <w:rPr>
          <w:rFonts w:hint="eastAsia" w:ascii="方正仿宋_GBK" w:hAnsi="方正仿宋_GBK" w:eastAsia="方正仿宋_GBK" w:cs="方正仿宋_GBK"/>
          <w:sz w:val="28"/>
          <w:szCs w:val="28"/>
          <w:lang w:eastAsia="zh-CN"/>
        </w:rPr>
        <w:t>）</w:t>
      </w:r>
      <w:r>
        <w:rPr>
          <w:rFonts w:hint="eastAsia" w:ascii="方正仿宋_GBK" w:hAnsi="方正仿宋_GBK" w:eastAsia="方正仿宋_GBK" w:cs="方正仿宋_GBK"/>
          <w:sz w:val="28"/>
          <w:szCs w:val="28"/>
          <w:lang w:val="en-US" w:eastAsia="zh-CN"/>
        </w:rPr>
        <w:t>消防设施性能、系统功能联调 联试等内容合格的检测报告；（六）项目参建各方（建设、设计、 施工、监理、检测）合法证明 文件及其资质证书；（七）公共场所及住宅使用的火灾报 警产品、灭火器、避难逃生产 品的强制认证文件; (八) 有防火性能要求的建筑构件、 建筑材料、室内装修装饰材料 符合国家标</w:t>
      </w:r>
      <w:bookmarkStart w:id="0" w:name="_GoBack"/>
      <w:bookmarkEnd w:id="0"/>
      <w:r>
        <w:rPr>
          <w:rFonts w:hint="eastAsia" w:ascii="方正仿宋_GBK" w:hAnsi="方正仿宋_GBK" w:eastAsia="方正仿宋_GBK" w:cs="方正仿宋_GBK"/>
          <w:sz w:val="28"/>
          <w:szCs w:val="28"/>
          <w:lang w:val="en-US" w:eastAsia="zh-CN"/>
        </w:rPr>
        <w:t>准或者行业标准的 证明文件</w:t>
      </w:r>
      <w:r>
        <w:rPr>
          <w:rFonts w:hint="eastAsia" w:ascii="方正仿宋_GBK" w:hAnsi="方正仿宋_GBK" w:eastAsia="方正仿宋_GBK" w:cs="方正仿宋_GBK"/>
          <w:sz w:val="28"/>
          <w:szCs w:val="28"/>
        </w:rPr>
        <w:t>。消防设计审查验收主管部门收到建设单位提交的消防验收申请后，对申请材料齐全的，应当出具受理凭证；申请材料不齐全的，应当一次性告知需要补正的全部内容。</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中介服务</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1.有无法定中介服务事项：</w:t>
      </w:r>
      <w:r>
        <w:rPr>
          <w:rFonts w:ascii="方正仿宋_GBK" w:hAnsi="方正仿宋_GBK" w:eastAsia="方正仿宋_GBK" w:cs="方正仿宋_GBK"/>
          <w:sz w:val="28"/>
          <w:szCs w:val="28"/>
        </w:rPr>
        <w:t>无</w:t>
      </w:r>
    </w:p>
    <w:p>
      <w:pPr>
        <w:spacing w:line="600" w:lineRule="exact"/>
        <w:ind w:firstLine="562" w:firstLineChars="200"/>
        <w:rPr>
          <w:rFonts w:ascii="方正仿宋_GBK" w:hAnsi="方正仿宋_GBK" w:eastAsia="方正仿宋_GBK" w:cs="方正仿宋_GBK"/>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中介服务事项名称</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设定中介服务事项的依据</w:t>
      </w:r>
    </w:p>
    <w:p>
      <w:pPr>
        <w:spacing w:line="600" w:lineRule="exact"/>
        <w:ind w:firstLine="560" w:firstLineChars="200"/>
        <w:rPr>
          <w:rFonts w:ascii="Times New Roman" w:hAnsi="Times New Roman" w:eastAsia="仿宋GB2312"/>
          <w:sz w:val="28"/>
          <w:szCs w:val="28"/>
        </w:rPr>
      </w:pP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提供中介服务的机构</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中介服务事项的收费性质</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审批程序</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1.办理行政许可的程序环节</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申请</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受理</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现场评定</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验收</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出具意见</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2.规定行政许可程序的依据</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《中华人民共和国消防法》第十条对按照国家工程建设消防技术标准需要进行消防设计的建设工程，实行建设工程消防设计审查验收制度。</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二十六条对特殊建设工程实行消防验收制度。特殊建设工程竣工验收后，建设单位应当向消防设计审查验收主管部门申请消防验收；未经消防验收或者消防验收不合格的，禁止投入使用。</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二十八条消防设计审查验收主管部门收到建设单位提交的消防验收申请后，对申请材料齐全的，应当出具受理凭证；申请材料不齐全的，应当一次性告知需要补正的全部内容。</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二十九条消防设计审查验收主管部门受理消防验收申请后，应当按照国家有关规定，对特殊建设工程进行现场评定。现场评定包括对建筑物防（灭）火设施的外观进行现场抽样查看；通过专业仪器设备对涉及距离、高度、宽度、长度、面积、厚度等可测量的指标进行现场抽样测量；对消防设施的功能进行抽样测试、联调联试消防设施的系统功能等内容。</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建设工程消防设计审查验收管理暂行规定》（住房和城乡建设部令第51号）第三十条消防设计审查验收主管部门应当自受理消防验收申请之日起十五日内出具消防验收意见。……对不符合前款规定条件的，消防设计审查验收主管部门应当出具消防验收不合格意见，并说明理由。</w:t>
      </w:r>
    </w:p>
    <w:p>
      <w:pPr>
        <w:spacing w:line="600" w:lineRule="exact"/>
        <w:ind w:firstLine="560" w:firstLineChars="200"/>
        <w:rPr>
          <w:rFonts w:ascii="方正仿宋_GBK" w:hAnsi="方正仿宋_GBK" w:eastAsia="方正仿宋_GBK" w:cs="方正仿宋_GBK"/>
          <w:sz w:val="28"/>
          <w:szCs w:val="28"/>
        </w:rPr>
      </w:pPr>
      <w:r>
        <w:rPr>
          <w:rFonts w:ascii="方正仿宋_GBK" w:hAnsi="方正仿宋_GBK" w:eastAsia="方正仿宋_GBK" w:cs="方正仿宋_GBK"/>
          <w:sz w:val="28"/>
          <w:szCs w:val="28"/>
        </w:rPr>
        <w:t>《中华人民共和国消防法》第十三条国务院住房和城乡建设主管部门规定应当申请消防验收的建设工程竣工，建设单位应当向住房和城乡建设主管部门申请消防验收。依法应当进行消防验收的建设工程，未经消防验收或者消防验收不合格的，禁止投入使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是否需要现场勘验</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是</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是否需要组织听证</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w:t>
      </w:r>
      <w:r>
        <w:rPr>
          <w:rFonts w:ascii="Times New Roman" w:hAnsi="Times New Roman" w:eastAsia="仿宋GB2312"/>
          <w:b/>
          <w:bCs/>
          <w:sz w:val="28"/>
          <w:szCs w:val="28"/>
        </w:rPr>
        <w:t>是否需要招标、拍卖、挂牌交易</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6.</w:t>
      </w:r>
      <w:r>
        <w:rPr>
          <w:rFonts w:ascii="Times New Roman" w:hAnsi="Times New Roman" w:eastAsia="仿宋GB2312"/>
          <w:b/>
          <w:bCs/>
          <w:sz w:val="28"/>
          <w:szCs w:val="28"/>
        </w:rPr>
        <w:t>是否需要检验、检测、检疫</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7.</w:t>
      </w:r>
      <w:r>
        <w:rPr>
          <w:rFonts w:ascii="Times New Roman" w:hAnsi="Times New Roman" w:eastAsia="仿宋GB2312"/>
          <w:b/>
          <w:bCs/>
          <w:sz w:val="28"/>
          <w:szCs w:val="28"/>
        </w:rPr>
        <w:t>是否需要鉴定</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8.</w:t>
      </w:r>
      <w:r>
        <w:rPr>
          <w:rFonts w:ascii="Times New Roman" w:hAnsi="Times New Roman" w:eastAsia="仿宋GB2312"/>
          <w:b/>
          <w:bCs/>
          <w:sz w:val="28"/>
          <w:szCs w:val="28"/>
        </w:rPr>
        <w:t>是否需要专家评审</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9.</w:t>
      </w:r>
      <w:r>
        <w:rPr>
          <w:rFonts w:ascii="Times New Roman" w:hAnsi="Times New Roman" w:eastAsia="仿宋GB2312"/>
          <w:b/>
          <w:bCs/>
          <w:sz w:val="28"/>
          <w:szCs w:val="28"/>
        </w:rPr>
        <w:t>是否需要向社会公示</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10.</w:t>
      </w:r>
      <w:r>
        <w:rPr>
          <w:rFonts w:ascii="Times New Roman" w:hAnsi="Times New Roman" w:eastAsia="仿宋GB2312"/>
          <w:b/>
          <w:bCs/>
          <w:sz w:val="28"/>
          <w:szCs w:val="28"/>
        </w:rPr>
        <w:t>是否实行告知承诺办理</w:t>
      </w:r>
      <w:r>
        <w:rPr>
          <w:rFonts w:hint="eastAsia" w:ascii="Times New Roman" w:hAnsi="Times New Roman" w:eastAsia="仿宋GB2312"/>
          <w:b/>
          <w:bCs/>
          <w:sz w:val="28"/>
          <w:szCs w:val="28"/>
        </w:rPr>
        <w:t>：</w:t>
      </w:r>
      <w:r>
        <w:rPr>
          <w:rFonts w:ascii="方正仿宋_GBK" w:hAnsi="方正仿宋_GBK" w:eastAsia="方正仿宋_GBK" w:cs="方正仿宋_GBK"/>
          <w:sz w:val="28"/>
          <w:szCs w:val="28"/>
        </w:rPr>
        <w:t>否</w:t>
      </w:r>
    </w:p>
    <w:p>
      <w:pPr>
        <w:spacing w:line="600" w:lineRule="exact"/>
        <w:ind w:firstLine="562" w:firstLineChars="200"/>
        <w:rPr>
          <w:rFonts w:ascii="Times New Roman" w:hAnsi="Times New Roman" w:eastAsia="仿宋GB2312"/>
          <w:b/>
          <w:bCs/>
          <w:sz w:val="28"/>
          <w:szCs w:val="28"/>
        </w:rPr>
      </w:pPr>
      <w:r>
        <w:rPr>
          <w:rFonts w:hint="eastAsia" w:ascii="Times New Roman" w:hAnsi="Times New Roman" w:eastAsia="仿宋GB2312"/>
          <w:b/>
          <w:bCs/>
          <w:sz w:val="28"/>
          <w:szCs w:val="28"/>
        </w:rPr>
        <w:t>11.审批机关是否委托服务机构开展技术性服务：</w:t>
      </w:r>
      <w:r>
        <w:rPr>
          <w:rFonts w:hint="eastAsia" w:ascii="方正仿宋_GBK" w:hAnsi="方正仿宋_GBK" w:eastAsia="方正仿宋_GBK" w:cs="方正仿宋_GBK"/>
          <w:sz w:val="28"/>
          <w:szCs w:val="28"/>
        </w:rPr>
        <w:t>否</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受理和审批时限</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1.承诺受理时限：</w:t>
      </w: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个工作日</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2.法定审批时限：</w:t>
      </w:r>
      <w:r>
        <w:rPr>
          <w:rFonts w:hint="eastAsia" w:ascii="方正仿宋_GBK" w:hAnsi="方正仿宋_GBK" w:eastAsia="方正仿宋_GBK" w:cs="方正仿宋_GBK"/>
          <w:sz w:val="28"/>
          <w:szCs w:val="28"/>
        </w:rPr>
        <w:t>15个工作日</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3.规定法定审批时限依据</w:t>
      </w:r>
    </w:p>
    <w:p>
      <w:pPr>
        <w:spacing w:line="600" w:lineRule="exact"/>
        <w:ind w:firstLine="560" w:firstLineChars="200"/>
        <w:rPr>
          <w:rFonts w:ascii="Times New Roman" w:hAnsi="Times New Roman" w:eastAsia="仿宋GB2312"/>
          <w:sz w:val="32"/>
          <w:szCs w:val="32"/>
        </w:rPr>
      </w:pPr>
      <w:r>
        <w:rPr>
          <w:rFonts w:ascii="方正仿宋_GBK" w:hAnsi="方正仿宋_GBK" w:eastAsia="方正仿宋_GBK" w:cs="方正仿宋_GBK"/>
          <w:sz w:val="28"/>
          <w:szCs w:val="28"/>
        </w:rPr>
        <w:t>（1）《建设工程消防设计审查验收管理暂行规定》（住房和城乡建设部令第51号）第三十条消防设计审查验收主管部门应当自受理消防验收申请之日起十五日内出具消防验收意见。……对不符合前款规定条件的，消防设计审查验收主管部门应当出具消防验收不合格意见，并说明理由。</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4.承诺审批时限：</w:t>
      </w:r>
      <w:r>
        <w:rPr>
          <w:rFonts w:hint="eastAsia" w:ascii="方正仿宋_GBK" w:hAnsi="方正仿宋_GBK" w:eastAsia="方正仿宋_GBK" w:cs="方正仿宋_GBK"/>
          <w:sz w:val="28"/>
          <w:szCs w:val="28"/>
        </w:rPr>
        <w:t>4</w:t>
      </w:r>
      <w:r>
        <w:rPr>
          <w:rFonts w:ascii="方正仿宋_GBK" w:hAnsi="方正仿宋_GBK" w:eastAsia="方正仿宋_GBK" w:cs="方正仿宋_GBK"/>
          <w:sz w:val="28"/>
          <w:szCs w:val="28"/>
        </w:rPr>
        <w:t>个工作日</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收费</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1.办理行政许可是否收费：</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2.收费项目的名称、收费项目的标准、设定收费项目的依据、规定收费标准的依据</w:t>
      </w:r>
    </w:p>
    <w:p>
      <w:pPr>
        <w:spacing w:line="600" w:lineRule="exact"/>
        <w:ind w:firstLine="560" w:firstLineChars="200"/>
        <w:rPr>
          <w:rFonts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行政许可证件</w:t>
      </w:r>
    </w:p>
    <w:p>
      <w:pPr>
        <w:spacing w:line="540" w:lineRule="exact"/>
        <w:ind w:firstLine="562" w:firstLineChars="200"/>
        <w:outlineLvl w:val="2"/>
        <w:rPr>
          <w:rFonts w:ascii="Times New Roman" w:hAnsi="Times New Roman" w:eastAsia="仿宋GB2312"/>
          <w:sz w:val="28"/>
          <w:szCs w:val="28"/>
        </w:rPr>
      </w:pPr>
      <w:r>
        <w:rPr>
          <w:rFonts w:hint="eastAsia" w:ascii="Times New Roman" w:hAnsi="Times New Roman" w:eastAsia="仿宋GB2312"/>
          <w:b/>
          <w:bCs/>
          <w:sz w:val="28"/>
          <w:szCs w:val="28"/>
        </w:rPr>
        <w:t>1.审批结果类型：</w:t>
      </w:r>
      <w:r>
        <w:rPr>
          <w:rFonts w:ascii="方正仿宋_GBK" w:hAnsi="方正仿宋_GBK" w:eastAsia="方正仿宋_GBK" w:cs="方正仿宋_GBK"/>
          <w:sz w:val="28"/>
          <w:szCs w:val="28"/>
        </w:rPr>
        <w:t>证照</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2.审批结果名称：</w:t>
      </w:r>
      <w:r>
        <w:rPr>
          <w:rFonts w:hint="eastAsia" w:ascii="方正仿宋_GBK" w:hAnsi="方正仿宋_GBK" w:eastAsia="方正仿宋_GBK" w:cs="方正仿宋_GBK"/>
          <w:sz w:val="28"/>
          <w:szCs w:val="28"/>
        </w:rPr>
        <w:t>特殊建设工程消防验收意见书</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3.审批结果的有效期限：</w:t>
      </w:r>
      <w:r>
        <w:rPr>
          <w:rFonts w:hint="eastAsia" w:ascii="方正仿宋_GBK" w:hAnsi="方正仿宋_GBK" w:eastAsia="方正仿宋_GBK" w:cs="方正仿宋_GBK"/>
          <w:sz w:val="28"/>
          <w:szCs w:val="28"/>
        </w:rPr>
        <w:t>当次</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4.规定审批结果有效期限的依据</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1）《建设工程消防设计审查验收管理暂行规定》（住房和城乡建设部令第51号）第二十六条对特殊建设工程实行消防验收制度。特殊建设工程竣工验收后，建设单位应当向消防设计审查验收主管部门申请消防验收；未经消防验收或者消防验收不合格的，禁止投入使用。</w:t>
      </w:r>
    </w:p>
    <w:p>
      <w:pPr>
        <w:spacing w:line="600" w:lineRule="exact"/>
        <w:ind w:firstLine="562" w:firstLineChars="200"/>
        <w:rPr>
          <w:rFonts w:ascii="Times New Roman" w:hAnsi="Times New Roman" w:eastAsia="仿宋GB2312"/>
          <w:sz w:val="28"/>
          <w:szCs w:val="28"/>
        </w:rPr>
      </w:pPr>
      <w:r>
        <w:rPr>
          <w:rFonts w:hint="eastAsia" w:ascii="Times New Roman" w:hAnsi="Times New Roman" w:eastAsia="仿宋GB2312"/>
          <w:b/>
          <w:bCs/>
          <w:sz w:val="28"/>
          <w:szCs w:val="28"/>
        </w:rPr>
        <w:t>5.是否需要办理审批结果变更手续：</w:t>
      </w:r>
      <w:r>
        <w:rPr>
          <w:rFonts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6.办理审批结果变更手续的要求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7.是否需要办理审批结果延续手续：</w:t>
      </w:r>
      <w:r>
        <w:rPr>
          <w:rFonts w:hint="eastAsia" w:ascii="方正仿宋_GBK" w:hAnsi="方正仿宋_GBK" w:eastAsia="方正仿宋_GBK" w:cs="方正仿宋_GBK"/>
          <w:sz w:val="28"/>
          <w:szCs w:val="28"/>
        </w:rPr>
        <w:t>否</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8.办理审批结果延续手续的要求</w:t>
      </w:r>
    </w:p>
    <w:p>
      <w:pPr>
        <w:spacing w:line="600" w:lineRule="exact"/>
        <w:ind w:firstLine="560" w:firstLineChars="200"/>
        <w:rPr>
          <w:rFonts w:hint="eastAsia" w:ascii="Times New Roman" w:hAnsi="Times New Roman" w:eastAsia="仿宋GB2312"/>
          <w:sz w:val="32"/>
          <w:szCs w:val="32"/>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9.审批结果的有效地域范围</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全国</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10.规定审批结果有效地域范围的依据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（1）《行政许可法》第四十一条法律、行政法规设定的行政许可，其适用范围没有地域限制的，申请人取得的行政许可在全国范围内有效。</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行政许可数量限制</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1.有无行政许可数量限制：</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2.公布数量限制的方式：</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3.公布数量限制的周期：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4.在数量限制条件下实施行政许可的方式：</w:t>
      </w:r>
      <w:r>
        <w:rPr>
          <w:rFonts w:hint="eastAsia" w:ascii="方正仿宋_GBK" w:hAnsi="方正仿宋_GBK" w:eastAsia="方正仿宋_GBK" w:cs="方正仿宋_GBK"/>
          <w:sz w:val="28"/>
          <w:szCs w:val="28"/>
        </w:rPr>
        <w:t>无</w:t>
      </w:r>
    </w:p>
    <w:p>
      <w:pPr>
        <w:spacing w:line="600" w:lineRule="exact"/>
        <w:ind w:firstLine="562" w:firstLineChars="200"/>
        <w:jc w:val="left"/>
        <w:rPr>
          <w:rFonts w:hint="eastAsia" w:ascii="Times New Roman" w:hAnsi="Times New Roman" w:eastAsia="仿宋GB2312"/>
          <w:b/>
          <w:bCs/>
          <w:sz w:val="28"/>
          <w:szCs w:val="28"/>
        </w:rPr>
      </w:pPr>
      <w:r>
        <w:rPr>
          <w:rFonts w:hint="eastAsia" w:ascii="Times New Roman" w:hAnsi="Times New Roman" w:eastAsia="仿宋GB2312"/>
          <w:b/>
          <w:bCs/>
          <w:sz w:val="28"/>
          <w:szCs w:val="28"/>
        </w:rPr>
        <w:t>5.规定在数量限制条件下实施行政许可方式的依据</w:t>
      </w:r>
    </w:p>
    <w:p>
      <w:pPr>
        <w:spacing w:line="600" w:lineRule="exact"/>
        <w:ind w:firstLine="560" w:firstLineChars="200"/>
        <w:jc w:val="left"/>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numPr>
          <w:ilvl w:val="0"/>
          <w:numId w:val="1"/>
        </w:num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行政许可后年检</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1.有无年检要求：</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b/>
          <w:bCs/>
          <w:sz w:val="28"/>
          <w:szCs w:val="28"/>
        </w:rPr>
      </w:pPr>
      <w:r>
        <w:rPr>
          <w:rFonts w:hint="eastAsia" w:ascii="Times New Roman" w:hAnsi="Times New Roman" w:eastAsia="仿宋GB2312"/>
          <w:b/>
          <w:bCs/>
          <w:sz w:val="28"/>
          <w:szCs w:val="28"/>
        </w:rPr>
        <w:t>2.设定年检要求的依据</w:t>
      </w:r>
    </w:p>
    <w:p>
      <w:pPr>
        <w:spacing w:line="540" w:lineRule="exact"/>
        <w:ind w:firstLine="560" w:firstLineChars="200"/>
        <w:outlineLvl w:val="2"/>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3.年检周期：</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4.年检是否要求报送材料：</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5.年检报送材料名称：</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6.年检是否收费：</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b/>
          <w:bCs/>
          <w:sz w:val="28"/>
          <w:szCs w:val="28"/>
        </w:rPr>
      </w:pPr>
      <w:r>
        <w:rPr>
          <w:rFonts w:hint="eastAsia" w:ascii="Times New Roman" w:hAnsi="Times New Roman" w:eastAsia="仿宋GB2312"/>
          <w:b/>
          <w:bCs/>
          <w:sz w:val="28"/>
          <w:szCs w:val="28"/>
        </w:rPr>
        <w:t>7.年检收费项目的名称、年检收费项目的标准、设定年检收费项目的依据、规定年检项目收费标准的依据</w:t>
      </w:r>
    </w:p>
    <w:p>
      <w:pPr>
        <w:spacing w:line="600" w:lineRule="exact"/>
        <w:ind w:firstLine="560" w:firstLineChars="200"/>
        <w:rPr>
          <w:rFonts w:hint="eastAsia" w:ascii="Times New Roman" w:hAnsi="Times New Roman" w:eastAsia="仿宋GB2312"/>
          <w:sz w:val="28"/>
          <w:szCs w:val="28"/>
        </w:rPr>
      </w:pPr>
      <w:r>
        <w:rPr>
          <w:rFonts w:hint="eastAsia" w:ascii="方正仿宋_GBK" w:hAnsi="方正仿宋_GBK" w:eastAsia="方正仿宋_GBK" w:cs="方正仿宋_GBK"/>
          <w:sz w:val="28"/>
          <w:szCs w:val="28"/>
        </w:rPr>
        <w:t>无</w:t>
      </w:r>
    </w:p>
    <w:p>
      <w:pPr>
        <w:spacing w:line="540" w:lineRule="exact"/>
        <w:ind w:firstLine="562" w:firstLineChars="200"/>
        <w:outlineLvl w:val="2"/>
        <w:rPr>
          <w:rFonts w:hint="eastAsia" w:ascii="Times New Roman" w:hAnsi="Times New Roman" w:eastAsia="仿宋GB2312"/>
          <w:sz w:val="28"/>
          <w:szCs w:val="28"/>
        </w:rPr>
      </w:pPr>
      <w:r>
        <w:rPr>
          <w:rFonts w:hint="eastAsia" w:ascii="Times New Roman" w:hAnsi="Times New Roman" w:eastAsia="仿宋GB2312"/>
          <w:b/>
          <w:bCs/>
          <w:sz w:val="28"/>
          <w:szCs w:val="28"/>
        </w:rPr>
        <w:t>8.通过年检的证明或者标志：</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行政许可后年报</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1.</w:t>
      </w:r>
      <w:r>
        <w:rPr>
          <w:rFonts w:ascii="Times New Roman" w:hAnsi="Times New Roman" w:eastAsia="仿宋GB2312"/>
          <w:b/>
          <w:bCs/>
          <w:sz w:val="28"/>
          <w:szCs w:val="28"/>
        </w:rPr>
        <w:t>有无年报要求</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2.</w:t>
      </w:r>
      <w:r>
        <w:rPr>
          <w:rFonts w:ascii="Times New Roman" w:hAnsi="Times New Roman" w:eastAsia="仿宋GB2312"/>
          <w:b/>
          <w:bCs/>
          <w:sz w:val="28"/>
          <w:szCs w:val="28"/>
        </w:rPr>
        <w:t>年报报送材料名称</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spacing w:line="540" w:lineRule="exact"/>
        <w:ind w:firstLine="562" w:firstLineChars="200"/>
        <w:outlineLvl w:val="2"/>
        <w:rPr>
          <w:rFonts w:ascii="Times New Roman" w:hAnsi="Times New Roman" w:eastAsia="仿宋GB2312"/>
          <w:b/>
          <w:bCs/>
          <w:sz w:val="28"/>
          <w:szCs w:val="28"/>
        </w:rPr>
      </w:pPr>
      <w:r>
        <w:rPr>
          <w:rFonts w:hint="eastAsia" w:ascii="Times New Roman" w:hAnsi="Times New Roman" w:eastAsia="仿宋GB2312"/>
          <w:b/>
          <w:bCs/>
          <w:sz w:val="28"/>
          <w:szCs w:val="28"/>
        </w:rPr>
        <w:t>3.</w:t>
      </w:r>
      <w:r>
        <w:rPr>
          <w:rFonts w:ascii="Times New Roman" w:hAnsi="Times New Roman" w:eastAsia="仿宋GB2312"/>
          <w:b/>
          <w:bCs/>
          <w:sz w:val="28"/>
          <w:szCs w:val="28"/>
        </w:rPr>
        <w:t>设定年报要求的依据</w:t>
      </w:r>
    </w:p>
    <w:p>
      <w:pPr>
        <w:spacing w:line="540" w:lineRule="exact"/>
        <w:ind w:firstLine="560" w:firstLineChars="200"/>
        <w:outlineLvl w:val="2"/>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无</w:t>
      </w:r>
    </w:p>
    <w:p>
      <w:pPr>
        <w:spacing w:line="600" w:lineRule="exact"/>
        <w:ind w:firstLine="562" w:firstLineChars="200"/>
        <w:rPr>
          <w:rFonts w:hint="eastAsia" w:ascii="Times New Roman" w:hAnsi="Times New Roman" w:eastAsia="仿宋GB2312"/>
          <w:sz w:val="28"/>
          <w:szCs w:val="28"/>
        </w:rPr>
      </w:pPr>
      <w:r>
        <w:rPr>
          <w:rFonts w:hint="eastAsia" w:ascii="Times New Roman" w:hAnsi="Times New Roman" w:eastAsia="仿宋GB2312"/>
          <w:b/>
          <w:bCs/>
          <w:sz w:val="28"/>
          <w:szCs w:val="28"/>
        </w:rPr>
        <w:t>4.</w:t>
      </w:r>
      <w:r>
        <w:rPr>
          <w:rFonts w:ascii="Times New Roman" w:hAnsi="Times New Roman" w:eastAsia="仿宋GB2312"/>
          <w:b/>
          <w:bCs/>
          <w:sz w:val="28"/>
          <w:szCs w:val="28"/>
        </w:rPr>
        <w:t>年报周期</w:t>
      </w:r>
      <w:r>
        <w:rPr>
          <w:rFonts w:hint="eastAsia" w:ascii="Times New Roman" w:hAnsi="Times New Roman" w:eastAsia="仿宋GB2312"/>
          <w:b/>
          <w:bCs/>
          <w:sz w:val="28"/>
          <w:szCs w:val="28"/>
        </w:rPr>
        <w:t>：</w:t>
      </w:r>
      <w:r>
        <w:rPr>
          <w:rFonts w:hint="eastAsia" w:ascii="方正仿宋_GBK" w:hAnsi="方正仿宋_GBK" w:eastAsia="方正仿宋_GBK" w:cs="方正仿宋_GBK"/>
          <w:sz w:val="28"/>
          <w:szCs w:val="28"/>
        </w:rPr>
        <w:t>无</w:t>
      </w:r>
    </w:p>
    <w:p>
      <w:pPr>
        <w:numPr>
          <w:ilvl w:val="0"/>
          <w:numId w:val="1"/>
        </w:numPr>
        <w:spacing w:line="540" w:lineRule="exact"/>
        <w:outlineLvl w:val="1"/>
        <w:rPr>
          <w:rFonts w:ascii="Times New Roman" w:hAnsi="Times New Roman" w:eastAsia="黑体"/>
          <w:sz w:val="28"/>
          <w:szCs w:val="28"/>
        </w:rPr>
      </w:pPr>
      <w:r>
        <w:rPr>
          <w:rFonts w:hint="eastAsia" w:ascii="Times New Roman" w:hAnsi="Times New Roman" w:eastAsia="黑体"/>
          <w:sz w:val="28"/>
          <w:szCs w:val="28"/>
        </w:rPr>
        <w:t>监管主体</w:t>
      </w:r>
    </w:p>
    <w:p>
      <w:pPr>
        <w:spacing w:line="540" w:lineRule="exact"/>
        <w:outlineLvl w:val="1"/>
        <w:rPr>
          <w:rFonts w:hint="eastAsia" w:ascii="方正仿宋_GBK" w:hAnsi="方正仿宋_GBK" w:eastAsia="方正仿宋_GBK" w:cs="方正仿宋_GBK"/>
          <w:sz w:val="28"/>
          <w:szCs w:val="28"/>
          <w:lang w:val="en-US" w:eastAsia="zh-CN"/>
        </w:rPr>
      </w:pPr>
      <w:r>
        <w:rPr>
          <w:rFonts w:hint="eastAsia" w:ascii="方正仿宋_GBK" w:hAnsi="方正仿宋_GBK" w:eastAsia="方正仿宋_GBK" w:cs="方正仿宋_GBK"/>
          <w:sz w:val="28"/>
          <w:szCs w:val="28"/>
          <w:lang w:val="en-US" w:eastAsia="zh-CN"/>
        </w:rPr>
        <w:t>昆明市晋宁区住房和城乡建设局</w:t>
      </w:r>
    </w:p>
    <w:p>
      <w:pPr>
        <w:spacing w:line="540" w:lineRule="exact"/>
        <w:outlineLvl w:val="1"/>
        <w:rPr>
          <w:rFonts w:hint="eastAsia" w:ascii="Times New Roman" w:hAnsi="Times New Roman" w:eastAsia="黑体"/>
          <w:sz w:val="28"/>
          <w:szCs w:val="28"/>
        </w:rPr>
      </w:pPr>
      <w:r>
        <w:rPr>
          <w:rFonts w:hint="eastAsia" w:ascii="Times New Roman" w:hAnsi="Times New Roman" w:eastAsia="黑体"/>
          <w:sz w:val="28"/>
          <w:szCs w:val="28"/>
        </w:rPr>
        <w:t>十五、备注</w:t>
      </w:r>
    </w:p>
    <w:p>
      <w:pPr>
        <w:spacing w:line="600" w:lineRule="exact"/>
        <w:ind w:firstLine="560" w:firstLineChars="200"/>
        <w:rPr>
          <w:rFonts w:hint="eastAsia" w:ascii="方正仿宋_GBK" w:hAnsi="方正仿宋_GBK" w:eastAsia="方正仿宋_GBK" w:cs="方正仿宋_GBK"/>
          <w:sz w:val="28"/>
          <w:szCs w:val="28"/>
        </w:rPr>
      </w:pPr>
    </w:p>
    <w:p>
      <w:pPr>
        <w:spacing w:line="540" w:lineRule="exact"/>
        <w:outlineLvl w:val="1"/>
        <w:rPr>
          <w:rFonts w:ascii="Times New Roman" w:hAnsi="Times New Roman" w:eastAsia="黑体"/>
          <w:sz w:val="28"/>
          <w:szCs w:val="28"/>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BBB41DF-4EC2-4C8D-AEC3-EAF4F23DB53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A00002BF" w:usb1="38CF7CFA" w:usb2="00082016" w:usb3="00000000" w:csb0="00040001" w:csb1="00000000"/>
    <w:embedRegular r:id="rId2" w:fontKey="{77785634-4386-4F59-B405-B7640F81E021}"/>
  </w:font>
  <w:font w:name="仿宋GB2312">
    <w:altName w:val="仿宋"/>
    <w:panose1 w:val="00000000000000000000"/>
    <w:charset w:val="86"/>
    <w:family w:val="roman"/>
    <w:pitch w:val="default"/>
    <w:sig w:usb0="00000000" w:usb1="00000000" w:usb2="00000000" w:usb3="00000000" w:csb0="00040001" w:csb1="00000000"/>
    <w:embedRegular r:id="rId3" w:fontKey="{A3431DFD-2BDA-4078-ADFA-03266A7F4B06}"/>
  </w:font>
  <w:font w:name="仿宋">
    <w:panose1 w:val="02010609060101010101"/>
    <w:charset w:val="86"/>
    <w:family w:val="modern"/>
    <w:pitch w:val="default"/>
    <w:sig w:usb0="800002BF" w:usb1="38CF7CFA" w:usb2="00000016" w:usb3="00000000" w:csb0="00040001" w:csb1="00000000"/>
    <w:embedRegular r:id="rId4" w:fontKey="{A6CF3921-8B42-4ECA-A1AB-3E631D79C818}"/>
  </w:font>
  <w:font w:name="方正仿宋_GBK">
    <w:altName w:val="微软雅黑"/>
    <w:panose1 w:val="03000509000000000000"/>
    <w:charset w:val="86"/>
    <w:family w:val="auto"/>
    <w:pitch w:val="default"/>
    <w:sig w:usb0="00000000" w:usb1="00000000" w:usb2="00000000" w:usb3="00000000" w:csb0="00040000" w:csb1="00000000"/>
    <w:embedRegular r:id="rId5" w:fontKey="{856B4CA8-3B17-4236-948F-DD75E7331A27}"/>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F30B91"/>
    <w:multiLevelType w:val="singleLevel"/>
    <w:tmpl w:val="EFF30B91"/>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3OTg1ODc0MmU5NjQzMGJkMGYxMmE0Y2NiYzkwN2QifQ=="/>
  </w:docVars>
  <w:rsids>
    <w:rsidRoot w:val="7C714DA0"/>
    <w:rsid w:val="048564F6"/>
    <w:rsid w:val="201C12BD"/>
    <w:rsid w:val="538057B3"/>
    <w:rsid w:val="6A835E5D"/>
    <w:rsid w:val="7C714D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2024-01-05T05:23:00Z</dcterms:created>
  <dc:creator>饕</dc:creator>
  <cp:lastModifiedBy>微光ヾ</cp:lastModifiedBy>
  <dcterms:modified xsi:type="dcterms:W3CDTF">2024-01-05T05:52:52Z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67F785BC5F2F4F77A2D5FC22AF8F4DC5_11</vt:lpwstr>
  </property>
</Properties>
</file>