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FF0000"/>
          <w:sz w:val="40"/>
          <w:szCs w:val="40"/>
          <w:lang w:val="en-US" w:eastAsia="zh-CN"/>
        </w:rPr>
        <w:t>设区的市</w:t>
      </w:r>
      <w:r>
        <w:rPr>
          <w:rFonts w:hint="eastAsia" w:ascii="FZXiaoBiaoSong-B05" w:hAnsi="FZXiaoBiaoSong-B05" w:eastAsia="FZXiaoBiaoSong-B05" w:cs="FZXiaoBiaoSong-B05"/>
          <w:b w:val="0"/>
          <w:bCs w:val="0"/>
          <w:strike w:val="0"/>
          <w:dstrike w:val="0"/>
          <w:color w:val="auto"/>
          <w:sz w:val="40"/>
          <w:szCs w:val="40"/>
          <w:lang w:eastAsia="zh-CN"/>
        </w:rPr>
        <w:t>级权限）</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【00011611600101】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延长危险废物贮存期限审批</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00011611600Y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延长危险废物贮存期限审批（</w:t>
      </w:r>
      <w:r>
        <w:rPr>
          <w:rFonts w:hint="default" w:ascii="FZFangSong-Z02" w:hAnsi="FZFangSong-Z02" w:eastAsia="FZFangSong-Z02" w:cs="FZFangSong-Z02"/>
          <w:b w:val="0"/>
          <w:bCs w:val="0"/>
          <w:strike w:val="0"/>
          <w:dstrike w:val="0"/>
          <w:color w:val="FF0000"/>
          <w:sz w:val="28"/>
          <w:szCs w:val="28"/>
          <w:lang w:val="en-US" w:eastAsia="zh-CN"/>
        </w:rPr>
        <w:t>设区的市</w:t>
      </w:r>
      <w:r>
        <w:rPr>
          <w:rFonts w:hint="eastAsia" w:ascii="FZFangSong-Z02" w:hAnsi="FZFangSong-Z02" w:eastAsia="FZFangSong-Z02" w:cs="FZFangSong-Z02"/>
          <w:strike w:val="0"/>
          <w:dstrike w:val="0"/>
          <w:sz w:val="28"/>
          <w:szCs w:val="28"/>
          <w:lang w:val="en-US"/>
        </w:rPr>
        <w:t>级权限）【000116116001】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延长危险废物贮存期限审批（</w:t>
      </w:r>
      <w:r>
        <w:rPr>
          <w:rFonts w:hint="default" w:ascii="FZFangSong-Z02" w:hAnsi="FZFangSong-Z02" w:eastAsia="FZFangSong-Z02" w:cs="FZFangSong-Z02"/>
          <w:b w:val="0"/>
          <w:bCs w:val="0"/>
          <w:strike w:val="0"/>
          <w:dstrike w:val="0"/>
          <w:color w:val="FF0000"/>
          <w:sz w:val="28"/>
          <w:szCs w:val="28"/>
          <w:lang w:val="en-US" w:eastAsia="zh-CN"/>
        </w:rPr>
        <w:t>设区的市</w:t>
      </w:r>
      <w:r>
        <w:rPr>
          <w:rFonts w:hint="eastAsia" w:ascii="FZFangSong-Z02" w:hAnsi="FZFangSong-Z02" w:eastAsia="FZFangSong-Z02" w:cs="FZFangSong-Z02"/>
          <w:strike w:val="0"/>
          <w:dstrike w:val="0"/>
          <w:sz w:val="28"/>
          <w:szCs w:val="28"/>
          <w:lang w:val="en-US" w:eastAsia="zh-CN"/>
        </w:rPr>
        <w:t>级权限）(00011611600101)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strike w:val="0"/>
          <w:dstrike w:val="0"/>
          <w:color w:val="auto"/>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2.将承诺</w:t>
      </w:r>
      <w:r>
        <w:rPr>
          <w:rFonts w:hint="default" w:ascii="FZFangSong-Z02" w:hAnsi="FZFangSong-Z02" w:eastAsia="FZFangSong-Z02" w:cs="FZFangSong-Z02"/>
          <w:b w:val="0"/>
          <w:bCs w:val="0"/>
          <w:strike w:val="0"/>
          <w:dstrike w:val="0"/>
          <w:color w:val="auto"/>
          <w:sz w:val="28"/>
          <w:szCs w:val="28"/>
          <w:lang w:val="en-US" w:eastAsia="zh-CN"/>
        </w:rPr>
        <w:t>审批时限由20个工作日压减至</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1F97A7C"/>
    <w:rsid w:val="064160C8"/>
    <w:rsid w:val="11231558"/>
    <w:rsid w:val="2BFF15FE"/>
    <w:rsid w:val="5DEE43C4"/>
    <w:rsid w:val="64D36F3F"/>
    <w:rsid w:val="6DF7B0BE"/>
    <w:rsid w:val="77F8DE95"/>
    <w:rsid w:val="7DC82C20"/>
    <w:rsid w:val="7F0571C0"/>
    <w:rsid w:val="7FF31E29"/>
    <w:rsid w:val="7FF58A04"/>
    <w:rsid w:val="CFFD6582"/>
    <w:rsid w:val="D9E74F92"/>
    <w:rsid w:val="DF9829D8"/>
    <w:rsid w:val="EF12B2F8"/>
    <w:rsid w:val="F1FF6341"/>
    <w:rsid w:val="FBCE30EB"/>
    <w:rsid w:val="FF3E2466"/>
    <w:rsid w:val="FFEF9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user</cp:lastModifiedBy>
  <cp:lastPrinted>2022-06-18T06:53:00Z</cp:lastPrinted>
  <dcterms:modified xsi:type="dcterms:W3CDTF">2023-12-19T11:08:24Z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