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afterLines="0"/>
        <w:rPr>
          <w:color w:val="auto"/>
        </w:rPr>
      </w:pPr>
      <w:bookmarkStart w:id="0" w:name="_Toc18632"/>
      <w:r>
        <w:rPr>
          <w:rFonts w:hint="eastAsia"/>
          <w:color w:val="auto"/>
        </w:rPr>
        <w:t>目  录</w:t>
      </w:r>
      <w:bookmarkEnd w:id="0"/>
    </w:p>
    <w:sdt>
      <w:sdtPr>
        <w:rPr>
          <w:rFonts w:ascii="宋体" w:hAnsi="宋体"/>
          <w:color w:val="auto"/>
          <w:sz w:val="21"/>
        </w:rPr>
        <w:id w:val="147467777"/>
        <w15:color w:val="DBDBDB"/>
        <w:docPartObj>
          <w:docPartGallery w:val="Table of Contents"/>
          <w:docPartUnique/>
        </w:docPartObj>
      </w:sdtPr>
      <w:sdtEndPr>
        <w:rPr>
          <w:rFonts w:hint="eastAsia" w:ascii="宋体" w:hAnsi="宋体" w:cs="宋体"/>
          <w:color w:val="auto"/>
          <w:sz w:val="24"/>
        </w:rPr>
      </w:sdtEndPr>
      <w:sdtContent>
        <w:p>
          <w:pPr>
            <w:spacing w:line="240" w:lineRule="auto"/>
            <w:ind w:firstLine="0" w:firstLineChars="0"/>
            <w:jc w:val="center"/>
            <w:rPr>
              <w:color w:val="auto"/>
            </w:rPr>
          </w:pPr>
        </w:p>
        <w:p>
          <w:pPr>
            <w:tabs>
              <w:tab w:val="right" w:leader="dot" w:pos="8844"/>
            </w:tabs>
            <w:ind w:firstLine="0" w:firstLineChars="0"/>
            <w:rPr>
              <w:rFonts w:ascii="宋体" w:hAnsi="宋体" w:cs="宋体"/>
              <w:color w:val="auto"/>
            </w:rPr>
          </w:pPr>
          <w:r>
            <w:rPr>
              <w:rFonts w:hint="eastAsia" w:ascii="宋体" w:hAnsi="宋体" w:cs="宋体"/>
              <w:color w:val="auto"/>
            </w:rPr>
            <w:fldChar w:fldCharType="begin"/>
          </w:r>
          <w:r>
            <w:rPr>
              <w:rFonts w:hint="eastAsia" w:ascii="宋体" w:hAnsi="宋体" w:cs="宋体"/>
              <w:color w:val="auto"/>
            </w:rPr>
            <w:instrText xml:space="preserve">TOC \o "1-1" \h \u </w:instrText>
          </w:r>
          <w:r>
            <w:rPr>
              <w:rFonts w:hint="eastAsia" w:ascii="宋体" w:hAnsi="宋体" w:cs="宋体"/>
              <w:color w:val="auto"/>
            </w:rPr>
            <w:fldChar w:fldCharType="separate"/>
          </w:r>
          <w:r>
            <w:rPr>
              <w:color w:val="auto"/>
            </w:rPr>
            <w:fldChar w:fldCharType="begin"/>
          </w:r>
          <w:r>
            <w:rPr>
              <w:color w:val="auto"/>
            </w:rPr>
            <w:instrText xml:space="preserve"> HYPERLINK \l "_Toc3188" </w:instrText>
          </w:r>
          <w:r>
            <w:rPr>
              <w:color w:val="auto"/>
            </w:rPr>
            <w:fldChar w:fldCharType="separate"/>
          </w:r>
          <w:r>
            <w:rPr>
              <w:rFonts w:hint="eastAsia" w:ascii="宋体" w:hAnsi="宋体" w:cs="宋体"/>
              <w:color w:val="auto"/>
            </w:rPr>
            <w:t>一、建设项目基本情况</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_Toc3188 \h </w:instrText>
          </w:r>
          <w:r>
            <w:rPr>
              <w:rFonts w:hint="eastAsia" w:ascii="宋体" w:hAnsi="宋体" w:cs="宋体"/>
              <w:color w:val="auto"/>
            </w:rPr>
            <w:fldChar w:fldCharType="separate"/>
          </w:r>
          <w:r>
            <w:rPr>
              <w:rFonts w:hint="eastAsia" w:ascii="宋体" w:hAnsi="宋体" w:cs="宋体"/>
              <w:color w:val="auto"/>
            </w:rPr>
            <w:t>1</w:t>
          </w:r>
          <w:r>
            <w:rPr>
              <w:rFonts w:hint="eastAsia" w:ascii="宋体" w:hAnsi="宋体" w:cs="宋体"/>
              <w:color w:val="auto"/>
            </w:rPr>
            <w:fldChar w:fldCharType="end"/>
          </w:r>
          <w:r>
            <w:rPr>
              <w:rFonts w:hint="eastAsia" w:ascii="宋体" w:hAnsi="宋体" w:cs="宋体"/>
              <w:color w:val="auto"/>
            </w:rPr>
            <w:fldChar w:fldCharType="end"/>
          </w:r>
        </w:p>
        <w:p>
          <w:pPr>
            <w:tabs>
              <w:tab w:val="right" w:leader="dot" w:pos="8844"/>
            </w:tabs>
            <w:ind w:firstLine="0" w:firstLineChars="0"/>
            <w:rPr>
              <w:rFonts w:ascii="宋体" w:hAnsi="宋体" w:cs="宋体"/>
              <w:color w:val="auto"/>
            </w:rPr>
          </w:pPr>
          <w:r>
            <w:rPr>
              <w:color w:val="auto"/>
            </w:rPr>
            <w:fldChar w:fldCharType="begin"/>
          </w:r>
          <w:r>
            <w:rPr>
              <w:color w:val="auto"/>
            </w:rPr>
            <w:instrText xml:space="preserve"> HYPERLINK \l "_Toc11193" </w:instrText>
          </w:r>
          <w:r>
            <w:rPr>
              <w:color w:val="auto"/>
            </w:rPr>
            <w:fldChar w:fldCharType="separate"/>
          </w:r>
          <w:r>
            <w:rPr>
              <w:rFonts w:hint="eastAsia" w:ascii="宋体" w:hAnsi="宋体" w:cs="宋体"/>
              <w:color w:val="auto"/>
            </w:rPr>
            <w:t>二、建设项目工程分析</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_Toc11193 \h </w:instrText>
          </w:r>
          <w:r>
            <w:rPr>
              <w:rFonts w:hint="eastAsia" w:ascii="宋体" w:hAnsi="宋体" w:cs="宋体"/>
              <w:color w:val="auto"/>
            </w:rPr>
            <w:fldChar w:fldCharType="separate"/>
          </w:r>
          <w:r>
            <w:rPr>
              <w:rFonts w:hint="eastAsia" w:ascii="宋体" w:hAnsi="宋体" w:cs="宋体"/>
              <w:color w:val="auto"/>
            </w:rPr>
            <w:t>17</w:t>
          </w:r>
          <w:r>
            <w:rPr>
              <w:rFonts w:hint="eastAsia" w:ascii="宋体" w:hAnsi="宋体" w:cs="宋体"/>
              <w:color w:val="auto"/>
            </w:rPr>
            <w:fldChar w:fldCharType="end"/>
          </w:r>
          <w:r>
            <w:rPr>
              <w:rFonts w:hint="eastAsia" w:ascii="宋体" w:hAnsi="宋体" w:cs="宋体"/>
              <w:color w:val="auto"/>
            </w:rPr>
            <w:fldChar w:fldCharType="end"/>
          </w:r>
        </w:p>
        <w:p>
          <w:pPr>
            <w:tabs>
              <w:tab w:val="right" w:leader="dot" w:pos="8844"/>
            </w:tabs>
            <w:ind w:firstLine="0" w:firstLineChars="0"/>
            <w:rPr>
              <w:rFonts w:ascii="宋体" w:hAnsi="宋体" w:cs="宋体"/>
              <w:color w:val="auto"/>
            </w:rPr>
          </w:pPr>
          <w:r>
            <w:rPr>
              <w:color w:val="auto"/>
            </w:rPr>
            <w:fldChar w:fldCharType="begin"/>
          </w:r>
          <w:r>
            <w:rPr>
              <w:color w:val="auto"/>
            </w:rPr>
            <w:instrText xml:space="preserve"> HYPERLINK \l "_Toc8061" </w:instrText>
          </w:r>
          <w:r>
            <w:rPr>
              <w:color w:val="auto"/>
            </w:rPr>
            <w:fldChar w:fldCharType="separate"/>
          </w:r>
          <w:r>
            <w:rPr>
              <w:rFonts w:hint="eastAsia" w:ascii="宋体" w:hAnsi="宋体" w:cs="宋体"/>
              <w:color w:val="auto"/>
            </w:rPr>
            <w:t>三、区域环境质量现状、环境保护目标及评价标准</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_Toc8061 \h </w:instrText>
          </w:r>
          <w:r>
            <w:rPr>
              <w:rFonts w:hint="eastAsia" w:ascii="宋体" w:hAnsi="宋体" w:cs="宋体"/>
              <w:color w:val="auto"/>
            </w:rPr>
            <w:fldChar w:fldCharType="separate"/>
          </w:r>
          <w:r>
            <w:rPr>
              <w:rFonts w:hint="eastAsia" w:ascii="宋体" w:hAnsi="宋体" w:cs="宋体"/>
              <w:color w:val="auto"/>
            </w:rPr>
            <w:t>38</w:t>
          </w:r>
          <w:r>
            <w:rPr>
              <w:rFonts w:hint="eastAsia" w:ascii="宋体" w:hAnsi="宋体" w:cs="宋体"/>
              <w:color w:val="auto"/>
            </w:rPr>
            <w:fldChar w:fldCharType="end"/>
          </w:r>
          <w:r>
            <w:rPr>
              <w:rFonts w:hint="eastAsia" w:ascii="宋体" w:hAnsi="宋体" w:cs="宋体"/>
              <w:color w:val="auto"/>
            </w:rPr>
            <w:fldChar w:fldCharType="end"/>
          </w:r>
        </w:p>
        <w:p>
          <w:pPr>
            <w:tabs>
              <w:tab w:val="right" w:leader="dot" w:pos="8844"/>
            </w:tabs>
            <w:ind w:firstLine="0" w:firstLineChars="0"/>
            <w:rPr>
              <w:rFonts w:ascii="宋体" w:hAnsi="宋体" w:cs="宋体"/>
              <w:color w:val="auto"/>
            </w:rPr>
          </w:pPr>
          <w:r>
            <w:rPr>
              <w:color w:val="auto"/>
            </w:rPr>
            <w:fldChar w:fldCharType="begin"/>
          </w:r>
          <w:r>
            <w:rPr>
              <w:color w:val="auto"/>
            </w:rPr>
            <w:instrText xml:space="preserve"> HYPERLINK \l "_Toc24103" </w:instrText>
          </w:r>
          <w:r>
            <w:rPr>
              <w:color w:val="auto"/>
            </w:rPr>
            <w:fldChar w:fldCharType="separate"/>
          </w:r>
          <w:r>
            <w:rPr>
              <w:rFonts w:hint="eastAsia" w:ascii="宋体" w:hAnsi="宋体" w:cs="宋体"/>
              <w:color w:val="auto"/>
            </w:rPr>
            <w:t>四、主要环境影响和保护措施</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_Toc24103 \h </w:instrText>
          </w:r>
          <w:r>
            <w:rPr>
              <w:rFonts w:hint="eastAsia" w:ascii="宋体" w:hAnsi="宋体" w:cs="宋体"/>
              <w:color w:val="auto"/>
            </w:rPr>
            <w:fldChar w:fldCharType="separate"/>
          </w:r>
          <w:r>
            <w:rPr>
              <w:rFonts w:hint="eastAsia" w:ascii="宋体" w:hAnsi="宋体" w:cs="宋体"/>
              <w:color w:val="auto"/>
            </w:rPr>
            <w:t>44</w:t>
          </w:r>
          <w:r>
            <w:rPr>
              <w:rFonts w:hint="eastAsia" w:ascii="宋体" w:hAnsi="宋体" w:cs="宋体"/>
              <w:color w:val="auto"/>
            </w:rPr>
            <w:fldChar w:fldCharType="end"/>
          </w:r>
          <w:r>
            <w:rPr>
              <w:rFonts w:hint="eastAsia" w:ascii="宋体" w:hAnsi="宋体" w:cs="宋体"/>
              <w:color w:val="auto"/>
            </w:rPr>
            <w:fldChar w:fldCharType="end"/>
          </w:r>
        </w:p>
        <w:p>
          <w:pPr>
            <w:tabs>
              <w:tab w:val="right" w:leader="dot" w:pos="8844"/>
            </w:tabs>
            <w:ind w:firstLine="0" w:firstLineChars="0"/>
            <w:rPr>
              <w:rFonts w:ascii="宋体" w:hAnsi="宋体" w:cs="宋体"/>
              <w:color w:val="auto"/>
            </w:rPr>
          </w:pPr>
          <w:r>
            <w:rPr>
              <w:color w:val="auto"/>
            </w:rPr>
            <w:fldChar w:fldCharType="begin"/>
          </w:r>
          <w:r>
            <w:rPr>
              <w:color w:val="auto"/>
            </w:rPr>
            <w:instrText xml:space="preserve"> HYPERLINK \l "_Toc26682" </w:instrText>
          </w:r>
          <w:r>
            <w:rPr>
              <w:color w:val="auto"/>
            </w:rPr>
            <w:fldChar w:fldCharType="separate"/>
          </w:r>
          <w:r>
            <w:rPr>
              <w:rFonts w:hint="eastAsia" w:ascii="宋体" w:hAnsi="宋体" w:cs="宋体"/>
              <w:color w:val="auto"/>
            </w:rPr>
            <w:t>五、环境保护措施监督检查清单</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_Toc26682 \h </w:instrText>
          </w:r>
          <w:r>
            <w:rPr>
              <w:rFonts w:hint="eastAsia" w:ascii="宋体" w:hAnsi="宋体" w:cs="宋体"/>
              <w:color w:val="auto"/>
            </w:rPr>
            <w:fldChar w:fldCharType="separate"/>
          </w:r>
          <w:r>
            <w:rPr>
              <w:rFonts w:hint="eastAsia" w:ascii="宋体" w:hAnsi="宋体" w:cs="宋体"/>
              <w:color w:val="auto"/>
            </w:rPr>
            <w:t>55</w:t>
          </w:r>
          <w:r>
            <w:rPr>
              <w:rFonts w:hint="eastAsia" w:ascii="宋体" w:hAnsi="宋体" w:cs="宋体"/>
              <w:color w:val="auto"/>
            </w:rPr>
            <w:fldChar w:fldCharType="end"/>
          </w:r>
          <w:r>
            <w:rPr>
              <w:rFonts w:hint="eastAsia" w:ascii="宋体" w:hAnsi="宋体" w:cs="宋体"/>
              <w:color w:val="auto"/>
            </w:rPr>
            <w:fldChar w:fldCharType="end"/>
          </w:r>
        </w:p>
        <w:p>
          <w:pPr>
            <w:tabs>
              <w:tab w:val="right" w:leader="dot" w:pos="8844"/>
            </w:tabs>
            <w:ind w:firstLine="0" w:firstLineChars="0"/>
            <w:rPr>
              <w:rFonts w:ascii="宋体" w:hAnsi="宋体" w:cs="宋体"/>
              <w:color w:val="auto"/>
            </w:rPr>
          </w:pPr>
          <w:r>
            <w:rPr>
              <w:color w:val="auto"/>
            </w:rPr>
            <w:fldChar w:fldCharType="begin"/>
          </w:r>
          <w:r>
            <w:rPr>
              <w:color w:val="auto"/>
            </w:rPr>
            <w:instrText xml:space="preserve"> HYPERLINK \l "_Toc31737" </w:instrText>
          </w:r>
          <w:r>
            <w:rPr>
              <w:color w:val="auto"/>
            </w:rPr>
            <w:fldChar w:fldCharType="separate"/>
          </w:r>
          <w:r>
            <w:rPr>
              <w:rFonts w:hint="eastAsia" w:ascii="宋体" w:hAnsi="宋体" w:cs="宋体"/>
              <w:color w:val="auto"/>
            </w:rPr>
            <w:t>六、结论</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_Toc31737 \h </w:instrText>
          </w:r>
          <w:r>
            <w:rPr>
              <w:rFonts w:hint="eastAsia" w:ascii="宋体" w:hAnsi="宋体" w:cs="宋体"/>
              <w:color w:val="auto"/>
            </w:rPr>
            <w:fldChar w:fldCharType="separate"/>
          </w:r>
          <w:r>
            <w:rPr>
              <w:rFonts w:hint="eastAsia" w:ascii="宋体" w:hAnsi="宋体" w:cs="宋体"/>
              <w:color w:val="auto"/>
            </w:rPr>
            <w:t>56</w:t>
          </w:r>
          <w:r>
            <w:rPr>
              <w:rFonts w:hint="eastAsia" w:ascii="宋体" w:hAnsi="宋体" w:cs="宋体"/>
              <w:color w:val="auto"/>
            </w:rPr>
            <w:fldChar w:fldCharType="end"/>
          </w:r>
          <w:r>
            <w:rPr>
              <w:rFonts w:hint="eastAsia" w:ascii="宋体" w:hAnsi="宋体" w:cs="宋体"/>
              <w:color w:val="auto"/>
            </w:rPr>
            <w:fldChar w:fldCharType="end"/>
          </w:r>
        </w:p>
        <w:p>
          <w:pPr>
            <w:tabs>
              <w:tab w:val="right" w:leader="dot" w:pos="8844"/>
            </w:tabs>
            <w:ind w:firstLine="0" w:firstLineChars="0"/>
            <w:rPr>
              <w:rFonts w:ascii="宋体" w:hAnsi="宋体" w:cs="宋体"/>
              <w:color w:val="auto"/>
            </w:rPr>
          </w:pPr>
          <w:r>
            <w:rPr>
              <w:color w:val="auto"/>
            </w:rPr>
            <w:fldChar w:fldCharType="begin"/>
          </w:r>
          <w:r>
            <w:rPr>
              <w:color w:val="auto"/>
            </w:rPr>
            <w:instrText xml:space="preserve"> HYPERLINK \l "_Toc24138" </w:instrText>
          </w:r>
          <w:r>
            <w:rPr>
              <w:color w:val="auto"/>
            </w:rPr>
            <w:fldChar w:fldCharType="separate"/>
          </w:r>
          <w:r>
            <w:rPr>
              <w:rFonts w:hint="eastAsia" w:ascii="宋体" w:hAnsi="宋体" w:cs="宋体"/>
              <w:snapToGrid w:val="0"/>
              <w:color w:val="auto"/>
            </w:rPr>
            <w:t>附表</w:t>
          </w:r>
          <w:r>
            <w:rPr>
              <w:rFonts w:hint="eastAsia" w:ascii="宋体" w:hAnsi="宋体" w:cs="宋体"/>
              <w:color w:val="auto"/>
            </w:rPr>
            <w:tab/>
          </w:r>
          <w:r>
            <w:rPr>
              <w:rFonts w:hint="eastAsia" w:ascii="宋体" w:hAnsi="宋体" w:cs="宋体"/>
              <w:color w:val="auto"/>
            </w:rPr>
            <w:fldChar w:fldCharType="begin"/>
          </w:r>
          <w:r>
            <w:rPr>
              <w:rFonts w:hint="eastAsia" w:ascii="宋体" w:hAnsi="宋体" w:cs="宋体"/>
              <w:color w:val="auto"/>
            </w:rPr>
            <w:instrText xml:space="preserve"> PAGEREF _Toc24138 \h </w:instrText>
          </w:r>
          <w:r>
            <w:rPr>
              <w:rFonts w:hint="eastAsia" w:ascii="宋体" w:hAnsi="宋体" w:cs="宋体"/>
              <w:color w:val="auto"/>
            </w:rPr>
            <w:fldChar w:fldCharType="separate"/>
          </w:r>
          <w:r>
            <w:rPr>
              <w:rFonts w:hint="eastAsia" w:ascii="宋体" w:hAnsi="宋体" w:cs="宋体"/>
              <w:color w:val="auto"/>
            </w:rPr>
            <w:t>57</w:t>
          </w:r>
          <w:r>
            <w:rPr>
              <w:rFonts w:hint="eastAsia" w:ascii="宋体" w:hAnsi="宋体" w:cs="宋体"/>
              <w:color w:val="auto"/>
            </w:rPr>
            <w:fldChar w:fldCharType="end"/>
          </w:r>
          <w:r>
            <w:rPr>
              <w:rFonts w:hint="eastAsia" w:ascii="宋体" w:hAnsi="宋体" w:cs="宋体"/>
              <w:color w:val="auto"/>
            </w:rPr>
            <w:fldChar w:fldCharType="end"/>
          </w:r>
        </w:p>
        <w:p>
          <w:pPr>
            <w:ind w:firstLine="0" w:firstLineChars="0"/>
            <w:rPr>
              <w:rFonts w:ascii="宋体" w:hAnsi="宋体" w:cs="宋体"/>
              <w:color w:val="auto"/>
            </w:rPr>
          </w:pPr>
        </w:p>
        <w:p>
          <w:pPr>
            <w:ind w:firstLine="0" w:firstLineChars="0"/>
            <w:rPr>
              <w:rFonts w:ascii="宋体" w:hAnsi="宋体" w:cs="宋体"/>
              <w:b/>
              <w:bCs/>
              <w:color w:val="auto"/>
            </w:rPr>
          </w:pPr>
          <w:r>
            <w:rPr>
              <w:rFonts w:hint="eastAsia" w:ascii="宋体" w:hAnsi="宋体" w:cs="宋体"/>
              <w:color w:val="auto"/>
            </w:rPr>
            <w:fldChar w:fldCharType="end"/>
          </w:r>
          <w:r>
            <w:rPr>
              <w:rFonts w:hint="eastAsia" w:ascii="宋体" w:hAnsi="宋体" w:cs="宋体"/>
              <w:b/>
              <w:bCs/>
              <w:color w:val="auto"/>
            </w:rPr>
            <w:t>附件：</w:t>
          </w:r>
        </w:p>
        <w:p>
          <w:pPr>
            <w:ind w:firstLine="0" w:firstLineChars="0"/>
            <w:rPr>
              <w:rFonts w:ascii="宋体" w:hAnsi="宋体" w:cs="宋体"/>
              <w:color w:val="auto"/>
            </w:rPr>
          </w:pPr>
          <w:r>
            <w:rPr>
              <w:rFonts w:hint="eastAsia" w:ascii="宋体" w:hAnsi="宋体" w:cs="宋体"/>
              <w:color w:val="auto"/>
            </w:rPr>
            <w:t>附件1、委托书</w:t>
          </w:r>
        </w:p>
        <w:p>
          <w:pPr>
            <w:ind w:firstLine="0" w:firstLineChars="0"/>
            <w:rPr>
              <w:rFonts w:ascii="宋体" w:hAnsi="宋体" w:cs="宋体"/>
              <w:color w:val="auto"/>
            </w:rPr>
          </w:pPr>
          <w:r>
            <w:rPr>
              <w:rFonts w:hint="eastAsia" w:ascii="宋体" w:hAnsi="宋体" w:cs="宋体"/>
              <w:color w:val="auto"/>
            </w:rPr>
            <w:t>附件2、营业执照</w:t>
          </w:r>
        </w:p>
        <w:p>
          <w:pPr>
            <w:ind w:firstLine="0" w:firstLineChars="0"/>
            <w:rPr>
              <w:rFonts w:ascii="宋体" w:hAnsi="宋体" w:cs="宋体"/>
              <w:color w:val="auto"/>
            </w:rPr>
          </w:pPr>
          <w:r>
            <w:rPr>
              <w:rFonts w:hint="eastAsia" w:ascii="宋体" w:hAnsi="宋体" w:cs="宋体"/>
              <w:color w:val="auto"/>
            </w:rPr>
            <w:t>附件3、</w:t>
          </w:r>
          <w:r>
            <w:rPr>
              <w:rFonts w:hint="eastAsia" w:ascii="宋体" w:hAnsi="宋体" w:cs="宋体"/>
              <w:color w:val="auto"/>
              <w:lang w:val="en-US" w:eastAsia="zh-CN"/>
            </w:rPr>
            <w:t>土地</w:t>
          </w:r>
          <w:r>
            <w:rPr>
              <w:rFonts w:hint="eastAsia" w:ascii="宋体" w:hAnsi="宋体" w:cs="宋体"/>
              <w:color w:val="auto"/>
            </w:rPr>
            <w:t>证</w:t>
          </w:r>
        </w:p>
        <w:p>
          <w:pPr>
            <w:ind w:firstLine="0" w:firstLineChars="0"/>
            <w:rPr>
              <w:rFonts w:ascii="宋体" w:hAnsi="宋体" w:cs="宋体"/>
              <w:color w:val="auto"/>
            </w:rPr>
          </w:pPr>
          <w:r>
            <w:rPr>
              <w:rFonts w:hint="eastAsia" w:ascii="宋体" w:hAnsi="宋体" w:cs="宋体"/>
              <w:color w:val="auto"/>
            </w:rPr>
            <w:t>附件4、经济指标纳入园区管理情况说明</w:t>
          </w:r>
        </w:p>
        <w:p>
          <w:pPr>
            <w:ind w:firstLine="0" w:firstLineChars="0"/>
            <w:rPr>
              <w:rFonts w:ascii="宋体" w:hAnsi="宋体" w:cs="宋体"/>
              <w:color w:val="auto"/>
            </w:rPr>
          </w:pPr>
          <w:r>
            <w:rPr>
              <w:rFonts w:hint="eastAsia" w:ascii="宋体" w:hAnsi="宋体" w:cs="宋体"/>
              <w:color w:val="auto"/>
            </w:rPr>
            <w:t>附件5、排污许可证正本</w:t>
          </w:r>
        </w:p>
        <w:p>
          <w:pPr>
            <w:ind w:firstLine="0" w:firstLineChars="0"/>
            <w:rPr>
              <w:rFonts w:ascii="宋体" w:hAnsi="宋体" w:cs="宋体"/>
              <w:color w:val="auto"/>
            </w:rPr>
          </w:pPr>
          <w:r>
            <w:rPr>
              <w:rFonts w:hint="eastAsia" w:ascii="宋体" w:hAnsi="宋体" w:cs="宋体"/>
              <w:color w:val="auto"/>
            </w:rPr>
            <w:t>附件6、危险废物委托处置服务协议书</w:t>
          </w:r>
        </w:p>
        <w:p>
          <w:pPr>
            <w:ind w:firstLine="0" w:firstLineChars="0"/>
            <w:rPr>
              <w:rFonts w:ascii="宋体" w:hAnsi="宋体" w:cs="宋体"/>
              <w:color w:val="auto"/>
            </w:rPr>
          </w:pPr>
          <w:r>
            <w:rPr>
              <w:rFonts w:hint="eastAsia" w:ascii="宋体" w:hAnsi="宋体" w:cs="宋体"/>
              <w:color w:val="auto"/>
            </w:rPr>
            <w:t>附件7、危险废物收集、贮存合同</w:t>
          </w:r>
        </w:p>
        <w:p>
          <w:pPr>
            <w:ind w:firstLine="0" w:firstLineChars="0"/>
            <w:rPr>
              <w:rFonts w:ascii="宋体" w:hAnsi="宋体" w:cs="宋体"/>
              <w:color w:val="auto"/>
            </w:rPr>
          </w:pPr>
          <w:r>
            <w:rPr>
              <w:rFonts w:hint="eastAsia" w:ascii="宋体" w:hAnsi="宋体" w:cs="宋体"/>
              <w:color w:val="auto"/>
            </w:rPr>
            <w:t>附件8、原有项目环评批复、验收意见</w:t>
          </w:r>
        </w:p>
        <w:p>
          <w:pPr>
            <w:ind w:firstLine="0" w:firstLineChars="0"/>
            <w:rPr>
              <w:rFonts w:ascii="宋体" w:hAnsi="宋体" w:cs="宋体"/>
              <w:color w:val="auto"/>
            </w:rPr>
          </w:pPr>
          <w:r>
            <w:rPr>
              <w:rFonts w:hint="eastAsia" w:ascii="宋体" w:hAnsi="宋体" w:cs="宋体"/>
              <w:color w:val="auto"/>
            </w:rPr>
            <w:t>附件9、昆明红海磷肥有限责任公司2023年自行监测（10月）检测报告</w:t>
          </w:r>
        </w:p>
        <w:p>
          <w:pPr>
            <w:ind w:firstLine="0" w:firstLineChars="0"/>
            <w:rPr>
              <w:rFonts w:ascii="宋体" w:hAnsi="宋体" w:cs="宋体"/>
              <w:color w:val="auto"/>
            </w:rPr>
          </w:pPr>
          <w:r>
            <w:rPr>
              <w:rFonts w:hint="eastAsia" w:ascii="宋体" w:hAnsi="宋体" w:cs="宋体"/>
              <w:color w:val="auto"/>
            </w:rPr>
            <w:t>附件10、环境质量现状监测报告</w:t>
          </w:r>
        </w:p>
        <w:p>
          <w:pPr>
            <w:ind w:firstLine="0" w:firstLineChars="0"/>
            <w:rPr>
              <w:rFonts w:ascii="宋体" w:hAnsi="宋体" w:cs="宋体"/>
              <w:color w:val="auto"/>
            </w:rPr>
          </w:pPr>
          <w:r>
            <w:rPr>
              <w:rFonts w:hint="eastAsia" w:ascii="宋体" w:hAnsi="宋体" w:cs="宋体"/>
              <w:color w:val="auto"/>
            </w:rPr>
            <w:t>附件11、硫酸亚铁除杂废渣浸出毒性检验报告</w:t>
          </w:r>
        </w:p>
        <w:p>
          <w:pPr>
            <w:ind w:firstLine="0" w:firstLineChars="0"/>
            <w:rPr>
              <w:rFonts w:hint="eastAsia" w:ascii="宋体" w:hAnsi="宋体" w:cs="宋体"/>
              <w:color w:val="auto"/>
            </w:rPr>
          </w:pPr>
          <w:r>
            <w:rPr>
              <w:rFonts w:hint="eastAsia" w:ascii="宋体" w:hAnsi="宋体" w:cs="宋体"/>
              <w:color w:val="auto"/>
            </w:rPr>
            <w:t>附件12、中水除杂废渣浸出毒性检验报告</w:t>
          </w:r>
        </w:p>
        <w:p>
          <w:pPr>
            <w:ind w:firstLine="0" w:firstLineChars="0"/>
            <w:rPr>
              <w:rFonts w:hint="eastAsia" w:ascii="宋体" w:hAnsi="宋体" w:cs="宋体"/>
              <w:color w:val="auto"/>
            </w:rPr>
          </w:pPr>
          <w:r>
            <w:rPr>
              <w:rFonts w:hint="eastAsia" w:ascii="宋体" w:hAnsi="宋体" w:cs="宋体"/>
              <w:color w:val="auto"/>
            </w:rPr>
            <w:t>附件1</w:t>
          </w:r>
          <w:r>
            <w:rPr>
              <w:rFonts w:hint="eastAsia" w:ascii="宋体" w:hAnsi="宋体" w:cs="宋体"/>
              <w:color w:val="auto"/>
              <w:lang w:val="en-US" w:eastAsia="zh-CN"/>
            </w:rPr>
            <w:t>3</w:t>
          </w:r>
          <w:r>
            <w:rPr>
              <w:rFonts w:hint="eastAsia" w:ascii="宋体" w:hAnsi="宋体" w:cs="宋体"/>
              <w:color w:val="auto"/>
            </w:rPr>
            <w:t>、废渣检验报告</w:t>
          </w:r>
        </w:p>
        <w:p>
          <w:pPr>
            <w:ind w:firstLine="0" w:firstLineChars="0"/>
            <w:rPr>
              <w:rFonts w:hint="eastAsia" w:ascii="宋体" w:hAnsi="宋体" w:cs="宋体"/>
              <w:color w:val="auto"/>
            </w:rPr>
          </w:pPr>
          <w:r>
            <w:rPr>
              <w:rFonts w:hint="eastAsia" w:ascii="宋体" w:hAnsi="宋体" w:cs="宋体"/>
              <w:color w:val="auto"/>
            </w:rPr>
            <w:t>附件1</w:t>
          </w:r>
          <w:r>
            <w:rPr>
              <w:rFonts w:hint="eastAsia" w:ascii="宋体" w:hAnsi="宋体" w:cs="宋体"/>
              <w:color w:val="auto"/>
              <w:lang w:val="en-US" w:eastAsia="zh-CN"/>
            </w:rPr>
            <w:t>4</w:t>
          </w:r>
          <w:r>
            <w:rPr>
              <w:rFonts w:hint="eastAsia" w:ascii="宋体" w:hAnsi="宋体" w:cs="宋体"/>
              <w:color w:val="auto"/>
            </w:rPr>
            <w:t>、磷膏粉混料检验报告</w:t>
          </w:r>
        </w:p>
        <w:p>
          <w:pPr>
            <w:ind w:firstLine="0" w:firstLineChars="0"/>
            <w:rPr>
              <w:rFonts w:hint="eastAsia" w:ascii="宋体" w:hAnsi="宋体" w:cs="宋体"/>
              <w:color w:val="auto"/>
            </w:rPr>
          </w:pPr>
          <w:r>
            <w:rPr>
              <w:rFonts w:hint="eastAsia" w:ascii="宋体" w:hAnsi="宋体" w:cs="宋体"/>
              <w:color w:val="auto"/>
            </w:rPr>
            <w:t>附件1</w:t>
          </w:r>
          <w:r>
            <w:rPr>
              <w:rFonts w:hint="eastAsia" w:ascii="宋体" w:hAnsi="宋体" w:cs="宋体"/>
              <w:color w:val="auto"/>
              <w:lang w:val="en-US" w:eastAsia="zh-CN"/>
            </w:rPr>
            <w:t>5</w:t>
          </w:r>
          <w:r>
            <w:rPr>
              <w:rFonts w:hint="eastAsia" w:ascii="宋体" w:hAnsi="宋体" w:cs="宋体"/>
              <w:color w:val="auto"/>
            </w:rPr>
            <w:t>、黄磷渣Ⅲ检验报告</w:t>
          </w:r>
        </w:p>
        <w:p>
          <w:pPr>
            <w:ind w:firstLine="0" w:firstLineChars="0"/>
            <w:rPr>
              <w:rFonts w:hint="eastAsia" w:ascii="宋体" w:hAnsi="宋体" w:cs="宋体"/>
              <w:color w:val="auto"/>
            </w:rPr>
          </w:pPr>
          <w:r>
            <w:rPr>
              <w:rFonts w:hint="eastAsia" w:ascii="宋体" w:hAnsi="宋体" w:cs="宋体"/>
              <w:color w:val="auto"/>
            </w:rPr>
            <w:t>附件1</w:t>
          </w:r>
          <w:r>
            <w:rPr>
              <w:rFonts w:hint="eastAsia" w:ascii="宋体" w:hAnsi="宋体" w:cs="宋体"/>
              <w:color w:val="auto"/>
              <w:lang w:val="en-US" w:eastAsia="zh-CN"/>
            </w:rPr>
            <w:t>6</w:t>
          </w:r>
          <w:r>
            <w:rPr>
              <w:rFonts w:hint="eastAsia" w:ascii="宋体" w:hAnsi="宋体" w:cs="宋体"/>
              <w:color w:val="auto"/>
            </w:rPr>
            <w:t>、富钙镁磷矿检验报告</w:t>
          </w:r>
        </w:p>
        <w:p>
          <w:pPr>
            <w:ind w:firstLine="0" w:firstLineChars="0"/>
            <w:rPr>
              <w:rFonts w:hint="eastAsia" w:ascii="宋体" w:hAnsi="宋体" w:cs="宋体"/>
              <w:color w:val="auto"/>
            </w:rPr>
          </w:pPr>
          <w:r>
            <w:rPr>
              <w:rFonts w:hint="eastAsia" w:ascii="宋体" w:hAnsi="宋体" w:cs="宋体"/>
              <w:color w:val="auto"/>
            </w:rPr>
            <w:t>附件1</w:t>
          </w:r>
          <w:r>
            <w:rPr>
              <w:rFonts w:hint="eastAsia" w:ascii="宋体" w:hAnsi="宋体" w:cs="宋体"/>
              <w:color w:val="auto"/>
              <w:lang w:val="en-US" w:eastAsia="zh-CN"/>
            </w:rPr>
            <w:t>7</w:t>
          </w:r>
          <w:r>
            <w:rPr>
              <w:rFonts w:hint="eastAsia" w:ascii="宋体" w:hAnsi="宋体" w:cs="宋体"/>
              <w:color w:val="auto"/>
            </w:rPr>
            <w:t>、煤成份分析报告</w:t>
          </w:r>
        </w:p>
        <w:p>
          <w:pPr>
            <w:ind w:firstLine="0" w:firstLineChars="0"/>
            <w:rPr>
              <w:rFonts w:ascii="宋体" w:hAnsi="宋体" w:cs="宋体"/>
              <w:b/>
              <w:bCs/>
              <w:color w:val="auto"/>
            </w:rPr>
          </w:pPr>
          <w:r>
            <w:rPr>
              <w:rFonts w:hint="eastAsia" w:ascii="宋体" w:hAnsi="宋体" w:cs="宋体"/>
              <w:b/>
              <w:bCs/>
              <w:color w:val="auto"/>
            </w:rPr>
            <w:t>附图：</w:t>
          </w:r>
        </w:p>
        <w:p>
          <w:pPr>
            <w:ind w:firstLine="0" w:firstLineChars="0"/>
            <w:rPr>
              <w:rFonts w:ascii="宋体" w:hAnsi="宋体" w:cs="宋体"/>
              <w:color w:val="auto"/>
            </w:rPr>
          </w:pPr>
          <w:r>
            <w:rPr>
              <w:rFonts w:hint="eastAsia" w:ascii="宋体" w:hAnsi="宋体" w:cs="宋体"/>
              <w:color w:val="auto"/>
            </w:rPr>
            <w:t>附图1、项目地理位置图</w:t>
          </w:r>
        </w:p>
        <w:p>
          <w:pPr>
            <w:ind w:firstLine="0" w:firstLineChars="0"/>
            <w:rPr>
              <w:rFonts w:ascii="宋体" w:hAnsi="宋体" w:cs="宋体"/>
              <w:color w:val="auto"/>
            </w:rPr>
          </w:pPr>
          <w:r>
            <w:rPr>
              <w:rFonts w:hint="eastAsia" w:ascii="宋体" w:hAnsi="宋体" w:cs="宋体"/>
              <w:color w:val="auto"/>
            </w:rPr>
            <w:t>附图2、项目区域水系图</w:t>
          </w:r>
        </w:p>
        <w:p>
          <w:pPr>
            <w:ind w:firstLine="0" w:firstLineChars="0"/>
            <w:rPr>
              <w:rFonts w:ascii="宋体" w:hAnsi="宋体" w:cs="宋体"/>
              <w:color w:val="auto"/>
            </w:rPr>
          </w:pPr>
          <w:r>
            <w:rPr>
              <w:rFonts w:hint="eastAsia" w:ascii="宋体" w:hAnsi="宋体" w:cs="宋体"/>
              <w:color w:val="auto"/>
            </w:rPr>
            <w:t>附图3、项目区总平面布置图</w:t>
          </w:r>
        </w:p>
        <w:p>
          <w:pPr>
            <w:ind w:firstLine="0" w:firstLineChars="0"/>
            <w:rPr>
              <w:rFonts w:ascii="宋体" w:hAnsi="宋体" w:cs="宋体"/>
              <w:color w:val="auto"/>
            </w:rPr>
          </w:pPr>
          <w:r>
            <w:rPr>
              <w:rFonts w:hint="eastAsia" w:ascii="宋体" w:hAnsi="宋体" w:cs="宋体"/>
              <w:color w:val="auto"/>
            </w:rPr>
            <w:t>附图4、现状监测布点图</w:t>
          </w:r>
        </w:p>
        <w:p>
          <w:pPr>
            <w:ind w:firstLine="0" w:firstLineChars="0"/>
            <w:rPr>
              <w:rFonts w:hint="eastAsia" w:ascii="宋体" w:hAnsi="宋体" w:cs="宋体"/>
              <w:color w:val="auto"/>
            </w:rPr>
          </w:pPr>
          <w:r>
            <w:rPr>
              <w:rFonts w:hint="eastAsia" w:ascii="宋体" w:hAnsi="宋体" w:cs="宋体"/>
              <w:color w:val="auto"/>
            </w:rPr>
            <w:t>附图5、项目所在地声环境功能区划图</w:t>
          </w:r>
        </w:p>
        <w:p>
          <w:pPr>
            <w:ind w:firstLine="0" w:firstLineChars="0"/>
            <w:rPr>
              <w:rFonts w:hint="default" w:ascii="宋体" w:hAnsi="宋体" w:eastAsia="宋体" w:cs="宋体"/>
              <w:color w:val="auto"/>
              <w:lang w:val="en-US" w:eastAsia="zh-CN"/>
            </w:rPr>
          </w:pPr>
          <w:r>
            <w:rPr>
              <w:rFonts w:hint="eastAsia" w:ascii="宋体" w:hAnsi="宋体" w:cs="宋体"/>
              <w:color w:val="auto"/>
            </w:rPr>
            <w:t>附图</w:t>
          </w:r>
          <w:r>
            <w:rPr>
              <w:rFonts w:hint="eastAsia" w:ascii="宋体" w:hAnsi="宋体" w:cs="宋体"/>
              <w:color w:val="auto"/>
              <w:lang w:val="en-US" w:eastAsia="zh-CN"/>
            </w:rPr>
            <w:t>6</w:t>
          </w:r>
          <w:r>
            <w:rPr>
              <w:rFonts w:hint="eastAsia" w:ascii="宋体" w:hAnsi="宋体" w:cs="宋体"/>
              <w:color w:val="auto"/>
            </w:rPr>
            <w:t>、</w:t>
          </w:r>
          <w:r>
            <w:rPr>
              <w:rFonts w:hint="eastAsia" w:ascii="宋体" w:hAnsi="宋体" w:cs="宋体"/>
              <w:color w:val="auto"/>
              <w:lang w:val="en-US" w:eastAsia="zh-CN"/>
            </w:rPr>
            <w:t>项目周边关系图</w:t>
          </w:r>
        </w:p>
        <w:p>
          <w:pPr>
            <w:ind w:firstLine="0" w:firstLineChars="0"/>
            <w:rPr>
              <w:rFonts w:ascii="宋体" w:hAnsi="宋体" w:cs="宋体"/>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567" w:right="1531" w:bottom="567" w:left="1531" w:header="851" w:footer="850" w:gutter="0"/>
              <w:pgNumType w:start="1"/>
              <w:cols w:space="720" w:num="1"/>
              <w:docGrid w:linePitch="312" w:charSpace="0"/>
            </w:sectPr>
          </w:pPr>
        </w:p>
      </w:sdtContent>
    </w:sdt>
    <w:p>
      <w:pPr>
        <w:pStyle w:val="2"/>
        <w:spacing w:after="240"/>
        <w:jc w:val="left"/>
        <w:rPr>
          <w:color w:val="auto"/>
        </w:rPr>
      </w:pPr>
      <w:bookmarkStart w:id="1" w:name="_Toc3188"/>
      <w:r>
        <w:rPr>
          <w:rFonts w:hint="eastAsia"/>
          <w:color w:val="auto"/>
        </w:rPr>
        <w:t>一、建设项目基本情况</w:t>
      </w:r>
      <w:bookmarkEnd w:id="1"/>
    </w:p>
    <w:tbl>
      <w:tblPr>
        <w:tblStyle w:val="10"/>
        <w:tblW w:w="887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724"/>
        <w:gridCol w:w="2510"/>
        <w:gridCol w:w="2038"/>
        <w:gridCol w:w="259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72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建设项目名称</w:t>
            </w:r>
          </w:p>
        </w:tc>
        <w:tc>
          <w:tcPr>
            <w:tcW w:w="7146" w:type="dxa"/>
            <w:gridSpan w:val="3"/>
            <w:vAlign w:val="center"/>
          </w:tcPr>
          <w:p>
            <w:pPr>
              <w:autoSpaceDE w:val="0"/>
              <w:autoSpaceDN w:val="0"/>
              <w:adjustRightInd w:val="0"/>
              <w:snapToGrid w:val="0"/>
              <w:spacing w:line="240" w:lineRule="auto"/>
              <w:ind w:firstLine="0" w:firstLineChars="0"/>
              <w:jc w:val="center"/>
              <w:rPr>
                <w:rFonts w:hint="eastAsia" w:eastAsia="宋体"/>
                <w:color w:val="auto"/>
                <w:lang w:eastAsia="zh-CN"/>
              </w:rPr>
            </w:pPr>
            <w:r>
              <w:rPr>
                <w:rFonts w:hint="eastAsia"/>
                <w:color w:val="auto"/>
                <w:lang w:eastAsia="zh-CN"/>
              </w:rPr>
              <w:t>一般工业固废综合利用项目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72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项目代码</w:t>
            </w:r>
          </w:p>
        </w:tc>
        <w:tc>
          <w:tcPr>
            <w:tcW w:w="7146" w:type="dxa"/>
            <w:gridSpan w:val="3"/>
            <w:vAlign w:val="center"/>
          </w:tcPr>
          <w:p>
            <w:pPr>
              <w:autoSpaceDE w:val="0"/>
              <w:autoSpaceDN w:val="0"/>
              <w:adjustRightInd w:val="0"/>
              <w:snapToGrid w:val="0"/>
              <w:spacing w:line="240" w:lineRule="auto"/>
              <w:ind w:firstLine="0" w:firstLineChars="0"/>
              <w:jc w:val="center"/>
              <w:rPr>
                <w:color w:val="auto"/>
              </w:rPr>
            </w:pP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72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建设单位联系人</w:t>
            </w:r>
          </w:p>
        </w:tc>
        <w:tc>
          <w:tcPr>
            <w:tcW w:w="2510" w:type="dxa"/>
            <w:vAlign w:val="center"/>
          </w:tcPr>
          <w:p>
            <w:pPr>
              <w:autoSpaceDE w:val="0"/>
              <w:autoSpaceDN w:val="0"/>
              <w:adjustRightInd w:val="0"/>
              <w:snapToGrid w:val="0"/>
              <w:spacing w:line="240" w:lineRule="auto"/>
              <w:ind w:firstLine="0" w:firstLineChars="0"/>
              <w:jc w:val="center"/>
              <w:rPr>
                <w:color w:val="auto"/>
              </w:rPr>
            </w:pPr>
          </w:p>
        </w:tc>
        <w:tc>
          <w:tcPr>
            <w:tcW w:w="2038" w:type="dxa"/>
            <w:vAlign w:val="center"/>
          </w:tcPr>
          <w:p>
            <w:pPr>
              <w:autoSpaceDE w:val="0"/>
              <w:autoSpaceDN w:val="0"/>
              <w:adjustRightInd w:val="0"/>
              <w:snapToGrid w:val="0"/>
              <w:spacing w:line="240" w:lineRule="auto"/>
              <w:ind w:firstLine="0" w:firstLineChars="0"/>
              <w:jc w:val="center"/>
              <w:rPr>
                <w:color w:val="auto"/>
              </w:rPr>
            </w:pPr>
            <w:r>
              <w:rPr>
                <w:color w:val="auto"/>
              </w:rPr>
              <w:t>联系方式</w:t>
            </w:r>
          </w:p>
        </w:tc>
        <w:tc>
          <w:tcPr>
            <w:tcW w:w="2598" w:type="dxa"/>
            <w:vAlign w:val="center"/>
          </w:tcPr>
          <w:p>
            <w:pPr>
              <w:autoSpaceDE w:val="0"/>
              <w:autoSpaceDN w:val="0"/>
              <w:adjustRightInd w:val="0"/>
              <w:snapToGrid w:val="0"/>
              <w:spacing w:line="240" w:lineRule="auto"/>
              <w:ind w:firstLine="0" w:firstLineChars="0"/>
              <w:jc w:val="center"/>
              <w:rPr>
                <w:color w:val="auto"/>
              </w:rPr>
            </w:pPr>
            <w:bookmarkStart w:id="15" w:name="_GoBack"/>
            <w:bookmarkEnd w:id="1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72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建设地点</w:t>
            </w:r>
          </w:p>
        </w:tc>
        <w:tc>
          <w:tcPr>
            <w:tcW w:w="7146" w:type="dxa"/>
            <w:gridSpan w:val="3"/>
            <w:vAlign w:val="center"/>
          </w:tcPr>
          <w:p>
            <w:pPr>
              <w:autoSpaceDE w:val="0"/>
              <w:autoSpaceDN w:val="0"/>
              <w:adjustRightInd w:val="0"/>
              <w:snapToGrid w:val="0"/>
              <w:spacing w:line="240" w:lineRule="auto"/>
              <w:ind w:firstLine="0" w:firstLineChars="0"/>
              <w:jc w:val="center"/>
              <w:rPr>
                <w:color w:val="auto"/>
              </w:rPr>
            </w:pPr>
            <w:r>
              <w:rPr>
                <w:rFonts w:hint="eastAsia"/>
                <w:color w:val="auto"/>
                <w:u w:val="single"/>
              </w:rPr>
              <w:t xml:space="preserve"> </w:t>
            </w:r>
            <w:r>
              <w:rPr>
                <w:color w:val="auto"/>
                <w:u w:val="single"/>
              </w:rPr>
              <w:t>云南</w:t>
            </w:r>
            <w:r>
              <w:rPr>
                <w:rFonts w:hint="eastAsia"/>
                <w:color w:val="auto"/>
                <w:u w:val="single"/>
              </w:rPr>
              <w:t xml:space="preserve"> </w:t>
            </w:r>
            <w:r>
              <w:rPr>
                <w:color w:val="auto"/>
              </w:rPr>
              <w:t>省</w:t>
            </w:r>
            <w:r>
              <w:rPr>
                <w:rFonts w:hint="eastAsia"/>
                <w:color w:val="auto"/>
                <w:u w:val="single"/>
              </w:rPr>
              <w:t xml:space="preserve"> 昆明 </w:t>
            </w:r>
            <w:r>
              <w:rPr>
                <w:color w:val="auto"/>
              </w:rPr>
              <w:t>市</w:t>
            </w:r>
            <w:r>
              <w:rPr>
                <w:rFonts w:hint="eastAsia"/>
                <w:color w:val="auto"/>
                <w:u w:val="single"/>
              </w:rPr>
              <w:t xml:space="preserve"> 晋宁 </w:t>
            </w:r>
            <w:r>
              <w:rPr>
                <w:rFonts w:hint="eastAsia"/>
                <w:color w:val="auto"/>
              </w:rPr>
              <w:t>区</w:t>
            </w:r>
            <w:r>
              <w:rPr>
                <w:rFonts w:hint="eastAsia"/>
                <w:color w:val="auto"/>
                <w:u w:val="single"/>
              </w:rPr>
              <w:t xml:space="preserve"> 上蒜镇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72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地理坐标</w:t>
            </w:r>
          </w:p>
        </w:tc>
        <w:tc>
          <w:tcPr>
            <w:tcW w:w="7146" w:type="dxa"/>
            <w:gridSpan w:val="3"/>
            <w:vAlign w:val="center"/>
          </w:tcPr>
          <w:p>
            <w:pPr>
              <w:autoSpaceDE w:val="0"/>
              <w:autoSpaceDN w:val="0"/>
              <w:adjustRightInd w:val="0"/>
              <w:snapToGrid w:val="0"/>
              <w:spacing w:line="240" w:lineRule="auto"/>
              <w:ind w:firstLine="0" w:firstLineChars="0"/>
              <w:jc w:val="center"/>
              <w:rPr>
                <w:color w:val="auto"/>
              </w:rPr>
            </w:pPr>
            <w:r>
              <w:rPr>
                <w:color w:val="auto"/>
              </w:rPr>
              <w:t>（东经</w:t>
            </w:r>
            <w:r>
              <w:rPr>
                <w:rFonts w:hint="eastAsia"/>
                <w:color w:val="auto"/>
                <w:u w:val="single"/>
              </w:rPr>
              <w:t xml:space="preserve"> </w:t>
            </w:r>
            <w:r>
              <w:rPr>
                <w:color w:val="auto"/>
                <w:u w:val="single"/>
              </w:rPr>
              <w:t>10</w:t>
            </w:r>
            <w:r>
              <w:rPr>
                <w:rFonts w:hint="eastAsia"/>
                <w:color w:val="auto"/>
                <w:u w:val="single"/>
              </w:rPr>
              <w:t xml:space="preserve">2 </w:t>
            </w:r>
            <w:r>
              <w:rPr>
                <w:color w:val="auto"/>
              </w:rPr>
              <w:t>度</w:t>
            </w:r>
            <w:r>
              <w:rPr>
                <w:rFonts w:hint="eastAsia"/>
                <w:color w:val="auto"/>
                <w:u w:val="single"/>
              </w:rPr>
              <w:t xml:space="preserve"> 40 </w:t>
            </w:r>
            <w:r>
              <w:rPr>
                <w:color w:val="auto"/>
              </w:rPr>
              <w:t>分</w:t>
            </w:r>
            <w:r>
              <w:rPr>
                <w:rFonts w:hint="eastAsia"/>
                <w:color w:val="auto"/>
                <w:u w:val="single"/>
              </w:rPr>
              <w:t xml:space="preserve"> 57.956 </w:t>
            </w:r>
            <w:r>
              <w:rPr>
                <w:color w:val="auto"/>
              </w:rPr>
              <w:t>秒，北纬</w:t>
            </w:r>
            <w:r>
              <w:rPr>
                <w:rFonts w:hint="eastAsia"/>
                <w:color w:val="auto"/>
                <w:u w:val="single"/>
              </w:rPr>
              <w:t xml:space="preserve"> </w:t>
            </w:r>
            <w:r>
              <w:rPr>
                <w:color w:val="auto"/>
                <w:u w:val="single"/>
              </w:rPr>
              <w:t>2</w:t>
            </w:r>
            <w:r>
              <w:rPr>
                <w:rFonts w:hint="eastAsia"/>
                <w:color w:val="auto"/>
                <w:u w:val="single"/>
              </w:rPr>
              <w:t xml:space="preserve">4 </w:t>
            </w:r>
            <w:r>
              <w:rPr>
                <w:color w:val="auto"/>
              </w:rPr>
              <w:t>度</w:t>
            </w:r>
            <w:r>
              <w:rPr>
                <w:rFonts w:hint="eastAsia"/>
                <w:color w:val="auto"/>
                <w:u w:val="single"/>
              </w:rPr>
              <w:t xml:space="preserve"> 39 </w:t>
            </w:r>
            <w:r>
              <w:rPr>
                <w:color w:val="auto"/>
              </w:rPr>
              <w:t>分</w:t>
            </w:r>
            <w:r>
              <w:rPr>
                <w:rFonts w:hint="eastAsia"/>
                <w:color w:val="auto"/>
                <w:u w:val="single"/>
              </w:rPr>
              <w:t xml:space="preserve"> 49.494 </w:t>
            </w:r>
            <w:r>
              <w:rPr>
                <w:color w:val="auto"/>
              </w:rPr>
              <w:t>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561" w:hRule="atLeast"/>
          <w:jc w:val="center"/>
        </w:trPr>
        <w:tc>
          <w:tcPr>
            <w:tcW w:w="172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国民经济</w:t>
            </w:r>
          </w:p>
          <w:p>
            <w:pPr>
              <w:autoSpaceDE w:val="0"/>
              <w:autoSpaceDN w:val="0"/>
              <w:adjustRightInd w:val="0"/>
              <w:snapToGrid w:val="0"/>
              <w:spacing w:line="240" w:lineRule="auto"/>
              <w:ind w:firstLine="0" w:firstLineChars="0"/>
              <w:jc w:val="center"/>
              <w:rPr>
                <w:color w:val="auto"/>
              </w:rPr>
            </w:pPr>
            <w:r>
              <w:rPr>
                <w:color w:val="auto"/>
              </w:rPr>
              <w:t>行业类别</w:t>
            </w:r>
          </w:p>
        </w:tc>
        <w:tc>
          <w:tcPr>
            <w:tcW w:w="2510" w:type="dxa"/>
            <w:vAlign w:val="center"/>
          </w:tcPr>
          <w:p>
            <w:pPr>
              <w:autoSpaceDE w:val="0"/>
              <w:autoSpaceDN w:val="0"/>
              <w:adjustRightInd w:val="0"/>
              <w:snapToGrid w:val="0"/>
              <w:spacing w:line="240" w:lineRule="auto"/>
              <w:ind w:firstLine="0" w:firstLineChars="0"/>
              <w:jc w:val="center"/>
              <w:rPr>
                <w:color w:val="auto"/>
              </w:rPr>
            </w:pPr>
            <w:r>
              <w:rPr>
                <w:rFonts w:hint="eastAsia"/>
                <w:color w:val="auto"/>
              </w:rPr>
              <w:t>固体废物治理（N7723）</w:t>
            </w:r>
          </w:p>
        </w:tc>
        <w:tc>
          <w:tcPr>
            <w:tcW w:w="2038" w:type="dxa"/>
            <w:vAlign w:val="center"/>
          </w:tcPr>
          <w:p>
            <w:pPr>
              <w:autoSpaceDE w:val="0"/>
              <w:autoSpaceDN w:val="0"/>
              <w:adjustRightInd w:val="0"/>
              <w:snapToGrid w:val="0"/>
              <w:spacing w:line="240" w:lineRule="auto"/>
              <w:ind w:firstLine="0" w:firstLineChars="0"/>
              <w:jc w:val="center"/>
              <w:rPr>
                <w:color w:val="auto"/>
              </w:rPr>
            </w:pPr>
            <w:bookmarkStart w:id="2" w:name="_Hlk49843745"/>
            <w:r>
              <w:rPr>
                <w:color w:val="auto"/>
              </w:rPr>
              <w:t>建设项目行业类别</w:t>
            </w:r>
            <w:bookmarkEnd w:id="2"/>
          </w:p>
        </w:tc>
        <w:tc>
          <w:tcPr>
            <w:tcW w:w="2598" w:type="dxa"/>
            <w:vAlign w:val="center"/>
          </w:tcPr>
          <w:p>
            <w:pPr>
              <w:autoSpaceDE w:val="0"/>
              <w:autoSpaceDN w:val="0"/>
              <w:adjustRightInd w:val="0"/>
              <w:snapToGrid w:val="0"/>
              <w:spacing w:line="240" w:lineRule="auto"/>
              <w:ind w:firstLine="0" w:firstLineChars="0"/>
              <w:jc w:val="center"/>
              <w:rPr>
                <w:color w:val="auto"/>
              </w:rPr>
            </w:pPr>
            <w:r>
              <w:rPr>
                <w:color w:val="auto"/>
              </w:rPr>
              <w:t>四十七、生态保护和环境治理业中103项：一般工业固体废物（含污水处理污泥）、建筑施工废弃物处置及综合利用中的“其他”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1219" w:hRule="atLeast"/>
          <w:jc w:val="center"/>
        </w:trPr>
        <w:tc>
          <w:tcPr>
            <w:tcW w:w="172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建设性质</w:t>
            </w:r>
          </w:p>
        </w:tc>
        <w:tc>
          <w:tcPr>
            <w:tcW w:w="2510" w:type="dxa"/>
            <w:vAlign w:val="center"/>
          </w:tcPr>
          <w:p>
            <w:pPr>
              <w:adjustRightInd w:val="0"/>
              <w:snapToGrid w:val="0"/>
              <w:spacing w:line="240" w:lineRule="auto"/>
              <w:ind w:firstLine="0" w:firstLineChars="0"/>
              <w:jc w:val="left"/>
              <w:rPr>
                <w:color w:val="auto"/>
                <w:kern w:val="21"/>
              </w:rPr>
            </w:pPr>
            <w:r>
              <w:rPr>
                <w:color w:val="auto"/>
                <w:kern w:val="21"/>
              </w:rPr>
              <w:sym w:font="Wingdings 2" w:char="00A3"/>
            </w:r>
            <w:r>
              <w:rPr>
                <w:color w:val="auto"/>
                <w:kern w:val="21"/>
              </w:rPr>
              <w:t>新建（迁建）</w:t>
            </w:r>
          </w:p>
          <w:p>
            <w:pPr>
              <w:adjustRightInd w:val="0"/>
              <w:snapToGrid w:val="0"/>
              <w:spacing w:line="240" w:lineRule="auto"/>
              <w:ind w:firstLine="0" w:firstLineChars="0"/>
              <w:jc w:val="left"/>
              <w:rPr>
                <w:color w:val="auto"/>
                <w:kern w:val="21"/>
              </w:rPr>
            </w:pPr>
            <w:r>
              <w:rPr>
                <w:color w:val="auto"/>
                <w:kern w:val="21"/>
              </w:rPr>
              <w:sym w:font="Wingdings 2" w:char="0052"/>
            </w:r>
            <w:r>
              <w:rPr>
                <w:color w:val="auto"/>
                <w:kern w:val="21"/>
              </w:rPr>
              <w:t>改建</w:t>
            </w:r>
          </w:p>
          <w:p>
            <w:pPr>
              <w:adjustRightInd w:val="0"/>
              <w:snapToGrid w:val="0"/>
              <w:spacing w:line="240" w:lineRule="auto"/>
              <w:ind w:firstLine="0" w:firstLineChars="0"/>
              <w:jc w:val="left"/>
              <w:rPr>
                <w:color w:val="auto"/>
                <w:kern w:val="21"/>
              </w:rPr>
            </w:pPr>
            <w:r>
              <w:rPr>
                <w:color w:val="auto"/>
                <w:kern w:val="21"/>
              </w:rPr>
              <w:sym w:font="Wingdings 2" w:char="00A3"/>
            </w:r>
            <w:r>
              <w:rPr>
                <w:color w:val="auto"/>
                <w:kern w:val="21"/>
              </w:rPr>
              <w:t>扩建</w:t>
            </w:r>
          </w:p>
          <w:p>
            <w:pPr>
              <w:autoSpaceDE w:val="0"/>
              <w:autoSpaceDN w:val="0"/>
              <w:adjustRightInd w:val="0"/>
              <w:snapToGrid w:val="0"/>
              <w:spacing w:line="240" w:lineRule="auto"/>
              <w:ind w:firstLine="0" w:firstLineChars="0"/>
              <w:jc w:val="left"/>
              <w:rPr>
                <w:color w:val="auto"/>
              </w:rPr>
            </w:pPr>
            <w:r>
              <w:rPr>
                <w:color w:val="auto"/>
                <w:kern w:val="21"/>
              </w:rPr>
              <w:sym w:font="Wingdings 2" w:char="00A3"/>
            </w:r>
            <w:r>
              <w:rPr>
                <w:color w:val="auto"/>
                <w:kern w:val="21"/>
              </w:rPr>
              <w:t>技术改造</w:t>
            </w:r>
          </w:p>
        </w:tc>
        <w:tc>
          <w:tcPr>
            <w:tcW w:w="2038" w:type="dxa"/>
            <w:vAlign w:val="center"/>
          </w:tcPr>
          <w:p>
            <w:pPr>
              <w:autoSpaceDE w:val="0"/>
              <w:autoSpaceDN w:val="0"/>
              <w:adjustRightInd w:val="0"/>
              <w:snapToGrid w:val="0"/>
              <w:spacing w:line="240" w:lineRule="auto"/>
              <w:ind w:firstLine="0" w:firstLineChars="0"/>
              <w:jc w:val="center"/>
              <w:rPr>
                <w:color w:val="auto"/>
              </w:rPr>
            </w:pPr>
            <w:r>
              <w:rPr>
                <w:color w:val="auto"/>
              </w:rPr>
              <w:t>建设项目</w:t>
            </w:r>
          </w:p>
          <w:p>
            <w:pPr>
              <w:autoSpaceDE w:val="0"/>
              <w:autoSpaceDN w:val="0"/>
              <w:adjustRightInd w:val="0"/>
              <w:snapToGrid w:val="0"/>
              <w:spacing w:line="240" w:lineRule="auto"/>
              <w:ind w:firstLine="0" w:firstLineChars="0"/>
              <w:jc w:val="center"/>
              <w:rPr>
                <w:color w:val="auto"/>
              </w:rPr>
            </w:pPr>
            <w:r>
              <w:rPr>
                <w:color w:val="auto"/>
              </w:rPr>
              <w:t>申报情形</w:t>
            </w:r>
          </w:p>
        </w:tc>
        <w:tc>
          <w:tcPr>
            <w:tcW w:w="2598" w:type="dxa"/>
            <w:vAlign w:val="center"/>
          </w:tcPr>
          <w:p>
            <w:pPr>
              <w:autoSpaceDE w:val="0"/>
              <w:autoSpaceDN w:val="0"/>
              <w:adjustRightInd w:val="0"/>
              <w:snapToGrid w:val="0"/>
              <w:spacing w:line="240" w:lineRule="auto"/>
              <w:ind w:firstLine="0" w:firstLineChars="0"/>
              <w:jc w:val="left"/>
              <w:rPr>
                <w:color w:val="auto"/>
              </w:rPr>
            </w:pPr>
            <w:r>
              <w:rPr>
                <w:color w:val="auto"/>
              </w:rPr>
              <w:sym w:font="Wingdings 2" w:char="0052"/>
            </w:r>
            <w:r>
              <w:rPr>
                <w:color w:val="auto"/>
              </w:rPr>
              <w:t xml:space="preserve">首次申报项目             </w:t>
            </w:r>
          </w:p>
          <w:p>
            <w:pPr>
              <w:autoSpaceDE w:val="0"/>
              <w:autoSpaceDN w:val="0"/>
              <w:adjustRightInd w:val="0"/>
              <w:snapToGrid w:val="0"/>
              <w:spacing w:line="240" w:lineRule="auto"/>
              <w:ind w:firstLine="0" w:firstLineChars="0"/>
              <w:jc w:val="left"/>
              <w:rPr>
                <w:color w:val="auto"/>
              </w:rPr>
            </w:pPr>
            <w:r>
              <w:rPr>
                <w:color w:val="auto"/>
                <w:kern w:val="21"/>
              </w:rPr>
              <w:sym w:font="Wingdings 2" w:char="00A3"/>
            </w:r>
            <w:r>
              <w:rPr>
                <w:color w:val="auto"/>
              </w:rPr>
              <w:t>不予批准后再次申报项目</w:t>
            </w:r>
          </w:p>
          <w:p>
            <w:pPr>
              <w:autoSpaceDE w:val="0"/>
              <w:autoSpaceDN w:val="0"/>
              <w:adjustRightInd w:val="0"/>
              <w:snapToGrid w:val="0"/>
              <w:spacing w:line="240" w:lineRule="auto"/>
              <w:ind w:firstLine="0" w:firstLineChars="0"/>
              <w:jc w:val="left"/>
              <w:rPr>
                <w:color w:val="auto"/>
              </w:rPr>
            </w:pPr>
            <w:r>
              <w:rPr>
                <w:color w:val="auto"/>
              </w:rPr>
              <w:sym w:font="Wingdings 2" w:char="00A3"/>
            </w:r>
            <w:r>
              <w:rPr>
                <w:color w:val="auto"/>
              </w:rPr>
              <w:t xml:space="preserve">超五年重新审核项目     </w:t>
            </w:r>
          </w:p>
          <w:p>
            <w:pPr>
              <w:autoSpaceDE w:val="0"/>
              <w:autoSpaceDN w:val="0"/>
              <w:adjustRightInd w:val="0"/>
              <w:snapToGrid w:val="0"/>
              <w:spacing w:line="240" w:lineRule="auto"/>
              <w:ind w:firstLine="0" w:firstLineChars="0"/>
              <w:jc w:val="left"/>
              <w:rPr>
                <w:color w:val="auto"/>
              </w:rPr>
            </w:pPr>
            <w:r>
              <w:rPr>
                <w:color w:val="auto"/>
                <w:kern w:val="21"/>
              </w:rPr>
              <w:sym w:font="Wingdings 2" w:char="00A3"/>
            </w:r>
            <w:r>
              <w:rPr>
                <w:color w:val="auto"/>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850" w:hRule="atLeast"/>
          <w:jc w:val="center"/>
        </w:trPr>
        <w:tc>
          <w:tcPr>
            <w:tcW w:w="172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项目审批（核准/</w:t>
            </w:r>
          </w:p>
          <w:p>
            <w:pPr>
              <w:autoSpaceDE w:val="0"/>
              <w:autoSpaceDN w:val="0"/>
              <w:adjustRightInd w:val="0"/>
              <w:snapToGrid w:val="0"/>
              <w:spacing w:line="240" w:lineRule="auto"/>
              <w:ind w:firstLine="0" w:firstLineChars="0"/>
              <w:jc w:val="center"/>
              <w:rPr>
                <w:color w:val="auto"/>
              </w:rPr>
            </w:pPr>
            <w:r>
              <w:rPr>
                <w:color w:val="auto"/>
              </w:rPr>
              <w:t>备案）部门（选填）</w:t>
            </w:r>
          </w:p>
        </w:tc>
        <w:tc>
          <w:tcPr>
            <w:tcW w:w="2510" w:type="dxa"/>
            <w:vAlign w:val="center"/>
          </w:tcPr>
          <w:p>
            <w:pPr>
              <w:autoSpaceDE w:val="0"/>
              <w:autoSpaceDN w:val="0"/>
              <w:adjustRightInd w:val="0"/>
              <w:snapToGrid w:val="0"/>
              <w:spacing w:line="240" w:lineRule="auto"/>
              <w:ind w:firstLine="0" w:firstLineChars="0"/>
              <w:jc w:val="center"/>
              <w:rPr>
                <w:color w:val="auto"/>
              </w:rPr>
            </w:pPr>
            <w:r>
              <w:rPr>
                <w:rFonts w:hint="eastAsia"/>
                <w:color w:val="auto"/>
              </w:rPr>
              <w:t>/</w:t>
            </w:r>
          </w:p>
        </w:tc>
        <w:tc>
          <w:tcPr>
            <w:tcW w:w="2038" w:type="dxa"/>
            <w:vAlign w:val="center"/>
          </w:tcPr>
          <w:p>
            <w:pPr>
              <w:autoSpaceDE w:val="0"/>
              <w:autoSpaceDN w:val="0"/>
              <w:adjustRightInd w:val="0"/>
              <w:snapToGrid w:val="0"/>
              <w:spacing w:line="240" w:lineRule="auto"/>
              <w:ind w:firstLine="0" w:firstLineChars="0"/>
              <w:jc w:val="center"/>
              <w:rPr>
                <w:color w:val="auto"/>
              </w:rPr>
            </w:pPr>
            <w:r>
              <w:rPr>
                <w:color w:val="auto"/>
              </w:rPr>
              <w:t>项目审批（核准/</w:t>
            </w:r>
          </w:p>
          <w:p>
            <w:pPr>
              <w:autoSpaceDE w:val="0"/>
              <w:autoSpaceDN w:val="0"/>
              <w:adjustRightInd w:val="0"/>
              <w:snapToGrid w:val="0"/>
              <w:spacing w:line="240" w:lineRule="auto"/>
              <w:ind w:firstLine="0" w:firstLineChars="0"/>
              <w:jc w:val="center"/>
              <w:rPr>
                <w:color w:val="auto"/>
              </w:rPr>
            </w:pPr>
            <w:r>
              <w:rPr>
                <w:color w:val="auto"/>
              </w:rPr>
              <w:t>备案）文号（选填）</w:t>
            </w:r>
          </w:p>
        </w:tc>
        <w:tc>
          <w:tcPr>
            <w:tcW w:w="2598" w:type="dxa"/>
            <w:vAlign w:val="center"/>
          </w:tcPr>
          <w:p>
            <w:pPr>
              <w:autoSpaceDE w:val="0"/>
              <w:autoSpaceDN w:val="0"/>
              <w:adjustRightInd w:val="0"/>
              <w:snapToGrid w:val="0"/>
              <w:spacing w:line="240" w:lineRule="auto"/>
              <w:ind w:firstLine="0" w:firstLineChars="0"/>
              <w:jc w:val="center"/>
              <w:rPr>
                <w:color w:val="auto"/>
              </w:rPr>
            </w:pP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72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总投资（万元）</w:t>
            </w:r>
          </w:p>
        </w:tc>
        <w:tc>
          <w:tcPr>
            <w:tcW w:w="2510" w:type="dxa"/>
            <w:vAlign w:val="center"/>
          </w:tcPr>
          <w:p>
            <w:pPr>
              <w:autoSpaceDE w:val="0"/>
              <w:autoSpaceDN w:val="0"/>
              <w:adjustRightInd w:val="0"/>
              <w:snapToGrid w:val="0"/>
              <w:spacing w:line="240" w:lineRule="auto"/>
              <w:ind w:firstLine="0" w:firstLineChars="0"/>
              <w:jc w:val="center"/>
              <w:rPr>
                <w:color w:val="auto"/>
              </w:rPr>
            </w:pPr>
            <w:r>
              <w:rPr>
                <w:rFonts w:hint="eastAsia"/>
                <w:color w:val="auto"/>
              </w:rPr>
              <w:t>50</w:t>
            </w:r>
          </w:p>
        </w:tc>
        <w:tc>
          <w:tcPr>
            <w:tcW w:w="2038"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环保投资（万元）</w:t>
            </w:r>
          </w:p>
        </w:tc>
        <w:tc>
          <w:tcPr>
            <w:tcW w:w="2598" w:type="dxa"/>
            <w:vAlign w:val="center"/>
          </w:tcPr>
          <w:p>
            <w:pPr>
              <w:autoSpaceDE w:val="0"/>
              <w:autoSpaceDN w:val="0"/>
              <w:adjustRightInd w:val="0"/>
              <w:snapToGrid w:val="0"/>
              <w:spacing w:line="240" w:lineRule="auto"/>
              <w:ind w:firstLine="0" w:firstLineChars="0"/>
              <w:jc w:val="center"/>
              <w:rPr>
                <w:color w:val="auto"/>
              </w:rPr>
            </w:pPr>
            <w:r>
              <w:rPr>
                <w:rFonts w:hint="eastAsia"/>
                <w:color w:val="auto"/>
              </w:rPr>
              <w:t>17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72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环保投资占比（%）</w:t>
            </w:r>
          </w:p>
        </w:tc>
        <w:tc>
          <w:tcPr>
            <w:tcW w:w="2510" w:type="dxa"/>
            <w:vAlign w:val="center"/>
          </w:tcPr>
          <w:p>
            <w:pPr>
              <w:autoSpaceDE w:val="0"/>
              <w:autoSpaceDN w:val="0"/>
              <w:adjustRightInd w:val="0"/>
              <w:snapToGrid w:val="0"/>
              <w:spacing w:line="240" w:lineRule="auto"/>
              <w:ind w:firstLine="0" w:firstLineChars="0"/>
              <w:jc w:val="center"/>
              <w:rPr>
                <w:color w:val="auto"/>
              </w:rPr>
            </w:pPr>
            <w:r>
              <w:rPr>
                <w:rFonts w:hint="eastAsia"/>
                <w:color w:val="auto"/>
              </w:rPr>
              <w:t>34</w:t>
            </w:r>
          </w:p>
        </w:tc>
        <w:tc>
          <w:tcPr>
            <w:tcW w:w="2038"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施工工期</w:t>
            </w:r>
          </w:p>
        </w:tc>
        <w:tc>
          <w:tcPr>
            <w:tcW w:w="2598" w:type="dxa"/>
            <w:vAlign w:val="center"/>
          </w:tcPr>
          <w:p>
            <w:pPr>
              <w:autoSpaceDE w:val="0"/>
              <w:autoSpaceDN w:val="0"/>
              <w:adjustRightInd w:val="0"/>
              <w:snapToGrid w:val="0"/>
              <w:spacing w:line="240" w:lineRule="auto"/>
              <w:ind w:firstLine="0" w:firstLineChars="0"/>
              <w:jc w:val="center"/>
              <w:rPr>
                <w:color w:val="auto"/>
              </w:rPr>
            </w:pPr>
            <w:r>
              <w:rPr>
                <w:rFonts w:hint="eastAsia"/>
                <w:color w:val="auto"/>
              </w:rPr>
              <w:t>2个月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99" w:hRule="atLeast"/>
          <w:jc w:val="center"/>
        </w:trPr>
        <w:tc>
          <w:tcPr>
            <w:tcW w:w="1724"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rPr>
            </w:pPr>
            <w:r>
              <w:rPr>
                <w:color w:val="auto"/>
              </w:rPr>
              <w:t>是否开工建设</w:t>
            </w:r>
          </w:p>
        </w:tc>
        <w:tc>
          <w:tcPr>
            <w:tcW w:w="2510" w:type="dxa"/>
            <w:vAlign w:val="center"/>
          </w:tcPr>
          <w:p>
            <w:pPr>
              <w:spacing w:line="240" w:lineRule="auto"/>
              <w:ind w:firstLine="0" w:firstLineChars="0"/>
              <w:rPr>
                <w:color w:val="auto"/>
              </w:rPr>
            </w:pPr>
            <w:r>
              <w:rPr>
                <w:rFonts w:hint="eastAsia" w:ascii="宋体" w:hAnsi="宋体" w:cs="宋体"/>
                <w:color w:val="auto"/>
              </w:rPr>
              <w:sym w:font="Wingdings 2" w:char="0052"/>
            </w:r>
            <w:r>
              <w:rPr>
                <w:rFonts w:hint="eastAsia"/>
                <w:color w:val="auto"/>
              </w:rPr>
              <w:t>否</w:t>
            </w:r>
          </w:p>
          <w:p>
            <w:pPr>
              <w:spacing w:line="240" w:lineRule="auto"/>
              <w:ind w:firstLine="0" w:firstLineChars="0"/>
              <w:rPr>
                <w:color w:val="auto"/>
              </w:rPr>
            </w:pPr>
            <w:r>
              <w:rPr>
                <w:rFonts w:hint="eastAsia"/>
                <w:color w:val="auto"/>
              </w:rPr>
              <w:sym w:font="Wingdings 2" w:char="00A3"/>
            </w:r>
            <w:r>
              <w:rPr>
                <w:rFonts w:hint="eastAsia"/>
                <w:color w:val="auto"/>
              </w:rPr>
              <w:t>是：</w:t>
            </w:r>
            <w:r>
              <w:rPr>
                <w:rFonts w:hint="eastAsia" w:ascii="宋体" w:hAnsi="宋体" w:cs="宋体"/>
                <w:color w:val="auto"/>
                <w:u w:val="single"/>
              </w:rPr>
              <w:t xml:space="preserve">          </w:t>
            </w:r>
          </w:p>
        </w:tc>
        <w:tc>
          <w:tcPr>
            <w:tcW w:w="2038" w:type="dxa"/>
            <w:tcMar>
              <w:top w:w="16" w:type="dxa"/>
              <w:left w:w="16" w:type="dxa"/>
              <w:right w:w="16" w:type="dxa"/>
            </w:tcMar>
            <w:vAlign w:val="center"/>
          </w:tcPr>
          <w:p>
            <w:pPr>
              <w:autoSpaceDE w:val="0"/>
              <w:autoSpaceDN w:val="0"/>
              <w:adjustRightInd w:val="0"/>
              <w:snapToGrid w:val="0"/>
              <w:spacing w:line="240" w:lineRule="auto"/>
              <w:ind w:firstLine="0" w:firstLineChars="0"/>
              <w:jc w:val="center"/>
              <w:rPr>
                <w:color w:val="auto"/>
                <w:spacing w:val="-6"/>
              </w:rPr>
            </w:pPr>
            <w:r>
              <w:rPr>
                <w:color w:val="auto"/>
                <w:spacing w:val="-6"/>
              </w:rPr>
              <w:t>用地（用海）</w:t>
            </w:r>
          </w:p>
          <w:p>
            <w:pPr>
              <w:autoSpaceDE w:val="0"/>
              <w:autoSpaceDN w:val="0"/>
              <w:adjustRightInd w:val="0"/>
              <w:snapToGrid w:val="0"/>
              <w:spacing w:line="240" w:lineRule="auto"/>
              <w:ind w:firstLine="0" w:firstLineChars="0"/>
              <w:jc w:val="center"/>
              <w:rPr>
                <w:color w:val="auto"/>
              </w:rPr>
            </w:pPr>
            <w:r>
              <w:rPr>
                <w:color w:val="auto"/>
                <w:spacing w:val="-6"/>
              </w:rPr>
              <w:t>面积（m</w:t>
            </w:r>
            <w:r>
              <w:rPr>
                <w:color w:val="auto"/>
                <w:spacing w:val="-6"/>
                <w:vertAlign w:val="superscript"/>
              </w:rPr>
              <w:t>2</w:t>
            </w:r>
            <w:r>
              <w:rPr>
                <w:rFonts w:hint="eastAsia"/>
                <w:color w:val="auto"/>
                <w:spacing w:val="-6"/>
              </w:rPr>
              <w:t>）</w:t>
            </w:r>
          </w:p>
        </w:tc>
        <w:tc>
          <w:tcPr>
            <w:tcW w:w="2598" w:type="dxa"/>
            <w:vAlign w:val="center"/>
          </w:tcPr>
          <w:p>
            <w:pPr>
              <w:autoSpaceDE w:val="0"/>
              <w:autoSpaceDN w:val="0"/>
              <w:adjustRightInd w:val="0"/>
              <w:snapToGrid w:val="0"/>
              <w:spacing w:line="240" w:lineRule="auto"/>
              <w:ind w:firstLine="0" w:firstLineChars="0"/>
              <w:jc w:val="center"/>
              <w:rPr>
                <w:color w:val="auto"/>
              </w:rPr>
            </w:pPr>
            <w:r>
              <w:rPr>
                <w:rFonts w:hint="eastAsia"/>
                <w:color w:val="auto"/>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724" w:type="dxa"/>
            <w:vAlign w:val="center"/>
          </w:tcPr>
          <w:p>
            <w:pPr>
              <w:autoSpaceDE w:val="0"/>
              <w:autoSpaceDN w:val="0"/>
              <w:adjustRightInd w:val="0"/>
              <w:snapToGrid w:val="0"/>
              <w:ind w:firstLine="0" w:firstLineChars="0"/>
              <w:jc w:val="center"/>
              <w:rPr>
                <w:color w:val="auto"/>
                <w:kern w:val="0"/>
              </w:rPr>
            </w:pPr>
            <w:r>
              <w:rPr>
                <w:color w:val="auto"/>
                <w:kern w:val="0"/>
              </w:rPr>
              <w:t>专项评价设置情况</w:t>
            </w:r>
          </w:p>
        </w:tc>
        <w:tc>
          <w:tcPr>
            <w:tcW w:w="7146" w:type="dxa"/>
            <w:gridSpan w:val="3"/>
            <w:vAlign w:val="center"/>
          </w:tcPr>
          <w:p>
            <w:pPr>
              <w:ind w:firstLine="480"/>
              <w:rPr>
                <w:color w:val="auto"/>
              </w:rPr>
            </w:pPr>
            <w:r>
              <w:rPr>
                <w:rFonts w:hint="eastAsia"/>
                <w:color w:val="auto"/>
              </w:rPr>
              <w:t>根据对照《建设项目环境影响报告表编制技术指南（污染影响类）（试行）》表1专项评价设置原则表，本</w:t>
            </w:r>
            <w:r>
              <w:rPr>
                <w:color w:val="auto"/>
              </w:rPr>
              <w:t>项目专项评价</w:t>
            </w:r>
            <w:r>
              <w:rPr>
                <w:rFonts w:hint="eastAsia"/>
                <w:color w:val="auto"/>
              </w:rPr>
              <w:t>设置情况判定</w:t>
            </w:r>
            <w:r>
              <w:rPr>
                <w:color w:val="auto"/>
              </w:rPr>
              <w:t>如下</w:t>
            </w:r>
            <w:r>
              <w:rPr>
                <w:rFonts w:hint="eastAsia"/>
                <w:color w:val="auto"/>
              </w:rPr>
              <w:t>表所示：</w:t>
            </w:r>
          </w:p>
          <w:p>
            <w:pPr>
              <w:pStyle w:val="14"/>
              <w:rPr>
                <w:color w:val="auto"/>
              </w:rPr>
            </w:pPr>
            <w:r>
              <w:rPr>
                <w:color w:val="auto"/>
              </w:rPr>
              <w:t>表1-1  项目专项评价设置判定表</w:t>
            </w:r>
          </w:p>
          <w:tbl>
            <w:tblPr>
              <w:tblStyle w:val="10"/>
              <w:tblW w:w="6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758"/>
              <w:gridCol w:w="2235"/>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5" w:type="dxa"/>
                  <w:vAlign w:val="center"/>
                </w:tcPr>
                <w:p>
                  <w:pPr>
                    <w:pStyle w:val="15"/>
                    <w:rPr>
                      <w:color w:val="auto"/>
                    </w:rPr>
                  </w:pPr>
                  <w:r>
                    <w:rPr>
                      <w:color w:val="auto"/>
                    </w:rPr>
                    <w:t>专项评价的类别</w:t>
                  </w:r>
                </w:p>
              </w:tc>
              <w:tc>
                <w:tcPr>
                  <w:tcW w:w="2758" w:type="dxa"/>
                  <w:vAlign w:val="center"/>
                </w:tcPr>
                <w:p>
                  <w:pPr>
                    <w:pStyle w:val="15"/>
                    <w:rPr>
                      <w:color w:val="auto"/>
                    </w:rPr>
                  </w:pPr>
                  <w:r>
                    <w:rPr>
                      <w:color w:val="auto"/>
                    </w:rPr>
                    <w:t>设置原则</w:t>
                  </w:r>
                </w:p>
              </w:tc>
              <w:tc>
                <w:tcPr>
                  <w:tcW w:w="2235" w:type="dxa"/>
                  <w:vAlign w:val="center"/>
                </w:tcPr>
                <w:p>
                  <w:pPr>
                    <w:pStyle w:val="15"/>
                    <w:rPr>
                      <w:color w:val="auto"/>
                    </w:rPr>
                  </w:pPr>
                  <w:r>
                    <w:rPr>
                      <w:color w:val="auto"/>
                    </w:rPr>
                    <w:t>项目情况</w:t>
                  </w:r>
                </w:p>
              </w:tc>
              <w:tc>
                <w:tcPr>
                  <w:tcW w:w="728" w:type="dxa"/>
                  <w:vAlign w:val="center"/>
                </w:tcPr>
                <w:p>
                  <w:pPr>
                    <w:pStyle w:val="15"/>
                    <w:rPr>
                      <w:color w:val="auto"/>
                    </w:rPr>
                  </w:pPr>
                  <w:r>
                    <w:rPr>
                      <w:color w:val="auto"/>
                    </w:rPr>
                    <w:t>是否设置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5" w:type="dxa"/>
                  <w:vAlign w:val="center"/>
                </w:tcPr>
                <w:p>
                  <w:pPr>
                    <w:pStyle w:val="15"/>
                    <w:rPr>
                      <w:color w:val="auto"/>
                    </w:rPr>
                  </w:pPr>
                  <w:r>
                    <w:rPr>
                      <w:color w:val="auto"/>
                    </w:rPr>
                    <w:t>大气</w:t>
                  </w:r>
                </w:p>
              </w:tc>
              <w:tc>
                <w:tcPr>
                  <w:tcW w:w="2758" w:type="dxa"/>
                  <w:vAlign w:val="center"/>
                </w:tcPr>
                <w:p>
                  <w:pPr>
                    <w:pStyle w:val="15"/>
                    <w:rPr>
                      <w:color w:val="auto"/>
                    </w:rPr>
                  </w:pPr>
                  <w:r>
                    <w:rPr>
                      <w:color w:val="auto"/>
                    </w:rPr>
                    <w:t>排放废气含有毒有害污染物、二噁英、苯并[α]芘、氰化物、氯气且厂界外500米范围内有环境保护目标的建设项目。</w:t>
                  </w:r>
                </w:p>
              </w:tc>
              <w:tc>
                <w:tcPr>
                  <w:tcW w:w="2235" w:type="dxa"/>
                  <w:vAlign w:val="center"/>
                </w:tcPr>
                <w:p>
                  <w:pPr>
                    <w:pStyle w:val="15"/>
                    <w:rPr>
                      <w:color w:val="auto"/>
                    </w:rPr>
                  </w:pPr>
                  <w:r>
                    <w:rPr>
                      <w:rFonts w:hint="eastAsia"/>
                      <w:color w:val="auto"/>
                    </w:rPr>
                    <w:t>本项目不排放设置原则所述废气污染物。</w:t>
                  </w:r>
                </w:p>
              </w:tc>
              <w:tc>
                <w:tcPr>
                  <w:tcW w:w="728" w:type="dxa"/>
                  <w:vAlign w:val="center"/>
                </w:tcPr>
                <w:p>
                  <w:pPr>
                    <w:pStyle w:val="15"/>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5" w:type="dxa"/>
                  <w:vAlign w:val="center"/>
                </w:tcPr>
                <w:p>
                  <w:pPr>
                    <w:pStyle w:val="15"/>
                    <w:rPr>
                      <w:color w:val="auto"/>
                    </w:rPr>
                  </w:pPr>
                  <w:r>
                    <w:rPr>
                      <w:color w:val="auto"/>
                    </w:rPr>
                    <w:t>地表水</w:t>
                  </w:r>
                </w:p>
              </w:tc>
              <w:tc>
                <w:tcPr>
                  <w:tcW w:w="2758" w:type="dxa"/>
                  <w:vAlign w:val="center"/>
                </w:tcPr>
                <w:p>
                  <w:pPr>
                    <w:pStyle w:val="15"/>
                    <w:rPr>
                      <w:color w:val="auto"/>
                    </w:rPr>
                  </w:pPr>
                  <w:r>
                    <w:rPr>
                      <w:color w:val="auto"/>
                    </w:rPr>
                    <w:t>新增工业废水直排建设项目（槽罐车外送污水处理厂的除外）；新增废水直排的污水集中处理厂。</w:t>
                  </w:r>
                </w:p>
              </w:tc>
              <w:tc>
                <w:tcPr>
                  <w:tcW w:w="2235" w:type="dxa"/>
                  <w:vAlign w:val="center"/>
                </w:tcPr>
                <w:p>
                  <w:pPr>
                    <w:pStyle w:val="15"/>
                    <w:rPr>
                      <w:color w:val="auto"/>
                    </w:rPr>
                  </w:pPr>
                  <w:r>
                    <w:rPr>
                      <w:rFonts w:hint="eastAsia"/>
                      <w:color w:val="auto"/>
                    </w:rPr>
                    <w:t>本项目工业废水不直排。</w:t>
                  </w:r>
                </w:p>
              </w:tc>
              <w:tc>
                <w:tcPr>
                  <w:tcW w:w="728" w:type="dxa"/>
                  <w:vAlign w:val="center"/>
                </w:tcPr>
                <w:p>
                  <w:pPr>
                    <w:pStyle w:val="15"/>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5" w:type="dxa"/>
                  <w:vAlign w:val="center"/>
                </w:tcPr>
                <w:p>
                  <w:pPr>
                    <w:pStyle w:val="15"/>
                    <w:rPr>
                      <w:color w:val="auto"/>
                    </w:rPr>
                  </w:pPr>
                  <w:r>
                    <w:rPr>
                      <w:color w:val="auto"/>
                    </w:rPr>
                    <w:t>环境</w:t>
                  </w:r>
                </w:p>
                <w:p>
                  <w:pPr>
                    <w:pStyle w:val="15"/>
                    <w:rPr>
                      <w:color w:val="auto"/>
                    </w:rPr>
                  </w:pPr>
                  <w:r>
                    <w:rPr>
                      <w:color w:val="auto"/>
                    </w:rPr>
                    <w:t>风险</w:t>
                  </w:r>
                </w:p>
              </w:tc>
              <w:tc>
                <w:tcPr>
                  <w:tcW w:w="2758" w:type="dxa"/>
                  <w:vAlign w:val="center"/>
                </w:tcPr>
                <w:p>
                  <w:pPr>
                    <w:pStyle w:val="15"/>
                    <w:rPr>
                      <w:color w:val="auto"/>
                    </w:rPr>
                  </w:pPr>
                  <w:r>
                    <w:rPr>
                      <w:color w:val="auto"/>
                    </w:rPr>
                    <w:t>有毒有害和易燃易爆危险物质存储量超过临界量的建设项目。</w:t>
                  </w:r>
                </w:p>
              </w:tc>
              <w:tc>
                <w:tcPr>
                  <w:tcW w:w="2235" w:type="dxa"/>
                  <w:vAlign w:val="center"/>
                </w:tcPr>
                <w:p>
                  <w:pPr>
                    <w:pStyle w:val="15"/>
                    <w:rPr>
                      <w:color w:val="auto"/>
                    </w:rPr>
                  </w:pPr>
                  <w:r>
                    <w:rPr>
                      <w:color w:val="auto"/>
                    </w:rPr>
                    <w:t>本项目涉及的有毒有害和易燃易爆危险物质存储量未超过临界量</w:t>
                  </w:r>
                  <w:r>
                    <w:rPr>
                      <w:rFonts w:hint="eastAsia"/>
                      <w:color w:val="auto"/>
                    </w:rPr>
                    <w:t>。</w:t>
                  </w:r>
                </w:p>
              </w:tc>
              <w:tc>
                <w:tcPr>
                  <w:tcW w:w="728" w:type="dxa"/>
                  <w:vAlign w:val="center"/>
                </w:tcPr>
                <w:p>
                  <w:pPr>
                    <w:pStyle w:val="15"/>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5" w:type="dxa"/>
                  <w:vAlign w:val="center"/>
                </w:tcPr>
                <w:p>
                  <w:pPr>
                    <w:pStyle w:val="15"/>
                    <w:rPr>
                      <w:color w:val="auto"/>
                    </w:rPr>
                  </w:pPr>
                  <w:r>
                    <w:rPr>
                      <w:color w:val="auto"/>
                    </w:rPr>
                    <w:t>生态</w:t>
                  </w:r>
                </w:p>
              </w:tc>
              <w:tc>
                <w:tcPr>
                  <w:tcW w:w="2758" w:type="dxa"/>
                  <w:vAlign w:val="center"/>
                </w:tcPr>
                <w:p>
                  <w:pPr>
                    <w:pStyle w:val="15"/>
                    <w:rPr>
                      <w:color w:val="auto"/>
                    </w:rPr>
                  </w:pPr>
                  <w:r>
                    <w:rPr>
                      <w:color w:val="auto"/>
                    </w:rPr>
                    <w:t>取水口下游500米范围内有重要水生生物的自然产卵场、索饵场、越冬场和洄游通道的新增河道取水的污染类建设项目。</w:t>
                  </w:r>
                </w:p>
              </w:tc>
              <w:tc>
                <w:tcPr>
                  <w:tcW w:w="2235" w:type="dxa"/>
                  <w:vAlign w:val="center"/>
                </w:tcPr>
                <w:p>
                  <w:pPr>
                    <w:pStyle w:val="15"/>
                    <w:rPr>
                      <w:color w:val="auto"/>
                    </w:rPr>
                  </w:pPr>
                  <w:r>
                    <w:rPr>
                      <w:rFonts w:hint="eastAsia"/>
                      <w:color w:val="auto"/>
                    </w:rPr>
                    <w:t>本项目不涉及</w:t>
                  </w:r>
                  <w:r>
                    <w:rPr>
                      <w:color w:val="auto"/>
                    </w:rPr>
                    <w:t>河道取水</w:t>
                  </w:r>
                  <w:r>
                    <w:rPr>
                      <w:rFonts w:hint="eastAsia"/>
                      <w:color w:val="auto"/>
                    </w:rPr>
                    <w:t>。</w:t>
                  </w:r>
                </w:p>
              </w:tc>
              <w:tc>
                <w:tcPr>
                  <w:tcW w:w="728" w:type="dxa"/>
                  <w:vAlign w:val="center"/>
                </w:tcPr>
                <w:p>
                  <w:pPr>
                    <w:pStyle w:val="15"/>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5" w:type="dxa"/>
                  <w:vAlign w:val="center"/>
                </w:tcPr>
                <w:p>
                  <w:pPr>
                    <w:pStyle w:val="15"/>
                    <w:rPr>
                      <w:color w:val="auto"/>
                    </w:rPr>
                  </w:pPr>
                  <w:r>
                    <w:rPr>
                      <w:color w:val="auto"/>
                    </w:rPr>
                    <w:t>海洋</w:t>
                  </w:r>
                </w:p>
              </w:tc>
              <w:tc>
                <w:tcPr>
                  <w:tcW w:w="2758" w:type="dxa"/>
                  <w:vAlign w:val="center"/>
                </w:tcPr>
                <w:p>
                  <w:pPr>
                    <w:pStyle w:val="15"/>
                    <w:rPr>
                      <w:color w:val="auto"/>
                    </w:rPr>
                  </w:pPr>
                  <w:r>
                    <w:rPr>
                      <w:color w:val="auto"/>
                    </w:rPr>
                    <w:t>直接向海排放污染物的海洋工程建设项目。</w:t>
                  </w:r>
                </w:p>
              </w:tc>
              <w:tc>
                <w:tcPr>
                  <w:tcW w:w="2235" w:type="dxa"/>
                  <w:vAlign w:val="center"/>
                </w:tcPr>
                <w:p>
                  <w:pPr>
                    <w:pStyle w:val="15"/>
                    <w:rPr>
                      <w:color w:val="auto"/>
                    </w:rPr>
                  </w:pPr>
                  <w:r>
                    <w:rPr>
                      <w:rFonts w:hint="eastAsia"/>
                      <w:color w:val="auto"/>
                    </w:rPr>
                    <w:t>本</w:t>
                  </w:r>
                  <w:r>
                    <w:rPr>
                      <w:color w:val="auto"/>
                    </w:rPr>
                    <w:t>项目</w:t>
                  </w:r>
                  <w:r>
                    <w:rPr>
                      <w:rFonts w:hint="eastAsia"/>
                      <w:color w:val="auto"/>
                    </w:rPr>
                    <w:t>不属于</w:t>
                  </w:r>
                  <w:r>
                    <w:rPr>
                      <w:color w:val="auto"/>
                    </w:rPr>
                    <w:t>海洋工程建设项目</w:t>
                  </w:r>
                  <w:r>
                    <w:rPr>
                      <w:rFonts w:hint="eastAsia"/>
                      <w:color w:val="auto"/>
                    </w:rPr>
                    <w:t>。</w:t>
                  </w:r>
                </w:p>
              </w:tc>
              <w:tc>
                <w:tcPr>
                  <w:tcW w:w="728" w:type="dxa"/>
                  <w:vAlign w:val="center"/>
                </w:tcPr>
                <w:p>
                  <w:pPr>
                    <w:pStyle w:val="15"/>
                    <w:rPr>
                      <w:color w:val="auto"/>
                    </w:rPr>
                  </w:pPr>
                  <w:r>
                    <w:rPr>
                      <w:color w:val="auto"/>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5" w:type="dxa"/>
                  <w:vAlign w:val="center"/>
                </w:tcPr>
                <w:p>
                  <w:pPr>
                    <w:pStyle w:val="15"/>
                    <w:rPr>
                      <w:color w:val="auto"/>
                    </w:rPr>
                  </w:pPr>
                  <w:r>
                    <w:rPr>
                      <w:color w:val="auto"/>
                    </w:rPr>
                    <w:t>地下水</w:t>
                  </w:r>
                </w:p>
              </w:tc>
              <w:tc>
                <w:tcPr>
                  <w:tcW w:w="2758" w:type="dxa"/>
                  <w:vAlign w:val="center"/>
                </w:tcPr>
                <w:p>
                  <w:pPr>
                    <w:pStyle w:val="15"/>
                    <w:rPr>
                      <w:color w:val="auto"/>
                    </w:rPr>
                  </w:pPr>
                  <w:r>
                    <w:rPr>
                      <w:color w:val="auto"/>
                    </w:rPr>
                    <w:t>涉及集中式饮用水水源和热水、矿泉水、温泉等特殊地下水资源保护区。</w:t>
                  </w:r>
                </w:p>
              </w:tc>
              <w:tc>
                <w:tcPr>
                  <w:tcW w:w="2235" w:type="dxa"/>
                  <w:vAlign w:val="center"/>
                </w:tcPr>
                <w:p>
                  <w:pPr>
                    <w:pStyle w:val="15"/>
                    <w:rPr>
                      <w:color w:val="auto"/>
                    </w:rPr>
                  </w:pPr>
                  <w:r>
                    <w:rPr>
                      <w:rFonts w:hint="eastAsia"/>
                      <w:color w:val="auto"/>
                    </w:rPr>
                    <w:t>本项目不涉及</w:t>
                  </w:r>
                  <w:r>
                    <w:rPr>
                      <w:color w:val="auto"/>
                    </w:rPr>
                    <w:t>特殊地下水资源保护区。</w:t>
                  </w:r>
                </w:p>
              </w:tc>
              <w:tc>
                <w:tcPr>
                  <w:tcW w:w="728" w:type="dxa"/>
                  <w:vAlign w:val="center"/>
                </w:tcPr>
                <w:p>
                  <w:pPr>
                    <w:pStyle w:val="15"/>
                    <w:rPr>
                      <w:color w:val="auto"/>
                    </w:rPr>
                  </w:pPr>
                  <w:r>
                    <w:rPr>
                      <w:color w:val="auto"/>
                    </w:rPr>
                    <w:t>否</w:t>
                  </w:r>
                </w:p>
              </w:tc>
            </w:tr>
          </w:tbl>
          <w:p>
            <w:pPr>
              <w:ind w:firstLine="480"/>
              <w:rPr>
                <w:color w:val="auto"/>
                <w:kern w:val="0"/>
                <w:szCs w:val="21"/>
              </w:rPr>
            </w:pPr>
            <w:r>
              <w:rPr>
                <w:rFonts w:hint="eastAsia"/>
                <w:color w:val="auto"/>
              </w:rPr>
              <w:t>根据上表判定结果，本</w:t>
            </w:r>
            <w:r>
              <w:rPr>
                <w:color w:val="auto"/>
              </w:rPr>
              <w:t>项目</w:t>
            </w:r>
            <w:r>
              <w:rPr>
                <w:rFonts w:hint="eastAsia"/>
                <w:color w:val="auto"/>
              </w:rPr>
              <w:t>无需设置</w:t>
            </w:r>
            <w:r>
              <w:rPr>
                <w:color w:val="auto"/>
              </w:rPr>
              <w:t>专项评价。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724" w:type="dxa"/>
            <w:vAlign w:val="center"/>
          </w:tcPr>
          <w:p>
            <w:pPr>
              <w:autoSpaceDE w:val="0"/>
              <w:autoSpaceDN w:val="0"/>
              <w:adjustRightInd w:val="0"/>
              <w:snapToGrid w:val="0"/>
              <w:ind w:firstLine="0" w:firstLineChars="0"/>
              <w:jc w:val="center"/>
              <w:rPr>
                <w:color w:val="auto"/>
                <w:kern w:val="0"/>
              </w:rPr>
            </w:pPr>
            <w:r>
              <w:rPr>
                <w:color w:val="auto"/>
              </w:rPr>
              <w:t>规划情况</w:t>
            </w:r>
          </w:p>
        </w:tc>
        <w:tc>
          <w:tcPr>
            <w:tcW w:w="7146" w:type="dxa"/>
            <w:gridSpan w:val="3"/>
            <w:vAlign w:val="center"/>
          </w:tcPr>
          <w:p>
            <w:pPr>
              <w:ind w:firstLine="480"/>
              <w:rPr>
                <w:color w:val="auto"/>
              </w:rPr>
            </w:pPr>
            <w:r>
              <w:rPr>
                <w:rFonts w:hint="eastAsia"/>
                <w:color w:val="auto"/>
              </w:rPr>
              <w:t>本项目位于云南省昆明市晋宁区上蒜镇，不在晋宁工业园区内。根据晋宁工业园区管理委员会出具的《情况说明》（见附件），昆明红海磷肥有限责任公司经济指标纳入园区统计。因此，本项目视同位于晋宁工业园区内进行政策符合性分析。</w:t>
            </w:r>
          </w:p>
          <w:p>
            <w:pPr>
              <w:ind w:firstLine="480"/>
              <w:rPr>
                <w:color w:val="auto"/>
              </w:rPr>
            </w:pPr>
            <w:r>
              <w:rPr>
                <w:rFonts w:hint="eastAsia"/>
                <w:color w:val="auto"/>
              </w:rPr>
              <w:t>规划名称：《云南晋宁工业园区总体规划修编（2012-2030）》；</w:t>
            </w:r>
          </w:p>
          <w:p>
            <w:pPr>
              <w:ind w:firstLine="480"/>
              <w:rPr>
                <w:color w:val="auto"/>
                <w:kern w:val="0"/>
              </w:rPr>
            </w:pPr>
            <w:r>
              <w:rPr>
                <w:rFonts w:hint="eastAsia"/>
                <w:color w:val="auto"/>
              </w:rPr>
              <w:t>批复：昆明市工业和信息化委员会《关于实施&lt;云南晋宁工业园区总体规划修编（2012-2030）&gt;的意见》（昆工信发〔2012〕194号）。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724" w:type="dxa"/>
            <w:vAlign w:val="center"/>
          </w:tcPr>
          <w:p>
            <w:pPr>
              <w:autoSpaceDE w:val="0"/>
              <w:autoSpaceDN w:val="0"/>
              <w:adjustRightInd w:val="0"/>
              <w:snapToGrid w:val="0"/>
              <w:spacing w:line="240" w:lineRule="auto"/>
              <w:ind w:firstLine="0" w:firstLineChars="0"/>
              <w:jc w:val="center"/>
              <w:rPr>
                <w:color w:val="auto"/>
              </w:rPr>
            </w:pPr>
            <w:r>
              <w:rPr>
                <w:color w:val="auto"/>
              </w:rPr>
              <w:t>规划环境影响</w:t>
            </w:r>
          </w:p>
          <w:p>
            <w:pPr>
              <w:autoSpaceDE w:val="0"/>
              <w:autoSpaceDN w:val="0"/>
              <w:adjustRightInd w:val="0"/>
              <w:snapToGrid w:val="0"/>
              <w:spacing w:line="240" w:lineRule="auto"/>
              <w:ind w:firstLine="0" w:firstLineChars="0"/>
              <w:jc w:val="center"/>
              <w:rPr>
                <w:color w:val="auto"/>
                <w:kern w:val="0"/>
              </w:rPr>
            </w:pPr>
            <w:r>
              <w:rPr>
                <w:color w:val="auto"/>
              </w:rPr>
              <w:t>评价情况</w:t>
            </w:r>
          </w:p>
        </w:tc>
        <w:tc>
          <w:tcPr>
            <w:tcW w:w="7146" w:type="dxa"/>
            <w:gridSpan w:val="3"/>
            <w:vAlign w:val="center"/>
          </w:tcPr>
          <w:p>
            <w:pPr>
              <w:autoSpaceDE w:val="0"/>
              <w:autoSpaceDN w:val="0"/>
              <w:adjustRightInd w:val="0"/>
              <w:snapToGrid w:val="0"/>
              <w:ind w:firstLine="480"/>
              <w:jc w:val="left"/>
              <w:rPr>
                <w:color w:val="auto"/>
              </w:rPr>
            </w:pPr>
            <w:r>
              <w:rPr>
                <w:color w:val="auto"/>
              </w:rPr>
              <w:t>规划环评名称：《云南晋宁工业园区总体规划修编（2012-2030）环境影响报告书》；</w:t>
            </w:r>
          </w:p>
          <w:p>
            <w:pPr>
              <w:autoSpaceDE w:val="0"/>
              <w:autoSpaceDN w:val="0"/>
              <w:adjustRightInd w:val="0"/>
              <w:snapToGrid w:val="0"/>
              <w:ind w:firstLine="480"/>
              <w:jc w:val="left"/>
              <w:rPr>
                <w:color w:val="auto"/>
                <w:kern w:val="0"/>
              </w:rPr>
            </w:pPr>
            <w:r>
              <w:rPr>
                <w:color w:val="auto"/>
              </w:rPr>
              <w:t>批复：云南省环境保护厅《关于&lt;晋宁工业园区总体规划修编（2012-2030）环境影响报告书&gt;审查意见的函》（云环函〔2014〕131号）</w:t>
            </w: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724" w:type="dxa"/>
            <w:vAlign w:val="center"/>
          </w:tcPr>
          <w:p>
            <w:pPr>
              <w:autoSpaceDE w:val="0"/>
              <w:autoSpaceDN w:val="0"/>
              <w:adjustRightInd w:val="0"/>
              <w:snapToGrid w:val="0"/>
              <w:spacing w:line="240" w:lineRule="auto"/>
              <w:ind w:firstLine="0" w:firstLineChars="0"/>
              <w:jc w:val="center"/>
              <w:rPr>
                <w:color w:val="auto"/>
                <w:kern w:val="0"/>
              </w:rPr>
            </w:pPr>
            <w:r>
              <w:rPr>
                <w:color w:val="auto"/>
                <w:kern w:val="0"/>
              </w:rPr>
              <w:t>规划及规划环境影响评价符合性分析</w:t>
            </w:r>
          </w:p>
        </w:tc>
        <w:tc>
          <w:tcPr>
            <w:tcW w:w="7146" w:type="dxa"/>
            <w:gridSpan w:val="3"/>
            <w:vAlign w:val="center"/>
          </w:tcPr>
          <w:p>
            <w:pPr>
              <w:autoSpaceDE w:val="0"/>
              <w:autoSpaceDN w:val="0"/>
              <w:adjustRightInd w:val="0"/>
              <w:snapToGrid w:val="0"/>
              <w:ind w:firstLine="482"/>
              <w:rPr>
                <w:color w:val="auto"/>
              </w:rPr>
            </w:pPr>
            <w:r>
              <w:rPr>
                <w:rFonts w:hint="eastAsia"/>
                <w:b/>
                <w:bCs/>
                <w:color w:val="auto"/>
              </w:rPr>
              <w:t>1、与《云南晋宁工业园区总体规划修编（2012-2030）》相符性分析</w:t>
            </w:r>
          </w:p>
          <w:p>
            <w:pPr>
              <w:autoSpaceDE w:val="0"/>
              <w:autoSpaceDN w:val="0"/>
              <w:adjustRightInd w:val="0"/>
              <w:snapToGrid w:val="0"/>
              <w:ind w:firstLine="480"/>
              <w:rPr>
                <w:color w:val="auto"/>
              </w:rPr>
            </w:pPr>
            <w:r>
              <w:rPr>
                <w:color w:val="auto"/>
              </w:rPr>
              <w:t>根据《云南晋宁工业园区总体规划修编（2012-2030）》，晋宁工业园区由二街、上蒜、晋城、青山、宝峰镇、乌龙六个工业基地组成（一园六基地）。总规划用地面积92.69平方公里。规划性质定为云南乃至中国面向东南亚、南亚地区的产品出口加工中心、精细磷化工基地、装备制造产业、有色金属产业有主导产业，以生物资源加工、家具制造、建材产业、商贸物流为辅助和配套产业的，具有新型工业化特征的现代化综合工业园区。</w:t>
            </w:r>
          </w:p>
          <w:p>
            <w:pPr>
              <w:autoSpaceDE w:val="0"/>
              <w:autoSpaceDN w:val="0"/>
              <w:adjustRightInd w:val="0"/>
              <w:snapToGrid w:val="0"/>
              <w:ind w:firstLine="480"/>
              <w:rPr>
                <w:color w:val="auto"/>
              </w:rPr>
            </w:pPr>
            <w:r>
              <w:rPr>
                <w:color w:val="auto"/>
              </w:rPr>
              <w:t>建设项目位于云南省昆明市晋宁区上蒜镇，靠近上蒜工业基地，</w:t>
            </w:r>
            <w:r>
              <w:rPr>
                <w:rFonts w:hint="eastAsia"/>
                <w:color w:val="auto"/>
                <w:lang w:val="en-US" w:eastAsia="zh-CN"/>
              </w:rPr>
              <w:t>项目属于一般工业固废综合利用项目，</w:t>
            </w:r>
            <w:r>
              <w:rPr>
                <w:color w:val="auto"/>
              </w:rPr>
              <w:t>主要产品为复合肥料</w:t>
            </w:r>
            <w:r>
              <w:rPr>
                <w:rFonts w:hint="eastAsia"/>
                <w:color w:val="auto"/>
              </w:rPr>
              <w:t>等</w:t>
            </w:r>
            <w:r>
              <w:rPr>
                <w:color w:val="auto"/>
              </w:rPr>
              <w:t>。</w:t>
            </w:r>
          </w:p>
          <w:p>
            <w:pPr>
              <w:autoSpaceDE w:val="0"/>
              <w:autoSpaceDN w:val="0"/>
              <w:adjustRightInd w:val="0"/>
              <w:snapToGrid w:val="0"/>
              <w:ind w:firstLine="480"/>
              <w:rPr>
                <w:color w:val="auto"/>
              </w:rPr>
            </w:pPr>
            <w:r>
              <w:rPr>
                <w:color w:val="auto"/>
              </w:rPr>
              <w:t>上蒜工业基地东起杨户村村边，南至柴河，西至宝兴公路，紧邻宝兴火车站，北至昆玉高速。基地定位为新型建材产业基地，用地面积4.11km</w:t>
            </w:r>
            <w:r>
              <w:rPr>
                <w:color w:val="auto"/>
                <w:vertAlign w:val="superscript"/>
              </w:rPr>
              <w:t>2</w:t>
            </w:r>
            <w:r>
              <w:rPr>
                <w:color w:val="auto"/>
              </w:rPr>
              <w:t>。上蒜工业基地规划将规划区中部山体局部保留，加强绿化，作为规划区绿化景观核心；以宝兴公路、上蒜集镇至上六公路的主干道为两条联系各组团的发展主轴；组成以建材加工组团、新型建材加工组团、新型材料加工组团、休闲服务组团四个不同产业集聚的组团。</w:t>
            </w:r>
          </w:p>
          <w:p>
            <w:pPr>
              <w:autoSpaceDE w:val="0"/>
              <w:autoSpaceDN w:val="0"/>
              <w:adjustRightInd w:val="0"/>
              <w:snapToGrid w:val="0"/>
              <w:ind w:firstLine="480"/>
              <w:rPr>
                <w:color w:val="auto"/>
              </w:rPr>
            </w:pPr>
            <w:r>
              <w:rPr>
                <w:color w:val="auto"/>
              </w:rPr>
              <w:t>因此，项目的建设</w:t>
            </w:r>
            <w:r>
              <w:rPr>
                <w:rFonts w:hint="eastAsia"/>
                <w:color w:val="auto"/>
                <w:lang w:val="en-US" w:eastAsia="zh-CN"/>
              </w:rPr>
              <w:t>与</w:t>
            </w:r>
            <w:r>
              <w:rPr>
                <w:color w:val="auto"/>
              </w:rPr>
              <w:t>上蒜工业基地规划功能定位</w:t>
            </w:r>
            <w:r>
              <w:rPr>
                <w:rFonts w:hint="eastAsia"/>
                <w:color w:val="auto"/>
                <w:lang w:val="en-US" w:eastAsia="zh-CN"/>
              </w:rPr>
              <w:t>不冲突</w:t>
            </w:r>
            <w:r>
              <w:rPr>
                <w:color w:val="auto"/>
              </w:rPr>
              <w:t>，</w:t>
            </w:r>
            <w:r>
              <w:rPr>
                <w:rFonts w:hint="eastAsia"/>
                <w:color w:val="auto"/>
                <w:lang w:val="en-US" w:eastAsia="zh-CN"/>
              </w:rPr>
              <w:t>与</w:t>
            </w:r>
            <w:r>
              <w:rPr>
                <w:color w:val="auto"/>
              </w:rPr>
              <w:t>晋宁工业园总体规划产业发展要求</w:t>
            </w:r>
            <w:r>
              <w:rPr>
                <w:rFonts w:hint="eastAsia"/>
                <w:color w:val="auto"/>
                <w:lang w:val="en-US" w:eastAsia="zh-CN"/>
              </w:rPr>
              <w:t>不冲突</w:t>
            </w:r>
            <w:r>
              <w:rPr>
                <w:color w:val="auto"/>
              </w:rPr>
              <w:t>。</w:t>
            </w:r>
          </w:p>
          <w:p>
            <w:pPr>
              <w:ind w:firstLine="482"/>
              <w:rPr>
                <w:b/>
                <w:bCs/>
                <w:color w:val="auto"/>
              </w:rPr>
            </w:pPr>
            <w:r>
              <w:rPr>
                <w:rFonts w:hint="eastAsia"/>
                <w:b/>
                <w:bCs/>
                <w:color w:val="auto"/>
              </w:rPr>
              <w:t>2、</w:t>
            </w:r>
            <w:r>
              <w:rPr>
                <w:b/>
                <w:bCs/>
                <w:color w:val="auto"/>
              </w:rPr>
              <w:t>与《云南晋宁工业园区总体规划修编（2012-2030）环境影响报告书》及其审查意见相符性分析</w:t>
            </w:r>
          </w:p>
          <w:p>
            <w:pPr>
              <w:autoSpaceDE w:val="0"/>
              <w:autoSpaceDN w:val="0"/>
              <w:adjustRightInd w:val="0"/>
              <w:snapToGrid w:val="0"/>
              <w:ind w:firstLine="480"/>
              <w:rPr>
                <w:color w:val="auto"/>
              </w:rPr>
            </w:pPr>
            <w:r>
              <w:rPr>
                <w:rFonts w:hint="eastAsia"/>
                <w:color w:val="auto"/>
              </w:rPr>
              <w:t>（1）</w:t>
            </w:r>
            <w:r>
              <w:rPr>
                <w:color w:val="auto"/>
              </w:rPr>
              <w:t>与《云南晋宁工业园区总体规划修编（2012-2030）环境影响报告书》相符性分析</w:t>
            </w:r>
          </w:p>
          <w:p>
            <w:pPr>
              <w:autoSpaceDE w:val="0"/>
              <w:autoSpaceDN w:val="0"/>
              <w:adjustRightInd w:val="0"/>
              <w:snapToGrid w:val="0"/>
              <w:ind w:firstLine="480"/>
              <w:rPr>
                <w:color w:val="auto"/>
              </w:rPr>
            </w:pPr>
            <w:r>
              <w:rPr>
                <w:color w:val="auto"/>
              </w:rPr>
              <w:t>根据《云南晋宁工业园区总体规划修编（2012-2030）环境影响报告书》（以下简称“规划环评”）提出的入园要求、原则等，相符性分析详情见</w:t>
            </w:r>
            <w:r>
              <w:rPr>
                <w:rFonts w:hint="eastAsia"/>
                <w:color w:val="auto"/>
              </w:rPr>
              <w:t>下表</w:t>
            </w:r>
            <w:r>
              <w:rPr>
                <w:color w:val="auto"/>
              </w:rPr>
              <w:t>。</w:t>
            </w:r>
          </w:p>
          <w:p>
            <w:pPr>
              <w:pStyle w:val="14"/>
              <w:rPr>
                <w:color w:val="auto"/>
              </w:rPr>
            </w:pPr>
            <w:r>
              <w:rPr>
                <w:color w:val="auto"/>
              </w:rPr>
              <w:t>表1-</w:t>
            </w:r>
            <w:r>
              <w:rPr>
                <w:rFonts w:hint="eastAsia"/>
                <w:color w:val="auto"/>
              </w:rPr>
              <w:t xml:space="preserve">2  </w:t>
            </w:r>
            <w:r>
              <w:rPr>
                <w:color w:val="auto"/>
              </w:rPr>
              <w:t xml:space="preserve"> 与规划环评规划原则相符性分析一览表</w:t>
            </w:r>
          </w:p>
          <w:tbl>
            <w:tblPr>
              <w:tblStyle w:val="11"/>
              <w:tblW w:w="69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2805"/>
              <w:gridCol w:w="2741"/>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3" w:type="dxa"/>
                  <w:vAlign w:val="center"/>
                </w:tcPr>
                <w:p>
                  <w:pPr>
                    <w:pStyle w:val="15"/>
                    <w:rPr>
                      <w:color w:val="auto"/>
                    </w:rPr>
                  </w:pPr>
                  <w:r>
                    <w:rPr>
                      <w:color w:val="auto"/>
                    </w:rPr>
                    <w:t>序号</w:t>
                  </w:r>
                </w:p>
              </w:tc>
              <w:tc>
                <w:tcPr>
                  <w:tcW w:w="2805" w:type="dxa"/>
                  <w:vAlign w:val="center"/>
                </w:tcPr>
                <w:p>
                  <w:pPr>
                    <w:pStyle w:val="15"/>
                    <w:rPr>
                      <w:color w:val="auto"/>
                    </w:rPr>
                  </w:pPr>
                  <w:r>
                    <w:rPr>
                      <w:color w:val="auto"/>
                    </w:rPr>
                    <w:t>规划原则</w:t>
                  </w:r>
                </w:p>
              </w:tc>
              <w:tc>
                <w:tcPr>
                  <w:tcW w:w="2741" w:type="dxa"/>
                  <w:vAlign w:val="center"/>
                </w:tcPr>
                <w:p>
                  <w:pPr>
                    <w:pStyle w:val="15"/>
                    <w:rPr>
                      <w:color w:val="auto"/>
                    </w:rPr>
                  </w:pPr>
                  <w:r>
                    <w:rPr>
                      <w:color w:val="auto"/>
                    </w:rPr>
                    <w:t>建设情况</w:t>
                  </w:r>
                </w:p>
              </w:tc>
              <w:tc>
                <w:tcPr>
                  <w:tcW w:w="778" w:type="dxa"/>
                  <w:vAlign w:val="center"/>
                </w:tcPr>
                <w:p>
                  <w:pPr>
                    <w:pStyle w:val="15"/>
                    <w:rPr>
                      <w:color w:val="auto"/>
                    </w:rPr>
                  </w:pPr>
                  <w:r>
                    <w:rPr>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3" w:type="dxa"/>
                  <w:vAlign w:val="center"/>
                </w:tcPr>
                <w:p>
                  <w:pPr>
                    <w:pStyle w:val="15"/>
                    <w:rPr>
                      <w:color w:val="auto"/>
                    </w:rPr>
                  </w:pPr>
                  <w:r>
                    <w:rPr>
                      <w:color w:val="auto"/>
                    </w:rPr>
                    <w:t>1</w:t>
                  </w:r>
                </w:p>
              </w:tc>
              <w:tc>
                <w:tcPr>
                  <w:tcW w:w="2805" w:type="dxa"/>
                  <w:vAlign w:val="center"/>
                </w:tcPr>
                <w:p>
                  <w:pPr>
                    <w:pStyle w:val="15"/>
                    <w:rPr>
                      <w:color w:val="auto"/>
                    </w:rPr>
                  </w:pPr>
                  <w:r>
                    <w:rPr>
                      <w:color w:val="auto"/>
                    </w:rPr>
                    <w:t>符合国家及云南省相关产业政策原则：规划区引进的项目，其工艺、规模及产品应符合国家及云南省相关产业政策要求</w:t>
                  </w:r>
                </w:p>
              </w:tc>
              <w:tc>
                <w:tcPr>
                  <w:tcW w:w="2741" w:type="dxa"/>
                  <w:vAlign w:val="center"/>
                </w:tcPr>
                <w:p>
                  <w:pPr>
                    <w:pStyle w:val="15"/>
                    <w:rPr>
                      <w:color w:val="auto"/>
                    </w:rPr>
                  </w:pPr>
                  <w:r>
                    <w:rPr>
                      <w:rFonts w:hint="eastAsia"/>
                      <w:color w:val="auto"/>
                    </w:rPr>
                    <w:t>本</w:t>
                  </w:r>
                  <w:r>
                    <w:rPr>
                      <w:color w:val="auto"/>
                    </w:rPr>
                    <w:t>项目工艺、规模、产品符合国家及云南省现行产业政策</w:t>
                  </w:r>
                  <w:r>
                    <w:rPr>
                      <w:rFonts w:hint="eastAsia"/>
                      <w:color w:val="auto"/>
                    </w:rPr>
                    <w:t>。</w:t>
                  </w:r>
                </w:p>
              </w:tc>
              <w:tc>
                <w:tcPr>
                  <w:tcW w:w="778"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3" w:type="dxa"/>
                  <w:vAlign w:val="center"/>
                </w:tcPr>
                <w:p>
                  <w:pPr>
                    <w:pStyle w:val="15"/>
                    <w:rPr>
                      <w:color w:val="auto"/>
                    </w:rPr>
                  </w:pPr>
                  <w:r>
                    <w:rPr>
                      <w:color w:val="auto"/>
                    </w:rPr>
                    <w:t>2</w:t>
                  </w:r>
                </w:p>
              </w:tc>
              <w:tc>
                <w:tcPr>
                  <w:tcW w:w="2805" w:type="dxa"/>
                  <w:vAlign w:val="center"/>
                </w:tcPr>
                <w:p>
                  <w:pPr>
                    <w:pStyle w:val="15"/>
                    <w:rPr>
                      <w:color w:val="auto"/>
                    </w:rPr>
                  </w:pPr>
                  <w:r>
                    <w:rPr>
                      <w:color w:val="auto"/>
                    </w:rPr>
                    <w:t>有利于实现晋宁工业园区产业结构的原则：引进的项目，应有利于实现晋宁工业园区产业结构，有利于晋宁工业园区规划目标的达成</w:t>
                  </w:r>
                </w:p>
              </w:tc>
              <w:tc>
                <w:tcPr>
                  <w:tcW w:w="2741" w:type="dxa"/>
                  <w:vAlign w:val="center"/>
                </w:tcPr>
                <w:p>
                  <w:pPr>
                    <w:pStyle w:val="15"/>
                    <w:rPr>
                      <w:color w:val="auto"/>
                    </w:rPr>
                  </w:pPr>
                  <w:r>
                    <w:rPr>
                      <w:rFonts w:hint="eastAsia"/>
                      <w:color w:val="auto"/>
                    </w:rPr>
                    <w:t>本</w:t>
                  </w:r>
                  <w:r>
                    <w:rPr>
                      <w:color w:val="auto"/>
                    </w:rPr>
                    <w:t>项目在现有厂区内进行</w:t>
                  </w:r>
                  <w:r>
                    <w:rPr>
                      <w:rFonts w:hint="eastAsia"/>
                      <w:color w:val="auto"/>
                    </w:rPr>
                    <w:t>改建</w:t>
                  </w:r>
                  <w:r>
                    <w:rPr>
                      <w:color w:val="auto"/>
                    </w:rPr>
                    <w:t>，有利于实现晋宁工业园区产业结构</w:t>
                  </w:r>
                  <w:r>
                    <w:rPr>
                      <w:rFonts w:hint="eastAsia"/>
                      <w:color w:val="auto"/>
                    </w:rPr>
                    <w:t>。</w:t>
                  </w:r>
                </w:p>
              </w:tc>
              <w:tc>
                <w:tcPr>
                  <w:tcW w:w="778"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3" w:type="dxa"/>
                  <w:vAlign w:val="center"/>
                </w:tcPr>
                <w:p>
                  <w:pPr>
                    <w:pStyle w:val="15"/>
                    <w:rPr>
                      <w:color w:val="auto"/>
                    </w:rPr>
                  </w:pPr>
                  <w:r>
                    <w:rPr>
                      <w:color w:val="auto"/>
                    </w:rPr>
                    <w:t>3</w:t>
                  </w:r>
                </w:p>
              </w:tc>
              <w:tc>
                <w:tcPr>
                  <w:tcW w:w="2805" w:type="dxa"/>
                  <w:vAlign w:val="center"/>
                </w:tcPr>
                <w:p>
                  <w:pPr>
                    <w:pStyle w:val="15"/>
                    <w:rPr>
                      <w:color w:val="auto"/>
                    </w:rPr>
                  </w:pPr>
                  <w:r>
                    <w:rPr>
                      <w:color w:val="auto"/>
                    </w:rPr>
                    <w:t>资源节约原则：引进的项目应能够满足资源节约的原则，清洁生产水平应达到国内先进水平以上</w:t>
                  </w:r>
                </w:p>
              </w:tc>
              <w:tc>
                <w:tcPr>
                  <w:tcW w:w="2741" w:type="dxa"/>
                  <w:vAlign w:val="center"/>
                </w:tcPr>
                <w:p>
                  <w:pPr>
                    <w:pStyle w:val="15"/>
                    <w:rPr>
                      <w:color w:val="auto"/>
                    </w:rPr>
                  </w:pPr>
                  <w:r>
                    <w:rPr>
                      <w:rFonts w:hint="eastAsia"/>
                      <w:color w:val="auto"/>
                    </w:rPr>
                    <w:t>本</w:t>
                  </w:r>
                  <w:r>
                    <w:rPr>
                      <w:color w:val="auto"/>
                    </w:rPr>
                    <w:t>项目严格执行环保措施减少污染物排放，</w:t>
                  </w:r>
                  <w:r>
                    <w:rPr>
                      <w:rFonts w:hint="eastAsia"/>
                      <w:color w:val="auto"/>
                    </w:rPr>
                    <w:t>不涉及新增废水产生和排放</w:t>
                  </w:r>
                  <w:r>
                    <w:rPr>
                      <w:color w:val="auto"/>
                    </w:rPr>
                    <w:t>、生产固废综合利用</w:t>
                  </w:r>
                  <w:r>
                    <w:rPr>
                      <w:rFonts w:hint="eastAsia"/>
                      <w:color w:val="auto"/>
                    </w:rPr>
                    <w:t>。</w:t>
                  </w:r>
                </w:p>
              </w:tc>
              <w:tc>
                <w:tcPr>
                  <w:tcW w:w="778"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3" w:type="dxa"/>
                  <w:vAlign w:val="center"/>
                </w:tcPr>
                <w:p>
                  <w:pPr>
                    <w:pStyle w:val="15"/>
                    <w:rPr>
                      <w:color w:val="auto"/>
                    </w:rPr>
                  </w:pPr>
                  <w:r>
                    <w:rPr>
                      <w:color w:val="auto"/>
                    </w:rPr>
                    <w:t>4</w:t>
                  </w:r>
                </w:p>
              </w:tc>
              <w:tc>
                <w:tcPr>
                  <w:tcW w:w="2805" w:type="dxa"/>
                  <w:vAlign w:val="center"/>
                </w:tcPr>
                <w:p>
                  <w:pPr>
                    <w:pStyle w:val="15"/>
                    <w:rPr>
                      <w:color w:val="auto"/>
                    </w:rPr>
                  </w:pPr>
                  <w:r>
                    <w:rPr>
                      <w:color w:val="auto"/>
                    </w:rPr>
                    <w:t>环境友好原则：引进的项目应符合环境友好的原则，优先引进无污染或少污染企业</w:t>
                  </w:r>
                </w:p>
              </w:tc>
              <w:tc>
                <w:tcPr>
                  <w:tcW w:w="2741" w:type="dxa"/>
                  <w:vAlign w:val="center"/>
                </w:tcPr>
                <w:p>
                  <w:pPr>
                    <w:pStyle w:val="15"/>
                    <w:rPr>
                      <w:color w:val="auto"/>
                    </w:rPr>
                  </w:pPr>
                  <w:r>
                    <w:rPr>
                      <w:rFonts w:hint="eastAsia"/>
                      <w:color w:val="auto"/>
                    </w:rPr>
                    <w:t>本</w:t>
                  </w:r>
                  <w:r>
                    <w:rPr>
                      <w:color w:val="auto"/>
                    </w:rPr>
                    <w:t>项目</w:t>
                  </w:r>
                  <w:r>
                    <w:rPr>
                      <w:rFonts w:hint="eastAsia"/>
                      <w:color w:val="auto"/>
                    </w:rPr>
                    <w:t>属一般工业固废综合利用项目，</w:t>
                  </w:r>
                  <w:r>
                    <w:rPr>
                      <w:rFonts w:hint="eastAsia"/>
                      <w:color w:val="auto"/>
                      <w:lang w:val="en-US" w:eastAsia="zh-CN"/>
                    </w:rPr>
                    <w:t>建设前后不新增污染物种类、污染物排放量不增大，故</w:t>
                  </w:r>
                  <w:r>
                    <w:rPr>
                      <w:rFonts w:hint="eastAsia"/>
                      <w:color w:val="auto"/>
                    </w:rPr>
                    <w:t>符合环境友好的原则。</w:t>
                  </w:r>
                </w:p>
              </w:tc>
              <w:tc>
                <w:tcPr>
                  <w:tcW w:w="778"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3" w:type="dxa"/>
                  <w:vAlign w:val="center"/>
                </w:tcPr>
                <w:p>
                  <w:pPr>
                    <w:pStyle w:val="15"/>
                    <w:rPr>
                      <w:color w:val="auto"/>
                    </w:rPr>
                  </w:pPr>
                  <w:r>
                    <w:rPr>
                      <w:color w:val="auto"/>
                    </w:rPr>
                    <w:t>5</w:t>
                  </w:r>
                </w:p>
              </w:tc>
              <w:tc>
                <w:tcPr>
                  <w:tcW w:w="2805" w:type="dxa"/>
                  <w:vAlign w:val="center"/>
                </w:tcPr>
                <w:p>
                  <w:pPr>
                    <w:pStyle w:val="15"/>
                    <w:rPr>
                      <w:color w:val="auto"/>
                    </w:rPr>
                  </w:pPr>
                  <w:r>
                    <w:rPr>
                      <w:color w:val="auto"/>
                    </w:rPr>
                    <w:t>协调发展原则：引进的项目应有利于统筹城乡协调发展，有利于改善区域环境质量</w:t>
                  </w:r>
                </w:p>
              </w:tc>
              <w:tc>
                <w:tcPr>
                  <w:tcW w:w="2741" w:type="dxa"/>
                  <w:vAlign w:val="center"/>
                </w:tcPr>
                <w:p>
                  <w:pPr>
                    <w:pStyle w:val="15"/>
                    <w:rPr>
                      <w:color w:val="auto"/>
                    </w:rPr>
                  </w:pPr>
                  <w:r>
                    <w:rPr>
                      <w:rFonts w:hint="eastAsia"/>
                      <w:color w:val="auto"/>
                    </w:rPr>
                    <w:t>本</w:t>
                  </w:r>
                  <w:r>
                    <w:rPr>
                      <w:color w:val="auto"/>
                    </w:rPr>
                    <w:t>项目符合晋宁工业园区总体规划，满足协调发展原则</w:t>
                  </w:r>
                  <w:r>
                    <w:rPr>
                      <w:rFonts w:hint="eastAsia"/>
                      <w:color w:val="auto"/>
                    </w:rPr>
                    <w:t>。</w:t>
                  </w:r>
                </w:p>
              </w:tc>
              <w:tc>
                <w:tcPr>
                  <w:tcW w:w="778" w:type="dxa"/>
                  <w:vAlign w:val="center"/>
                </w:tcPr>
                <w:p>
                  <w:pPr>
                    <w:pStyle w:val="15"/>
                    <w:rPr>
                      <w:color w:val="auto"/>
                    </w:rPr>
                  </w:pPr>
                  <w:r>
                    <w:rPr>
                      <w:color w:val="auto"/>
                    </w:rPr>
                    <w:t>符合</w:t>
                  </w:r>
                </w:p>
              </w:tc>
            </w:tr>
          </w:tbl>
          <w:p>
            <w:pPr>
              <w:autoSpaceDE w:val="0"/>
              <w:autoSpaceDN w:val="0"/>
              <w:adjustRightInd w:val="0"/>
              <w:snapToGrid w:val="0"/>
              <w:ind w:firstLine="480"/>
              <w:rPr>
                <w:color w:val="auto"/>
              </w:rPr>
            </w:pPr>
            <w:r>
              <w:rPr>
                <w:rFonts w:hint="eastAsia"/>
                <w:color w:val="auto"/>
              </w:rPr>
              <w:t>根据上表分析，建设项目符合《云南晋宁工业园区总体规划修编（2012-2030）环境影响报告书》规划原则。</w:t>
            </w:r>
          </w:p>
          <w:p>
            <w:pPr>
              <w:autoSpaceDE w:val="0"/>
              <w:autoSpaceDN w:val="0"/>
              <w:adjustRightInd w:val="0"/>
              <w:snapToGrid w:val="0"/>
              <w:ind w:firstLine="480"/>
              <w:rPr>
                <w:color w:val="auto"/>
              </w:rPr>
            </w:pPr>
            <w:r>
              <w:rPr>
                <w:rFonts w:hint="eastAsia"/>
                <w:color w:val="auto"/>
              </w:rPr>
              <w:t>建设项目与规划环评提出的入驻项目环保要求相符性分析见下表。</w:t>
            </w:r>
          </w:p>
          <w:p>
            <w:pPr>
              <w:pStyle w:val="14"/>
              <w:rPr>
                <w:color w:val="auto"/>
              </w:rPr>
            </w:pPr>
            <w:r>
              <w:rPr>
                <w:rFonts w:hint="eastAsia"/>
                <w:color w:val="auto"/>
              </w:rPr>
              <w:t>表1-3  与规划环评环保要求相符性分析一览表</w:t>
            </w:r>
          </w:p>
          <w:tbl>
            <w:tblPr>
              <w:tblStyle w:val="11"/>
              <w:tblW w:w="6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2808"/>
              <w:gridCol w:w="2739"/>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91" w:type="dxa"/>
                  <w:vAlign w:val="center"/>
                </w:tcPr>
                <w:p>
                  <w:pPr>
                    <w:pStyle w:val="15"/>
                    <w:rPr>
                      <w:color w:val="auto"/>
                    </w:rPr>
                  </w:pPr>
                  <w:r>
                    <w:rPr>
                      <w:color w:val="auto"/>
                    </w:rPr>
                    <w:t>序号</w:t>
                  </w:r>
                </w:p>
              </w:tc>
              <w:tc>
                <w:tcPr>
                  <w:tcW w:w="2808" w:type="dxa"/>
                  <w:vAlign w:val="center"/>
                </w:tcPr>
                <w:p>
                  <w:pPr>
                    <w:pStyle w:val="15"/>
                    <w:rPr>
                      <w:color w:val="auto"/>
                    </w:rPr>
                  </w:pPr>
                  <w:r>
                    <w:rPr>
                      <w:color w:val="auto"/>
                    </w:rPr>
                    <w:t>环保要求</w:t>
                  </w:r>
                </w:p>
              </w:tc>
              <w:tc>
                <w:tcPr>
                  <w:tcW w:w="2739" w:type="dxa"/>
                  <w:vAlign w:val="center"/>
                </w:tcPr>
                <w:p>
                  <w:pPr>
                    <w:pStyle w:val="15"/>
                    <w:rPr>
                      <w:color w:val="auto"/>
                    </w:rPr>
                  </w:pPr>
                  <w:r>
                    <w:rPr>
                      <w:color w:val="auto"/>
                    </w:rPr>
                    <w:t>建设情况</w:t>
                  </w:r>
                </w:p>
              </w:tc>
              <w:tc>
                <w:tcPr>
                  <w:tcW w:w="778" w:type="dxa"/>
                  <w:vAlign w:val="center"/>
                </w:tcPr>
                <w:p>
                  <w:pPr>
                    <w:pStyle w:val="15"/>
                    <w:rPr>
                      <w:color w:val="auto"/>
                    </w:rPr>
                  </w:pPr>
                  <w:r>
                    <w:rPr>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91" w:type="dxa"/>
                  <w:vAlign w:val="center"/>
                </w:tcPr>
                <w:p>
                  <w:pPr>
                    <w:pStyle w:val="15"/>
                    <w:rPr>
                      <w:color w:val="auto"/>
                    </w:rPr>
                  </w:pPr>
                  <w:r>
                    <w:rPr>
                      <w:color w:val="auto"/>
                    </w:rPr>
                    <w:t>1</w:t>
                  </w:r>
                </w:p>
              </w:tc>
              <w:tc>
                <w:tcPr>
                  <w:tcW w:w="2808" w:type="dxa"/>
                  <w:vAlign w:val="center"/>
                </w:tcPr>
                <w:p>
                  <w:pPr>
                    <w:pStyle w:val="15"/>
                    <w:rPr>
                      <w:color w:val="auto"/>
                    </w:rPr>
                  </w:pPr>
                  <w:r>
                    <w:rPr>
                      <w:color w:val="auto"/>
                    </w:rPr>
                    <w:t>项目必须实现达标排放，同时满足规划区总量控制要求</w:t>
                  </w:r>
                </w:p>
              </w:tc>
              <w:tc>
                <w:tcPr>
                  <w:tcW w:w="2739" w:type="dxa"/>
                  <w:vAlign w:val="center"/>
                </w:tcPr>
                <w:p>
                  <w:pPr>
                    <w:pStyle w:val="15"/>
                    <w:rPr>
                      <w:color w:val="auto"/>
                    </w:rPr>
                  </w:pPr>
                  <w:r>
                    <w:rPr>
                      <w:color w:val="auto"/>
                    </w:rPr>
                    <w:t>经</w:t>
                  </w:r>
                  <w:r>
                    <w:rPr>
                      <w:rFonts w:hint="eastAsia"/>
                      <w:color w:val="auto"/>
                      <w:lang w:val="en-US" w:eastAsia="zh-CN"/>
                    </w:rPr>
                    <w:t>工程</w:t>
                  </w:r>
                  <w:r>
                    <w:rPr>
                      <w:color w:val="auto"/>
                    </w:rPr>
                    <w:t>分析项目</w:t>
                  </w:r>
                  <w:r>
                    <w:rPr>
                      <w:rFonts w:hint="eastAsia"/>
                      <w:color w:val="auto"/>
                    </w:rPr>
                    <w:t>实现</w:t>
                  </w:r>
                  <w:r>
                    <w:rPr>
                      <w:color w:val="auto"/>
                    </w:rPr>
                    <w:t>达标排放，排放总量满足区域总量控制</w:t>
                  </w:r>
                  <w:r>
                    <w:rPr>
                      <w:rFonts w:hint="eastAsia"/>
                      <w:color w:val="auto"/>
                    </w:rPr>
                    <w:t>。</w:t>
                  </w:r>
                </w:p>
              </w:tc>
              <w:tc>
                <w:tcPr>
                  <w:tcW w:w="778"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91" w:type="dxa"/>
                  <w:vAlign w:val="center"/>
                </w:tcPr>
                <w:p>
                  <w:pPr>
                    <w:pStyle w:val="15"/>
                    <w:rPr>
                      <w:color w:val="auto"/>
                    </w:rPr>
                  </w:pPr>
                  <w:r>
                    <w:rPr>
                      <w:color w:val="auto"/>
                    </w:rPr>
                    <w:t>2</w:t>
                  </w:r>
                </w:p>
              </w:tc>
              <w:tc>
                <w:tcPr>
                  <w:tcW w:w="2808" w:type="dxa"/>
                  <w:vAlign w:val="center"/>
                </w:tcPr>
                <w:p>
                  <w:pPr>
                    <w:pStyle w:val="15"/>
                    <w:rPr>
                      <w:color w:val="auto"/>
                    </w:rPr>
                  </w:pPr>
                  <w:r>
                    <w:rPr>
                      <w:color w:val="auto"/>
                    </w:rPr>
                    <w:t>入驻项目应采取满足达标排放要求、运行稳定、技术先进、经济效益好的污染治理设施、措施</w:t>
                  </w:r>
                </w:p>
              </w:tc>
              <w:tc>
                <w:tcPr>
                  <w:tcW w:w="2739" w:type="dxa"/>
                  <w:vAlign w:val="center"/>
                </w:tcPr>
                <w:p>
                  <w:pPr>
                    <w:pStyle w:val="15"/>
                    <w:rPr>
                      <w:color w:val="auto"/>
                    </w:rPr>
                  </w:pPr>
                  <w:r>
                    <w:rPr>
                      <w:rFonts w:hint="eastAsia"/>
                      <w:color w:val="auto"/>
                    </w:rPr>
                    <w:t>本</w:t>
                  </w:r>
                  <w:r>
                    <w:rPr>
                      <w:color w:val="auto"/>
                    </w:rPr>
                    <w:t>项目采取</w:t>
                  </w:r>
                  <w:r>
                    <w:rPr>
                      <w:rFonts w:hint="eastAsia"/>
                      <w:color w:val="auto"/>
                    </w:rPr>
                    <w:t>了</w:t>
                  </w:r>
                  <w:r>
                    <w:rPr>
                      <w:color w:val="auto"/>
                    </w:rPr>
                    <w:t>满足达标排放要求、运行稳定、技术先进、经济效益好的污染治理设施、措施</w:t>
                  </w:r>
                  <w:r>
                    <w:rPr>
                      <w:rFonts w:hint="eastAsia"/>
                      <w:color w:val="auto"/>
                    </w:rPr>
                    <w:t>。</w:t>
                  </w:r>
                </w:p>
              </w:tc>
              <w:tc>
                <w:tcPr>
                  <w:tcW w:w="778"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91" w:type="dxa"/>
                  <w:vAlign w:val="center"/>
                </w:tcPr>
                <w:p>
                  <w:pPr>
                    <w:pStyle w:val="15"/>
                    <w:rPr>
                      <w:color w:val="auto"/>
                    </w:rPr>
                  </w:pPr>
                  <w:r>
                    <w:rPr>
                      <w:color w:val="auto"/>
                    </w:rPr>
                    <w:t>3</w:t>
                  </w:r>
                </w:p>
              </w:tc>
              <w:tc>
                <w:tcPr>
                  <w:tcW w:w="2808" w:type="dxa"/>
                  <w:vAlign w:val="center"/>
                </w:tcPr>
                <w:p>
                  <w:pPr>
                    <w:pStyle w:val="15"/>
                    <w:rPr>
                      <w:color w:val="auto"/>
                    </w:rPr>
                  </w:pPr>
                  <w:r>
                    <w:rPr>
                      <w:color w:val="auto"/>
                    </w:rPr>
                    <w:t>入驻企业产生的各种工业固体废弃物，应满足“减量化、资源化、无害化”要求，实现废物的零排放</w:t>
                  </w:r>
                </w:p>
              </w:tc>
              <w:tc>
                <w:tcPr>
                  <w:tcW w:w="2739" w:type="dxa"/>
                  <w:vAlign w:val="center"/>
                </w:tcPr>
                <w:p>
                  <w:pPr>
                    <w:pStyle w:val="15"/>
                    <w:rPr>
                      <w:color w:val="auto"/>
                    </w:rPr>
                  </w:pPr>
                  <w:r>
                    <w:rPr>
                      <w:rFonts w:hint="eastAsia"/>
                      <w:color w:val="auto"/>
                    </w:rPr>
                    <w:t>本</w:t>
                  </w:r>
                  <w:r>
                    <w:rPr>
                      <w:color w:val="auto"/>
                    </w:rPr>
                    <w:t>项目固体废物能回收利用的</w:t>
                  </w:r>
                  <w:r>
                    <w:rPr>
                      <w:rFonts w:hint="eastAsia"/>
                      <w:color w:val="auto"/>
                    </w:rPr>
                    <w:t>均</w:t>
                  </w:r>
                  <w:r>
                    <w:rPr>
                      <w:color w:val="auto"/>
                    </w:rPr>
                    <w:t>回收</w:t>
                  </w:r>
                  <w:r>
                    <w:rPr>
                      <w:rFonts w:hint="eastAsia"/>
                      <w:color w:val="auto"/>
                    </w:rPr>
                    <w:t>利用</w:t>
                  </w:r>
                  <w:r>
                    <w:rPr>
                      <w:color w:val="auto"/>
                    </w:rPr>
                    <w:t>，不能回收利用的100%妥善处置，零排放</w:t>
                  </w:r>
                  <w:r>
                    <w:rPr>
                      <w:rFonts w:hint="eastAsia"/>
                      <w:color w:val="auto"/>
                    </w:rPr>
                    <w:t>。</w:t>
                  </w:r>
                </w:p>
              </w:tc>
              <w:tc>
                <w:tcPr>
                  <w:tcW w:w="778"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91" w:type="dxa"/>
                  <w:vAlign w:val="center"/>
                </w:tcPr>
                <w:p>
                  <w:pPr>
                    <w:pStyle w:val="15"/>
                    <w:rPr>
                      <w:color w:val="auto"/>
                    </w:rPr>
                  </w:pPr>
                  <w:r>
                    <w:rPr>
                      <w:color w:val="auto"/>
                    </w:rPr>
                    <w:t>4</w:t>
                  </w:r>
                </w:p>
              </w:tc>
              <w:tc>
                <w:tcPr>
                  <w:tcW w:w="2808" w:type="dxa"/>
                  <w:vAlign w:val="center"/>
                </w:tcPr>
                <w:p>
                  <w:pPr>
                    <w:pStyle w:val="15"/>
                    <w:rPr>
                      <w:color w:val="auto"/>
                    </w:rPr>
                  </w:pPr>
                  <w:r>
                    <w:rPr>
                      <w:color w:val="auto"/>
                    </w:rPr>
                    <w:t>限制发展高耗水、高排水产业</w:t>
                  </w:r>
                </w:p>
              </w:tc>
              <w:tc>
                <w:tcPr>
                  <w:tcW w:w="2739" w:type="dxa"/>
                  <w:vAlign w:val="center"/>
                </w:tcPr>
                <w:p>
                  <w:pPr>
                    <w:pStyle w:val="15"/>
                    <w:rPr>
                      <w:color w:val="auto"/>
                    </w:rPr>
                  </w:pPr>
                  <w:r>
                    <w:rPr>
                      <w:rFonts w:hint="eastAsia"/>
                      <w:color w:val="auto"/>
                    </w:rPr>
                    <w:t>本项目</w:t>
                  </w:r>
                  <w:r>
                    <w:rPr>
                      <w:color w:val="auto"/>
                    </w:rPr>
                    <w:t>不属于高耗水、高排水产业</w:t>
                  </w:r>
                  <w:r>
                    <w:rPr>
                      <w:rFonts w:hint="eastAsia"/>
                      <w:color w:val="auto"/>
                    </w:rPr>
                    <w:t>。</w:t>
                  </w:r>
                </w:p>
              </w:tc>
              <w:tc>
                <w:tcPr>
                  <w:tcW w:w="778"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91" w:type="dxa"/>
                  <w:vAlign w:val="center"/>
                </w:tcPr>
                <w:p>
                  <w:pPr>
                    <w:pStyle w:val="15"/>
                    <w:rPr>
                      <w:color w:val="auto"/>
                    </w:rPr>
                  </w:pPr>
                  <w:r>
                    <w:rPr>
                      <w:color w:val="auto"/>
                    </w:rPr>
                    <w:t>5</w:t>
                  </w:r>
                </w:p>
              </w:tc>
              <w:tc>
                <w:tcPr>
                  <w:tcW w:w="2808"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入驻企业清洁生产水平应达到国内先进水平以上</w:t>
                  </w:r>
                </w:p>
              </w:tc>
              <w:tc>
                <w:tcPr>
                  <w:tcW w:w="2739"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项目使用电能，严格执行环保措施，</w:t>
                  </w:r>
                  <w:r>
                    <w:rPr>
                      <w:rFonts w:hint="eastAsia"/>
                      <w:color w:val="auto"/>
                    </w:rPr>
                    <w:t>项目不涉及新增废水产生和排放</w:t>
                  </w:r>
                  <w:r>
                    <w:rPr>
                      <w:color w:val="auto"/>
                    </w:rPr>
                    <w:t>，生产固废实现综合利用，满足清洁生产原则</w:t>
                  </w:r>
                  <w:r>
                    <w:rPr>
                      <w:rFonts w:hint="eastAsia"/>
                      <w:color w:val="auto"/>
                    </w:rPr>
                    <w:t>。</w:t>
                  </w:r>
                </w:p>
              </w:tc>
              <w:tc>
                <w:tcPr>
                  <w:tcW w:w="778"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91" w:type="dxa"/>
                  <w:vAlign w:val="center"/>
                </w:tcPr>
                <w:p>
                  <w:pPr>
                    <w:pStyle w:val="15"/>
                    <w:rPr>
                      <w:color w:val="auto"/>
                    </w:rPr>
                  </w:pPr>
                  <w:r>
                    <w:rPr>
                      <w:color w:val="auto"/>
                    </w:rPr>
                    <w:t>6</w:t>
                  </w:r>
                </w:p>
              </w:tc>
              <w:tc>
                <w:tcPr>
                  <w:tcW w:w="2808"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滇池流域不得引进违反《云南省滇池保护条例》限制或禁止建设的项目，即：严禁在滇池盆地区（上蒜、晋城、青山、宝峰、乌龙基地）新建钢铁、有色冶金、基础化工、石油化工、化肥、农药、电镀、造纸制浆、制革、印染、石棉制品、土硫磺、土磷肥和染料等污染严重的企业和项目</w:t>
                  </w:r>
                </w:p>
              </w:tc>
              <w:tc>
                <w:tcPr>
                  <w:tcW w:w="2739"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rPr>
                    <w:t>本</w:t>
                  </w:r>
                  <w:r>
                    <w:rPr>
                      <w:color w:val="auto"/>
                    </w:rPr>
                    <w:t>项目</w:t>
                  </w:r>
                  <w:r>
                    <w:rPr>
                      <w:rFonts w:hint="eastAsia"/>
                      <w:color w:val="auto"/>
                      <w:lang w:val="en-US" w:eastAsia="zh-CN"/>
                    </w:rPr>
                    <w:t>为改建项目，</w:t>
                  </w:r>
                  <w:r>
                    <w:rPr>
                      <w:color w:val="auto"/>
                    </w:rPr>
                    <w:t>不属于条例中严禁建设的</w:t>
                  </w:r>
                  <w:r>
                    <w:rPr>
                      <w:rFonts w:hint="eastAsia"/>
                      <w:color w:val="auto"/>
                      <w:lang w:val="en-US" w:eastAsia="zh-CN"/>
                    </w:rPr>
                    <w:t>新建</w:t>
                  </w:r>
                  <w:r>
                    <w:rPr>
                      <w:color w:val="auto"/>
                    </w:rPr>
                    <w:t>项目</w:t>
                  </w:r>
                  <w:r>
                    <w:rPr>
                      <w:rFonts w:hint="eastAsia"/>
                      <w:color w:val="auto"/>
                    </w:rPr>
                    <w:t>。</w:t>
                  </w:r>
                </w:p>
              </w:tc>
              <w:tc>
                <w:tcPr>
                  <w:tcW w:w="778"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91" w:type="dxa"/>
                  <w:vAlign w:val="center"/>
                </w:tcPr>
                <w:p>
                  <w:pPr>
                    <w:pStyle w:val="15"/>
                    <w:rPr>
                      <w:color w:val="auto"/>
                    </w:rPr>
                  </w:pPr>
                  <w:r>
                    <w:rPr>
                      <w:color w:val="auto"/>
                    </w:rPr>
                    <w:t>7</w:t>
                  </w:r>
                </w:p>
              </w:tc>
              <w:tc>
                <w:tcPr>
                  <w:tcW w:w="2808"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满足规划区功能定位及产业结构的企业，只有满足上述要求后方能进驻</w:t>
                  </w:r>
                </w:p>
              </w:tc>
              <w:tc>
                <w:tcPr>
                  <w:tcW w:w="2739"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rPr>
                    <w:t>本</w:t>
                  </w:r>
                  <w:r>
                    <w:rPr>
                      <w:color w:val="auto"/>
                    </w:rPr>
                    <w:t>项目满足规划区功能定位及产业结构</w:t>
                  </w:r>
                  <w:r>
                    <w:rPr>
                      <w:rFonts w:hint="eastAsia"/>
                      <w:color w:val="auto"/>
                    </w:rPr>
                    <w:t>。</w:t>
                  </w:r>
                </w:p>
              </w:tc>
              <w:tc>
                <w:tcPr>
                  <w:tcW w:w="778"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符合</w:t>
                  </w:r>
                </w:p>
              </w:tc>
            </w:tr>
          </w:tbl>
          <w:p>
            <w:pPr>
              <w:autoSpaceDE w:val="0"/>
              <w:autoSpaceDN w:val="0"/>
              <w:adjustRightInd w:val="0"/>
              <w:snapToGrid w:val="0"/>
              <w:ind w:firstLine="480"/>
              <w:rPr>
                <w:color w:val="auto"/>
              </w:rPr>
            </w:pPr>
            <w:r>
              <w:rPr>
                <w:rFonts w:hint="eastAsia"/>
                <w:color w:val="auto"/>
              </w:rPr>
              <w:t>根据上表分析，建设项目符合《云南晋宁工业园区总体规划修编（2012-2030）环境影响报告书》入园环保要求。</w:t>
            </w:r>
          </w:p>
          <w:p>
            <w:pPr>
              <w:autoSpaceDE w:val="0"/>
              <w:autoSpaceDN w:val="0"/>
              <w:adjustRightInd w:val="0"/>
              <w:snapToGrid w:val="0"/>
              <w:ind w:firstLine="480"/>
              <w:rPr>
                <w:color w:val="auto"/>
              </w:rPr>
            </w:pPr>
            <w:r>
              <w:rPr>
                <w:rFonts w:hint="eastAsia"/>
                <w:color w:val="auto"/>
              </w:rPr>
              <w:t>（2）与云南省环境保护厅《关于&lt;晋宁工业园区总体规划修编（2012-2030）环境影响报告书&gt;审查意见的函》（云环函〔2014〕131号）相符性分析</w:t>
            </w:r>
          </w:p>
          <w:p>
            <w:pPr>
              <w:autoSpaceDE w:val="0"/>
              <w:autoSpaceDN w:val="0"/>
              <w:adjustRightInd w:val="0"/>
              <w:snapToGrid w:val="0"/>
              <w:ind w:firstLine="480"/>
              <w:rPr>
                <w:color w:val="auto"/>
              </w:rPr>
            </w:pPr>
            <w:r>
              <w:rPr>
                <w:rFonts w:hint="eastAsia"/>
                <w:color w:val="auto"/>
              </w:rPr>
              <w:t>建设项目与审查意见相符性分析详见下表。</w:t>
            </w:r>
          </w:p>
          <w:p>
            <w:pPr>
              <w:pStyle w:val="14"/>
              <w:rPr>
                <w:color w:val="auto"/>
              </w:rPr>
            </w:pPr>
            <w:r>
              <w:rPr>
                <w:color w:val="auto"/>
              </w:rPr>
              <w:t>表1-</w:t>
            </w:r>
            <w:r>
              <w:rPr>
                <w:rFonts w:hint="eastAsia"/>
                <w:color w:val="auto"/>
              </w:rPr>
              <w:t>4</w:t>
            </w:r>
            <w:r>
              <w:rPr>
                <w:color w:val="auto"/>
              </w:rPr>
              <w:t xml:space="preserve"> 与审查意见相符性分析一览表</w:t>
            </w:r>
          </w:p>
          <w:tbl>
            <w:tblPr>
              <w:tblStyle w:val="11"/>
              <w:tblW w:w="6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3287"/>
              <w:gridCol w:w="2338"/>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Align w:val="center"/>
                </w:tcPr>
                <w:p>
                  <w:pPr>
                    <w:pStyle w:val="15"/>
                    <w:rPr>
                      <w:color w:val="auto"/>
                    </w:rPr>
                  </w:pPr>
                  <w:r>
                    <w:rPr>
                      <w:color w:val="auto"/>
                    </w:rPr>
                    <w:t>类型</w:t>
                  </w:r>
                </w:p>
              </w:tc>
              <w:tc>
                <w:tcPr>
                  <w:tcW w:w="3287" w:type="dxa"/>
                  <w:vAlign w:val="center"/>
                </w:tcPr>
                <w:p>
                  <w:pPr>
                    <w:pStyle w:val="15"/>
                    <w:rPr>
                      <w:color w:val="auto"/>
                    </w:rPr>
                  </w:pPr>
                  <w:r>
                    <w:rPr>
                      <w:color w:val="auto"/>
                    </w:rPr>
                    <w:t>审查意见要求</w:t>
                  </w:r>
                </w:p>
              </w:tc>
              <w:tc>
                <w:tcPr>
                  <w:tcW w:w="2338" w:type="dxa"/>
                  <w:vAlign w:val="center"/>
                </w:tcPr>
                <w:p>
                  <w:pPr>
                    <w:pStyle w:val="15"/>
                    <w:rPr>
                      <w:color w:val="auto"/>
                    </w:rPr>
                  </w:pPr>
                  <w:r>
                    <w:rPr>
                      <w:color w:val="auto"/>
                    </w:rPr>
                    <w:t>建设情况</w:t>
                  </w:r>
                </w:p>
              </w:tc>
              <w:tc>
                <w:tcPr>
                  <w:tcW w:w="700" w:type="dxa"/>
                  <w:vAlign w:val="center"/>
                </w:tcPr>
                <w:p>
                  <w:pPr>
                    <w:pStyle w:val="15"/>
                    <w:rPr>
                      <w:color w:val="auto"/>
                    </w:rPr>
                  </w:pPr>
                  <w:r>
                    <w:rPr>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restart"/>
                  <w:vAlign w:val="center"/>
                </w:tcPr>
                <w:p>
                  <w:pPr>
                    <w:pStyle w:val="15"/>
                    <w:rPr>
                      <w:color w:val="auto"/>
                    </w:rPr>
                  </w:pPr>
                  <w:r>
                    <w:rPr>
                      <w:color w:val="auto"/>
                    </w:rPr>
                    <w:t>大气污染防治措施及要求</w:t>
                  </w:r>
                </w:p>
              </w:tc>
              <w:tc>
                <w:tcPr>
                  <w:tcW w:w="3287" w:type="dxa"/>
                  <w:vAlign w:val="center"/>
                </w:tcPr>
                <w:p>
                  <w:pPr>
                    <w:pStyle w:val="15"/>
                    <w:rPr>
                      <w:color w:val="auto"/>
                    </w:rPr>
                  </w:pPr>
                  <w:r>
                    <w:rPr>
                      <w:color w:val="auto"/>
                    </w:rPr>
                    <w:t>①从规划园区产业布局方面，应合理调整产业、行业、企业布局</w:t>
                  </w:r>
                </w:p>
              </w:tc>
              <w:tc>
                <w:tcPr>
                  <w:tcW w:w="2338" w:type="dxa"/>
                  <w:vAlign w:val="center"/>
                </w:tcPr>
                <w:p>
                  <w:pPr>
                    <w:pStyle w:val="15"/>
                    <w:rPr>
                      <w:color w:val="auto"/>
                    </w:rPr>
                  </w:pPr>
                  <w:r>
                    <w:rPr>
                      <w:rFonts w:hint="eastAsia"/>
                      <w:color w:val="auto"/>
                    </w:rPr>
                    <w:t>本</w:t>
                  </w:r>
                  <w:r>
                    <w:rPr>
                      <w:color w:val="auto"/>
                    </w:rPr>
                    <w:t>项目与工业园区规划不冲突</w:t>
                  </w:r>
                  <w:r>
                    <w:rPr>
                      <w:rFonts w:hint="eastAsia"/>
                      <w:color w:val="auto"/>
                    </w:rPr>
                    <w:t>。</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vAlign w:val="center"/>
                </w:tcPr>
                <w:p>
                  <w:pPr>
                    <w:pStyle w:val="15"/>
                    <w:rPr>
                      <w:color w:val="auto"/>
                    </w:rPr>
                  </w:pPr>
                </w:p>
              </w:tc>
              <w:tc>
                <w:tcPr>
                  <w:tcW w:w="3287" w:type="dxa"/>
                  <w:vAlign w:val="center"/>
                </w:tcPr>
                <w:p>
                  <w:pPr>
                    <w:pStyle w:val="15"/>
                    <w:rPr>
                      <w:color w:val="auto"/>
                    </w:rPr>
                  </w:pPr>
                  <w:r>
                    <w:rPr>
                      <w:color w:val="auto"/>
                    </w:rPr>
                    <w:t>②从严格筛选入园企业入手，鼓励能耗低、工艺设备先进、排放废气污染物较少的企业入园。禁止不符合国家和地方产业政策的项目，以及列入《严重污染环境（大气）的淘汰工艺和设备名录》的项目进入园区</w:t>
                  </w:r>
                </w:p>
              </w:tc>
              <w:tc>
                <w:tcPr>
                  <w:tcW w:w="2338" w:type="dxa"/>
                  <w:vAlign w:val="center"/>
                </w:tcPr>
                <w:p>
                  <w:pPr>
                    <w:pStyle w:val="15"/>
                    <w:rPr>
                      <w:color w:val="auto"/>
                    </w:rPr>
                  </w:pPr>
                  <w:r>
                    <w:rPr>
                      <w:rFonts w:hint="eastAsia"/>
                      <w:color w:val="auto"/>
                    </w:rPr>
                    <w:t>本</w:t>
                  </w:r>
                  <w:r>
                    <w:rPr>
                      <w:color w:val="auto"/>
                    </w:rPr>
                    <w:t>项目符合国家和地方产业政策</w:t>
                  </w:r>
                  <w:r>
                    <w:rPr>
                      <w:rFonts w:hint="eastAsia"/>
                      <w:color w:val="auto"/>
                    </w:rPr>
                    <w:t>，不属于</w:t>
                  </w:r>
                  <w:r>
                    <w:rPr>
                      <w:color w:val="auto"/>
                    </w:rPr>
                    <w:t>列入《严重污染环境（大气）的淘汰工艺和设备名录》的项目</w:t>
                  </w:r>
                  <w:r>
                    <w:rPr>
                      <w:rFonts w:hint="eastAsia"/>
                      <w:color w:val="auto"/>
                    </w:rPr>
                    <w:t>。</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vAlign w:val="center"/>
                </w:tcPr>
                <w:p>
                  <w:pPr>
                    <w:pStyle w:val="15"/>
                    <w:rPr>
                      <w:color w:val="auto"/>
                    </w:rPr>
                  </w:pPr>
                </w:p>
              </w:tc>
              <w:tc>
                <w:tcPr>
                  <w:tcW w:w="3287" w:type="dxa"/>
                  <w:vAlign w:val="center"/>
                </w:tcPr>
                <w:p>
                  <w:pPr>
                    <w:pStyle w:val="15"/>
                    <w:rPr>
                      <w:color w:val="auto"/>
                    </w:rPr>
                  </w:pPr>
                  <w:r>
                    <w:rPr>
                      <w:color w:val="auto"/>
                    </w:rPr>
                    <w:t>③园区应结合中缅输油管道的建设，应大力推行清洁能源的使用，不断提高清洁能源的比例；建议考虑集中供热</w:t>
                  </w:r>
                </w:p>
              </w:tc>
              <w:tc>
                <w:tcPr>
                  <w:tcW w:w="2338" w:type="dxa"/>
                  <w:vAlign w:val="center"/>
                </w:tcPr>
                <w:p>
                  <w:pPr>
                    <w:pStyle w:val="15"/>
                    <w:rPr>
                      <w:color w:val="auto"/>
                    </w:rPr>
                  </w:pPr>
                  <w:r>
                    <w:rPr>
                      <w:rFonts w:hint="eastAsia"/>
                      <w:color w:val="auto"/>
                    </w:rPr>
                    <w:t>本</w:t>
                  </w:r>
                  <w:r>
                    <w:rPr>
                      <w:color w:val="auto"/>
                    </w:rPr>
                    <w:t>项目</w:t>
                  </w:r>
                  <w:r>
                    <w:rPr>
                      <w:rFonts w:hint="eastAsia"/>
                      <w:color w:val="auto"/>
                    </w:rPr>
                    <w:t>能源使用以电能为主，电能属清洁能源所在区域暂无</w:t>
                  </w:r>
                  <w:r>
                    <w:rPr>
                      <w:color w:val="auto"/>
                    </w:rPr>
                    <w:t>集中供热</w:t>
                  </w:r>
                  <w:r>
                    <w:rPr>
                      <w:rFonts w:hint="eastAsia"/>
                      <w:color w:val="auto"/>
                    </w:rPr>
                    <w:t>设施。</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vAlign w:val="center"/>
                </w:tcPr>
                <w:p>
                  <w:pPr>
                    <w:pStyle w:val="15"/>
                    <w:rPr>
                      <w:color w:val="auto"/>
                    </w:rPr>
                  </w:pPr>
                </w:p>
              </w:tc>
              <w:tc>
                <w:tcPr>
                  <w:tcW w:w="3287" w:type="dxa"/>
                  <w:vAlign w:val="center"/>
                </w:tcPr>
                <w:p>
                  <w:pPr>
                    <w:pStyle w:val="15"/>
                    <w:rPr>
                      <w:color w:val="auto"/>
                    </w:rPr>
                  </w:pPr>
                  <w:r>
                    <w:rPr>
                      <w:color w:val="auto"/>
                    </w:rPr>
                    <w:t>④严格项目生产运营中的废气污染源控制，推行清洁生产，降低能耗、物耗；加强无组织排放粉尘、工艺废气的控制。产生的废气应处理达标后才可以排放</w:t>
                  </w:r>
                </w:p>
              </w:tc>
              <w:tc>
                <w:tcPr>
                  <w:tcW w:w="2338" w:type="dxa"/>
                  <w:vAlign w:val="center"/>
                </w:tcPr>
                <w:p>
                  <w:pPr>
                    <w:pStyle w:val="15"/>
                    <w:rPr>
                      <w:color w:val="auto"/>
                    </w:rPr>
                  </w:pPr>
                  <w:r>
                    <w:rPr>
                      <w:rFonts w:hint="eastAsia"/>
                      <w:color w:val="auto"/>
                    </w:rPr>
                    <w:t>本</w:t>
                  </w:r>
                  <w:r>
                    <w:rPr>
                      <w:color w:val="auto"/>
                    </w:rPr>
                    <w:t>项目产生的废气</w:t>
                  </w:r>
                  <w:r>
                    <w:rPr>
                      <w:rFonts w:hint="eastAsia"/>
                      <w:color w:val="auto"/>
                    </w:rPr>
                    <w:t>均</w:t>
                  </w:r>
                  <w:r>
                    <w:rPr>
                      <w:color w:val="auto"/>
                    </w:rPr>
                    <w:t>处理达标后才排放</w:t>
                  </w:r>
                  <w:r>
                    <w:rPr>
                      <w:rFonts w:hint="eastAsia"/>
                      <w:color w:val="auto"/>
                    </w:rPr>
                    <w:t>。</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vAlign w:val="center"/>
                </w:tcPr>
                <w:p>
                  <w:pPr>
                    <w:pStyle w:val="15"/>
                    <w:rPr>
                      <w:color w:val="auto"/>
                    </w:rPr>
                  </w:pPr>
                </w:p>
              </w:tc>
              <w:tc>
                <w:tcPr>
                  <w:tcW w:w="3287" w:type="dxa"/>
                  <w:vAlign w:val="center"/>
                </w:tcPr>
                <w:p>
                  <w:pPr>
                    <w:pStyle w:val="15"/>
                    <w:rPr>
                      <w:color w:val="auto"/>
                    </w:rPr>
                  </w:pPr>
                  <w:r>
                    <w:rPr>
                      <w:color w:val="auto"/>
                    </w:rPr>
                    <w:t>⑤对大气污染物实行严格的总量控制，园区应削减现有企业排污量，近、中、远期应分别达到区域环境总量控制目标。通过对现有企业的排放量进行削减，严格控制新入园企业的排放量，以及区域削减，实现园区排污总量达标，为新建项目腾出总量指标。对于SO</w:t>
                  </w:r>
                  <w:r>
                    <w:rPr>
                      <w:color w:val="auto"/>
                      <w:vertAlign w:val="subscript"/>
                    </w:rPr>
                    <w:t>2</w:t>
                  </w:r>
                  <w:r>
                    <w:rPr>
                      <w:color w:val="auto"/>
                    </w:rPr>
                    <w:t>、NO</w:t>
                  </w:r>
                  <w:r>
                    <w:rPr>
                      <w:color w:val="auto"/>
                      <w:vertAlign w:val="subscript"/>
                    </w:rPr>
                    <w:t>X</w:t>
                  </w:r>
                  <w:r>
                    <w:rPr>
                      <w:color w:val="auto"/>
                    </w:rPr>
                    <w:t>、烟（粉）尘等大气污染物，要求各企业严格进行治理，达标排放</w:t>
                  </w:r>
                </w:p>
              </w:tc>
              <w:tc>
                <w:tcPr>
                  <w:tcW w:w="2338" w:type="dxa"/>
                  <w:vAlign w:val="center"/>
                </w:tcPr>
                <w:p>
                  <w:pPr>
                    <w:pStyle w:val="15"/>
                    <w:rPr>
                      <w:color w:val="auto"/>
                    </w:rPr>
                  </w:pPr>
                  <w:r>
                    <w:rPr>
                      <w:rFonts w:hint="eastAsia"/>
                      <w:color w:val="auto"/>
                    </w:rPr>
                    <w:t>本</w:t>
                  </w:r>
                  <w:r>
                    <w:rPr>
                      <w:color w:val="auto"/>
                    </w:rPr>
                    <w:t>项目</w:t>
                  </w:r>
                  <w:r>
                    <w:rPr>
                      <w:rFonts w:hint="eastAsia"/>
                      <w:color w:val="auto"/>
                    </w:rPr>
                    <w:t>外排废气均</w:t>
                  </w:r>
                  <w:r>
                    <w:rPr>
                      <w:color w:val="auto"/>
                    </w:rPr>
                    <w:t>实现达标排放</w:t>
                  </w:r>
                  <w:r>
                    <w:rPr>
                      <w:rFonts w:hint="eastAsia"/>
                      <w:color w:val="auto"/>
                    </w:rPr>
                    <w:t>。</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restart"/>
                  <w:vAlign w:val="center"/>
                </w:tcPr>
                <w:p>
                  <w:pPr>
                    <w:pStyle w:val="15"/>
                    <w:rPr>
                      <w:color w:val="auto"/>
                    </w:rPr>
                  </w:pPr>
                  <w:r>
                    <w:rPr>
                      <w:color w:val="auto"/>
                    </w:rPr>
                    <w:t>水环境污染防治措施及要求</w:t>
                  </w:r>
                </w:p>
              </w:tc>
              <w:tc>
                <w:tcPr>
                  <w:tcW w:w="3287" w:type="dxa"/>
                  <w:vAlign w:val="center"/>
                </w:tcPr>
                <w:p>
                  <w:pPr>
                    <w:pStyle w:val="15"/>
                    <w:rPr>
                      <w:color w:val="auto"/>
                    </w:rPr>
                  </w:pPr>
                  <w:r>
                    <w:rPr>
                      <w:color w:val="auto"/>
                    </w:rPr>
                    <w:t>①园区采用雨污分流制，雨水经园区雨水管道收集后，分别汇入二街河、大河、柴河、东大河及古城河等地表水体</w:t>
                  </w:r>
                </w:p>
              </w:tc>
              <w:tc>
                <w:tcPr>
                  <w:tcW w:w="2338" w:type="dxa"/>
                  <w:vAlign w:val="center"/>
                </w:tcPr>
                <w:p>
                  <w:pPr>
                    <w:pStyle w:val="15"/>
                    <w:rPr>
                      <w:color w:val="auto"/>
                    </w:rPr>
                  </w:pPr>
                  <w:r>
                    <w:rPr>
                      <w:rFonts w:hint="eastAsia"/>
                      <w:color w:val="auto"/>
                    </w:rPr>
                    <w:t>本项目</w:t>
                  </w:r>
                  <w:r>
                    <w:rPr>
                      <w:color w:val="auto"/>
                    </w:rPr>
                    <w:t>采用雨污分流制，</w:t>
                  </w:r>
                  <w:r>
                    <w:rPr>
                      <w:rFonts w:hint="eastAsia"/>
                      <w:color w:val="auto"/>
                      <w:lang w:val="en-US" w:eastAsia="zh-CN"/>
                    </w:rPr>
                    <w:t>初期</w:t>
                  </w:r>
                  <w:r>
                    <w:rPr>
                      <w:color w:val="auto"/>
                    </w:rPr>
                    <w:t>雨水</w:t>
                  </w:r>
                  <w:r>
                    <w:rPr>
                      <w:rFonts w:hint="eastAsia"/>
                      <w:color w:val="auto"/>
                    </w:rPr>
                    <w:t>收集处理后回用于项目区绿化等。</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vAlign w:val="center"/>
                </w:tcPr>
                <w:p>
                  <w:pPr>
                    <w:pStyle w:val="15"/>
                    <w:rPr>
                      <w:color w:val="auto"/>
                    </w:rPr>
                  </w:pPr>
                </w:p>
              </w:tc>
              <w:tc>
                <w:tcPr>
                  <w:tcW w:w="3287" w:type="dxa"/>
                  <w:vAlign w:val="center"/>
                </w:tcPr>
                <w:p>
                  <w:pPr>
                    <w:pStyle w:val="15"/>
                    <w:rPr>
                      <w:color w:val="auto"/>
                    </w:rPr>
                  </w:pPr>
                  <w:r>
                    <w:rPr>
                      <w:color w:val="auto"/>
                    </w:rPr>
                    <w:t>②未经当地水行政主管部门的同意，各企业不得将废水直接排向区域地表水体</w:t>
                  </w:r>
                </w:p>
              </w:tc>
              <w:tc>
                <w:tcPr>
                  <w:tcW w:w="2338" w:type="dxa"/>
                  <w:vAlign w:val="center"/>
                </w:tcPr>
                <w:p>
                  <w:pPr>
                    <w:pStyle w:val="15"/>
                    <w:rPr>
                      <w:color w:val="auto"/>
                    </w:rPr>
                  </w:pPr>
                  <w:r>
                    <w:rPr>
                      <w:rFonts w:hint="eastAsia"/>
                      <w:color w:val="auto"/>
                    </w:rPr>
                    <w:t>本</w:t>
                  </w:r>
                  <w:r>
                    <w:rPr>
                      <w:color w:val="auto"/>
                    </w:rPr>
                    <w:t>项目废水</w:t>
                  </w:r>
                  <w:r>
                    <w:rPr>
                      <w:rFonts w:hint="eastAsia"/>
                      <w:color w:val="auto"/>
                    </w:rPr>
                    <w:t>不</w:t>
                  </w:r>
                  <w:r>
                    <w:rPr>
                      <w:color w:val="auto"/>
                    </w:rPr>
                    <w:t>直接排向区域地表水体</w:t>
                  </w:r>
                  <w:r>
                    <w:rPr>
                      <w:rFonts w:hint="eastAsia"/>
                      <w:color w:val="auto"/>
                    </w:rPr>
                    <w:t>。</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vAlign w:val="center"/>
                </w:tcPr>
                <w:p>
                  <w:pPr>
                    <w:pStyle w:val="15"/>
                    <w:rPr>
                      <w:color w:val="auto"/>
                    </w:rPr>
                  </w:pPr>
                </w:p>
              </w:tc>
              <w:tc>
                <w:tcPr>
                  <w:tcW w:w="3287" w:type="dxa"/>
                  <w:vAlign w:val="center"/>
                </w:tcPr>
                <w:p>
                  <w:pPr>
                    <w:pStyle w:val="15"/>
                    <w:rPr>
                      <w:color w:val="auto"/>
                    </w:rPr>
                  </w:pPr>
                  <w:r>
                    <w:rPr>
                      <w:color w:val="auto"/>
                    </w:rPr>
                    <w:t>③加快推进各基地污水处理厂的建设进度；在污水处理厂投入运行前，企业需自建污水处理厂处理项目内产生的生产及生活污水，确保污水得到妥善处置</w:t>
                  </w:r>
                </w:p>
              </w:tc>
              <w:tc>
                <w:tcPr>
                  <w:tcW w:w="2338" w:type="dxa"/>
                  <w:vAlign w:val="center"/>
                </w:tcPr>
                <w:p>
                  <w:pPr>
                    <w:pStyle w:val="15"/>
                    <w:rPr>
                      <w:color w:val="auto"/>
                    </w:rPr>
                  </w:pPr>
                  <w:r>
                    <w:rPr>
                      <w:rFonts w:hint="eastAsia"/>
                      <w:color w:val="auto"/>
                    </w:rPr>
                    <w:t>本项目设有一体化生活污水处理设备处理生活污水，</w:t>
                  </w:r>
                  <w:r>
                    <w:rPr>
                      <w:rFonts w:hint="eastAsia"/>
                      <w:color w:val="auto"/>
                      <w:lang w:val="en-US" w:eastAsia="zh-CN"/>
                    </w:rPr>
                    <w:t>初期雨水经一体化初期雨水处理设施处理后回用于项目区</w:t>
                  </w:r>
                  <w:r>
                    <w:rPr>
                      <w:rFonts w:hint="eastAsia"/>
                      <w:color w:val="auto"/>
                    </w:rPr>
                    <w:t>。</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vAlign w:val="center"/>
                </w:tcPr>
                <w:p>
                  <w:pPr>
                    <w:pStyle w:val="15"/>
                    <w:rPr>
                      <w:color w:val="auto"/>
                    </w:rPr>
                  </w:pPr>
                </w:p>
              </w:tc>
              <w:tc>
                <w:tcPr>
                  <w:tcW w:w="3287" w:type="dxa"/>
                  <w:vAlign w:val="center"/>
                </w:tcPr>
                <w:p>
                  <w:pPr>
                    <w:pStyle w:val="15"/>
                    <w:rPr>
                      <w:color w:val="auto"/>
                    </w:rPr>
                  </w:pPr>
                  <w:r>
                    <w:rPr>
                      <w:color w:val="auto"/>
                    </w:rPr>
                    <w:t>④滇池流域禁止引进不符合《云南省滇池保护条例》（2013年1月1日实施）相关规定的企业入驻</w:t>
                  </w:r>
                </w:p>
              </w:tc>
              <w:tc>
                <w:tcPr>
                  <w:tcW w:w="2338" w:type="dxa"/>
                  <w:vAlign w:val="center"/>
                </w:tcPr>
                <w:p>
                  <w:pPr>
                    <w:pStyle w:val="15"/>
                    <w:rPr>
                      <w:color w:val="auto"/>
                    </w:rPr>
                  </w:pPr>
                  <w:r>
                    <w:rPr>
                      <w:rFonts w:hint="eastAsia"/>
                      <w:color w:val="auto"/>
                    </w:rPr>
                    <w:t>本</w:t>
                  </w:r>
                  <w:r>
                    <w:rPr>
                      <w:color w:val="auto"/>
                    </w:rPr>
                    <w:t>项目满足现行《云南省滇池保护条例》相关规定</w:t>
                  </w:r>
                  <w:r>
                    <w:rPr>
                      <w:rFonts w:hint="eastAsia"/>
                      <w:color w:val="auto"/>
                    </w:rPr>
                    <w:t>。</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restart"/>
                  <w:vAlign w:val="center"/>
                </w:tcPr>
                <w:p>
                  <w:pPr>
                    <w:pStyle w:val="15"/>
                    <w:rPr>
                      <w:color w:val="auto"/>
                    </w:rPr>
                  </w:pPr>
                  <w:r>
                    <w:rPr>
                      <w:color w:val="auto"/>
                    </w:rPr>
                    <w:t>声环境污染防治措施及要求</w:t>
                  </w:r>
                </w:p>
              </w:tc>
              <w:tc>
                <w:tcPr>
                  <w:tcW w:w="3287" w:type="dxa"/>
                  <w:vAlign w:val="center"/>
                </w:tcPr>
                <w:p>
                  <w:pPr>
                    <w:pStyle w:val="15"/>
                    <w:rPr>
                      <w:color w:val="auto"/>
                    </w:rPr>
                  </w:pPr>
                  <w:r>
                    <w:rPr>
                      <w:color w:val="auto"/>
                    </w:rPr>
                    <w:t>①为确保园区边界噪声达标排放，园区应加强监督管理，督促入驻园区的企业进行噪声治理，确保其厂界噪声达标排放，并通过对企业进行合理布局，将噪声较大的企业布置在远离园区边界和园区内村庄等噪声敏感目标的地方</w:t>
                  </w:r>
                </w:p>
              </w:tc>
              <w:tc>
                <w:tcPr>
                  <w:tcW w:w="2338" w:type="dxa"/>
                  <w:vAlign w:val="center"/>
                </w:tcPr>
                <w:p>
                  <w:pPr>
                    <w:pStyle w:val="15"/>
                    <w:rPr>
                      <w:color w:val="auto"/>
                    </w:rPr>
                  </w:pPr>
                  <w:r>
                    <w:rPr>
                      <w:rFonts w:hint="eastAsia"/>
                      <w:color w:val="auto"/>
                    </w:rPr>
                    <w:t>本</w:t>
                  </w:r>
                  <w:r>
                    <w:rPr>
                      <w:color w:val="auto"/>
                    </w:rPr>
                    <w:t>项目对</w:t>
                  </w:r>
                  <w:r>
                    <w:rPr>
                      <w:rFonts w:hint="eastAsia"/>
                      <w:color w:val="auto"/>
                    </w:rPr>
                    <w:t>产噪设备</w:t>
                  </w:r>
                  <w:r>
                    <w:rPr>
                      <w:color w:val="auto"/>
                    </w:rPr>
                    <w:t>进行合理布局，将噪声较大的</w:t>
                  </w:r>
                  <w:r>
                    <w:rPr>
                      <w:rFonts w:hint="eastAsia"/>
                      <w:color w:val="auto"/>
                    </w:rPr>
                    <w:t>设备</w:t>
                  </w:r>
                  <w:r>
                    <w:rPr>
                      <w:color w:val="auto"/>
                    </w:rPr>
                    <w:t>布置在远离</w:t>
                  </w:r>
                  <w:r>
                    <w:rPr>
                      <w:rFonts w:hint="eastAsia"/>
                      <w:color w:val="auto"/>
                    </w:rPr>
                    <w:t>项目</w:t>
                  </w:r>
                  <w:r>
                    <w:rPr>
                      <w:color w:val="auto"/>
                    </w:rPr>
                    <w:t>边界和</w:t>
                  </w:r>
                  <w:r>
                    <w:rPr>
                      <w:rFonts w:hint="eastAsia"/>
                      <w:color w:val="auto"/>
                    </w:rPr>
                    <w:t>周边</w:t>
                  </w:r>
                  <w:r>
                    <w:rPr>
                      <w:color w:val="auto"/>
                    </w:rPr>
                    <w:t>村庄等噪声敏感目标的地方</w:t>
                  </w:r>
                  <w:r>
                    <w:rPr>
                      <w:rFonts w:hint="eastAsia"/>
                      <w:color w:val="auto"/>
                    </w:rPr>
                    <w:t>。</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vAlign w:val="center"/>
                </w:tcPr>
                <w:p>
                  <w:pPr>
                    <w:pStyle w:val="15"/>
                    <w:rPr>
                      <w:color w:val="auto"/>
                    </w:rPr>
                  </w:pPr>
                </w:p>
              </w:tc>
              <w:tc>
                <w:tcPr>
                  <w:tcW w:w="3287" w:type="dxa"/>
                  <w:vAlign w:val="center"/>
                </w:tcPr>
                <w:p>
                  <w:pPr>
                    <w:pStyle w:val="15"/>
                    <w:rPr>
                      <w:color w:val="auto"/>
                    </w:rPr>
                  </w:pPr>
                  <w:r>
                    <w:rPr>
                      <w:color w:val="auto"/>
                    </w:rPr>
                    <w:t>②在村庄及居住区等噪声敏感目标与工业企业之间留出足够的退让距离，并在工业用地与居住区域之间设置绿化带</w:t>
                  </w:r>
                </w:p>
              </w:tc>
              <w:tc>
                <w:tcPr>
                  <w:tcW w:w="2338" w:type="dxa"/>
                  <w:vAlign w:val="center"/>
                </w:tcPr>
                <w:p>
                  <w:pPr>
                    <w:pStyle w:val="15"/>
                    <w:rPr>
                      <w:color w:val="auto"/>
                    </w:rPr>
                  </w:pPr>
                  <w:r>
                    <w:rPr>
                      <w:rFonts w:hint="eastAsia"/>
                      <w:color w:val="auto"/>
                    </w:rPr>
                    <w:t>本</w:t>
                  </w:r>
                  <w:r>
                    <w:rPr>
                      <w:color w:val="auto"/>
                    </w:rPr>
                    <w:t>项目厂界50m范围内无</w:t>
                  </w:r>
                  <w:r>
                    <w:rPr>
                      <w:rFonts w:hint="eastAsia"/>
                      <w:color w:val="auto"/>
                      <w:lang w:val="en-US" w:eastAsia="zh-CN"/>
                    </w:rPr>
                    <w:t>声环境</w:t>
                  </w:r>
                  <w:r>
                    <w:rPr>
                      <w:color w:val="auto"/>
                    </w:rPr>
                    <w:t>敏感点</w:t>
                  </w:r>
                  <w:r>
                    <w:rPr>
                      <w:rFonts w:hint="eastAsia"/>
                      <w:color w:val="auto"/>
                    </w:rPr>
                    <w:t>。</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restart"/>
                  <w:vAlign w:val="center"/>
                </w:tcPr>
                <w:p>
                  <w:pPr>
                    <w:pStyle w:val="15"/>
                    <w:rPr>
                      <w:color w:val="auto"/>
                    </w:rPr>
                  </w:pPr>
                  <w:r>
                    <w:rPr>
                      <w:color w:val="auto"/>
                    </w:rPr>
                    <w:t>固废污染防治措施及要求</w:t>
                  </w:r>
                </w:p>
              </w:tc>
              <w:tc>
                <w:tcPr>
                  <w:tcW w:w="3287" w:type="dxa"/>
                  <w:vAlign w:val="center"/>
                </w:tcPr>
                <w:p>
                  <w:pPr>
                    <w:pStyle w:val="15"/>
                    <w:rPr>
                      <w:color w:val="auto"/>
                    </w:rPr>
                  </w:pPr>
                  <w:r>
                    <w:rPr>
                      <w:color w:val="auto"/>
                    </w:rPr>
                    <w:t>①园区应注意引进各片区以主导产业及固废产生量大产业的固体废物为原料的下游产业，以便形成完善的产业链，使园区内产生的工业固体废物得到最大限度的综合利用</w:t>
                  </w:r>
                </w:p>
              </w:tc>
              <w:tc>
                <w:tcPr>
                  <w:tcW w:w="2338" w:type="dxa"/>
                  <w:vAlign w:val="center"/>
                </w:tcPr>
                <w:p>
                  <w:pPr>
                    <w:pStyle w:val="15"/>
                    <w:rPr>
                      <w:color w:val="auto"/>
                    </w:rPr>
                  </w:pPr>
                  <w:r>
                    <w:rPr>
                      <w:rFonts w:hint="eastAsia"/>
                      <w:color w:val="auto"/>
                    </w:rPr>
                    <w:t>本</w:t>
                  </w:r>
                  <w:r>
                    <w:rPr>
                      <w:color w:val="auto"/>
                    </w:rPr>
                    <w:t>项目</w:t>
                  </w:r>
                  <w:r>
                    <w:rPr>
                      <w:rFonts w:hint="eastAsia"/>
                      <w:color w:val="auto"/>
                    </w:rPr>
                    <w:t>属一般工业固废综合利用项目，符合该条款要求。</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vAlign w:val="center"/>
                </w:tcPr>
                <w:p>
                  <w:pPr>
                    <w:pStyle w:val="15"/>
                    <w:rPr>
                      <w:color w:val="auto"/>
                    </w:rPr>
                  </w:pPr>
                </w:p>
              </w:tc>
              <w:tc>
                <w:tcPr>
                  <w:tcW w:w="3287" w:type="dxa"/>
                  <w:vAlign w:val="center"/>
                </w:tcPr>
                <w:p>
                  <w:pPr>
                    <w:pStyle w:val="15"/>
                    <w:rPr>
                      <w:color w:val="auto"/>
                    </w:rPr>
                  </w:pPr>
                  <w:r>
                    <w:rPr>
                      <w:color w:val="auto"/>
                    </w:rPr>
                    <w:t>②对于危险固废，需要按《危险废物贮存污染控制标准》（GB18597-2001）的要求进行贮存，委托昆明市危险废物中心处理；目前不能处置的废物，应在项目内妥善贮存</w:t>
                  </w:r>
                </w:p>
              </w:tc>
              <w:tc>
                <w:tcPr>
                  <w:tcW w:w="2338" w:type="dxa"/>
                  <w:vAlign w:val="center"/>
                </w:tcPr>
                <w:p>
                  <w:pPr>
                    <w:pStyle w:val="15"/>
                    <w:rPr>
                      <w:color w:val="auto"/>
                    </w:rPr>
                  </w:pPr>
                  <w:r>
                    <w:rPr>
                      <w:rFonts w:hint="eastAsia"/>
                      <w:color w:val="auto"/>
                    </w:rPr>
                    <w:t>本</w:t>
                  </w:r>
                  <w:r>
                    <w:rPr>
                      <w:color w:val="auto"/>
                    </w:rPr>
                    <w:t>项目</w:t>
                  </w:r>
                  <w:r>
                    <w:rPr>
                      <w:rFonts w:hint="eastAsia"/>
                      <w:color w:val="auto"/>
                    </w:rPr>
                    <w:t>危险废物均</w:t>
                  </w:r>
                  <w:r>
                    <w:rPr>
                      <w:color w:val="auto"/>
                    </w:rPr>
                    <w:t>按《危险废物贮存污染控制标准》（GB18597-20</w:t>
                  </w:r>
                  <w:r>
                    <w:rPr>
                      <w:rFonts w:hint="eastAsia"/>
                      <w:color w:val="auto"/>
                      <w:lang w:val="en-US" w:eastAsia="zh-CN"/>
                    </w:rPr>
                    <w:t>23</w:t>
                  </w:r>
                  <w:r>
                    <w:rPr>
                      <w:color w:val="auto"/>
                    </w:rPr>
                    <w:t>）的要求进行贮存，委托</w:t>
                  </w:r>
                  <w:r>
                    <w:rPr>
                      <w:rFonts w:hint="eastAsia"/>
                      <w:color w:val="auto"/>
                    </w:rPr>
                    <w:t>有资质单位合理</w:t>
                  </w:r>
                  <w:r>
                    <w:rPr>
                      <w:color w:val="auto"/>
                    </w:rPr>
                    <w:t>处</w:t>
                  </w:r>
                  <w:r>
                    <w:rPr>
                      <w:rFonts w:hint="eastAsia"/>
                      <w:color w:val="auto"/>
                    </w:rPr>
                    <w:t>置。</w:t>
                  </w:r>
                </w:p>
              </w:tc>
              <w:tc>
                <w:tcPr>
                  <w:tcW w:w="700"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1" w:type="dxa"/>
                  <w:vMerge w:val="continue"/>
                  <w:vAlign w:val="center"/>
                </w:tcPr>
                <w:p>
                  <w:pPr>
                    <w:pStyle w:val="15"/>
                    <w:rPr>
                      <w:color w:val="auto"/>
                    </w:rPr>
                  </w:pPr>
                </w:p>
              </w:tc>
              <w:tc>
                <w:tcPr>
                  <w:tcW w:w="3287" w:type="dxa"/>
                  <w:vAlign w:val="center"/>
                </w:tcPr>
                <w:p>
                  <w:pPr>
                    <w:pStyle w:val="15"/>
                    <w:rPr>
                      <w:color w:val="auto"/>
                    </w:rPr>
                  </w:pPr>
                  <w:r>
                    <w:rPr>
                      <w:color w:val="auto"/>
                    </w:rPr>
                    <w:t>③大力推行循环经济和清洁生产，从源头减少工业固体废物的产生量。把好工业园区的入园门槛，避免生产工艺落后、高污染的排污大户进入园区</w:t>
                  </w:r>
                </w:p>
              </w:tc>
              <w:tc>
                <w:tcPr>
                  <w:tcW w:w="2338" w:type="dxa"/>
                  <w:vAlign w:val="center"/>
                </w:tcPr>
                <w:p>
                  <w:pPr>
                    <w:pStyle w:val="15"/>
                    <w:rPr>
                      <w:color w:val="auto"/>
                    </w:rPr>
                  </w:pPr>
                  <w:r>
                    <w:rPr>
                      <w:rFonts w:hint="eastAsia"/>
                      <w:color w:val="auto"/>
                    </w:rPr>
                    <w:t>本</w:t>
                  </w:r>
                  <w:r>
                    <w:rPr>
                      <w:color w:val="auto"/>
                    </w:rPr>
                    <w:t>项目</w:t>
                  </w:r>
                  <w:r>
                    <w:rPr>
                      <w:rFonts w:hint="eastAsia"/>
                      <w:color w:val="auto"/>
                    </w:rPr>
                    <w:t>不属于</w:t>
                  </w:r>
                  <w:r>
                    <w:rPr>
                      <w:color w:val="auto"/>
                    </w:rPr>
                    <w:t>生产工艺落后、高污染的排污大户</w:t>
                  </w:r>
                  <w:r>
                    <w:rPr>
                      <w:rFonts w:hint="eastAsia"/>
                      <w:color w:val="auto"/>
                    </w:rPr>
                    <w:t>。</w:t>
                  </w:r>
                </w:p>
              </w:tc>
              <w:tc>
                <w:tcPr>
                  <w:tcW w:w="700" w:type="dxa"/>
                  <w:vAlign w:val="center"/>
                </w:tcPr>
                <w:p>
                  <w:pPr>
                    <w:pStyle w:val="15"/>
                    <w:rPr>
                      <w:color w:val="auto"/>
                    </w:rPr>
                  </w:pPr>
                  <w:r>
                    <w:rPr>
                      <w:color w:val="auto"/>
                    </w:rPr>
                    <w:t>符合</w:t>
                  </w:r>
                </w:p>
              </w:tc>
            </w:tr>
          </w:tbl>
          <w:p>
            <w:pPr>
              <w:autoSpaceDE w:val="0"/>
              <w:autoSpaceDN w:val="0"/>
              <w:adjustRightInd w:val="0"/>
              <w:snapToGrid w:val="0"/>
              <w:ind w:firstLine="480"/>
              <w:rPr>
                <w:color w:val="auto"/>
              </w:rPr>
            </w:pPr>
            <w:r>
              <w:rPr>
                <w:rFonts w:hint="eastAsia"/>
                <w:color w:val="auto"/>
              </w:rPr>
              <w:t>根据上表分析可知，建设项目符合《晋宁工业园区总体规划修编（2012-2030）环境影响报告书》审查意见要求。</w:t>
            </w:r>
          </w:p>
          <w:p>
            <w:pPr>
              <w:autoSpaceDE w:val="0"/>
              <w:autoSpaceDN w:val="0"/>
              <w:adjustRightInd w:val="0"/>
              <w:snapToGrid w:val="0"/>
              <w:ind w:firstLine="480"/>
              <w:rPr>
                <w:color w:val="auto"/>
                <w:kern w:val="0"/>
              </w:rPr>
            </w:pPr>
            <w:r>
              <w:rPr>
                <w:rFonts w:hint="eastAsia"/>
                <w:color w:val="auto"/>
              </w:rPr>
              <w:t>综上，建设项目符合《云南晋宁工业园区总体规划修编（2012-2030）环境影响报告书》规划原则、入园环保要求及规划环评审查意见相关要求。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724" w:type="dxa"/>
            <w:vAlign w:val="center"/>
          </w:tcPr>
          <w:p>
            <w:pPr>
              <w:autoSpaceDE w:val="0"/>
              <w:autoSpaceDN w:val="0"/>
              <w:adjustRightInd w:val="0"/>
              <w:snapToGrid w:val="0"/>
              <w:spacing w:line="240" w:lineRule="auto"/>
              <w:ind w:firstLine="0" w:firstLineChars="0"/>
              <w:jc w:val="center"/>
              <w:rPr>
                <w:color w:val="auto"/>
                <w:kern w:val="0"/>
                <w:sz w:val="21"/>
                <w:szCs w:val="21"/>
              </w:rPr>
            </w:pPr>
            <w:r>
              <w:rPr>
                <w:color w:val="auto"/>
                <w:kern w:val="0"/>
              </w:rPr>
              <w:t>其他符合性分析</w:t>
            </w:r>
          </w:p>
        </w:tc>
        <w:tc>
          <w:tcPr>
            <w:tcW w:w="7146" w:type="dxa"/>
            <w:gridSpan w:val="3"/>
            <w:vAlign w:val="center"/>
          </w:tcPr>
          <w:p>
            <w:pPr>
              <w:ind w:firstLine="482"/>
              <w:rPr>
                <w:b/>
                <w:bCs/>
                <w:color w:val="auto"/>
              </w:rPr>
            </w:pPr>
            <w:r>
              <w:rPr>
                <w:rFonts w:hint="eastAsia"/>
                <w:b/>
                <w:bCs/>
                <w:color w:val="auto"/>
              </w:rPr>
              <w:t>1、</w:t>
            </w:r>
            <w:r>
              <w:rPr>
                <w:b/>
                <w:bCs/>
                <w:color w:val="auto"/>
              </w:rPr>
              <w:t>产业政策符合性分析</w:t>
            </w:r>
          </w:p>
          <w:p>
            <w:pPr>
              <w:ind w:firstLine="480"/>
              <w:rPr>
                <w:color w:val="auto"/>
              </w:rPr>
            </w:pPr>
            <w:r>
              <w:rPr>
                <w:color w:val="auto"/>
              </w:rPr>
              <w:t>根据</w:t>
            </w:r>
            <w:r>
              <w:rPr>
                <w:rFonts w:hint="eastAsia"/>
                <w:color w:val="auto"/>
              </w:rPr>
              <w:t>对照</w:t>
            </w:r>
            <w:r>
              <w:rPr>
                <w:color w:val="auto"/>
              </w:rPr>
              <w:t>《产业结构调整指导目录2019年本（2021年修订）》，本项目属于</w:t>
            </w:r>
            <w:r>
              <w:rPr>
                <w:rFonts w:hint="eastAsia"/>
                <w:color w:val="auto"/>
              </w:rPr>
              <w:t>该</w:t>
            </w:r>
            <w:r>
              <w:rPr>
                <w:color w:val="auto"/>
              </w:rPr>
              <w:t>目录中</w:t>
            </w:r>
            <w:r>
              <w:rPr>
                <w:rFonts w:hint="eastAsia"/>
                <w:color w:val="auto"/>
              </w:rPr>
              <w:t>鼓励类“四十三、环境保护与资源节约综合利用”中“25、尾矿、废渣等资源综合利用及配套装备制造”</w:t>
            </w:r>
            <w:r>
              <w:rPr>
                <w:color w:val="auto"/>
              </w:rPr>
              <w:t>。</w:t>
            </w:r>
            <w:r>
              <w:rPr>
                <w:rFonts w:hint="eastAsia"/>
                <w:color w:val="auto"/>
              </w:rPr>
              <w:t>因此，本</w:t>
            </w:r>
            <w:r>
              <w:rPr>
                <w:color w:val="auto"/>
              </w:rPr>
              <w:t>项目符合</w:t>
            </w:r>
            <w:r>
              <w:rPr>
                <w:rFonts w:hint="eastAsia"/>
                <w:color w:val="auto"/>
              </w:rPr>
              <w:t>国家</w:t>
            </w:r>
            <w:r>
              <w:rPr>
                <w:color w:val="auto"/>
              </w:rPr>
              <w:t>产业政策</w:t>
            </w:r>
            <w:r>
              <w:rPr>
                <w:rFonts w:hint="eastAsia"/>
                <w:color w:val="auto"/>
              </w:rPr>
              <w:t>的要求</w:t>
            </w:r>
            <w:r>
              <w:rPr>
                <w:color w:val="auto"/>
              </w:rPr>
              <w:t>。</w:t>
            </w:r>
          </w:p>
          <w:p>
            <w:pPr>
              <w:ind w:firstLine="482"/>
              <w:rPr>
                <w:b/>
                <w:bCs/>
                <w:color w:val="auto"/>
              </w:rPr>
            </w:pPr>
            <w:r>
              <w:rPr>
                <w:rFonts w:hint="eastAsia"/>
                <w:b/>
                <w:bCs/>
                <w:color w:val="auto"/>
              </w:rPr>
              <w:t>2、</w:t>
            </w:r>
            <w:r>
              <w:rPr>
                <w:b/>
                <w:bCs/>
                <w:color w:val="auto"/>
              </w:rPr>
              <w:t>项目选址合理性</w:t>
            </w:r>
            <w:r>
              <w:rPr>
                <w:rFonts w:hint="eastAsia"/>
                <w:b/>
                <w:bCs/>
                <w:color w:val="auto"/>
                <w:lang w:val="en-US" w:eastAsia="zh-CN"/>
              </w:rPr>
              <w:t>与环境相容性</w:t>
            </w:r>
            <w:r>
              <w:rPr>
                <w:b/>
                <w:bCs/>
                <w:color w:val="auto"/>
              </w:rPr>
              <w:t>分析</w:t>
            </w:r>
          </w:p>
          <w:p>
            <w:pPr>
              <w:ind w:firstLine="480"/>
              <w:rPr>
                <w:color w:val="auto"/>
              </w:rPr>
            </w:pPr>
            <w:r>
              <w:rPr>
                <w:color w:val="auto"/>
              </w:rPr>
              <w:t>本项目为</w:t>
            </w:r>
            <w:r>
              <w:rPr>
                <w:rFonts w:hint="eastAsia"/>
                <w:color w:val="auto"/>
              </w:rPr>
              <w:t>原址改</w:t>
            </w:r>
            <w:r>
              <w:rPr>
                <w:color w:val="auto"/>
              </w:rPr>
              <w:t>建项目，</w:t>
            </w:r>
            <w:r>
              <w:rPr>
                <w:rFonts w:hint="eastAsia"/>
                <w:color w:val="auto"/>
              </w:rPr>
              <w:t>建设单位已于200</w:t>
            </w:r>
            <w:r>
              <w:rPr>
                <w:rFonts w:hint="eastAsia"/>
                <w:color w:val="auto"/>
                <w:lang w:val="en-US" w:eastAsia="zh-CN"/>
              </w:rPr>
              <w:t>7</w:t>
            </w:r>
            <w:r>
              <w:rPr>
                <w:rFonts w:hint="eastAsia"/>
                <w:color w:val="auto"/>
              </w:rPr>
              <w:t>年</w:t>
            </w:r>
            <w:r>
              <w:rPr>
                <w:rFonts w:hint="eastAsia"/>
                <w:color w:val="auto"/>
                <w:lang w:val="en-US" w:eastAsia="zh-CN"/>
              </w:rPr>
              <w:t>7</w:t>
            </w:r>
            <w:r>
              <w:rPr>
                <w:rFonts w:hint="eastAsia"/>
                <w:color w:val="auto"/>
              </w:rPr>
              <w:t>月取得项目</w:t>
            </w:r>
            <w:r>
              <w:rPr>
                <w:rFonts w:hint="eastAsia"/>
                <w:color w:val="auto"/>
                <w:lang w:val="en-US" w:eastAsia="zh-CN"/>
              </w:rPr>
              <w:t>土地使用</w:t>
            </w:r>
            <w:r>
              <w:rPr>
                <w:rFonts w:hint="eastAsia"/>
                <w:color w:val="auto"/>
              </w:rPr>
              <w:t>证</w:t>
            </w:r>
            <w:r>
              <w:rPr>
                <w:rFonts w:hint="eastAsia"/>
                <w:bCs/>
                <w:color w:val="auto"/>
              </w:rPr>
              <w:t>，该地块</w:t>
            </w:r>
            <w:r>
              <w:rPr>
                <w:rFonts w:hint="eastAsia"/>
                <w:bCs/>
                <w:color w:val="auto"/>
                <w:lang w:val="en-US" w:eastAsia="zh-CN"/>
              </w:rPr>
              <w:t>地类（</w:t>
            </w:r>
            <w:r>
              <w:rPr>
                <w:rFonts w:hint="eastAsia"/>
                <w:bCs/>
                <w:color w:val="auto"/>
              </w:rPr>
              <w:t>用途</w:t>
            </w:r>
            <w:r>
              <w:rPr>
                <w:rFonts w:hint="eastAsia"/>
                <w:bCs/>
                <w:color w:val="auto"/>
                <w:lang w:val="en-US" w:eastAsia="zh-CN"/>
              </w:rPr>
              <w:t>）</w:t>
            </w:r>
            <w:r>
              <w:rPr>
                <w:rFonts w:hint="eastAsia"/>
                <w:bCs/>
                <w:color w:val="auto"/>
              </w:rPr>
              <w:t>为</w:t>
            </w:r>
            <w:r>
              <w:rPr>
                <w:rFonts w:hint="eastAsia"/>
                <w:bCs/>
                <w:color w:val="auto"/>
                <w:lang w:val="en-US" w:eastAsia="zh-CN"/>
              </w:rPr>
              <w:t>工业用地</w:t>
            </w:r>
            <w:r>
              <w:rPr>
                <w:rFonts w:hint="eastAsia"/>
                <w:bCs/>
                <w:color w:val="auto"/>
              </w:rPr>
              <w:t>，</w:t>
            </w:r>
            <w:r>
              <w:rPr>
                <w:rFonts w:hint="eastAsia"/>
                <w:bCs/>
                <w:color w:val="auto"/>
                <w:lang w:val="en-US" w:eastAsia="zh-CN"/>
              </w:rPr>
              <w:t>改建项目属于工业类项目，与拟建地土地利用类型相符</w:t>
            </w:r>
            <w:r>
              <w:rPr>
                <w:rFonts w:hint="eastAsia"/>
                <w:color w:val="auto"/>
              </w:rPr>
              <w:t>。</w:t>
            </w:r>
          </w:p>
          <w:p>
            <w:pPr>
              <w:ind w:firstLine="480"/>
              <w:rPr>
                <w:color w:val="auto"/>
              </w:rPr>
            </w:pPr>
            <w:r>
              <w:rPr>
                <w:rFonts w:hint="eastAsia"/>
                <w:bCs/>
                <w:color w:val="auto"/>
              </w:rPr>
              <w:t>从项目所处地理位置和周围环境分析，项目无重大环境制约因素，项目</w:t>
            </w:r>
            <w:r>
              <w:rPr>
                <w:rFonts w:hint="eastAsia"/>
                <w:bCs/>
                <w:color w:val="auto"/>
                <w:lang w:val="en-US" w:eastAsia="zh-CN"/>
              </w:rPr>
              <w:t>周边500m范围内无大气环境保护目标，周边50m范围内无声环境保护目标，项目周边主要为农田、林地等，项目</w:t>
            </w:r>
            <w:r>
              <w:rPr>
                <w:rFonts w:hint="eastAsia"/>
                <w:bCs/>
                <w:color w:val="auto"/>
              </w:rPr>
              <w:t>与周边环境相容性较好，选址合理</w:t>
            </w:r>
            <w:r>
              <w:rPr>
                <w:color w:val="auto"/>
              </w:rPr>
              <w:t>。</w:t>
            </w:r>
          </w:p>
          <w:p>
            <w:pPr>
              <w:ind w:firstLine="482"/>
              <w:rPr>
                <w:b/>
                <w:bCs/>
                <w:color w:val="auto"/>
              </w:rPr>
            </w:pPr>
            <w:r>
              <w:rPr>
                <w:rFonts w:hint="eastAsia"/>
                <w:b/>
                <w:bCs/>
                <w:color w:val="auto"/>
              </w:rPr>
              <w:t>3、</w:t>
            </w:r>
            <w:r>
              <w:rPr>
                <w:b/>
                <w:bCs/>
                <w:color w:val="auto"/>
              </w:rPr>
              <w:t>与《昆明市人民政府关于昆明市“三线一单” 生态环境分区管控的实施意见》（昆政发〔2021〕21号）相符性分析</w:t>
            </w:r>
          </w:p>
          <w:p>
            <w:pPr>
              <w:ind w:firstLine="480"/>
              <w:rPr>
                <w:color w:val="auto"/>
              </w:rPr>
            </w:pPr>
            <w:r>
              <w:rPr>
                <w:color w:val="auto"/>
              </w:rPr>
              <w:t>本项目位于昆明市晋宁区上蒜镇，不在晋宁工业园区内。根据晋宁工业园区管理委员会出具的《情况说明》，昆明红海磷肥有限责任公司经济指标纳入园区统计。因此，本项目视同位于晋宁工业园区内进行政策符合性分析。</w:t>
            </w:r>
          </w:p>
          <w:p>
            <w:pPr>
              <w:ind w:firstLine="480"/>
              <w:rPr>
                <w:color w:val="auto"/>
              </w:rPr>
            </w:pPr>
            <w:r>
              <w:rPr>
                <w:color w:val="auto"/>
              </w:rPr>
              <w:t>根据《昆明市人民政府关于昆明市“三线一单” 生态环境分区管控的实施意见》（昆政发〔2021〕21号），晋宁工业园区属于重点管控单元，管控要求如下</w:t>
            </w:r>
            <w:r>
              <w:rPr>
                <w:rFonts w:hint="eastAsia"/>
                <w:color w:val="auto"/>
              </w:rPr>
              <w:t>。</w:t>
            </w:r>
          </w:p>
          <w:p>
            <w:pPr>
              <w:pStyle w:val="14"/>
              <w:rPr>
                <w:color w:val="auto"/>
              </w:rPr>
            </w:pPr>
            <w:r>
              <w:rPr>
                <w:color w:val="auto"/>
              </w:rPr>
              <w:t>表1-</w:t>
            </w:r>
            <w:r>
              <w:rPr>
                <w:rFonts w:hint="eastAsia"/>
                <w:color w:val="auto"/>
              </w:rPr>
              <w:t xml:space="preserve">5 </w:t>
            </w:r>
            <w:r>
              <w:rPr>
                <w:color w:val="auto"/>
              </w:rPr>
              <w:t xml:space="preserve"> 晋宁区生态环境准入</w:t>
            </w:r>
            <w:r>
              <w:rPr>
                <w:rFonts w:hint="eastAsia"/>
                <w:color w:val="auto"/>
              </w:rPr>
              <w:t>管控要求</w:t>
            </w:r>
          </w:p>
          <w:tbl>
            <w:tblPr>
              <w:tblStyle w:val="10"/>
              <w:tblW w:w="6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841"/>
              <w:gridCol w:w="3200"/>
              <w:gridCol w:w="2313"/>
              <w:gridCol w:w="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blHeader/>
                <w:jc w:val="center"/>
              </w:trPr>
              <w:tc>
                <w:tcPr>
                  <w:tcW w:w="841" w:type="dxa"/>
                  <w:shd w:val="clear" w:color="auto" w:fill="auto"/>
                  <w:vAlign w:val="center"/>
                </w:tcPr>
                <w:p>
                  <w:pPr>
                    <w:pStyle w:val="15"/>
                    <w:rPr>
                      <w:color w:val="auto"/>
                    </w:rPr>
                  </w:pPr>
                  <w:r>
                    <w:rPr>
                      <w:color w:val="auto"/>
                    </w:rPr>
                    <w:t>清单编制要求</w:t>
                  </w:r>
                </w:p>
              </w:tc>
              <w:tc>
                <w:tcPr>
                  <w:tcW w:w="3200" w:type="dxa"/>
                  <w:shd w:val="clear" w:color="auto" w:fill="auto"/>
                  <w:vAlign w:val="center"/>
                </w:tcPr>
                <w:p>
                  <w:pPr>
                    <w:pStyle w:val="15"/>
                    <w:rPr>
                      <w:color w:val="auto"/>
                    </w:rPr>
                  </w:pPr>
                  <w:r>
                    <w:rPr>
                      <w:color w:val="auto"/>
                    </w:rPr>
                    <w:t>准入要求</w:t>
                  </w:r>
                </w:p>
              </w:tc>
              <w:tc>
                <w:tcPr>
                  <w:tcW w:w="2313" w:type="dxa"/>
                  <w:shd w:val="clear" w:color="auto" w:fill="auto"/>
                  <w:vAlign w:val="center"/>
                </w:tcPr>
                <w:p>
                  <w:pPr>
                    <w:pStyle w:val="15"/>
                    <w:rPr>
                      <w:color w:val="auto"/>
                    </w:rPr>
                  </w:pPr>
                  <w:r>
                    <w:rPr>
                      <w:color w:val="auto"/>
                    </w:rPr>
                    <w:t>建设项目</w:t>
                  </w:r>
                </w:p>
              </w:tc>
              <w:tc>
                <w:tcPr>
                  <w:tcW w:w="562" w:type="dxa"/>
                  <w:shd w:val="clear" w:color="auto" w:fill="auto"/>
                  <w:vAlign w:val="center"/>
                </w:tcPr>
                <w:p>
                  <w:pPr>
                    <w:pStyle w:val="15"/>
                    <w:rPr>
                      <w:color w:val="auto"/>
                    </w:rPr>
                  </w:pPr>
                  <w:r>
                    <w:rPr>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841" w:type="dxa"/>
                  <w:shd w:val="clear" w:color="auto" w:fill="auto"/>
                  <w:vAlign w:val="center"/>
                </w:tcPr>
                <w:p>
                  <w:pPr>
                    <w:pStyle w:val="15"/>
                    <w:rPr>
                      <w:color w:val="auto"/>
                    </w:rPr>
                  </w:pPr>
                  <w:r>
                    <w:rPr>
                      <w:rFonts w:hint="eastAsia"/>
                      <w:color w:val="auto"/>
                    </w:rPr>
                    <w:t>空间布局</w:t>
                  </w:r>
                </w:p>
                <w:p>
                  <w:pPr>
                    <w:pStyle w:val="15"/>
                    <w:rPr>
                      <w:color w:val="auto"/>
                    </w:rPr>
                  </w:pPr>
                  <w:r>
                    <w:rPr>
                      <w:rFonts w:hint="eastAsia"/>
                      <w:color w:val="auto"/>
                    </w:rPr>
                    <w:t>约束</w:t>
                  </w:r>
                </w:p>
              </w:tc>
              <w:tc>
                <w:tcPr>
                  <w:tcW w:w="3200" w:type="dxa"/>
                  <w:shd w:val="clear" w:color="auto" w:fill="auto"/>
                  <w:vAlign w:val="center"/>
                </w:tcPr>
                <w:p>
                  <w:pPr>
                    <w:pStyle w:val="15"/>
                    <w:rPr>
                      <w:color w:val="auto"/>
                    </w:rPr>
                  </w:pPr>
                  <w:r>
                    <w:rPr>
                      <w:rFonts w:hint="eastAsia"/>
                      <w:color w:val="auto"/>
                    </w:rPr>
                    <w:t>1.重点发展精密机械制造、生物资源加工、精细磷化工以及建材业。</w:t>
                  </w:r>
                </w:p>
                <w:p>
                  <w:pPr>
                    <w:pStyle w:val="15"/>
                    <w:rPr>
                      <w:color w:val="auto"/>
                    </w:rPr>
                  </w:pPr>
                  <w:r>
                    <w:rPr>
                      <w:rFonts w:hint="eastAsia"/>
                      <w:color w:val="auto"/>
                    </w:rPr>
                    <w:t>2.二街片区和晋城片区调整产业布局，引进大气污染小、噪声污染小的产业，增设绿化隔离带。</w:t>
                  </w:r>
                </w:p>
                <w:p>
                  <w:pPr>
                    <w:pStyle w:val="15"/>
                    <w:rPr>
                      <w:color w:val="auto"/>
                    </w:rPr>
                  </w:pPr>
                  <w:r>
                    <w:rPr>
                      <w:rFonts w:hint="eastAsia"/>
                      <w:color w:val="auto"/>
                    </w:rPr>
                    <w:t>3.晋城片区禁止发展有色冶金行业。</w:t>
                  </w:r>
                </w:p>
              </w:tc>
              <w:tc>
                <w:tcPr>
                  <w:tcW w:w="2313" w:type="dxa"/>
                  <w:shd w:val="clear" w:color="auto" w:fill="auto"/>
                  <w:vAlign w:val="center"/>
                </w:tcPr>
                <w:p>
                  <w:pPr>
                    <w:pStyle w:val="15"/>
                    <w:rPr>
                      <w:color w:val="auto"/>
                    </w:rPr>
                  </w:pPr>
                  <w:r>
                    <w:rPr>
                      <w:rFonts w:hint="eastAsia"/>
                      <w:color w:val="auto"/>
                    </w:rPr>
                    <w:t>项目大气污染物和噪声经治理后均能达标排放。</w:t>
                  </w:r>
                </w:p>
                <w:p>
                  <w:pPr>
                    <w:pStyle w:val="15"/>
                    <w:rPr>
                      <w:color w:val="auto"/>
                    </w:rPr>
                  </w:pPr>
                  <w:r>
                    <w:rPr>
                      <w:rFonts w:hint="eastAsia"/>
                      <w:color w:val="auto"/>
                    </w:rPr>
                    <w:t>本项目属一般工业固废综合利用项目，不属于有色冶金行业，允许建设。</w:t>
                  </w:r>
                </w:p>
              </w:tc>
              <w:tc>
                <w:tcPr>
                  <w:tcW w:w="562" w:type="dxa"/>
                  <w:shd w:val="clear" w:color="auto" w:fill="auto"/>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841" w:type="dxa"/>
                  <w:shd w:val="clear" w:color="auto" w:fill="auto"/>
                  <w:vAlign w:val="center"/>
                </w:tcPr>
                <w:p>
                  <w:pPr>
                    <w:pStyle w:val="15"/>
                    <w:rPr>
                      <w:color w:val="auto"/>
                    </w:rPr>
                  </w:pPr>
                  <w:r>
                    <w:rPr>
                      <w:rFonts w:hint="eastAsia"/>
                      <w:color w:val="auto"/>
                    </w:rPr>
                    <w:t>污染物</w:t>
                  </w:r>
                </w:p>
                <w:p>
                  <w:pPr>
                    <w:pStyle w:val="15"/>
                    <w:rPr>
                      <w:color w:val="auto"/>
                    </w:rPr>
                  </w:pPr>
                  <w:r>
                    <w:rPr>
                      <w:rFonts w:hint="eastAsia"/>
                      <w:color w:val="auto"/>
                    </w:rPr>
                    <w:t>排放管控</w:t>
                  </w:r>
                </w:p>
              </w:tc>
              <w:tc>
                <w:tcPr>
                  <w:tcW w:w="3200" w:type="dxa"/>
                  <w:shd w:val="clear" w:color="auto" w:fill="auto"/>
                  <w:vAlign w:val="center"/>
                </w:tcPr>
                <w:p>
                  <w:pPr>
                    <w:pStyle w:val="15"/>
                    <w:rPr>
                      <w:color w:val="auto"/>
                    </w:rPr>
                  </w:pPr>
                  <w:r>
                    <w:rPr>
                      <w:rFonts w:hint="eastAsia"/>
                      <w:color w:val="auto"/>
                    </w:rPr>
                    <w:t>执行二级空气质量标准，强化污染物排放总量控制，从行业的污染物排放情况分析，矿山将是未来影响区域环境空气质量的主要污染源。</w:t>
                  </w:r>
                </w:p>
              </w:tc>
              <w:tc>
                <w:tcPr>
                  <w:tcW w:w="2313" w:type="dxa"/>
                  <w:shd w:val="clear" w:color="auto" w:fill="auto"/>
                  <w:vAlign w:val="center"/>
                </w:tcPr>
                <w:p>
                  <w:pPr>
                    <w:pStyle w:val="15"/>
                    <w:rPr>
                      <w:color w:val="auto"/>
                    </w:rPr>
                  </w:pPr>
                  <w:r>
                    <w:rPr>
                      <w:rFonts w:hint="eastAsia"/>
                      <w:color w:val="auto"/>
                    </w:rPr>
                    <w:t>本项目大气污染物为颗粒物，将按要求申请总量控制指标。大气污染物经治理后达标排放。</w:t>
                  </w:r>
                </w:p>
              </w:tc>
              <w:tc>
                <w:tcPr>
                  <w:tcW w:w="562" w:type="dxa"/>
                  <w:shd w:val="clear" w:color="auto" w:fill="auto"/>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841" w:type="dxa"/>
                  <w:shd w:val="clear" w:color="auto" w:fill="auto"/>
                  <w:vAlign w:val="center"/>
                </w:tcPr>
                <w:p>
                  <w:pPr>
                    <w:pStyle w:val="15"/>
                    <w:rPr>
                      <w:color w:val="auto"/>
                    </w:rPr>
                  </w:pPr>
                  <w:r>
                    <w:rPr>
                      <w:rFonts w:hint="eastAsia"/>
                      <w:color w:val="auto"/>
                    </w:rPr>
                    <w:t>环境风险</w:t>
                  </w:r>
                </w:p>
                <w:p>
                  <w:pPr>
                    <w:pStyle w:val="15"/>
                    <w:rPr>
                      <w:color w:val="auto"/>
                    </w:rPr>
                  </w:pPr>
                  <w:r>
                    <w:rPr>
                      <w:rFonts w:hint="eastAsia"/>
                      <w:color w:val="auto"/>
                    </w:rPr>
                    <w:t>防控</w:t>
                  </w:r>
                </w:p>
              </w:tc>
              <w:tc>
                <w:tcPr>
                  <w:tcW w:w="3200" w:type="dxa"/>
                  <w:shd w:val="clear" w:color="auto" w:fill="auto"/>
                  <w:vAlign w:val="center"/>
                </w:tcPr>
                <w:p>
                  <w:pPr>
                    <w:pStyle w:val="15"/>
                    <w:rPr>
                      <w:color w:val="auto"/>
                    </w:rPr>
                  </w:pPr>
                  <w:r>
                    <w:rPr>
                      <w:rFonts w:hint="eastAsia"/>
                      <w:color w:val="auto"/>
                    </w:rPr>
                    <w:t>1.危险废物必须进行集中处置。收集、贮存危险废物，必须按照危险废物标准进行分类，禁止混合收集、贮存、运输、处置性质不相同而未经安全性处置的危险废物，禁止将危险废物混入非危险废物中贮存。</w:t>
                  </w:r>
                  <w:r>
                    <w:rPr>
                      <w:rFonts w:hint="eastAsia"/>
                      <w:color w:val="auto"/>
                    </w:rPr>
                    <w:br w:type="textWrapping"/>
                  </w:r>
                  <w:r>
                    <w:rPr>
                      <w:rFonts w:hint="eastAsia"/>
                      <w:color w:val="auto"/>
                    </w:rPr>
                    <w:t>2.运输危险废物，必须采取防止污染环境的措施，并遵守国家有关危险废物运输管理的规定。</w:t>
                  </w:r>
                </w:p>
              </w:tc>
              <w:tc>
                <w:tcPr>
                  <w:tcW w:w="2313" w:type="dxa"/>
                  <w:shd w:val="clear" w:color="auto" w:fill="auto"/>
                  <w:vAlign w:val="center"/>
                </w:tcPr>
                <w:p>
                  <w:pPr>
                    <w:pStyle w:val="15"/>
                    <w:rPr>
                      <w:color w:val="auto"/>
                    </w:rPr>
                  </w:pPr>
                  <w:r>
                    <w:rPr>
                      <w:rFonts w:hint="eastAsia"/>
                      <w:color w:val="auto"/>
                    </w:rPr>
                    <w:t>本项目危险废物均按要求进行收集、贮存，并委托有相关资质单位定期清运处置。</w:t>
                  </w:r>
                </w:p>
              </w:tc>
              <w:tc>
                <w:tcPr>
                  <w:tcW w:w="562" w:type="dxa"/>
                  <w:shd w:val="clear" w:color="auto" w:fill="auto"/>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jc w:val="center"/>
              </w:trPr>
              <w:tc>
                <w:tcPr>
                  <w:tcW w:w="841" w:type="dxa"/>
                  <w:shd w:val="clear" w:color="auto" w:fill="auto"/>
                  <w:vAlign w:val="center"/>
                </w:tcPr>
                <w:p>
                  <w:pPr>
                    <w:pStyle w:val="15"/>
                    <w:rPr>
                      <w:color w:val="auto"/>
                    </w:rPr>
                  </w:pPr>
                  <w:r>
                    <w:rPr>
                      <w:rFonts w:hint="eastAsia"/>
                      <w:color w:val="auto"/>
                    </w:rPr>
                    <w:t>资源开发效率要求</w:t>
                  </w:r>
                </w:p>
              </w:tc>
              <w:tc>
                <w:tcPr>
                  <w:tcW w:w="3200" w:type="dxa"/>
                  <w:shd w:val="clear" w:color="auto" w:fill="auto"/>
                  <w:vAlign w:val="center"/>
                </w:tcPr>
                <w:p>
                  <w:pPr>
                    <w:pStyle w:val="15"/>
                    <w:rPr>
                      <w:color w:val="auto"/>
                    </w:rPr>
                  </w:pPr>
                  <w:r>
                    <w:rPr>
                      <w:rFonts w:hint="eastAsia"/>
                      <w:color w:val="auto"/>
                    </w:rPr>
                    <w:t>禁止新建、扩建采用非清洁燃料的项目和设施。</w:t>
                  </w:r>
                </w:p>
              </w:tc>
              <w:tc>
                <w:tcPr>
                  <w:tcW w:w="2313" w:type="dxa"/>
                  <w:shd w:val="clear" w:color="auto" w:fill="auto"/>
                  <w:vAlign w:val="center"/>
                </w:tcPr>
                <w:p>
                  <w:pPr>
                    <w:pStyle w:val="15"/>
                    <w:rPr>
                      <w:color w:val="auto"/>
                    </w:rPr>
                  </w:pPr>
                  <w:r>
                    <w:rPr>
                      <w:rFonts w:hint="eastAsia"/>
                      <w:color w:val="auto"/>
                    </w:rPr>
                    <w:t>本项目为改建项目，不属于新建、扩建项目和设施。</w:t>
                  </w:r>
                </w:p>
              </w:tc>
              <w:tc>
                <w:tcPr>
                  <w:tcW w:w="562" w:type="dxa"/>
                  <w:shd w:val="clear" w:color="auto" w:fill="auto"/>
                  <w:vAlign w:val="center"/>
                </w:tcPr>
                <w:p>
                  <w:pPr>
                    <w:pStyle w:val="15"/>
                    <w:rPr>
                      <w:color w:val="auto"/>
                    </w:rPr>
                  </w:pPr>
                  <w:r>
                    <w:rPr>
                      <w:color w:val="auto"/>
                    </w:rPr>
                    <w:t>符合</w:t>
                  </w:r>
                </w:p>
              </w:tc>
            </w:tr>
          </w:tbl>
          <w:p>
            <w:pPr>
              <w:ind w:firstLine="482"/>
              <w:rPr>
                <w:b/>
                <w:bCs/>
                <w:color w:val="auto"/>
              </w:rPr>
            </w:pPr>
            <w:r>
              <w:rPr>
                <w:rFonts w:hint="eastAsia"/>
                <w:b/>
                <w:bCs/>
                <w:color w:val="auto"/>
              </w:rPr>
              <w:t>4、</w:t>
            </w:r>
            <w:r>
              <w:rPr>
                <w:b/>
                <w:bCs/>
                <w:color w:val="auto"/>
              </w:rPr>
              <w:t>与“三线一单”相符性分析</w:t>
            </w:r>
          </w:p>
          <w:p>
            <w:pPr>
              <w:ind w:firstLine="480"/>
              <w:rPr>
                <w:color w:val="auto"/>
              </w:rPr>
            </w:pPr>
            <w:r>
              <w:rPr>
                <w:color w:val="auto"/>
              </w:rPr>
              <w:t>（1）生态保护红线</w:t>
            </w:r>
          </w:p>
          <w:p>
            <w:pPr>
              <w:ind w:firstLine="480"/>
              <w:rPr>
                <w:color w:val="auto"/>
              </w:rPr>
            </w:pPr>
            <w:r>
              <w:rPr>
                <w:rFonts w:hint="eastAsia"/>
                <w:color w:val="auto"/>
              </w:rPr>
              <w:t>本</w:t>
            </w:r>
            <w:r>
              <w:rPr>
                <w:color w:val="auto"/>
              </w:rPr>
              <w:t>项目位于晋宁区上蒜镇，</w:t>
            </w:r>
            <w:r>
              <w:rPr>
                <w:rFonts w:hint="eastAsia"/>
                <w:color w:val="auto"/>
              </w:rPr>
              <w:t>所使用房屋设计用途为厂房</w:t>
            </w:r>
            <w:r>
              <w:rPr>
                <w:color w:val="auto"/>
              </w:rPr>
              <w:t>，不在主导生态功能区范围内，不在当地饮用水水源地、风景区、自然保护区等生态保护区内，评价区域无珍稀动植物分布。项目选址符合园区总体规划，不在云南省生态保护红线范围内。</w:t>
            </w:r>
          </w:p>
          <w:p>
            <w:pPr>
              <w:ind w:firstLine="480"/>
              <w:rPr>
                <w:color w:val="auto"/>
              </w:rPr>
            </w:pPr>
            <w:r>
              <w:rPr>
                <w:color w:val="auto"/>
              </w:rPr>
              <w:t>（2）环境质量底线</w:t>
            </w:r>
          </w:p>
          <w:p>
            <w:pPr>
              <w:ind w:firstLine="480"/>
              <w:rPr>
                <w:color w:val="auto"/>
              </w:rPr>
            </w:pPr>
            <w:r>
              <w:rPr>
                <w:color w:val="auto"/>
              </w:rPr>
              <w:t>环境质量底线要求大气环境质量、水环境质量等均符合国家标准，确保人民群众的安全健康。污染物排放总量控制红线要求全面完成减排任务，有效控制和消减污染物排放总量。</w:t>
            </w:r>
          </w:p>
          <w:p>
            <w:pPr>
              <w:ind w:firstLine="480"/>
              <w:rPr>
                <w:color w:val="auto"/>
              </w:rPr>
            </w:pPr>
            <w:r>
              <w:rPr>
                <w:color w:val="auto"/>
              </w:rPr>
              <w:t>经预测，项目产生的大气污染物处理后可实现达标排放；厂界噪声达标排放；建设不涉及新增废水产生和排放；固体废物100%处置。项目严格执行环境保护措施，确保污染物达标排放，严格控制环境质量功能现状。</w:t>
            </w:r>
          </w:p>
          <w:p>
            <w:pPr>
              <w:ind w:firstLine="480"/>
              <w:rPr>
                <w:color w:val="auto"/>
              </w:rPr>
            </w:pPr>
            <w:r>
              <w:rPr>
                <w:color w:val="auto"/>
              </w:rPr>
              <w:t>（3）资源利用上线</w:t>
            </w:r>
          </w:p>
          <w:p>
            <w:pPr>
              <w:ind w:firstLine="480"/>
              <w:rPr>
                <w:color w:val="auto"/>
              </w:rPr>
            </w:pPr>
            <w:r>
              <w:rPr>
                <w:rFonts w:hint="eastAsia"/>
                <w:color w:val="auto"/>
              </w:rPr>
              <w:t>本</w:t>
            </w:r>
            <w:r>
              <w:rPr>
                <w:color w:val="auto"/>
              </w:rPr>
              <w:t>项目位于晋宁区上蒜镇，</w:t>
            </w:r>
            <w:r>
              <w:rPr>
                <w:rFonts w:hint="eastAsia"/>
                <w:color w:val="auto"/>
              </w:rPr>
              <w:t>所使用房屋设计用途为厂房</w:t>
            </w:r>
            <w:r>
              <w:rPr>
                <w:color w:val="auto"/>
              </w:rPr>
              <w:t>，不新增占用耕地、林地等。本项目</w:t>
            </w:r>
            <w:r>
              <w:rPr>
                <w:rFonts w:hint="eastAsia"/>
                <w:color w:val="auto"/>
              </w:rPr>
              <w:t>为原址改建项目，</w:t>
            </w:r>
            <w:r>
              <w:rPr>
                <w:color w:val="auto"/>
              </w:rPr>
              <w:t>有利于实现晋宁工业园区产业结构升级，优化提高区域资源利用。项目</w:t>
            </w:r>
            <w:r>
              <w:rPr>
                <w:rFonts w:hint="eastAsia"/>
                <w:color w:val="auto"/>
              </w:rPr>
              <w:t>不新增燃料使用量</w:t>
            </w:r>
            <w:r>
              <w:rPr>
                <w:color w:val="auto"/>
              </w:rPr>
              <w:t>。项目整体建设符合资源利用上线要求。</w:t>
            </w:r>
          </w:p>
          <w:p>
            <w:pPr>
              <w:ind w:firstLine="480"/>
              <w:rPr>
                <w:color w:val="auto"/>
              </w:rPr>
            </w:pPr>
            <w:r>
              <w:rPr>
                <w:color w:val="auto"/>
              </w:rPr>
              <w:t>（4）环境准入负面清单</w:t>
            </w:r>
          </w:p>
          <w:p>
            <w:pPr>
              <w:ind w:firstLine="480"/>
              <w:rPr>
                <w:color w:val="auto"/>
              </w:rPr>
            </w:pPr>
            <w:r>
              <w:rPr>
                <w:color w:val="auto"/>
              </w:rPr>
              <w:t>根据《云南晋宁工业园区总体规划修编（2012-2030）环境影响报告书》，本项目位于晋宁区上蒜镇，项目占地为工业用地，功能定位与规划要求不冲突。建设项目符合晋宁工业园总体规划产业发展要求，符合《云南晋宁工业园区总体规划修编（2012-2030）环境影响报告书》规划原则、入园环保要求及规划环评审查意见相关要求。项目符合现行产业政策和当地发展规划。</w:t>
            </w:r>
          </w:p>
          <w:p>
            <w:pPr>
              <w:ind w:firstLine="480"/>
              <w:rPr>
                <w:color w:val="auto"/>
              </w:rPr>
            </w:pPr>
            <w:r>
              <w:rPr>
                <w:color w:val="auto"/>
              </w:rPr>
              <w:t>综上，项目建设符合“三线一单”相关要求。</w:t>
            </w:r>
          </w:p>
          <w:p>
            <w:pPr>
              <w:ind w:firstLine="482"/>
              <w:rPr>
                <w:b/>
                <w:bCs/>
                <w:color w:val="auto"/>
              </w:rPr>
            </w:pPr>
            <w:r>
              <w:rPr>
                <w:rFonts w:hint="eastAsia"/>
                <w:b/>
                <w:bCs/>
                <w:color w:val="auto"/>
              </w:rPr>
              <w:t>5、</w:t>
            </w:r>
            <w:r>
              <w:rPr>
                <w:b/>
                <w:bCs/>
                <w:color w:val="auto"/>
              </w:rPr>
              <w:t>与</w:t>
            </w:r>
            <w:r>
              <w:rPr>
                <w:rFonts w:hint="eastAsia"/>
                <w:b/>
                <w:bCs/>
                <w:color w:val="auto"/>
              </w:rPr>
              <w:t>《长江经济带发展负面清单指南（试行，2</w:t>
            </w:r>
            <w:r>
              <w:rPr>
                <w:b/>
                <w:bCs/>
                <w:color w:val="auto"/>
              </w:rPr>
              <w:t>022</w:t>
            </w:r>
            <w:r>
              <w:rPr>
                <w:rFonts w:hint="eastAsia"/>
                <w:b/>
                <w:bCs/>
                <w:color w:val="auto"/>
              </w:rPr>
              <w:t>年版）》（长江办〔2022〕7号）符合</w:t>
            </w:r>
            <w:r>
              <w:rPr>
                <w:b/>
                <w:bCs/>
                <w:color w:val="auto"/>
              </w:rPr>
              <w:t>性分析</w:t>
            </w:r>
          </w:p>
          <w:p>
            <w:pPr>
              <w:ind w:firstLine="480"/>
              <w:rPr>
                <w:color w:val="auto"/>
                <w:kern w:val="0"/>
              </w:rPr>
            </w:pPr>
            <w:r>
              <w:rPr>
                <w:rFonts w:hint="eastAsia"/>
                <w:color w:val="auto"/>
              </w:rPr>
              <w:t>2022年1月19日，推动长江经济带发展领导小组办公室发布了《长江经济带发展负面清单指南（试行，2022年版）》（长江办〔2022〕7号），本项目与该文件的符合性分析如下：</w:t>
            </w:r>
          </w:p>
          <w:p>
            <w:pPr>
              <w:pStyle w:val="14"/>
              <w:rPr>
                <w:color w:val="auto"/>
              </w:rPr>
            </w:pPr>
            <w:r>
              <w:rPr>
                <w:color w:val="auto"/>
              </w:rPr>
              <w:t>表1-</w:t>
            </w:r>
            <w:r>
              <w:rPr>
                <w:rFonts w:hint="eastAsia"/>
                <w:color w:val="auto"/>
              </w:rPr>
              <w:t>6</w:t>
            </w:r>
            <w:r>
              <w:rPr>
                <w:color w:val="auto"/>
              </w:rPr>
              <w:t xml:space="preserve">  项目与</w:t>
            </w:r>
            <w:r>
              <w:rPr>
                <w:rFonts w:hint="eastAsia"/>
                <w:color w:val="auto"/>
              </w:rPr>
              <w:t>长江办〔2022〕7号文相关要求</w:t>
            </w:r>
            <w:r>
              <w:rPr>
                <w:color w:val="auto"/>
              </w:rPr>
              <w:t>符合性分析</w:t>
            </w:r>
            <w:r>
              <w:rPr>
                <w:rFonts w:hint="eastAsia"/>
                <w:color w:val="auto"/>
              </w:rPr>
              <w:t>一览表</w:t>
            </w:r>
          </w:p>
          <w:tbl>
            <w:tblPr>
              <w:tblStyle w:val="10"/>
              <w:tblW w:w="6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3348"/>
              <w:gridCol w:w="2361"/>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color w:val="auto"/>
                    </w:rPr>
                    <w:t>序号</w:t>
                  </w:r>
                </w:p>
              </w:tc>
              <w:tc>
                <w:tcPr>
                  <w:tcW w:w="3348" w:type="dxa"/>
                  <w:vAlign w:val="center"/>
                </w:tcPr>
                <w:p>
                  <w:pPr>
                    <w:pStyle w:val="15"/>
                    <w:rPr>
                      <w:color w:val="auto"/>
                    </w:rPr>
                  </w:pPr>
                  <w:r>
                    <w:rPr>
                      <w:color w:val="auto"/>
                    </w:rPr>
                    <w:t>长江经济带发展负面清单</w:t>
                  </w:r>
                  <w:r>
                    <w:rPr>
                      <w:rFonts w:hint="eastAsia"/>
                      <w:color w:val="auto"/>
                    </w:rPr>
                    <w:t>指南长江办〔2022〕7号</w:t>
                  </w:r>
                </w:p>
              </w:tc>
              <w:tc>
                <w:tcPr>
                  <w:tcW w:w="2361" w:type="dxa"/>
                  <w:vAlign w:val="center"/>
                </w:tcPr>
                <w:p>
                  <w:pPr>
                    <w:pStyle w:val="15"/>
                    <w:rPr>
                      <w:color w:val="auto"/>
                    </w:rPr>
                  </w:pPr>
                  <w:r>
                    <w:rPr>
                      <w:color w:val="auto"/>
                    </w:rPr>
                    <w:t>本项目情况</w:t>
                  </w:r>
                </w:p>
              </w:tc>
              <w:tc>
                <w:tcPr>
                  <w:tcW w:w="746" w:type="dxa"/>
                  <w:vAlign w:val="center"/>
                </w:tcPr>
                <w:p>
                  <w:pPr>
                    <w:pStyle w:val="15"/>
                    <w:rPr>
                      <w:color w:val="auto"/>
                    </w:rPr>
                  </w:pPr>
                  <w:r>
                    <w:rPr>
                      <w:color w:val="auto"/>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color w:val="auto"/>
                    </w:rPr>
                    <w:t>1</w:t>
                  </w:r>
                </w:p>
              </w:tc>
              <w:tc>
                <w:tcPr>
                  <w:tcW w:w="3348" w:type="dxa"/>
                  <w:vAlign w:val="center"/>
                </w:tcPr>
                <w:p>
                  <w:pPr>
                    <w:pStyle w:val="15"/>
                    <w:rPr>
                      <w:color w:val="auto"/>
                    </w:rPr>
                  </w:pPr>
                  <w:r>
                    <w:rPr>
                      <w:color w:val="auto"/>
                    </w:rPr>
                    <w:t>禁止建设不符合全国和省级港口布局规划以及港口总体规划的码头项目，禁止建设不符合《长江干线过江通道布局规划》的过长江通道项目。</w:t>
                  </w:r>
                </w:p>
              </w:tc>
              <w:tc>
                <w:tcPr>
                  <w:tcW w:w="2361" w:type="dxa"/>
                  <w:vAlign w:val="center"/>
                </w:tcPr>
                <w:p>
                  <w:pPr>
                    <w:pStyle w:val="15"/>
                    <w:rPr>
                      <w:color w:val="auto"/>
                    </w:rPr>
                  </w:pPr>
                  <w:r>
                    <w:rPr>
                      <w:color w:val="auto"/>
                    </w:rPr>
                    <w:t>本项目</w:t>
                  </w:r>
                  <w:r>
                    <w:rPr>
                      <w:rFonts w:hint="eastAsia"/>
                      <w:color w:val="auto"/>
                    </w:rPr>
                    <w:t>不属于该条款所述项目类型</w:t>
                  </w:r>
                  <w:r>
                    <w:rPr>
                      <w:color w:val="auto"/>
                    </w:rPr>
                    <w:t>。</w:t>
                  </w:r>
                </w:p>
              </w:tc>
              <w:tc>
                <w:tcPr>
                  <w:tcW w:w="746"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color w:val="auto"/>
                    </w:rPr>
                    <w:t>2</w:t>
                  </w:r>
                </w:p>
              </w:tc>
              <w:tc>
                <w:tcPr>
                  <w:tcW w:w="3348" w:type="dxa"/>
                  <w:vAlign w:val="center"/>
                </w:tcPr>
                <w:p>
                  <w:pPr>
                    <w:pStyle w:val="15"/>
                    <w:rPr>
                      <w:color w:val="auto"/>
                    </w:rPr>
                  </w:pPr>
                  <w:r>
                    <w:rPr>
                      <w:color w:val="auto"/>
                    </w:rPr>
                    <w:t>禁止在自然保护区核心区、缓冲区的岸线和河段范围内投资建设旅游和生产经营项目。禁止在风景名胜区核心景区的岸线和河段范围内投资建设与风景名胜资源保护无关的项目。</w:t>
                  </w:r>
                </w:p>
              </w:tc>
              <w:tc>
                <w:tcPr>
                  <w:tcW w:w="2361" w:type="dxa"/>
                  <w:vAlign w:val="center"/>
                </w:tcPr>
                <w:p>
                  <w:pPr>
                    <w:pStyle w:val="15"/>
                    <w:rPr>
                      <w:color w:val="auto"/>
                    </w:rPr>
                  </w:pPr>
                  <w:r>
                    <w:rPr>
                      <w:color w:val="auto"/>
                    </w:rPr>
                    <w:t>本</w:t>
                  </w:r>
                  <w:r>
                    <w:rPr>
                      <w:rFonts w:hint="eastAsia"/>
                      <w:color w:val="auto"/>
                    </w:rPr>
                    <w:t>项目</w:t>
                  </w:r>
                  <w:r>
                    <w:rPr>
                      <w:color w:val="auto"/>
                    </w:rPr>
                    <w:t>不涉及自然保护区、风景名胜区</w:t>
                  </w:r>
                  <w:r>
                    <w:rPr>
                      <w:rFonts w:hint="eastAsia"/>
                      <w:color w:val="auto"/>
                    </w:rPr>
                    <w:t>等</w:t>
                  </w:r>
                  <w:r>
                    <w:rPr>
                      <w:color w:val="auto"/>
                    </w:rPr>
                    <w:t>。</w:t>
                  </w:r>
                </w:p>
              </w:tc>
              <w:tc>
                <w:tcPr>
                  <w:tcW w:w="746"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color w:val="auto"/>
                    </w:rPr>
                    <w:t>3</w:t>
                  </w:r>
                </w:p>
              </w:tc>
              <w:tc>
                <w:tcPr>
                  <w:tcW w:w="3348" w:type="dxa"/>
                  <w:vAlign w:val="center"/>
                </w:tcPr>
                <w:p>
                  <w:pPr>
                    <w:pStyle w:val="15"/>
                    <w:rPr>
                      <w:color w:val="auto"/>
                    </w:rPr>
                  </w:pPr>
                  <w:r>
                    <w:rPr>
                      <w:color w:val="auto"/>
                    </w:rPr>
                    <w:t>禁止在饮用水水源一级保护区的岸线和河段范围内新建、改建、扩建与供水设施和保护水源无关的项目，以及网箱养殖、</w:t>
                  </w:r>
                  <w:r>
                    <w:rPr>
                      <w:rFonts w:hint="eastAsia"/>
                      <w:color w:val="auto"/>
                    </w:rPr>
                    <w:t>畜禽养殖、</w:t>
                  </w:r>
                  <w:r>
                    <w:rPr>
                      <w:color w:val="auto"/>
                    </w:rPr>
                    <w:t>旅游等可能污染饮用水水体的投资建设项目。禁止在饮用水水源二级保护区的岸线和河段范围内新建、改建、扩建排放污染物的投资建设项目。</w:t>
                  </w:r>
                </w:p>
              </w:tc>
              <w:tc>
                <w:tcPr>
                  <w:tcW w:w="2361" w:type="dxa"/>
                  <w:vAlign w:val="center"/>
                </w:tcPr>
                <w:p>
                  <w:pPr>
                    <w:pStyle w:val="15"/>
                    <w:rPr>
                      <w:color w:val="auto"/>
                    </w:rPr>
                  </w:pPr>
                  <w:r>
                    <w:rPr>
                      <w:rFonts w:hint="eastAsia"/>
                      <w:color w:val="auto"/>
                    </w:rPr>
                    <w:t>本项目</w:t>
                  </w:r>
                  <w:r>
                    <w:rPr>
                      <w:color w:val="auto"/>
                    </w:rPr>
                    <w:t>不涉及饮用水水源保护区。</w:t>
                  </w:r>
                </w:p>
              </w:tc>
              <w:tc>
                <w:tcPr>
                  <w:tcW w:w="746"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color w:val="auto"/>
                    </w:rPr>
                    <w:t>4</w:t>
                  </w:r>
                </w:p>
              </w:tc>
              <w:tc>
                <w:tcPr>
                  <w:tcW w:w="3348" w:type="dxa"/>
                  <w:vAlign w:val="center"/>
                </w:tcPr>
                <w:p>
                  <w:pPr>
                    <w:pStyle w:val="15"/>
                    <w:rPr>
                      <w:color w:val="auto"/>
                    </w:rPr>
                  </w:pPr>
                  <w:r>
                    <w:rPr>
                      <w:color w:val="auto"/>
                    </w:rPr>
                    <w:t>禁止在水产种质资源保护区的岸线和河段范围内</w:t>
                  </w:r>
                  <w:r>
                    <w:rPr>
                      <w:rFonts w:hint="eastAsia"/>
                      <w:color w:val="auto"/>
                    </w:rPr>
                    <w:t>新建</w:t>
                  </w:r>
                  <w:r>
                    <w:rPr>
                      <w:color w:val="auto"/>
                    </w:rPr>
                    <w:t>围湖造田、围海造地或围填海等投资建设项目。禁止在国家湿地公园的岸线和河段范围内挖沙、采矿，以及任何不符合主体功能定位的投资建设项目。</w:t>
                  </w:r>
                </w:p>
              </w:tc>
              <w:tc>
                <w:tcPr>
                  <w:tcW w:w="2361" w:type="dxa"/>
                  <w:vAlign w:val="center"/>
                </w:tcPr>
                <w:p>
                  <w:pPr>
                    <w:pStyle w:val="15"/>
                    <w:rPr>
                      <w:color w:val="auto"/>
                    </w:rPr>
                  </w:pPr>
                  <w:r>
                    <w:rPr>
                      <w:rFonts w:hint="eastAsia"/>
                      <w:color w:val="auto"/>
                    </w:rPr>
                    <w:t>本项目</w:t>
                  </w:r>
                  <w:r>
                    <w:rPr>
                      <w:color w:val="auto"/>
                    </w:rPr>
                    <w:t>不涉及水产种质资源保护区</w:t>
                  </w:r>
                  <w:r>
                    <w:rPr>
                      <w:rFonts w:hint="eastAsia"/>
                      <w:color w:val="auto"/>
                    </w:rPr>
                    <w:t>、</w:t>
                  </w:r>
                  <w:r>
                    <w:rPr>
                      <w:color w:val="auto"/>
                    </w:rPr>
                    <w:t>国家湿地公园。</w:t>
                  </w:r>
                </w:p>
              </w:tc>
              <w:tc>
                <w:tcPr>
                  <w:tcW w:w="746"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color w:val="auto"/>
                    </w:rPr>
                    <w:t>5</w:t>
                  </w:r>
                </w:p>
              </w:tc>
              <w:tc>
                <w:tcPr>
                  <w:tcW w:w="3348" w:type="dxa"/>
                  <w:vAlign w:val="center"/>
                </w:tcPr>
                <w:p>
                  <w:pPr>
                    <w:pStyle w:val="15"/>
                    <w:rPr>
                      <w:color w:val="auto"/>
                    </w:rPr>
                  </w:pPr>
                  <w:r>
                    <w:rPr>
                      <w:rFonts w:hint="eastAsia"/>
                      <w:color w:val="auto"/>
                    </w:rPr>
                    <w:t>禁止违法利用、占用长江流域河湖岸线。</w:t>
                  </w:r>
                  <w:r>
                    <w:rPr>
                      <w:color w:val="auto"/>
                    </w:rPr>
                    <w:t>禁止在《长江岸线保护和开发利用总体规划》划定的岸线保护区内投资建设除</w:t>
                  </w:r>
                  <w:r>
                    <w:rPr>
                      <w:rFonts w:hint="eastAsia"/>
                      <w:color w:val="auto"/>
                    </w:rPr>
                    <w:t>事关公共安全及公众利益的防洪护岸、河道治理、供水、生态环境保护、航道整治、国家重要基础设施以外的项目。</w:t>
                  </w:r>
                  <w:r>
                    <w:rPr>
                      <w:color w:val="auto"/>
                    </w:rPr>
                    <w:t>禁止在《全国重要江河湖泊水功能区划》划定的河段</w:t>
                  </w:r>
                  <w:r>
                    <w:rPr>
                      <w:rFonts w:hint="eastAsia"/>
                      <w:color w:val="auto"/>
                    </w:rPr>
                    <w:t>及湖泊</w:t>
                  </w:r>
                  <w:r>
                    <w:rPr>
                      <w:color w:val="auto"/>
                    </w:rPr>
                    <w:t>保护区、保留区内投资建设不利于水资源及自然生态保护的项目。</w:t>
                  </w:r>
                </w:p>
              </w:tc>
              <w:tc>
                <w:tcPr>
                  <w:tcW w:w="2361" w:type="dxa"/>
                  <w:vAlign w:val="center"/>
                </w:tcPr>
                <w:p>
                  <w:pPr>
                    <w:pStyle w:val="15"/>
                    <w:rPr>
                      <w:color w:val="auto"/>
                    </w:rPr>
                  </w:pPr>
                  <w:r>
                    <w:rPr>
                      <w:rFonts w:hint="eastAsia"/>
                      <w:color w:val="auto"/>
                    </w:rPr>
                    <w:t>本项目不涉及长江流域河湖岸线、</w:t>
                  </w:r>
                  <w:r>
                    <w:rPr>
                      <w:color w:val="auto"/>
                    </w:rPr>
                    <w:t>《长江岸线保护和开发利用总体规划》划定的岸线保护区以及《全国重要江河湖泊水功能区划》划定的河段</w:t>
                  </w:r>
                  <w:r>
                    <w:rPr>
                      <w:rFonts w:hint="eastAsia"/>
                      <w:color w:val="auto"/>
                    </w:rPr>
                    <w:t>及湖泊保护区、保留区</w:t>
                  </w:r>
                  <w:r>
                    <w:rPr>
                      <w:color w:val="auto"/>
                    </w:rPr>
                    <w:t>。</w:t>
                  </w:r>
                </w:p>
              </w:tc>
              <w:tc>
                <w:tcPr>
                  <w:tcW w:w="746"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color w:val="auto"/>
                    </w:rPr>
                    <w:t>6</w:t>
                  </w:r>
                </w:p>
              </w:tc>
              <w:tc>
                <w:tcPr>
                  <w:tcW w:w="3348" w:type="dxa"/>
                  <w:vAlign w:val="center"/>
                </w:tcPr>
                <w:p>
                  <w:pPr>
                    <w:pStyle w:val="15"/>
                    <w:rPr>
                      <w:color w:val="auto"/>
                    </w:rPr>
                  </w:pPr>
                  <w:r>
                    <w:rPr>
                      <w:color w:val="auto"/>
                    </w:rPr>
                    <w:t>禁止</w:t>
                  </w:r>
                  <w:r>
                    <w:rPr>
                      <w:rFonts w:hint="eastAsia"/>
                      <w:color w:val="auto"/>
                    </w:rPr>
                    <w:t>未经许可在长江干支流及湖泊新设、改设或扩大排污口。</w:t>
                  </w:r>
                </w:p>
              </w:tc>
              <w:tc>
                <w:tcPr>
                  <w:tcW w:w="2361" w:type="dxa"/>
                  <w:vAlign w:val="center"/>
                </w:tcPr>
                <w:p>
                  <w:pPr>
                    <w:pStyle w:val="15"/>
                    <w:rPr>
                      <w:color w:val="auto"/>
                    </w:rPr>
                  </w:pPr>
                  <w:r>
                    <w:rPr>
                      <w:rFonts w:hint="eastAsia"/>
                      <w:color w:val="auto"/>
                    </w:rPr>
                    <w:t>本项目废水均不直排，故不设排污口。</w:t>
                  </w:r>
                </w:p>
              </w:tc>
              <w:tc>
                <w:tcPr>
                  <w:tcW w:w="746"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color w:val="auto"/>
                    </w:rPr>
                    <w:t>7</w:t>
                  </w:r>
                </w:p>
              </w:tc>
              <w:tc>
                <w:tcPr>
                  <w:tcW w:w="3348" w:type="dxa"/>
                  <w:vAlign w:val="center"/>
                </w:tcPr>
                <w:p>
                  <w:pPr>
                    <w:pStyle w:val="15"/>
                    <w:rPr>
                      <w:color w:val="auto"/>
                    </w:rPr>
                  </w:pPr>
                  <w:r>
                    <w:rPr>
                      <w:rFonts w:hint="eastAsia"/>
                      <w:color w:val="auto"/>
                    </w:rPr>
                    <w:t>禁止在“一江一口两湖七河”和3</w:t>
                  </w:r>
                  <w:r>
                    <w:rPr>
                      <w:color w:val="auto"/>
                    </w:rPr>
                    <w:t>32</w:t>
                  </w:r>
                  <w:r>
                    <w:rPr>
                      <w:rFonts w:hint="eastAsia"/>
                      <w:color w:val="auto"/>
                    </w:rPr>
                    <w:t>个水生生物保护区开展生产性捕捞。</w:t>
                  </w:r>
                </w:p>
              </w:tc>
              <w:tc>
                <w:tcPr>
                  <w:tcW w:w="2361" w:type="dxa"/>
                  <w:vAlign w:val="center"/>
                </w:tcPr>
                <w:p>
                  <w:pPr>
                    <w:pStyle w:val="15"/>
                    <w:rPr>
                      <w:color w:val="auto"/>
                    </w:rPr>
                  </w:pPr>
                  <w:r>
                    <w:rPr>
                      <w:rFonts w:hint="eastAsia"/>
                      <w:color w:val="auto"/>
                    </w:rPr>
                    <w:t>本项目不涉及生产性捕捞</w:t>
                  </w:r>
                  <w:r>
                    <w:rPr>
                      <w:color w:val="auto"/>
                    </w:rPr>
                    <w:t>。</w:t>
                  </w:r>
                </w:p>
              </w:tc>
              <w:tc>
                <w:tcPr>
                  <w:tcW w:w="746"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color w:val="auto"/>
                    </w:rPr>
                    <w:t>8</w:t>
                  </w:r>
                </w:p>
              </w:tc>
              <w:tc>
                <w:tcPr>
                  <w:tcW w:w="3348" w:type="dxa"/>
                  <w:vAlign w:val="center"/>
                </w:tcPr>
                <w:p>
                  <w:pPr>
                    <w:pStyle w:val="15"/>
                    <w:rPr>
                      <w:color w:val="auto"/>
                    </w:rPr>
                  </w:pPr>
                  <w:r>
                    <w:rPr>
                      <w:color w:val="auto"/>
                    </w:rPr>
                    <w:t>禁止在长江干支流</w:t>
                  </w:r>
                  <w:r>
                    <w:rPr>
                      <w:rFonts w:hint="eastAsia"/>
                      <w:color w:val="auto"/>
                    </w:rPr>
                    <w:t>、重要湖泊岸线一</w:t>
                  </w:r>
                  <w:r>
                    <w:rPr>
                      <w:color w:val="auto"/>
                    </w:rPr>
                    <w:t>公里范围内新建、扩建化工园区和化工项目。</w:t>
                  </w:r>
                  <w:r>
                    <w:rPr>
                      <w:rFonts w:hint="eastAsia"/>
                      <w:color w:val="auto"/>
                    </w:rPr>
                    <w:t>禁止在长江干流岸线三公里范围内和重要支流岸线一公里范围内新建、改建、扩建尾矿库、冶炼渣库和磷石膏库，以提升安全、生态环境保护水平为目的的改建除外。</w:t>
                  </w:r>
                </w:p>
              </w:tc>
              <w:tc>
                <w:tcPr>
                  <w:tcW w:w="2361" w:type="dxa"/>
                  <w:vAlign w:val="center"/>
                </w:tcPr>
                <w:p>
                  <w:pPr>
                    <w:pStyle w:val="15"/>
                    <w:rPr>
                      <w:color w:val="auto"/>
                    </w:rPr>
                  </w:pPr>
                  <w:r>
                    <w:rPr>
                      <w:rFonts w:hint="eastAsia"/>
                      <w:color w:val="auto"/>
                    </w:rPr>
                    <w:t>本项目不属于该条款所述项目类别。</w:t>
                  </w:r>
                </w:p>
              </w:tc>
              <w:tc>
                <w:tcPr>
                  <w:tcW w:w="746"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color w:val="auto"/>
                    </w:rPr>
                    <w:t>9</w:t>
                  </w:r>
                </w:p>
              </w:tc>
              <w:tc>
                <w:tcPr>
                  <w:tcW w:w="3348" w:type="dxa"/>
                  <w:vAlign w:val="center"/>
                </w:tcPr>
                <w:p>
                  <w:pPr>
                    <w:pStyle w:val="15"/>
                    <w:rPr>
                      <w:color w:val="auto"/>
                    </w:rPr>
                  </w:pPr>
                  <w:r>
                    <w:rPr>
                      <w:color w:val="auto"/>
                    </w:rPr>
                    <w:t>禁止在合规园区外新建、扩建钢铁、石化、化工、焦化、建材、有色</w:t>
                  </w:r>
                  <w:r>
                    <w:rPr>
                      <w:rFonts w:hint="eastAsia"/>
                      <w:color w:val="auto"/>
                    </w:rPr>
                    <w:t>制浆造纸</w:t>
                  </w:r>
                  <w:r>
                    <w:rPr>
                      <w:color w:val="auto"/>
                    </w:rPr>
                    <w:t>等高污染项目。</w:t>
                  </w:r>
                </w:p>
              </w:tc>
              <w:tc>
                <w:tcPr>
                  <w:tcW w:w="2361" w:type="dxa"/>
                  <w:vAlign w:val="center"/>
                </w:tcPr>
                <w:p>
                  <w:pPr>
                    <w:pStyle w:val="15"/>
                    <w:rPr>
                      <w:color w:val="auto"/>
                    </w:rPr>
                  </w:pPr>
                  <w:r>
                    <w:rPr>
                      <w:rFonts w:hint="eastAsia"/>
                      <w:color w:val="auto"/>
                    </w:rPr>
                    <w:t>本项目不属于该条款所述高污染项目。</w:t>
                  </w:r>
                </w:p>
              </w:tc>
              <w:tc>
                <w:tcPr>
                  <w:tcW w:w="746"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color w:val="auto"/>
                    </w:rPr>
                    <w:t>10</w:t>
                  </w:r>
                </w:p>
              </w:tc>
              <w:tc>
                <w:tcPr>
                  <w:tcW w:w="3348" w:type="dxa"/>
                  <w:vAlign w:val="center"/>
                </w:tcPr>
                <w:p>
                  <w:pPr>
                    <w:pStyle w:val="15"/>
                    <w:rPr>
                      <w:color w:val="auto"/>
                    </w:rPr>
                  </w:pPr>
                  <w:r>
                    <w:rPr>
                      <w:color w:val="auto"/>
                    </w:rPr>
                    <w:t>禁止新建、扩建</w:t>
                  </w:r>
                  <w:r>
                    <w:rPr>
                      <w:rFonts w:hint="eastAsia"/>
                      <w:color w:val="auto"/>
                    </w:rPr>
                    <w:t>不符合国家石化、现代煤化工等产业布局规划的项目。</w:t>
                  </w:r>
                </w:p>
              </w:tc>
              <w:tc>
                <w:tcPr>
                  <w:tcW w:w="2361" w:type="dxa"/>
                  <w:vAlign w:val="center"/>
                </w:tcPr>
                <w:p>
                  <w:pPr>
                    <w:pStyle w:val="15"/>
                    <w:rPr>
                      <w:color w:val="auto"/>
                    </w:rPr>
                  </w:pPr>
                  <w:r>
                    <w:rPr>
                      <w:rFonts w:hint="eastAsia"/>
                      <w:color w:val="auto"/>
                    </w:rPr>
                    <w:t>本项目不涉及国家石化、现代煤化工等产业布局规划</w:t>
                  </w:r>
                  <w:r>
                    <w:rPr>
                      <w:color w:val="auto"/>
                    </w:rPr>
                    <w:t>。</w:t>
                  </w:r>
                </w:p>
              </w:tc>
              <w:tc>
                <w:tcPr>
                  <w:tcW w:w="746"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rFonts w:hint="eastAsia"/>
                      <w:color w:val="auto"/>
                    </w:rPr>
                    <w:t>1</w:t>
                  </w:r>
                  <w:r>
                    <w:rPr>
                      <w:color w:val="auto"/>
                    </w:rPr>
                    <w:t>1</w:t>
                  </w:r>
                </w:p>
              </w:tc>
              <w:tc>
                <w:tcPr>
                  <w:tcW w:w="3348" w:type="dxa"/>
                  <w:vAlign w:val="center"/>
                </w:tcPr>
                <w:p>
                  <w:pPr>
                    <w:pStyle w:val="15"/>
                    <w:rPr>
                      <w:color w:val="auto"/>
                    </w:rPr>
                  </w:pPr>
                  <w:r>
                    <w:rPr>
                      <w:rFonts w:hint="eastAsia"/>
                      <w:color w:val="auto"/>
                    </w:rPr>
                    <w:t>禁止新建、扩建</w:t>
                  </w:r>
                  <w:r>
                    <w:rPr>
                      <w:color w:val="auto"/>
                    </w:rPr>
                    <w:t>法律法规和相关政策明令禁止的落后产能项目。禁止新建、扩建不符合国家产能置换要求的严重过剩产能行业的项目。</w:t>
                  </w:r>
                  <w:r>
                    <w:rPr>
                      <w:rFonts w:hint="eastAsia"/>
                      <w:color w:val="auto"/>
                    </w:rPr>
                    <w:t>禁止新建、扩建不符合要求的高耗能高排放项目。</w:t>
                  </w:r>
                </w:p>
              </w:tc>
              <w:tc>
                <w:tcPr>
                  <w:tcW w:w="2361" w:type="dxa"/>
                  <w:vAlign w:val="center"/>
                </w:tcPr>
                <w:p>
                  <w:pPr>
                    <w:pStyle w:val="15"/>
                    <w:rPr>
                      <w:color w:val="auto"/>
                    </w:rPr>
                  </w:pPr>
                  <w:r>
                    <w:rPr>
                      <w:rFonts w:hint="eastAsia"/>
                      <w:color w:val="auto"/>
                    </w:rPr>
                    <w:t>本项目不属于落后产能项目、</w:t>
                  </w:r>
                  <w:r>
                    <w:rPr>
                      <w:color w:val="auto"/>
                    </w:rPr>
                    <w:t>严重过剩产能行业</w:t>
                  </w:r>
                  <w:r>
                    <w:rPr>
                      <w:rFonts w:hint="eastAsia"/>
                      <w:color w:val="auto"/>
                    </w:rPr>
                    <w:t>项目及高耗能高排放项目。</w:t>
                  </w:r>
                </w:p>
              </w:tc>
              <w:tc>
                <w:tcPr>
                  <w:tcW w:w="746" w:type="dxa"/>
                  <w:vAlign w:val="center"/>
                </w:tcPr>
                <w:p>
                  <w:pPr>
                    <w:pStyle w:val="15"/>
                    <w:rPr>
                      <w:color w:val="auto"/>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1" w:type="dxa"/>
                  <w:vAlign w:val="center"/>
                </w:tcPr>
                <w:p>
                  <w:pPr>
                    <w:pStyle w:val="15"/>
                    <w:rPr>
                      <w:color w:val="auto"/>
                    </w:rPr>
                  </w:pPr>
                  <w:r>
                    <w:rPr>
                      <w:rFonts w:hint="eastAsia"/>
                      <w:color w:val="auto"/>
                    </w:rPr>
                    <w:t>1</w:t>
                  </w:r>
                  <w:r>
                    <w:rPr>
                      <w:color w:val="auto"/>
                    </w:rPr>
                    <w:t>2</w:t>
                  </w:r>
                </w:p>
              </w:tc>
              <w:tc>
                <w:tcPr>
                  <w:tcW w:w="3348" w:type="dxa"/>
                  <w:vAlign w:val="center"/>
                </w:tcPr>
                <w:p>
                  <w:pPr>
                    <w:pStyle w:val="15"/>
                    <w:rPr>
                      <w:color w:val="auto"/>
                    </w:rPr>
                  </w:pPr>
                  <w:r>
                    <w:rPr>
                      <w:rFonts w:hint="eastAsia"/>
                      <w:color w:val="auto"/>
                    </w:rPr>
                    <w:t>法律法规及相关政策文件有更加严格规定的从其规定。</w:t>
                  </w:r>
                </w:p>
              </w:tc>
              <w:tc>
                <w:tcPr>
                  <w:tcW w:w="2361" w:type="dxa"/>
                  <w:vAlign w:val="center"/>
                </w:tcPr>
                <w:p>
                  <w:pPr>
                    <w:pStyle w:val="15"/>
                    <w:rPr>
                      <w:color w:val="auto"/>
                    </w:rPr>
                  </w:pPr>
                  <w:r>
                    <w:rPr>
                      <w:rFonts w:hint="eastAsia"/>
                      <w:color w:val="auto"/>
                    </w:rPr>
                    <w:t>本项目不涉及法律法规及相关政策文件更加严格的规定。</w:t>
                  </w:r>
                </w:p>
              </w:tc>
              <w:tc>
                <w:tcPr>
                  <w:tcW w:w="746" w:type="dxa"/>
                  <w:vAlign w:val="center"/>
                </w:tcPr>
                <w:p>
                  <w:pPr>
                    <w:pStyle w:val="15"/>
                    <w:rPr>
                      <w:color w:val="auto"/>
                    </w:rPr>
                  </w:pPr>
                  <w:r>
                    <w:rPr>
                      <w:rFonts w:hint="eastAsia"/>
                      <w:color w:val="auto"/>
                    </w:rPr>
                    <w:t>符合</w:t>
                  </w:r>
                </w:p>
              </w:tc>
            </w:tr>
          </w:tbl>
          <w:p>
            <w:pPr>
              <w:ind w:firstLine="480"/>
              <w:rPr>
                <w:color w:val="auto"/>
              </w:rPr>
            </w:pPr>
            <w:r>
              <w:rPr>
                <w:rFonts w:hint="eastAsia"/>
                <w:color w:val="auto"/>
              </w:rPr>
              <w:t>综上所述</w:t>
            </w:r>
            <w:r>
              <w:rPr>
                <w:color w:val="auto"/>
              </w:rPr>
              <w:t>，</w:t>
            </w:r>
            <w:r>
              <w:rPr>
                <w:rFonts w:hint="eastAsia"/>
                <w:color w:val="auto"/>
              </w:rPr>
              <w:t>本项目的建设与《长江经济带发展负面清单指南（试行，2022年版）》中相关要求相符。</w:t>
            </w:r>
          </w:p>
          <w:p>
            <w:pPr>
              <w:ind w:firstLine="482"/>
              <w:rPr>
                <w:b/>
                <w:bCs/>
                <w:color w:val="auto"/>
              </w:rPr>
            </w:pPr>
            <w:r>
              <w:rPr>
                <w:rFonts w:hint="eastAsia"/>
                <w:b/>
                <w:bCs/>
                <w:color w:val="auto"/>
              </w:rPr>
              <w:t>6、</w:t>
            </w:r>
            <w:r>
              <w:rPr>
                <w:b/>
                <w:bCs/>
                <w:color w:val="auto"/>
              </w:rPr>
              <w:t>与《云南省长江经济带发展负面清单指南实施细则（试行，2022年版）》符合性分析</w:t>
            </w:r>
          </w:p>
          <w:p>
            <w:pPr>
              <w:ind w:firstLine="480"/>
              <w:rPr>
                <w:color w:val="auto"/>
              </w:rPr>
            </w:pPr>
            <w:r>
              <w:rPr>
                <w:color w:val="auto"/>
              </w:rPr>
              <w:t>2022年8月19日，云南省推动长江经济带发展领导小组办公室发布了《云南省长江经济带发展负面清单指南实施细则（试行，2022年版）》（云发改基础〔2022〕894号），</w:t>
            </w:r>
            <w:r>
              <w:rPr>
                <w:rFonts w:hint="eastAsia"/>
                <w:color w:val="auto"/>
              </w:rPr>
              <w:t>本</w:t>
            </w:r>
            <w:r>
              <w:rPr>
                <w:color w:val="auto"/>
              </w:rPr>
              <w:t>项目与</w:t>
            </w:r>
            <w:r>
              <w:rPr>
                <w:rFonts w:hint="eastAsia"/>
                <w:color w:val="auto"/>
              </w:rPr>
              <w:t>该</w:t>
            </w:r>
            <w:r>
              <w:rPr>
                <w:color w:val="auto"/>
              </w:rPr>
              <w:t>文</w:t>
            </w:r>
            <w:r>
              <w:rPr>
                <w:rFonts w:hint="eastAsia"/>
                <w:color w:val="auto"/>
              </w:rPr>
              <w:t>件</w:t>
            </w:r>
            <w:r>
              <w:rPr>
                <w:color w:val="auto"/>
              </w:rPr>
              <w:t>的符合性分析如下：</w:t>
            </w:r>
          </w:p>
          <w:p>
            <w:pPr>
              <w:pStyle w:val="14"/>
              <w:rPr>
                <w:color w:val="auto"/>
              </w:rPr>
            </w:pPr>
            <w:r>
              <w:rPr>
                <w:color w:val="auto"/>
              </w:rPr>
              <w:t>表1-</w:t>
            </w:r>
            <w:r>
              <w:rPr>
                <w:rFonts w:hint="eastAsia"/>
                <w:color w:val="auto"/>
              </w:rPr>
              <w:t xml:space="preserve">7  </w:t>
            </w:r>
            <w:r>
              <w:rPr>
                <w:color w:val="auto"/>
              </w:rPr>
              <w:t>项目与云发改基础〔2022〕894号文相关要求符合性分析</w:t>
            </w:r>
            <w:r>
              <w:rPr>
                <w:rFonts w:hint="eastAsia"/>
                <w:color w:val="auto"/>
              </w:rPr>
              <w:t>一览表</w:t>
            </w:r>
          </w:p>
          <w:tbl>
            <w:tblPr>
              <w:tblStyle w:val="10"/>
              <w:tblW w:w="69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
              <w:gridCol w:w="4066"/>
              <w:gridCol w:w="1643"/>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序号</w:t>
                  </w:r>
                </w:p>
              </w:tc>
              <w:tc>
                <w:tcPr>
                  <w:tcW w:w="4066" w:type="dxa"/>
                  <w:vAlign w:val="center"/>
                </w:tcPr>
                <w:p>
                  <w:pPr>
                    <w:pStyle w:val="15"/>
                    <w:rPr>
                      <w:color w:val="auto"/>
                    </w:rPr>
                  </w:pPr>
                  <w:r>
                    <w:rPr>
                      <w:color w:val="auto"/>
                    </w:rPr>
                    <w:t>云发改基础〔2022〕894号文要求</w:t>
                  </w:r>
                </w:p>
              </w:tc>
              <w:tc>
                <w:tcPr>
                  <w:tcW w:w="1643" w:type="dxa"/>
                  <w:vAlign w:val="center"/>
                </w:tcPr>
                <w:p>
                  <w:pPr>
                    <w:pStyle w:val="15"/>
                    <w:rPr>
                      <w:color w:val="auto"/>
                    </w:rPr>
                  </w:pPr>
                  <w:r>
                    <w:rPr>
                      <w:color w:val="auto"/>
                    </w:rPr>
                    <w:t>本项目情况</w:t>
                  </w:r>
                </w:p>
              </w:tc>
              <w:tc>
                <w:tcPr>
                  <w:tcW w:w="672" w:type="dxa"/>
                  <w:vAlign w:val="center"/>
                </w:tcPr>
                <w:p>
                  <w:pPr>
                    <w:pStyle w:val="15"/>
                    <w:rPr>
                      <w:color w:val="auto"/>
                    </w:rPr>
                  </w:pPr>
                  <w:r>
                    <w:rPr>
                      <w:color w:val="auto"/>
                    </w:rPr>
                    <w:t>符合</w:t>
                  </w:r>
                  <w:r>
                    <w:rPr>
                      <w:rFonts w:hint="eastAsia"/>
                      <w:color w:val="auto"/>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1</w:t>
                  </w:r>
                </w:p>
              </w:tc>
              <w:tc>
                <w:tcPr>
                  <w:tcW w:w="4066" w:type="dxa"/>
                  <w:vAlign w:val="center"/>
                </w:tcPr>
                <w:p>
                  <w:pPr>
                    <w:pStyle w:val="15"/>
                    <w:rPr>
                      <w:color w:val="auto"/>
                    </w:rPr>
                  </w:pPr>
                  <w:r>
                    <w:rPr>
                      <w:color w:val="auto"/>
                    </w:rPr>
                    <w:t>禁止新建、改建和扩建不符合《全国内河航道与港口布局规划》等全国港口规划和《昭通市港口码头岸线规划（金沙江段2019年—2035年）》、《景洪港总体规划（2019—2035年）》等州（市）级以上港口布局规划以及港口总体规划的码头项目。</w:t>
                  </w:r>
                </w:p>
              </w:tc>
              <w:tc>
                <w:tcPr>
                  <w:tcW w:w="1643" w:type="dxa"/>
                  <w:vAlign w:val="center"/>
                </w:tcPr>
                <w:p>
                  <w:pPr>
                    <w:pStyle w:val="15"/>
                    <w:rPr>
                      <w:color w:val="auto"/>
                    </w:rPr>
                  </w:pPr>
                  <w:r>
                    <w:rPr>
                      <w:color w:val="auto"/>
                    </w:rPr>
                    <w:t>本项目不属于码头项目。</w:t>
                  </w:r>
                </w:p>
              </w:tc>
              <w:tc>
                <w:tcPr>
                  <w:tcW w:w="672"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2</w:t>
                  </w:r>
                </w:p>
              </w:tc>
              <w:tc>
                <w:tcPr>
                  <w:tcW w:w="4066" w:type="dxa"/>
                  <w:vAlign w:val="center"/>
                </w:tcPr>
                <w:p>
                  <w:pPr>
                    <w:pStyle w:val="15"/>
                    <w:rPr>
                      <w:color w:val="auto"/>
                    </w:rPr>
                  </w:pPr>
                  <w:r>
                    <w:rPr>
                      <w:color w:val="auto"/>
                    </w:rPr>
                    <w:t>禁止在自然保护区核心区、缓冲区的岸线和河段范围内投资建设旅游和生产经营项目。禁止建设与自然保护区保护方向不一致的旅游项目。禁止在自然保护区内进行开矿、采石、挖沙等活动。禁止在自然保护区的核心区和缓冲区内建设任何生产设施，禁止在自然保护区的实验区内建设污染环境、破坏资源或者景观的生产设施。</w:t>
                  </w:r>
                </w:p>
              </w:tc>
              <w:tc>
                <w:tcPr>
                  <w:tcW w:w="1643" w:type="dxa"/>
                  <w:vAlign w:val="center"/>
                </w:tcPr>
                <w:p>
                  <w:pPr>
                    <w:pStyle w:val="15"/>
                    <w:rPr>
                      <w:color w:val="auto"/>
                    </w:rPr>
                  </w:pPr>
                  <w:r>
                    <w:rPr>
                      <w:rFonts w:hint="eastAsia"/>
                      <w:color w:val="auto"/>
                    </w:rPr>
                    <w:t>本项目</w:t>
                  </w:r>
                  <w:r>
                    <w:rPr>
                      <w:color w:val="auto"/>
                    </w:rPr>
                    <w:t>不涉及自然保护区。</w:t>
                  </w:r>
                </w:p>
              </w:tc>
              <w:tc>
                <w:tcPr>
                  <w:tcW w:w="672"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3</w:t>
                  </w:r>
                </w:p>
              </w:tc>
              <w:tc>
                <w:tcPr>
                  <w:tcW w:w="4066" w:type="dxa"/>
                  <w:vAlign w:val="center"/>
                </w:tcPr>
                <w:p>
                  <w:pPr>
                    <w:pStyle w:val="15"/>
                    <w:rPr>
                      <w:color w:val="auto"/>
                    </w:rPr>
                  </w:pPr>
                  <w:r>
                    <w:rPr>
                      <w:color w:val="auto"/>
                    </w:rPr>
                    <w:t>禁止在风景名胜区核心景区的岸线和河段范围内投资建设与风景名胜资源保护无关的项目。禁止在风景名胜区内进行开山、采石、开矿、开荒、修坟立碑等破坏景观、植被和地形地貌的活动以及修建储存爆炸性、易燃性、放射性、毒害性、腐蚀性物品的设施；禁止在风景名胜区内设立开发区和在核心景区内建设宾馆、会所、培训中心、疗养院以及与风景名胜资源保护无关的投资建设项目。</w:t>
                  </w:r>
                </w:p>
              </w:tc>
              <w:tc>
                <w:tcPr>
                  <w:tcW w:w="1643" w:type="dxa"/>
                  <w:vAlign w:val="center"/>
                </w:tcPr>
                <w:p>
                  <w:pPr>
                    <w:pStyle w:val="15"/>
                    <w:rPr>
                      <w:color w:val="auto"/>
                    </w:rPr>
                  </w:pPr>
                  <w:r>
                    <w:rPr>
                      <w:rFonts w:hint="eastAsia"/>
                      <w:color w:val="auto"/>
                    </w:rPr>
                    <w:t>本项目</w:t>
                  </w:r>
                  <w:r>
                    <w:rPr>
                      <w:color w:val="auto"/>
                    </w:rPr>
                    <w:t>不涉及风景名胜区</w:t>
                  </w:r>
                  <w:r>
                    <w:rPr>
                      <w:rFonts w:hint="eastAsia"/>
                      <w:color w:val="auto"/>
                    </w:rPr>
                    <w:t>。</w:t>
                  </w:r>
                </w:p>
              </w:tc>
              <w:tc>
                <w:tcPr>
                  <w:tcW w:w="672"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4</w:t>
                  </w:r>
                </w:p>
              </w:tc>
              <w:tc>
                <w:tcPr>
                  <w:tcW w:w="4066" w:type="dxa"/>
                  <w:vAlign w:val="center"/>
                </w:tcPr>
                <w:p>
                  <w:pPr>
                    <w:pStyle w:val="15"/>
                    <w:rPr>
                      <w:color w:val="auto"/>
                    </w:rPr>
                  </w:pPr>
                  <w:r>
                    <w:rPr>
                      <w:color w:val="auto"/>
                    </w:rPr>
                    <w:t>禁止在饮用水水源一级保护区的岸线和河段范围内新建、改建、扩建与供水设施和保护水源无关的投资建设项目，以及网箱养殖、畜禽养殖、旅游等可能污染饮用水水体的投资建设项目。禁止在饮用水水源二级保护区的岸线和河段范围内新建、改建、扩建排放污染物的投资建设项目。</w:t>
                  </w:r>
                </w:p>
              </w:tc>
              <w:tc>
                <w:tcPr>
                  <w:tcW w:w="1643" w:type="dxa"/>
                  <w:vAlign w:val="center"/>
                </w:tcPr>
                <w:p>
                  <w:pPr>
                    <w:pStyle w:val="15"/>
                    <w:rPr>
                      <w:color w:val="auto"/>
                    </w:rPr>
                  </w:pPr>
                  <w:r>
                    <w:rPr>
                      <w:rFonts w:hint="eastAsia"/>
                      <w:color w:val="auto"/>
                    </w:rPr>
                    <w:t>本项目</w:t>
                  </w:r>
                  <w:r>
                    <w:rPr>
                      <w:color w:val="auto"/>
                    </w:rPr>
                    <w:t>不涉及饮用水水源保护区。</w:t>
                  </w:r>
                </w:p>
              </w:tc>
              <w:tc>
                <w:tcPr>
                  <w:tcW w:w="672"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5</w:t>
                  </w:r>
                </w:p>
              </w:tc>
              <w:tc>
                <w:tcPr>
                  <w:tcW w:w="4066" w:type="dxa"/>
                  <w:vAlign w:val="center"/>
                </w:tcPr>
                <w:p>
                  <w:pPr>
                    <w:pStyle w:val="15"/>
                    <w:rPr>
                      <w:color w:val="auto"/>
                    </w:rPr>
                  </w:pPr>
                  <w:r>
                    <w:rPr>
                      <w:color w:val="auto"/>
                    </w:rPr>
                    <w:t>禁止在水产种质资源保护区的岸线和河段范围内新建围湖造田、围湖造地或围填海等投资建设项目。禁止擅自征收、占用国家湿地公园的土地；禁止在国家湿地公园内挖沙、采矿，以及建设度假村、高尔夫球场等任何不符合主体功能定位的投资建设项目。</w:t>
                  </w:r>
                </w:p>
              </w:tc>
              <w:tc>
                <w:tcPr>
                  <w:tcW w:w="1643" w:type="dxa"/>
                  <w:vAlign w:val="center"/>
                </w:tcPr>
                <w:p>
                  <w:pPr>
                    <w:pStyle w:val="15"/>
                    <w:rPr>
                      <w:color w:val="auto"/>
                    </w:rPr>
                  </w:pPr>
                  <w:r>
                    <w:rPr>
                      <w:rFonts w:hint="eastAsia"/>
                      <w:color w:val="auto"/>
                    </w:rPr>
                    <w:t>本项目</w:t>
                  </w:r>
                  <w:r>
                    <w:rPr>
                      <w:color w:val="auto"/>
                    </w:rPr>
                    <w:t>不涉及水产种质资源保护区</w:t>
                  </w:r>
                  <w:r>
                    <w:rPr>
                      <w:rFonts w:hint="eastAsia"/>
                      <w:color w:val="auto"/>
                    </w:rPr>
                    <w:t>、</w:t>
                  </w:r>
                  <w:r>
                    <w:rPr>
                      <w:color w:val="auto"/>
                    </w:rPr>
                    <w:t>国家湿地公园。</w:t>
                  </w:r>
                </w:p>
              </w:tc>
              <w:tc>
                <w:tcPr>
                  <w:tcW w:w="672"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6</w:t>
                  </w:r>
                </w:p>
              </w:tc>
              <w:tc>
                <w:tcPr>
                  <w:tcW w:w="4066" w:type="dxa"/>
                  <w:vAlign w:val="center"/>
                </w:tcPr>
                <w:p>
                  <w:pPr>
                    <w:pStyle w:val="15"/>
                    <w:rPr>
                      <w:color w:val="auto"/>
                    </w:rPr>
                  </w:pPr>
                  <w:r>
                    <w:rPr>
                      <w:color w:val="auto"/>
                    </w:rPr>
                    <w:t>禁止违法利用、占用长江流域河湖岸线。禁止在金沙江岸线保护区和保留区内投资建设除事关公共安全及公众利益的防洪护岸、河道治理、供水、生态环境保护、航道整治、国家重要基础设施以外的项目。禁止在金沙江干流、九大高原湖泊，保护区、保留区内投资建设不利于水资源及自然生态保护的项目。</w:t>
                  </w:r>
                </w:p>
              </w:tc>
              <w:tc>
                <w:tcPr>
                  <w:tcW w:w="1643" w:type="dxa"/>
                  <w:vAlign w:val="center"/>
                </w:tcPr>
                <w:p>
                  <w:pPr>
                    <w:pStyle w:val="15"/>
                    <w:rPr>
                      <w:color w:val="auto"/>
                    </w:rPr>
                  </w:pPr>
                  <w:r>
                    <w:rPr>
                      <w:rFonts w:hint="eastAsia"/>
                      <w:color w:val="auto"/>
                    </w:rPr>
                    <w:t>本项目不涉及长江流域河湖岸线、</w:t>
                  </w:r>
                  <w:r>
                    <w:rPr>
                      <w:color w:val="auto"/>
                    </w:rPr>
                    <w:t>金沙江岸线</w:t>
                  </w:r>
                  <w:r>
                    <w:rPr>
                      <w:rFonts w:hint="eastAsia"/>
                      <w:color w:val="auto"/>
                    </w:rPr>
                    <w:t>、</w:t>
                  </w:r>
                  <w:r>
                    <w:rPr>
                      <w:color w:val="auto"/>
                    </w:rPr>
                    <w:t>金沙江干流、九大高原湖泊。</w:t>
                  </w:r>
                </w:p>
              </w:tc>
              <w:tc>
                <w:tcPr>
                  <w:tcW w:w="672"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7</w:t>
                  </w:r>
                </w:p>
              </w:tc>
              <w:tc>
                <w:tcPr>
                  <w:tcW w:w="4066" w:type="dxa"/>
                  <w:vAlign w:val="center"/>
                </w:tcPr>
                <w:p>
                  <w:pPr>
                    <w:pStyle w:val="15"/>
                    <w:rPr>
                      <w:color w:val="auto"/>
                    </w:rPr>
                  </w:pPr>
                  <w:r>
                    <w:rPr>
                      <w:color w:val="auto"/>
                    </w:rPr>
                    <w:t>禁止在金沙江干流、长江一级支流建设除党中央、国务院、国家投资主管部门、省级有关部门批复同意以外的过江基础设施项目；禁止未经许可在金沙江干流、长江一级支流、九大高原湖泊流域新设、改设或扩大排污口。</w:t>
                  </w:r>
                </w:p>
              </w:tc>
              <w:tc>
                <w:tcPr>
                  <w:tcW w:w="1643" w:type="dxa"/>
                  <w:vAlign w:val="center"/>
                </w:tcPr>
                <w:p>
                  <w:pPr>
                    <w:pStyle w:val="15"/>
                    <w:rPr>
                      <w:color w:val="auto"/>
                    </w:rPr>
                  </w:pPr>
                  <w:r>
                    <w:rPr>
                      <w:color w:val="auto"/>
                    </w:rPr>
                    <w:t>本项目不属于过江基础设施项目</w:t>
                  </w:r>
                  <w:r>
                    <w:rPr>
                      <w:rFonts w:hint="eastAsia"/>
                      <w:color w:val="auto"/>
                    </w:rPr>
                    <w:t>；本项目废水均不直排，故不设排污口。</w:t>
                  </w:r>
                </w:p>
              </w:tc>
              <w:tc>
                <w:tcPr>
                  <w:tcW w:w="672"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8</w:t>
                  </w:r>
                </w:p>
              </w:tc>
              <w:tc>
                <w:tcPr>
                  <w:tcW w:w="4066" w:type="dxa"/>
                  <w:vAlign w:val="center"/>
                </w:tcPr>
                <w:p>
                  <w:pPr>
                    <w:pStyle w:val="15"/>
                    <w:rPr>
                      <w:color w:val="auto"/>
                    </w:rPr>
                  </w:pPr>
                  <w:r>
                    <w:rPr>
                      <w:color w:val="auto"/>
                    </w:rPr>
                    <w:t>禁止在金沙江干流、长江一级支流、水生生物保护区和长江流域禁捕水域开展天然渔业资源生产性捕捞。</w:t>
                  </w:r>
                </w:p>
              </w:tc>
              <w:tc>
                <w:tcPr>
                  <w:tcW w:w="1643" w:type="dxa"/>
                  <w:vAlign w:val="center"/>
                </w:tcPr>
                <w:p>
                  <w:pPr>
                    <w:pStyle w:val="15"/>
                    <w:rPr>
                      <w:color w:val="auto"/>
                    </w:rPr>
                  </w:pPr>
                  <w:r>
                    <w:rPr>
                      <w:color w:val="auto"/>
                    </w:rPr>
                    <w:t>本项目不涉及天然渔业资源生产性捕捞。</w:t>
                  </w:r>
                </w:p>
              </w:tc>
              <w:tc>
                <w:tcPr>
                  <w:tcW w:w="672"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9</w:t>
                  </w:r>
                </w:p>
              </w:tc>
              <w:tc>
                <w:tcPr>
                  <w:tcW w:w="4066" w:type="dxa"/>
                  <w:vAlign w:val="center"/>
                </w:tcPr>
                <w:p>
                  <w:pPr>
                    <w:pStyle w:val="15"/>
                    <w:rPr>
                      <w:color w:val="auto"/>
                    </w:rPr>
                  </w:pPr>
                  <w:r>
                    <w:rPr>
                      <w:color w:val="auto"/>
                    </w:rPr>
                    <w:t>禁止在金沙江干流，长江一级支流和九大高原湖泊岸线一公里范围内新建、扩建化工园区和化工项目。禁止在金沙江干流岸线三公里范围内和长江一级支流岸线一公里范围内新建、改建、扩建尾矿库、冶炼渣库和磷石膏库，以提升安全、生态环境保护水平为目的的改建除外。</w:t>
                  </w:r>
                </w:p>
              </w:tc>
              <w:tc>
                <w:tcPr>
                  <w:tcW w:w="1643" w:type="dxa"/>
                  <w:vAlign w:val="center"/>
                </w:tcPr>
                <w:p>
                  <w:pPr>
                    <w:pStyle w:val="15"/>
                    <w:rPr>
                      <w:color w:val="auto"/>
                    </w:rPr>
                  </w:pPr>
                  <w:r>
                    <w:rPr>
                      <w:rFonts w:hint="eastAsia"/>
                      <w:color w:val="auto"/>
                    </w:rPr>
                    <w:t>本项目不属于该条款所述项目类别。</w:t>
                  </w:r>
                </w:p>
              </w:tc>
              <w:tc>
                <w:tcPr>
                  <w:tcW w:w="672"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jc w:val="both"/>
                    <w:rPr>
                      <w:color w:val="auto"/>
                    </w:rPr>
                  </w:pPr>
                  <w:r>
                    <w:rPr>
                      <w:rFonts w:hint="eastAsia"/>
                      <w:color w:val="auto"/>
                    </w:rPr>
                    <w:t>10</w:t>
                  </w:r>
                </w:p>
              </w:tc>
              <w:tc>
                <w:tcPr>
                  <w:tcW w:w="4066" w:type="dxa"/>
                  <w:vAlign w:val="center"/>
                </w:tcPr>
                <w:p>
                  <w:pPr>
                    <w:pStyle w:val="15"/>
                    <w:rPr>
                      <w:color w:val="auto"/>
                    </w:rPr>
                  </w:pPr>
                  <w:r>
                    <w:rPr>
                      <w:color w:val="auto"/>
                    </w:rPr>
                    <w:t>禁止在合规园区外新建、扩建钢铁、石化、化工、焦化、建材、有色、制浆造纸行业中的高污染项目。</w:t>
                  </w:r>
                </w:p>
              </w:tc>
              <w:tc>
                <w:tcPr>
                  <w:tcW w:w="1643" w:type="dxa"/>
                  <w:vAlign w:val="center"/>
                </w:tcPr>
                <w:p>
                  <w:pPr>
                    <w:pStyle w:val="15"/>
                    <w:rPr>
                      <w:color w:val="auto"/>
                    </w:rPr>
                  </w:pPr>
                  <w:r>
                    <w:rPr>
                      <w:rFonts w:hint="eastAsia"/>
                      <w:color w:val="auto"/>
                    </w:rPr>
                    <w:t>本项目不属于该条款所述高污染项目。</w:t>
                  </w:r>
                </w:p>
              </w:tc>
              <w:tc>
                <w:tcPr>
                  <w:tcW w:w="672"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11</w:t>
                  </w:r>
                </w:p>
              </w:tc>
              <w:tc>
                <w:tcPr>
                  <w:tcW w:w="4066" w:type="dxa"/>
                  <w:vAlign w:val="center"/>
                </w:tcPr>
                <w:p>
                  <w:pPr>
                    <w:pStyle w:val="15"/>
                    <w:rPr>
                      <w:color w:val="auto"/>
                    </w:rPr>
                  </w:pPr>
                  <w:r>
                    <w:rPr>
                      <w:color w:val="auto"/>
                    </w:rPr>
                    <w:t>禁止新建、扩建不符合国家石化、现代煤化工等产业布局规划的项目。禁止列入《云南省城镇人口密集区危险化学品生产企业搬迁改造名单》的搬迁改造企业在原址新建、扩建危险化学品生产项目。</w:t>
                  </w:r>
                </w:p>
              </w:tc>
              <w:tc>
                <w:tcPr>
                  <w:tcW w:w="1643" w:type="dxa"/>
                  <w:vAlign w:val="center"/>
                </w:tcPr>
                <w:p>
                  <w:pPr>
                    <w:pStyle w:val="15"/>
                    <w:rPr>
                      <w:color w:val="auto"/>
                    </w:rPr>
                  </w:pPr>
                  <w:r>
                    <w:rPr>
                      <w:rFonts w:hint="eastAsia"/>
                      <w:color w:val="auto"/>
                    </w:rPr>
                    <w:t>本项目不涉及国家石化、现代煤化工等产业布局规划</w:t>
                  </w:r>
                  <w:r>
                    <w:rPr>
                      <w:color w:val="auto"/>
                    </w:rPr>
                    <w:t>，不</w:t>
                  </w:r>
                  <w:r>
                    <w:rPr>
                      <w:rFonts w:hint="eastAsia"/>
                      <w:color w:val="auto"/>
                    </w:rPr>
                    <w:t>属于</w:t>
                  </w:r>
                  <w:r>
                    <w:rPr>
                      <w:color w:val="auto"/>
                    </w:rPr>
                    <w:t>危险化学品生产</w:t>
                  </w:r>
                  <w:r>
                    <w:rPr>
                      <w:rFonts w:hint="eastAsia"/>
                      <w:color w:val="auto"/>
                    </w:rPr>
                    <w:t>项目</w:t>
                  </w:r>
                  <w:r>
                    <w:rPr>
                      <w:color w:val="auto"/>
                    </w:rPr>
                    <w:t>。</w:t>
                  </w:r>
                </w:p>
              </w:tc>
              <w:tc>
                <w:tcPr>
                  <w:tcW w:w="672"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1" w:type="dxa"/>
                  <w:vAlign w:val="center"/>
                </w:tcPr>
                <w:p>
                  <w:pPr>
                    <w:pStyle w:val="15"/>
                    <w:rPr>
                      <w:color w:val="auto"/>
                    </w:rPr>
                  </w:pPr>
                  <w:r>
                    <w:rPr>
                      <w:color w:val="auto"/>
                    </w:rPr>
                    <w:t>12</w:t>
                  </w:r>
                </w:p>
              </w:tc>
              <w:tc>
                <w:tcPr>
                  <w:tcW w:w="4066" w:type="dxa"/>
                  <w:vAlign w:val="center"/>
                </w:tcPr>
                <w:p>
                  <w:pPr>
                    <w:pStyle w:val="15"/>
                    <w:rPr>
                      <w:color w:val="auto"/>
                    </w:rPr>
                  </w:pPr>
                  <w:r>
                    <w:rPr>
                      <w:color w:val="auto"/>
                    </w:rPr>
                    <w:t>禁止新建、扩建法律法规和相关政策明令禁止的落后产能项目，依法依规关停退出能耗、环保、质量、安全不达标产能和技术落后产能。禁止新建、扩建不符合国家产能置换要求的过剩产能行业的项目。禁止新建、扩建不符合要求的高耗能、高排放项目，推动退出重点高耗能行业“限制类”产能。禁止建设高毒高残留以及对环境影响大的农药原药生产装置，严控尿素、磷铵、电石、焦炭、黄磷、烧碱、纯碱、聚氯乙烯等行业新增产能。</w:t>
                  </w:r>
                </w:p>
              </w:tc>
              <w:tc>
                <w:tcPr>
                  <w:tcW w:w="1643" w:type="dxa"/>
                  <w:vAlign w:val="center"/>
                </w:tcPr>
                <w:p>
                  <w:pPr>
                    <w:pStyle w:val="15"/>
                    <w:rPr>
                      <w:color w:val="auto"/>
                    </w:rPr>
                  </w:pPr>
                  <w:r>
                    <w:rPr>
                      <w:rFonts w:hint="eastAsia"/>
                      <w:color w:val="auto"/>
                    </w:rPr>
                    <w:t>本项目不属于落后产能项目、</w:t>
                  </w:r>
                  <w:r>
                    <w:rPr>
                      <w:color w:val="auto"/>
                    </w:rPr>
                    <w:t>国家产能置换要求的过剩产能行业的项目</w:t>
                  </w:r>
                  <w:r>
                    <w:rPr>
                      <w:rFonts w:hint="eastAsia"/>
                      <w:color w:val="auto"/>
                    </w:rPr>
                    <w:t>及高耗能高排放项目；项目不涉及</w:t>
                  </w:r>
                  <w:r>
                    <w:rPr>
                      <w:color w:val="auto"/>
                    </w:rPr>
                    <w:t>农药原药生产装置</w:t>
                  </w:r>
                  <w:r>
                    <w:rPr>
                      <w:rFonts w:hint="eastAsia"/>
                      <w:color w:val="auto"/>
                    </w:rPr>
                    <w:t>，不属于该条款所属严控行业类别。</w:t>
                  </w:r>
                </w:p>
              </w:tc>
              <w:tc>
                <w:tcPr>
                  <w:tcW w:w="672" w:type="dxa"/>
                  <w:vAlign w:val="center"/>
                </w:tcPr>
                <w:p>
                  <w:pPr>
                    <w:pStyle w:val="15"/>
                    <w:rPr>
                      <w:color w:val="auto"/>
                    </w:rPr>
                  </w:pPr>
                  <w:r>
                    <w:rPr>
                      <w:color w:val="auto"/>
                    </w:rPr>
                    <w:t>符合</w:t>
                  </w:r>
                </w:p>
              </w:tc>
            </w:tr>
          </w:tbl>
          <w:p>
            <w:pPr>
              <w:ind w:firstLine="480"/>
              <w:rPr>
                <w:color w:val="auto"/>
              </w:rPr>
            </w:pPr>
            <w:r>
              <w:rPr>
                <w:rFonts w:hint="eastAsia"/>
                <w:color w:val="auto"/>
              </w:rPr>
              <w:t>综上所述</w:t>
            </w:r>
            <w:r>
              <w:rPr>
                <w:color w:val="auto"/>
              </w:rPr>
              <w:t>，</w:t>
            </w:r>
            <w:r>
              <w:rPr>
                <w:rFonts w:hint="eastAsia"/>
                <w:color w:val="auto"/>
              </w:rPr>
              <w:t>本</w:t>
            </w:r>
            <w:r>
              <w:rPr>
                <w:color w:val="auto"/>
              </w:rPr>
              <w:t>项目的建设与《云南省长江经济带发展负面清单指南实施细则（试行，2022年版）》（云发改基础〔2022〕894号）中相关要求</w:t>
            </w:r>
            <w:r>
              <w:rPr>
                <w:rFonts w:hint="eastAsia"/>
                <w:color w:val="auto"/>
              </w:rPr>
              <w:t>相符</w:t>
            </w:r>
            <w:r>
              <w:rPr>
                <w:color w:val="auto"/>
              </w:rPr>
              <w:t>。</w:t>
            </w:r>
          </w:p>
          <w:p>
            <w:pPr>
              <w:ind w:firstLine="482"/>
              <w:rPr>
                <w:b/>
                <w:bCs/>
                <w:color w:val="auto"/>
              </w:rPr>
            </w:pPr>
            <w:r>
              <w:rPr>
                <w:rFonts w:hint="eastAsia"/>
                <w:b/>
                <w:bCs/>
                <w:color w:val="auto"/>
              </w:rPr>
              <w:t>7、</w:t>
            </w:r>
            <w:r>
              <w:rPr>
                <w:b/>
                <w:bCs/>
                <w:color w:val="auto"/>
              </w:rPr>
              <w:t>与《云南省滇池保护条例》（2013年1月1日实施）符合性分析</w:t>
            </w:r>
          </w:p>
          <w:p>
            <w:pPr>
              <w:ind w:firstLine="480"/>
              <w:rPr>
                <w:color w:val="auto"/>
              </w:rPr>
            </w:pPr>
            <w:r>
              <w:rPr>
                <w:color w:val="auto"/>
              </w:rPr>
              <w:t>根据《云南省滇池保护条例》，滇池保护范围分为下列一、二、三级保护区和城镇饮用水源保护区。</w:t>
            </w:r>
          </w:p>
          <w:p>
            <w:pPr>
              <w:ind w:firstLine="480"/>
              <w:rPr>
                <w:color w:val="auto"/>
              </w:rPr>
            </w:pPr>
            <w:r>
              <w:rPr>
                <w:color w:val="auto"/>
              </w:rPr>
              <w:t>一级保护区，指滇池水域以及保护界桩向外水平延伸100米以内的区域， 但保护界桩在环湖路（不含水体上的桥梁）以外的，以环湖路以内的路缘线为界；</w:t>
            </w:r>
          </w:p>
          <w:p>
            <w:pPr>
              <w:ind w:firstLine="480"/>
              <w:rPr>
                <w:color w:val="auto"/>
              </w:rPr>
            </w:pPr>
            <w:r>
              <w:rPr>
                <w:color w:val="auto"/>
              </w:rPr>
              <w:t>二级保护区，指一级保护区以外至滇池面山以内的城市规划确定的禁止建设区和限制建设区，以及主要入湖河道两侧沿地表向外水平延伸50米以内的区域；</w:t>
            </w:r>
          </w:p>
          <w:p>
            <w:pPr>
              <w:ind w:firstLine="480"/>
              <w:rPr>
                <w:color w:val="auto"/>
              </w:rPr>
            </w:pPr>
            <w:r>
              <w:rPr>
                <w:color w:val="auto"/>
              </w:rPr>
              <w:t>三级保护区，指一、二级保护区以外，滇池流域分水岭以内的区域。</w:t>
            </w:r>
          </w:p>
          <w:p>
            <w:pPr>
              <w:ind w:firstLine="480"/>
              <w:rPr>
                <w:color w:val="auto"/>
              </w:rPr>
            </w:pPr>
            <w:r>
              <w:rPr>
                <w:color w:val="auto"/>
              </w:rPr>
              <w:t>城镇饮用水源保护区的具体范围由昆明市人民政府确定，报省人民政府批准后公布，并按照有关法律进行保护。</w:t>
            </w:r>
          </w:p>
          <w:p>
            <w:pPr>
              <w:ind w:firstLine="480"/>
              <w:rPr>
                <w:color w:val="auto"/>
              </w:rPr>
            </w:pPr>
            <w:r>
              <w:rPr>
                <w:color w:val="auto"/>
              </w:rPr>
              <w:t>项目</w:t>
            </w:r>
            <w:r>
              <w:rPr>
                <w:rFonts w:hint="eastAsia"/>
                <w:color w:val="auto"/>
              </w:rPr>
              <w:t>周围主要</w:t>
            </w:r>
            <w:r>
              <w:rPr>
                <w:color w:val="auto"/>
              </w:rPr>
              <w:t>地表水体为柴河，位于厂址东南方向1.96km处，属长江流域金沙江干流滇池支流柴河二级支流柴河水库出口—入外海口，则项目所在地属于《云南省滇池保护条例》中三级保护区范围。相符性分析详见下表</w:t>
            </w:r>
            <w:r>
              <w:rPr>
                <w:rFonts w:hint="eastAsia"/>
                <w:color w:val="auto"/>
              </w:rPr>
              <w:t>。</w:t>
            </w:r>
          </w:p>
          <w:p>
            <w:pPr>
              <w:pStyle w:val="14"/>
              <w:rPr>
                <w:color w:val="auto"/>
              </w:rPr>
            </w:pPr>
            <w:r>
              <w:rPr>
                <w:color w:val="auto"/>
              </w:rPr>
              <w:t>表1-</w:t>
            </w:r>
            <w:r>
              <w:rPr>
                <w:rFonts w:hint="eastAsia"/>
                <w:color w:val="auto"/>
              </w:rPr>
              <w:t xml:space="preserve">8 </w:t>
            </w:r>
            <w:r>
              <w:rPr>
                <w:color w:val="auto"/>
              </w:rPr>
              <w:t xml:space="preserve"> 与《云南省滇池保护条例》相符性分析一览表</w:t>
            </w:r>
          </w:p>
          <w:tbl>
            <w:tblPr>
              <w:tblStyle w:val="11"/>
              <w:tblpPr w:leftFromText="180" w:rightFromText="180" w:vertAnchor="text" w:horzAnchor="page" w:tblpXSpec="center" w:tblpY="34"/>
              <w:tblOverlap w:val="never"/>
              <w:tblW w:w="6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3194"/>
              <w:gridCol w:w="2613"/>
              <w:gridCol w:w="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8" w:type="dxa"/>
                  <w:vAlign w:val="center"/>
                </w:tcPr>
                <w:p>
                  <w:pPr>
                    <w:pStyle w:val="15"/>
                    <w:rPr>
                      <w:color w:val="auto"/>
                    </w:rPr>
                  </w:pPr>
                  <w:r>
                    <w:rPr>
                      <w:color w:val="auto"/>
                    </w:rPr>
                    <w:t>序号</w:t>
                  </w:r>
                </w:p>
              </w:tc>
              <w:tc>
                <w:tcPr>
                  <w:tcW w:w="3194" w:type="dxa"/>
                  <w:vAlign w:val="center"/>
                </w:tcPr>
                <w:p>
                  <w:pPr>
                    <w:pStyle w:val="15"/>
                    <w:rPr>
                      <w:color w:val="auto"/>
                    </w:rPr>
                  </w:pPr>
                  <w:r>
                    <w:rPr>
                      <w:color w:val="auto"/>
                    </w:rPr>
                    <w:t>保护要求</w:t>
                  </w:r>
                </w:p>
              </w:tc>
              <w:tc>
                <w:tcPr>
                  <w:tcW w:w="2613" w:type="dxa"/>
                  <w:vAlign w:val="center"/>
                </w:tcPr>
                <w:p>
                  <w:pPr>
                    <w:pStyle w:val="15"/>
                    <w:rPr>
                      <w:color w:val="auto"/>
                    </w:rPr>
                  </w:pPr>
                  <w:r>
                    <w:rPr>
                      <w:color w:val="auto"/>
                    </w:rPr>
                    <w:t>项目情况</w:t>
                  </w:r>
                </w:p>
              </w:tc>
              <w:tc>
                <w:tcPr>
                  <w:tcW w:w="661" w:type="dxa"/>
                  <w:vAlign w:val="center"/>
                </w:tcPr>
                <w:p>
                  <w:pPr>
                    <w:pStyle w:val="15"/>
                    <w:rPr>
                      <w:color w:val="auto"/>
                    </w:rPr>
                  </w:pPr>
                  <w:r>
                    <w:rPr>
                      <w:color w:val="auto"/>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8" w:type="dxa"/>
                  <w:vAlign w:val="center"/>
                </w:tcPr>
                <w:p>
                  <w:pPr>
                    <w:pStyle w:val="15"/>
                    <w:rPr>
                      <w:color w:val="auto"/>
                    </w:rPr>
                  </w:pPr>
                  <w:r>
                    <w:rPr>
                      <w:color w:val="auto"/>
                    </w:rPr>
                    <w:t>1</w:t>
                  </w:r>
                </w:p>
              </w:tc>
              <w:tc>
                <w:tcPr>
                  <w:tcW w:w="3194" w:type="dxa"/>
                  <w:vAlign w:val="center"/>
                </w:tcPr>
                <w:p>
                  <w:pPr>
                    <w:pStyle w:val="15"/>
                    <w:rPr>
                      <w:color w:val="auto"/>
                    </w:rPr>
                  </w:pPr>
                  <w:r>
                    <w:rPr>
                      <w:color w:val="auto"/>
                    </w:rPr>
                    <w:t>不得建设不符合国家产业政策的造纸、制革、印染、染料、炼焦、炼硫、炼砷、炼油、炼汞、电镀、化肥、农药、石棉、水泥、玻璃、冶金、火电以及其他严重污染环境的生产项目</w:t>
                  </w:r>
                  <w:r>
                    <w:rPr>
                      <w:rFonts w:hint="eastAsia"/>
                      <w:color w:val="auto"/>
                    </w:rPr>
                    <w:t>。</w:t>
                  </w:r>
                </w:p>
              </w:tc>
              <w:tc>
                <w:tcPr>
                  <w:tcW w:w="2613" w:type="dxa"/>
                  <w:vAlign w:val="center"/>
                </w:tcPr>
                <w:p>
                  <w:pPr>
                    <w:pStyle w:val="15"/>
                    <w:rPr>
                      <w:color w:val="auto"/>
                    </w:rPr>
                  </w:pPr>
                  <w:r>
                    <w:rPr>
                      <w:rFonts w:hint="eastAsia"/>
                      <w:color w:val="auto"/>
                    </w:rPr>
                    <w:t>本</w:t>
                  </w:r>
                  <w:r>
                    <w:rPr>
                      <w:color w:val="auto"/>
                    </w:rPr>
                    <w:t>项目</w:t>
                  </w:r>
                  <w:r>
                    <w:rPr>
                      <w:rFonts w:hint="eastAsia"/>
                      <w:color w:val="auto"/>
                    </w:rPr>
                    <w:t>属一般工业固体废物综合利用项目</w:t>
                  </w:r>
                  <w:r>
                    <w:rPr>
                      <w:color w:val="auto"/>
                    </w:rPr>
                    <w:t>，不属于条例中严禁建设的项目</w:t>
                  </w:r>
                  <w:r>
                    <w:rPr>
                      <w:rFonts w:hint="eastAsia"/>
                      <w:color w:val="auto"/>
                    </w:rPr>
                    <w:t>。</w:t>
                  </w:r>
                </w:p>
              </w:tc>
              <w:tc>
                <w:tcPr>
                  <w:tcW w:w="66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8" w:type="dxa"/>
                  <w:vAlign w:val="center"/>
                </w:tcPr>
                <w:p>
                  <w:pPr>
                    <w:pStyle w:val="15"/>
                    <w:rPr>
                      <w:color w:val="auto"/>
                    </w:rPr>
                  </w:pPr>
                  <w:r>
                    <w:rPr>
                      <w:color w:val="auto"/>
                    </w:rPr>
                    <w:t>2</w:t>
                  </w:r>
                </w:p>
              </w:tc>
              <w:tc>
                <w:tcPr>
                  <w:tcW w:w="3194" w:type="dxa"/>
                  <w:vAlign w:val="center"/>
                </w:tcPr>
                <w:p>
                  <w:pPr>
                    <w:pStyle w:val="15"/>
                    <w:rPr>
                      <w:color w:val="auto"/>
                    </w:rPr>
                  </w:pPr>
                  <w:r>
                    <w:rPr>
                      <w:color w:val="auto"/>
                    </w:rPr>
                    <w:t>禁止向河道、沟渠等水体倾倒固体废弃物，排放粪便、污水、废液及其他超过水污染物排放标准的污水、废水，或者在河道中清洗生产生活用具、车辆和其他可能污染水体的物品</w:t>
                  </w:r>
                  <w:r>
                    <w:rPr>
                      <w:rFonts w:hint="eastAsia"/>
                      <w:color w:val="auto"/>
                    </w:rPr>
                    <w:t>。</w:t>
                  </w:r>
                </w:p>
              </w:tc>
              <w:tc>
                <w:tcPr>
                  <w:tcW w:w="2613" w:type="dxa"/>
                  <w:vAlign w:val="center"/>
                </w:tcPr>
                <w:p>
                  <w:pPr>
                    <w:pStyle w:val="15"/>
                    <w:rPr>
                      <w:color w:val="auto"/>
                    </w:rPr>
                  </w:pPr>
                  <w:r>
                    <w:rPr>
                      <w:rFonts w:hint="eastAsia"/>
                      <w:color w:val="auto"/>
                    </w:rPr>
                    <w:t>项目不涉及新增废水产生和排放。</w:t>
                  </w:r>
                </w:p>
              </w:tc>
              <w:tc>
                <w:tcPr>
                  <w:tcW w:w="66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8" w:type="dxa"/>
                  <w:vAlign w:val="center"/>
                </w:tcPr>
                <w:p>
                  <w:pPr>
                    <w:pStyle w:val="15"/>
                    <w:rPr>
                      <w:color w:val="auto"/>
                    </w:rPr>
                  </w:pPr>
                  <w:r>
                    <w:rPr>
                      <w:color w:val="auto"/>
                    </w:rPr>
                    <w:t>3</w:t>
                  </w:r>
                </w:p>
              </w:tc>
              <w:tc>
                <w:tcPr>
                  <w:tcW w:w="3194" w:type="dxa"/>
                  <w:vAlign w:val="center"/>
                </w:tcPr>
                <w:p>
                  <w:pPr>
                    <w:pStyle w:val="15"/>
                    <w:rPr>
                      <w:color w:val="auto"/>
                    </w:rPr>
                  </w:pPr>
                  <w:r>
                    <w:rPr>
                      <w:color w:val="auto"/>
                    </w:rPr>
                    <w:t>禁止在河道滩地和岸坡堆放、存贮固体废弃物和其他污染物，或者将其埋入集水区范围内的土壤中</w:t>
                  </w:r>
                  <w:r>
                    <w:rPr>
                      <w:rFonts w:hint="eastAsia"/>
                      <w:color w:val="auto"/>
                    </w:rPr>
                    <w:t>。</w:t>
                  </w:r>
                </w:p>
              </w:tc>
              <w:tc>
                <w:tcPr>
                  <w:tcW w:w="2613" w:type="dxa"/>
                  <w:vAlign w:val="center"/>
                </w:tcPr>
                <w:p>
                  <w:pPr>
                    <w:pStyle w:val="15"/>
                    <w:rPr>
                      <w:color w:val="auto"/>
                    </w:rPr>
                  </w:pPr>
                  <w:r>
                    <w:rPr>
                      <w:color w:val="auto"/>
                    </w:rPr>
                    <w:t>项目</w:t>
                  </w:r>
                  <w:r>
                    <w:rPr>
                      <w:rFonts w:hint="eastAsia"/>
                      <w:color w:val="auto"/>
                    </w:rPr>
                    <w:t>区内一般工业固体废物均堆存于专用堆放场，不涉及该条款禁止内容。</w:t>
                  </w:r>
                </w:p>
              </w:tc>
              <w:tc>
                <w:tcPr>
                  <w:tcW w:w="66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8" w:type="dxa"/>
                  <w:vAlign w:val="center"/>
                </w:tcPr>
                <w:p>
                  <w:pPr>
                    <w:pStyle w:val="15"/>
                    <w:rPr>
                      <w:color w:val="auto"/>
                    </w:rPr>
                  </w:pPr>
                  <w:r>
                    <w:rPr>
                      <w:color w:val="auto"/>
                    </w:rPr>
                    <w:t>4</w:t>
                  </w:r>
                </w:p>
              </w:tc>
              <w:tc>
                <w:tcPr>
                  <w:tcW w:w="3194" w:type="dxa"/>
                  <w:vAlign w:val="center"/>
                </w:tcPr>
                <w:p>
                  <w:pPr>
                    <w:pStyle w:val="15"/>
                    <w:rPr>
                      <w:color w:val="auto"/>
                    </w:rPr>
                  </w:pPr>
                  <w:r>
                    <w:rPr>
                      <w:color w:val="auto"/>
                    </w:rPr>
                    <w:t>禁止盗伐、滥伐林木或者其他破坏与保护水源有关的植被的行为</w:t>
                  </w:r>
                  <w:r>
                    <w:rPr>
                      <w:rFonts w:hint="eastAsia"/>
                      <w:color w:val="auto"/>
                    </w:rPr>
                    <w:t>。</w:t>
                  </w:r>
                </w:p>
              </w:tc>
              <w:tc>
                <w:tcPr>
                  <w:tcW w:w="2613" w:type="dxa"/>
                  <w:vAlign w:val="center"/>
                </w:tcPr>
                <w:p>
                  <w:pPr>
                    <w:pStyle w:val="15"/>
                    <w:rPr>
                      <w:color w:val="auto"/>
                    </w:rPr>
                  </w:pPr>
                  <w:r>
                    <w:rPr>
                      <w:color w:val="auto"/>
                    </w:rPr>
                    <w:t>本项目不涉及盗伐、滥伐林木或者其他破坏与保护水源有关的植被的行为</w:t>
                  </w:r>
                  <w:r>
                    <w:rPr>
                      <w:rFonts w:hint="eastAsia"/>
                      <w:color w:val="auto"/>
                    </w:rPr>
                    <w:t>。</w:t>
                  </w:r>
                </w:p>
              </w:tc>
              <w:tc>
                <w:tcPr>
                  <w:tcW w:w="66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8" w:type="dxa"/>
                  <w:vAlign w:val="center"/>
                </w:tcPr>
                <w:p>
                  <w:pPr>
                    <w:pStyle w:val="15"/>
                    <w:rPr>
                      <w:color w:val="auto"/>
                    </w:rPr>
                  </w:pPr>
                  <w:r>
                    <w:rPr>
                      <w:color w:val="auto"/>
                    </w:rPr>
                    <w:t>5</w:t>
                  </w:r>
                </w:p>
              </w:tc>
              <w:tc>
                <w:tcPr>
                  <w:tcW w:w="3194" w:type="dxa"/>
                  <w:vAlign w:val="center"/>
                </w:tcPr>
                <w:p>
                  <w:pPr>
                    <w:pStyle w:val="15"/>
                    <w:rPr>
                      <w:color w:val="auto"/>
                    </w:rPr>
                  </w:pPr>
                  <w:r>
                    <w:rPr>
                      <w:color w:val="auto"/>
                    </w:rPr>
                    <w:t>禁止毁林开垦或者违法占用林地资源</w:t>
                  </w:r>
                  <w:r>
                    <w:rPr>
                      <w:rFonts w:hint="eastAsia"/>
                      <w:color w:val="auto"/>
                    </w:rPr>
                    <w:t>。</w:t>
                  </w:r>
                </w:p>
              </w:tc>
              <w:tc>
                <w:tcPr>
                  <w:tcW w:w="2613" w:type="dxa"/>
                  <w:vAlign w:val="center"/>
                </w:tcPr>
                <w:p>
                  <w:pPr>
                    <w:pStyle w:val="15"/>
                    <w:rPr>
                      <w:color w:val="auto"/>
                    </w:rPr>
                  </w:pPr>
                  <w:r>
                    <w:rPr>
                      <w:color w:val="auto"/>
                    </w:rPr>
                    <w:t>本项目</w:t>
                  </w:r>
                  <w:r>
                    <w:rPr>
                      <w:rFonts w:hint="eastAsia"/>
                      <w:color w:val="auto"/>
                    </w:rPr>
                    <w:t>为原址改建项目，不新增用地。</w:t>
                  </w:r>
                </w:p>
              </w:tc>
              <w:tc>
                <w:tcPr>
                  <w:tcW w:w="66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8" w:type="dxa"/>
                  <w:vAlign w:val="center"/>
                </w:tcPr>
                <w:p>
                  <w:pPr>
                    <w:pStyle w:val="15"/>
                    <w:rPr>
                      <w:color w:val="auto"/>
                    </w:rPr>
                  </w:pPr>
                  <w:r>
                    <w:rPr>
                      <w:color w:val="auto"/>
                    </w:rPr>
                    <w:t>6</w:t>
                  </w:r>
                </w:p>
              </w:tc>
              <w:tc>
                <w:tcPr>
                  <w:tcW w:w="3194" w:type="dxa"/>
                  <w:vAlign w:val="center"/>
                </w:tcPr>
                <w:p>
                  <w:pPr>
                    <w:pStyle w:val="15"/>
                    <w:rPr>
                      <w:color w:val="auto"/>
                    </w:rPr>
                  </w:pPr>
                  <w:r>
                    <w:rPr>
                      <w:color w:val="auto"/>
                    </w:rPr>
                    <w:t>禁止猎捕野生动物</w:t>
                  </w:r>
                  <w:r>
                    <w:rPr>
                      <w:rFonts w:hint="eastAsia"/>
                      <w:color w:val="auto"/>
                    </w:rPr>
                    <w:t>。</w:t>
                  </w:r>
                </w:p>
              </w:tc>
              <w:tc>
                <w:tcPr>
                  <w:tcW w:w="2613" w:type="dxa"/>
                  <w:vAlign w:val="center"/>
                </w:tcPr>
                <w:p>
                  <w:pPr>
                    <w:pStyle w:val="15"/>
                    <w:rPr>
                      <w:color w:val="auto"/>
                    </w:rPr>
                  </w:pPr>
                  <w:r>
                    <w:rPr>
                      <w:color w:val="auto"/>
                    </w:rPr>
                    <w:t>本项目不存在猎捕野生动物的行为</w:t>
                  </w:r>
                  <w:r>
                    <w:rPr>
                      <w:rFonts w:hint="eastAsia"/>
                      <w:color w:val="auto"/>
                    </w:rPr>
                    <w:t>。</w:t>
                  </w:r>
                </w:p>
              </w:tc>
              <w:tc>
                <w:tcPr>
                  <w:tcW w:w="66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8" w:type="dxa"/>
                  <w:vAlign w:val="center"/>
                </w:tcPr>
                <w:p>
                  <w:pPr>
                    <w:pStyle w:val="15"/>
                    <w:rPr>
                      <w:color w:val="auto"/>
                    </w:rPr>
                  </w:pPr>
                  <w:r>
                    <w:rPr>
                      <w:color w:val="auto"/>
                    </w:rPr>
                    <w:t>7</w:t>
                  </w:r>
                </w:p>
              </w:tc>
              <w:tc>
                <w:tcPr>
                  <w:tcW w:w="3194" w:type="dxa"/>
                  <w:vAlign w:val="center"/>
                </w:tcPr>
                <w:p>
                  <w:pPr>
                    <w:pStyle w:val="15"/>
                    <w:rPr>
                      <w:color w:val="auto"/>
                    </w:rPr>
                  </w:pPr>
                  <w:r>
                    <w:rPr>
                      <w:color w:val="auto"/>
                    </w:rPr>
                    <w:t>禁止在禁止开垦区内开垦土地</w:t>
                  </w:r>
                  <w:r>
                    <w:rPr>
                      <w:rFonts w:hint="eastAsia"/>
                      <w:color w:val="auto"/>
                    </w:rPr>
                    <w:t>。</w:t>
                  </w:r>
                </w:p>
              </w:tc>
              <w:tc>
                <w:tcPr>
                  <w:tcW w:w="2613" w:type="dxa"/>
                  <w:vAlign w:val="center"/>
                </w:tcPr>
                <w:p>
                  <w:pPr>
                    <w:pStyle w:val="15"/>
                    <w:rPr>
                      <w:color w:val="auto"/>
                    </w:rPr>
                  </w:pPr>
                  <w:r>
                    <w:rPr>
                      <w:color w:val="auto"/>
                    </w:rPr>
                    <w:t>本项目</w:t>
                  </w:r>
                  <w:r>
                    <w:rPr>
                      <w:rFonts w:hint="eastAsia"/>
                      <w:color w:val="auto"/>
                    </w:rPr>
                    <w:t>为原址改建项目，不新增用地。</w:t>
                  </w:r>
                </w:p>
              </w:tc>
              <w:tc>
                <w:tcPr>
                  <w:tcW w:w="66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48" w:type="dxa"/>
                  <w:vAlign w:val="center"/>
                </w:tcPr>
                <w:p>
                  <w:pPr>
                    <w:pStyle w:val="15"/>
                    <w:rPr>
                      <w:color w:val="auto"/>
                    </w:rPr>
                  </w:pPr>
                  <w:r>
                    <w:rPr>
                      <w:color w:val="auto"/>
                    </w:rPr>
                    <w:t>8</w:t>
                  </w:r>
                </w:p>
              </w:tc>
              <w:tc>
                <w:tcPr>
                  <w:tcW w:w="3194" w:type="dxa"/>
                  <w:vAlign w:val="center"/>
                </w:tcPr>
                <w:p>
                  <w:pPr>
                    <w:pStyle w:val="15"/>
                    <w:rPr>
                      <w:color w:val="auto"/>
                    </w:rPr>
                  </w:pPr>
                  <w:r>
                    <w:rPr>
                      <w:color w:val="auto"/>
                    </w:rPr>
                    <w:t>禁止新建、改建、扩建向入湖河道排放氮、磷污染物的工业项目以及污染环境、破坏生态平衡和自然景观的其他项目</w:t>
                  </w:r>
                  <w:r>
                    <w:rPr>
                      <w:rFonts w:hint="eastAsia"/>
                      <w:color w:val="auto"/>
                    </w:rPr>
                    <w:t>。</w:t>
                  </w:r>
                </w:p>
              </w:tc>
              <w:tc>
                <w:tcPr>
                  <w:tcW w:w="2613" w:type="dxa"/>
                  <w:vAlign w:val="center"/>
                </w:tcPr>
                <w:p>
                  <w:pPr>
                    <w:pStyle w:val="15"/>
                    <w:rPr>
                      <w:color w:val="auto"/>
                    </w:rPr>
                  </w:pPr>
                  <w:r>
                    <w:rPr>
                      <w:rFonts w:hint="eastAsia"/>
                      <w:color w:val="auto"/>
                    </w:rPr>
                    <w:t>本</w:t>
                  </w:r>
                  <w:r>
                    <w:rPr>
                      <w:color w:val="auto"/>
                    </w:rPr>
                    <w:t>项目</w:t>
                  </w:r>
                  <w:r>
                    <w:rPr>
                      <w:rFonts w:hint="eastAsia"/>
                      <w:color w:val="auto"/>
                    </w:rPr>
                    <w:t>运营过程不</w:t>
                  </w:r>
                  <w:r>
                    <w:rPr>
                      <w:color w:val="auto"/>
                    </w:rPr>
                    <w:t>向入湖河道排放氮、磷污染物</w:t>
                  </w:r>
                  <w:r>
                    <w:rPr>
                      <w:rFonts w:hint="eastAsia"/>
                      <w:color w:val="auto"/>
                    </w:rPr>
                    <w:t>等。</w:t>
                  </w:r>
                </w:p>
              </w:tc>
              <w:tc>
                <w:tcPr>
                  <w:tcW w:w="661" w:type="dxa"/>
                  <w:vAlign w:val="center"/>
                </w:tcPr>
                <w:p>
                  <w:pPr>
                    <w:pStyle w:val="15"/>
                    <w:rPr>
                      <w:color w:val="auto"/>
                    </w:rPr>
                  </w:pPr>
                  <w:r>
                    <w:rPr>
                      <w:color w:val="auto"/>
                    </w:rPr>
                    <w:t>符合</w:t>
                  </w:r>
                </w:p>
              </w:tc>
            </w:tr>
          </w:tbl>
          <w:p>
            <w:pPr>
              <w:ind w:firstLine="480"/>
              <w:rPr>
                <w:color w:val="auto"/>
              </w:rPr>
            </w:pPr>
            <w:r>
              <w:rPr>
                <w:color w:val="auto"/>
              </w:rPr>
              <w:t>根据上表，项目建设符合《云南省滇池保护条例》相关规定。</w:t>
            </w:r>
          </w:p>
          <w:p>
            <w:pPr>
              <w:ind w:firstLine="482"/>
              <w:rPr>
                <w:b/>
                <w:bCs/>
                <w:color w:val="auto"/>
              </w:rPr>
            </w:pPr>
            <w:r>
              <w:rPr>
                <w:rFonts w:hint="eastAsia"/>
                <w:b/>
                <w:bCs/>
                <w:color w:val="auto"/>
              </w:rPr>
              <w:t>8、</w:t>
            </w:r>
            <w:r>
              <w:rPr>
                <w:b/>
                <w:bCs/>
                <w:color w:val="auto"/>
              </w:rPr>
              <w:t>与《云南省固体废物污染环境防治条例》符合性分析</w:t>
            </w:r>
          </w:p>
          <w:p>
            <w:pPr>
              <w:ind w:firstLine="480"/>
              <w:rPr>
                <w:color w:val="auto"/>
              </w:rPr>
            </w:pPr>
            <w:r>
              <w:rPr>
                <w:rFonts w:hint="eastAsia"/>
                <w:color w:val="auto"/>
              </w:rPr>
              <w:t>《云南省固体废物污染环境防治条例》于2023年3月1日施行，对照条例中有关本项目的内容进行符合性分析，具体分析见下表。</w:t>
            </w:r>
          </w:p>
          <w:p>
            <w:pPr>
              <w:pStyle w:val="14"/>
              <w:rPr>
                <w:color w:val="auto"/>
              </w:rPr>
            </w:pPr>
            <w:r>
              <w:rPr>
                <w:color w:val="auto"/>
              </w:rPr>
              <w:t>表1-</w:t>
            </w:r>
            <w:r>
              <w:rPr>
                <w:rFonts w:hint="eastAsia"/>
                <w:color w:val="auto"/>
              </w:rPr>
              <w:t xml:space="preserve">9 </w:t>
            </w:r>
            <w:r>
              <w:rPr>
                <w:color w:val="auto"/>
              </w:rPr>
              <w:t xml:space="preserve"> 与《云南省固体废物污染环境防治条例》符合性分析</w:t>
            </w:r>
          </w:p>
          <w:tbl>
            <w:tblPr>
              <w:tblStyle w:val="10"/>
              <w:tblW w:w="6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136"/>
              <w:gridCol w:w="2503"/>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序号</w:t>
                  </w:r>
                </w:p>
              </w:tc>
              <w:tc>
                <w:tcPr>
                  <w:tcW w:w="3136" w:type="dxa"/>
                  <w:vAlign w:val="center"/>
                </w:tcPr>
                <w:p>
                  <w:pPr>
                    <w:pStyle w:val="15"/>
                    <w:rPr>
                      <w:color w:val="auto"/>
                    </w:rPr>
                  </w:pPr>
                  <w:r>
                    <w:rPr>
                      <w:color w:val="auto"/>
                    </w:rPr>
                    <w:t>云南省固体废物污染环境防治条例相关内容</w:t>
                  </w:r>
                </w:p>
              </w:tc>
              <w:tc>
                <w:tcPr>
                  <w:tcW w:w="2503" w:type="dxa"/>
                  <w:vAlign w:val="center"/>
                </w:tcPr>
                <w:p>
                  <w:pPr>
                    <w:pStyle w:val="15"/>
                    <w:rPr>
                      <w:color w:val="auto"/>
                    </w:rPr>
                  </w:pPr>
                  <w:r>
                    <w:rPr>
                      <w:color w:val="auto"/>
                    </w:rPr>
                    <w:t>项目情况</w:t>
                  </w:r>
                </w:p>
              </w:tc>
              <w:tc>
                <w:tcPr>
                  <w:tcW w:w="671" w:type="dxa"/>
                  <w:vAlign w:val="center"/>
                </w:tcPr>
                <w:p>
                  <w:pPr>
                    <w:pStyle w:val="15"/>
                    <w:rPr>
                      <w:color w:val="auto"/>
                    </w:rPr>
                  </w:pPr>
                  <w:r>
                    <w:rPr>
                      <w:color w:val="auto"/>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1</w:t>
                  </w:r>
                </w:p>
              </w:tc>
              <w:tc>
                <w:tcPr>
                  <w:tcW w:w="3136" w:type="dxa"/>
                  <w:vAlign w:val="center"/>
                </w:tcPr>
                <w:p>
                  <w:pPr>
                    <w:pStyle w:val="15"/>
                    <w:rPr>
                      <w:color w:val="auto"/>
                    </w:rPr>
                  </w:pPr>
                  <w:r>
                    <w:rPr>
                      <w:color w:val="auto"/>
                    </w:rPr>
                    <w:t>建设产生、贮存、利用、处置固体废物的项目，应当依法进行环境影响评价，并遵守国家有关建设项目环境保护管理的规定。</w:t>
                  </w:r>
                </w:p>
              </w:tc>
              <w:tc>
                <w:tcPr>
                  <w:tcW w:w="2503" w:type="dxa"/>
                  <w:vAlign w:val="center"/>
                </w:tcPr>
                <w:p>
                  <w:pPr>
                    <w:pStyle w:val="15"/>
                    <w:rPr>
                      <w:color w:val="auto"/>
                    </w:rPr>
                  </w:pPr>
                  <w:r>
                    <w:rPr>
                      <w:color w:val="auto"/>
                    </w:rPr>
                    <w:t>本项目依法进行环境影响评价，遵守国家有关建设项目环境保护管理的规定。</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2</w:t>
                  </w:r>
                </w:p>
              </w:tc>
              <w:tc>
                <w:tcPr>
                  <w:tcW w:w="3136" w:type="dxa"/>
                  <w:vAlign w:val="center"/>
                </w:tcPr>
                <w:p>
                  <w:pPr>
                    <w:pStyle w:val="15"/>
                    <w:rPr>
                      <w:color w:val="auto"/>
                    </w:rPr>
                  </w:pPr>
                  <w:r>
                    <w:rPr>
                      <w:color w:val="auto"/>
                    </w:rPr>
                    <w:t>产生、收集、贮存、运输、利用、处置固体废物的单位和其他生产经营者，应当采取防扬散、防流失、防渗漏或者其他防止污染环境的措施，不得擅自倾倒、堆放、丢弃、遗撒固体废物。</w:t>
                  </w:r>
                </w:p>
              </w:tc>
              <w:tc>
                <w:tcPr>
                  <w:tcW w:w="2503" w:type="dxa"/>
                  <w:vAlign w:val="center"/>
                </w:tcPr>
                <w:p>
                  <w:pPr>
                    <w:pStyle w:val="15"/>
                    <w:rPr>
                      <w:color w:val="auto"/>
                    </w:rPr>
                  </w:pPr>
                  <w:r>
                    <w:rPr>
                      <w:color w:val="auto"/>
                    </w:rPr>
                    <w:t>项目贮存、运输和处置固体废物，按照</w:t>
                  </w:r>
                  <w:r>
                    <w:rPr>
                      <w:rFonts w:hint="eastAsia"/>
                      <w:color w:val="auto"/>
                    </w:rPr>
                    <w:t>相关</w:t>
                  </w:r>
                  <w:r>
                    <w:rPr>
                      <w:color w:val="auto"/>
                    </w:rPr>
                    <w:t>要求采取防扬散、防流失、防渗漏</w:t>
                  </w:r>
                  <w:r>
                    <w:rPr>
                      <w:rFonts w:hint="eastAsia"/>
                      <w:color w:val="auto"/>
                    </w:rPr>
                    <w:t>及</w:t>
                  </w:r>
                  <w:r>
                    <w:rPr>
                      <w:color w:val="auto"/>
                    </w:rPr>
                    <w:t>其他防止污染环境的措施，不擅自倾倒、堆放、丢弃、遗撒固体废物。</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3</w:t>
                  </w:r>
                </w:p>
              </w:tc>
              <w:tc>
                <w:tcPr>
                  <w:tcW w:w="3136" w:type="dxa"/>
                  <w:vAlign w:val="center"/>
                </w:tcPr>
                <w:p>
                  <w:pPr>
                    <w:pStyle w:val="15"/>
                    <w:rPr>
                      <w:color w:val="auto"/>
                    </w:rPr>
                  </w:pPr>
                  <w:r>
                    <w:rPr>
                      <w:color w:val="auto"/>
                    </w:rPr>
                    <w:t>在生态保护红线区域、永久基本农田集中区域和其他需要特别保护的区域内，禁止建设工业固体废物、危险废物集中贮存、利用、处置的设施、场所和生活垃圾填埋场。</w:t>
                  </w:r>
                </w:p>
              </w:tc>
              <w:tc>
                <w:tcPr>
                  <w:tcW w:w="2503" w:type="dxa"/>
                  <w:vAlign w:val="center"/>
                </w:tcPr>
                <w:p>
                  <w:pPr>
                    <w:pStyle w:val="15"/>
                    <w:rPr>
                      <w:color w:val="auto"/>
                    </w:rPr>
                  </w:pPr>
                  <w:r>
                    <w:rPr>
                      <w:color w:val="auto"/>
                    </w:rPr>
                    <w:t>项目</w:t>
                  </w:r>
                  <w:r>
                    <w:rPr>
                      <w:rFonts w:hint="eastAsia"/>
                      <w:color w:val="auto"/>
                    </w:rPr>
                    <w:t>属原址改建项目</w:t>
                  </w:r>
                  <w:r>
                    <w:rPr>
                      <w:color w:val="auto"/>
                    </w:rPr>
                    <w:t>，不新增占地，不</w:t>
                  </w:r>
                  <w:r>
                    <w:rPr>
                      <w:rFonts w:hint="eastAsia"/>
                      <w:color w:val="auto"/>
                    </w:rPr>
                    <w:t>涉及</w:t>
                  </w:r>
                  <w:r>
                    <w:rPr>
                      <w:color w:val="auto"/>
                    </w:rPr>
                    <w:t>生态保护红线区域、永久基本农田集中区域和其他需要特别保护的区域内，不在禁止建设范围内。</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4</w:t>
                  </w:r>
                </w:p>
              </w:tc>
              <w:tc>
                <w:tcPr>
                  <w:tcW w:w="3136" w:type="dxa"/>
                  <w:vAlign w:val="center"/>
                </w:tcPr>
                <w:p>
                  <w:pPr>
                    <w:pStyle w:val="15"/>
                    <w:rPr>
                      <w:color w:val="auto"/>
                    </w:rPr>
                  </w:pPr>
                  <w:r>
                    <w:rPr>
                      <w:color w:val="auto"/>
                    </w:rPr>
                    <w:t>列入限期淘汰名录被淘汰的设备，不得转让给他人使用。</w:t>
                  </w:r>
                </w:p>
              </w:tc>
              <w:tc>
                <w:tcPr>
                  <w:tcW w:w="2503" w:type="dxa"/>
                  <w:vAlign w:val="center"/>
                </w:tcPr>
                <w:p>
                  <w:pPr>
                    <w:pStyle w:val="15"/>
                    <w:rPr>
                      <w:color w:val="auto"/>
                    </w:rPr>
                  </w:pPr>
                  <w:r>
                    <w:rPr>
                      <w:color w:val="auto"/>
                    </w:rPr>
                    <w:t>项目</w:t>
                  </w:r>
                  <w:r>
                    <w:rPr>
                      <w:rFonts w:hint="eastAsia"/>
                      <w:color w:val="auto"/>
                    </w:rPr>
                    <w:t>依托现有生产</w:t>
                  </w:r>
                  <w:r>
                    <w:rPr>
                      <w:color w:val="auto"/>
                    </w:rPr>
                    <w:t>设施设备，不</w:t>
                  </w:r>
                  <w:r>
                    <w:rPr>
                      <w:rFonts w:hint="eastAsia"/>
                      <w:color w:val="auto"/>
                    </w:rPr>
                    <w:t>涉及</w:t>
                  </w:r>
                  <w:r>
                    <w:rPr>
                      <w:color w:val="auto"/>
                    </w:rPr>
                    <w:t>限期淘汰名录被淘汰的设备。</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5</w:t>
                  </w:r>
                </w:p>
              </w:tc>
              <w:tc>
                <w:tcPr>
                  <w:tcW w:w="3136" w:type="dxa"/>
                  <w:vAlign w:val="center"/>
                </w:tcPr>
                <w:p>
                  <w:pPr>
                    <w:pStyle w:val="15"/>
                    <w:rPr>
                      <w:color w:val="auto"/>
                    </w:rPr>
                  </w:pPr>
                  <w:r>
                    <w:rPr>
                      <w:color w:val="auto"/>
                    </w:rPr>
                    <w:t>鼓励产生工业固体废物的开发区、工业园区配套建设或者就近依托其他符合标准的处置设施，保障园区产生的工业固体废物安全处置。</w:t>
                  </w:r>
                </w:p>
              </w:tc>
              <w:tc>
                <w:tcPr>
                  <w:tcW w:w="2503" w:type="dxa"/>
                  <w:vAlign w:val="center"/>
                </w:tcPr>
                <w:p>
                  <w:pPr>
                    <w:pStyle w:val="15"/>
                    <w:rPr>
                      <w:color w:val="auto"/>
                    </w:rPr>
                  </w:pPr>
                  <w:r>
                    <w:rPr>
                      <w:color w:val="auto"/>
                    </w:rPr>
                    <w:t>项目处置固废主要为</w:t>
                  </w:r>
                  <w:r>
                    <w:rPr>
                      <w:rFonts w:hint="eastAsia"/>
                      <w:color w:val="auto"/>
                    </w:rPr>
                    <w:t>所属集团周边</w:t>
                  </w:r>
                  <w:r>
                    <w:rPr>
                      <w:color w:val="auto"/>
                    </w:rPr>
                    <w:t>其他企业产生的含磷固废，</w:t>
                  </w:r>
                  <w:r>
                    <w:rPr>
                      <w:rFonts w:hint="eastAsia"/>
                      <w:color w:val="auto"/>
                    </w:rPr>
                    <w:t>符合就近处置原则</w:t>
                  </w:r>
                  <w:r>
                    <w:rPr>
                      <w:color w:val="auto"/>
                    </w:rPr>
                    <w:t>。</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6</w:t>
                  </w:r>
                </w:p>
              </w:tc>
              <w:tc>
                <w:tcPr>
                  <w:tcW w:w="3136" w:type="dxa"/>
                  <w:vAlign w:val="center"/>
                </w:tcPr>
                <w:p>
                  <w:pPr>
                    <w:pStyle w:val="15"/>
                    <w:rPr>
                      <w:color w:val="auto"/>
                    </w:rPr>
                  </w:pPr>
                  <w:r>
                    <w:rPr>
                      <w:color w:val="auto"/>
                    </w:rPr>
                    <w:t>受托方运输、利用、处置工业固体废物，应当依照有关法律法规的规定和合同约定履行污染防治要求，并将运输、利用、处置情况告知产生工业固体废物的单位。</w:t>
                  </w:r>
                </w:p>
              </w:tc>
              <w:tc>
                <w:tcPr>
                  <w:tcW w:w="2503" w:type="dxa"/>
                  <w:vAlign w:val="center"/>
                </w:tcPr>
                <w:p>
                  <w:pPr>
                    <w:pStyle w:val="15"/>
                    <w:rPr>
                      <w:color w:val="auto"/>
                    </w:rPr>
                  </w:pPr>
                  <w:r>
                    <w:rPr>
                      <w:rFonts w:hint="eastAsia"/>
                      <w:color w:val="auto"/>
                    </w:rPr>
                    <w:t>项目在处置固废过程中，将</w:t>
                  </w:r>
                  <w:r>
                    <w:rPr>
                      <w:color w:val="auto"/>
                    </w:rPr>
                    <w:t>依照有关法律法规的规定和合同约定履行污染防治要求，并将运输、利用、处置情况告知产生工业固体废物的单位。</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7</w:t>
                  </w:r>
                </w:p>
              </w:tc>
              <w:tc>
                <w:tcPr>
                  <w:tcW w:w="3136" w:type="dxa"/>
                  <w:vAlign w:val="center"/>
                </w:tcPr>
                <w:p>
                  <w:pPr>
                    <w:pStyle w:val="15"/>
                    <w:rPr>
                      <w:color w:val="auto"/>
                    </w:rPr>
                  </w:pPr>
                  <w:r>
                    <w:rPr>
                      <w:color w:val="auto"/>
                    </w:rPr>
                    <w:t>贮存工业固体废物应当采取符合国家环境保护标准的防护措施。建设工业固体废物贮存、处置的设施、场所，应当符合国家环境保护标准。</w:t>
                  </w:r>
                </w:p>
              </w:tc>
              <w:tc>
                <w:tcPr>
                  <w:tcW w:w="2503" w:type="dxa"/>
                  <w:vAlign w:val="center"/>
                </w:tcPr>
                <w:p>
                  <w:pPr>
                    <w:pStyle w:val="15"/>
                    <w:rPr>
                      <w:color w:val="auto"/>
                    </w:rPr>
                  </w:pPr>
                  <w:r>
                    <w:rPr>
                      <w:color w:val="auto"/>
                    </w:rPr>
                    <w:t>项目原料堆存场采取符合国家环境保护标准的防护措施，符合国家环保标准。</w:t>
                  </w:r>
                </w:p>
              </w:tc>
              <w:tc>
                <w:tcPr>
                  <w:tcW w:w="671" w:type="dxa"/>
                  <w:vAlign w:val="center"/>
                </w:tcPr>
                <w:p>
                  <w:pPr>
                    <w:pStyle w:val="15"/>
                    <w:rPr>
                      <w:color w:val="auto"/>
                    </w:rPr>
                  </w:pPr>
                  <w:r>
                    <w:rPr>
                      <w:color w:val="auto"/>
                    </w:rPr>
                    <w:t>符合</w:t>
                  </w:r>
                </w:p>
              </w:tc>
            </w:tr>
          </w:tbl>
          <w:p>
            <w:pPr>
              <w:ind w:firstLine="482"/>
              <w:rPr>
                <w:rFonts w:hint="eastAsia"/>
                <w:color w:val="auto"/>
              </w:rPr>
            </w:pPr>
            <w:r>
              <w:rPr>
                <w:rFonts w:hint="eastAsia"/>
                <w:color w:val="auto"/>
              </w:rPr>
              <w:t>综上所述</w:t>
            </w:r>
            <w:r>
              <w:rPr>
                <w:color w:val="auto"/>
              </w:rPr>
              <w:t>，</w:t>
            </w:r>
            <w:r>
              <w:rPr>
                <w:rFonts w:hint="eastAsia"/>
                <w:color w:val="auto"/>
              </w:rPr>
              <w:t>本</w:t>
            </w:r>
            <w:r>
              <w:rPr>
                <w:color w:val="auto"/>
              </w:rPr>
              <w:t>项目的建设与</w:t>
            </w:r>
            <w:r>
              <w:rPr>
                <w:rFonts w:hint="eastAsia"/>
                <w:color w:val="auto"/>
              </w:rPr>
              <w:t>《云南省固体废物污染环境防治条例》中相关要求相符。</w:t>
            </w:r>
          </w:p>
          <w:p>
            <w:pPr>
              <w:ind w:firstLine="482"/>
              <w:rPr>
                <w:b/>
                <w:bCs/>
                <w:color w:val="auto"/>
              </w:rPr>
            </w:pPr>
            <w:r>
              <w:rPr>
                <w:rFonts w:hint="eastAsia"/>
                <w:b/>
                <w:bCs/>
                <w:color w:val="auto"/>
                <w:lang w:val="en-US" w:eastAsia="zh-CN"/>
              </w:rPr>
              <w:t>9</w:t>
            </w:r>
            <w:r>
              <w:rPr>
                <w:rFonts w:hint="eastAsia"/>
                <w:b/>
                <w:bCs/>
                <w:color w:val="auto"/>
              </w:rPr>
              <w:t>、</w:t>
            </w:r>
            <w:r>
              <w:rPr>
                <w:b/>
                <w:bCs/>
                <w:color w:val="auto"/>
              </w:rPr>
              <w:t>与《</w:t>
            </w:r>
            <w:r>
              <w:rPr>
                <w:rFonts w:hint="eastAsia"/>
                <w:b/>
                <w:bCs/>
                <w:color w:val="auto"/>
              </w:rPr>
              <w:t>工业炉窑大气污染综合治理方案</w:t>
            </w:r>
            <w:r>
              <w:rPr>
                <w:b/>
                <w:bCs/>
                <w:color w:val="auto"/>
              </w:rPr>
              <w:t>》符合性分析</w:t>
            </w:r>
          </w:p>
          <w:p>
            <w:pPr>
              <w:ind w:firstLine="480"/>
              <w:rPr>
                <w:color w:val="auto"/>
              </w:rPr>
            </w:pPr>
            <w:r>
              <w:rPr>
                <w:rFonts w:hint="eastAsia"/>
                <w:color w:val="auto"/>
                <w:lang w:val="en-US" w:eastAsia="zh-CN"/>
              </w:rPr>
              <w:t>项目与</w:t>
            </w:r>
            <w:r>
              <w:rPr>
                <w:rFonts w:hint="eastAsia"/>
                <w:color w:val="auto"/>
              </w:rPr>
              <w:t>《工业炉窑大气污染综合治理方案》</w:t>
            </w:r>
            <w:r>
              <w:rPr>
                <w:rFonts w:hint="eastAsia"/>
                <w:color w:val="auto"/>
                <w:lang w:val="en-US" w:eastAsia="zh-CN"/>
              </w:rPr>
              <w:t>符合性分析</w:t>
            </w:r>
            <w:r>
              <w:rPr>
                <w:rFonts w:hint="eastAsia"/>
                <w:color w:val="auto"/>
              </w:rPr>
              <w:t>见下表。</w:t>
            </w:r>
          </w:p>
          <w:p>
            <w:pPr>
              <w:pStyle w:val="14"/>
              <w:rPr>
                <w:color w:val="auto"/>
              </w:rPr>
            </w:pPr>
            <w:r>
              <w:rPr>
                <w:color w:val="auto"/>
              </w:rPr>
              <w:t>表1-</w:t>
            </w:r>
            <w:r>
              <w:rPr>
                <w:rFonts w:hint="eastAsia"/>
                <w:color w:val="auto"/>
                <w:lang w:val="en-US" w:eastAsia="zh-CN"/>
              </w:rPr>
              <w:t>10</w:t>
            </w:r>
            <w:r>
              <w:rPr>
                <w:rFonts w:hint="eastAsia"/>
                <w:color w:val="auto"/>
              </w:rPr>
              <w:t xml:space="preserve"> </w:t>
            </w:r>
            <w:r>
              <w:rPr>
                <w:color w:val="auto"/>
              </w:rPr>
              <w:t xml:space="preserve"> 与</w:t>
            </w:r>
            <w:r>
              <w:rPr>
                <w:rFonts w:hint="eastAsia"/>
                <w:color w:val="auto"/>
              </w:rPr>
              <w:t>《工业炉窑大气污染综合治理方案》</w:t>
            </w:r>
            <w:r>
              <w:rPr>
                <w:color w:val="auto"/>
              </w:rPr>
              <w:t>符合性分析</w:t>
            </w:r>
          </w:p>
          <w:tbl>
            <w:tblPr>
              <w:tblStyle w:val="10"/>
              <w:tblW w:w="6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3352"/>
              <w:gridCol w:w="2287"/>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序号</w:t>
                  </w:r>
                </w:p>
              </w:tc>
              <w:tc>
                <w:tcPr>
                  <w:tcW w:w="3352" w:type="dxa"/>
                  <w:vAlign w:val="center"/>
                </w:tcPr>
                <w:p>
                  <w:pPr>
                    <w:pStyle w:val="15"/>
                    <w:rPr>
                      <w:color w:val="auto"/>
                    </w:rPr>
                  </w:pPr>
                  <w:r>
                    <w:rPr>
                      <w:rFonts w:hint="eastAsia"/>
                      <w:color w:val="auto"/>
                    </w:rPr>
                    <w:t>工业炉窑大气污染综合治理方案</w:t>
                  </w:r>
                  <w:r>
                    <w:rPr>
                      <w:color w:val="auto"/>
                    </w:rPr>
                    <w:t>相关内容</w:t>
                  </w:r>
                </w:p>
              </w:tc>
              <w:tc>
                <w:tcPr>
                  <w:tcW w:w="2287" w:type="dxa"/>
                  <w:vAlign w:val="center"/>
                </w:tcPr>
                <w:p>
                  <w:pPr>
                    <w:pStyle w:val="15"/>
                    <w:rPr>
                      <w:color w:val="auto"/>
                    </w:rPr>
                  </w:pPr>
                  <w:r>
                    <w:rPr>
                      <w:color w:val="auto"/>
                    </w:rPr>
                    <w:t>项目情况</w:t>
                  </w:r>
                </w:p>
              </w:tc>
              <w:tc>
                <w:tcPr>
                  <w:tcW w:w="671" w:type="dxa"/>
                  <w:vAlign w:val="center"/>
                </w:tcPr>
                <w:p>
                  <w:pPr>
                    <w:pStyle w:val="15"/>
                    <w:rPr>
                      <w:color w:val="auto"/>
                    </w:rPr>
                  </w:pPr>
                  <w:r>
                    <w:rPr>
                      <w:color w:val="auto"/>
                    </w:rPr>
                    <w:t>符合情况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1</w:t>
                  </w:r>
                </w:p>
              </w:tc>
              <w:tc>
                <w:tcPr>
                  <w:tcW w:w="3352" w:type="dxa"/>
                  <w:vAlign w:val="center"/>
                </w:tcPr>
                <w:p>
                  <w:pPr>
                    <w:pStyle w:val="15"/>
                    <w:rPr>
                      <w:color w:val="auto"/>
                    </w:rPr>
                  </w:pPr>
                  <w:r>
                    <w:rPr>
                      <w:rFonts w:hint="eastAsia"/>
                      <w:color w:val="auto"/>
                    </w:rPr>
                    <w:t>新建涉工业炉窑的建设项目，原则上要入园区，配套建设高效环保治理设施。</w:t>
                  </w:r>
                </w:p>
              </w:tc>
              <w:tc>
                <w:tcPr>
                  <w:tcW w:w="2287" w:type="dxa"/>
                  <w:vAlign w:val="center"/>
                </w:tcPr>
                <w:p>
                  <w:pPr>
                    <w:pStyle w:val="15"/>
                    <w:rPr>
                      <w:rFonts w:hint="default" w:eastAsia="宋体"/>
                      <w:color w:val="auto"/>
                      <w:lang w:val="en-US" w:eastAsia="zh-CN"/>
                    </w:rPr>
                  </w:pPr>
                  <w:r>
                    <w:rPr>
                      <w:rFonts w:hint="eastAsia"/>
                      <w:color w:val="auto"/>
                      <w:lang w:val="en-US" w:eastAsia="zh-CN"/>
                    </w:rPr>
                    <w:t>项目为改建项目，不属于新建，且已配套建设高效环保治理设施。</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2</w:t>
                  </w:r>
                </w:p>
              </w:tc>
              <w:tc>
                <w:tcPr>
                  <w:tcW w:w="3352" w:type="dxa"/>
                  <w:vAlign w:val="center"/>
                </w:tcPr>
                <w:p>
                  <w:pPr>
                    <w:pStyle w:val="15"/>
                    <w:rPr>
                      <w:color w:val="auto"/>
                    </w:rPr>
                  </w:pPr>
                  <w:r>
                    <w:rPr>
                      <w:rFonts w:hint="eastAsia"/>
                      <w:color w:val="auto"/>
                    </w:rPr>
                    <w:t>重点区域严格控制涉工业炉窑建设项目，严禁新增钢铁、焦化、电解铝、铸造、水泥和平板玻璃等产能；严格执行钢铁、水泥、平板玻璃等行业产能置换实施办法；原则上禁止新建燃料类煤气发生炉（园区现有企业统一建设的清洁煤制气中心除外）</w:t>
                  </w:r>
                </w:p>
              </w:tc>
              <w:tc>
                <w:tcPr>
                  <w:tcW w:w="2287" w:type="dxa"/>
                  <w:vAlign w:val="center"/>
                </w:tcPr>
                <w:p>
                  <w:pPr>
                    <w:pStyle w:val="15"/>
                    <w:rPr>
                      <w:rFonts w:hint="eastAsia" w:eastAsia="宋体"/>
                      <w:color w:val="auto"/>
                      <w:lang w:val="en-US" w:eastAsia="zh-CN"/>
                    </w:rPr>
                  </w:pPr>
                  <w:r>
                    <w:rPr>
                      <w:rFonts w:hint="eastAsia"/>
                      <w:color w:val="auto"/>
                      <w:lang w:val="en-US" w:eastAsia="zh-CN"/>
                    </w:rPr>
                    <w:t>本项目所在地不属于该方案中所述重点区域，项目所使用工业炉窑不属于</w:t>
                  </w:r>
                  <w:r>
                    <w:rPr>
                      <w:rFonts w:hint="eastAsia"/>
                      <w:color w:val="auto"/>
                    </w:rPr>
                    <w:t>煤气发生炉</w:t>
                  </w:r>
                  <w:r>
                    <w:rPr>
                      <w:rFonts w:hint="eastAsia"/>
                      <w:color w:val="auto"/>
                      <w:lang w:eastAsia="zh-CN"/>
                    </w:rPr>
                    <w:t>。</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3</w:t>
                  </w:r>
                </w:p>
              </w:tc>
              <w:tc>
                <w:tcPr>
                  <w:tcW w:w="3352" w:type="dxa"/>
                  <w:vAlign w:val="center"/>
                </w:tcPr>
                <w:p>
                  <w:pPr>
                    <w:pStyle w:val="15"/>
                    <w:rPr>
                      <w:color w:val="auto"/>
                    </w:rPr>
                  </w:pPr>
                  <w:r>
                    <w:rPr>
                      <w:rFonts w:hint="eastAsia"/>
                      <w:color w:val="auto"/>
                    </w:rPr>
                    <w:t>加大落后产能和不达标工业炉窑淘汰力度。分行业清理《产业结构调整指导目录》淘汰类工业炉窑。</w:t>
                  </w:r>
                </w:p>
              </w:tc>
              <w:tc>
                <w:tcPr>
                  <w:tcW w:w="2287" w:type="dxa"/>
                  <w:vAlign w:val="center"/>
                </w:tcPr>
                <w:p>
                  <w:pPr>
                    <w:pStyle w:val="15"/>
                    <w:rPr>
                      <w:rFonts w:hint="eastAsia" w:eastAsia="宋体"/>
                      <w:color w:val="auto"/>
                      <w:lang w:val="en-US" w:eastAsia="zh-CN"/>
                    </w:rPr>
                  </w:pPr>
                  <w:r>
                    <w:rPr>
                      <w:rFonts w:hint="eastAsia"/>
                      <w:color w:val="auto"/>
                      <w:lang w:val="en-US" w:eastAsia="zh-CN"/>
                    </w:rPr>
                    <w:t>项目所依托设备不属于</w:t>
                  </w:r>
                  <w:r>
                    <w:rPr>
                      <w:rFonts w:hint="eastAsia"/>
                      <w:color w:val="auto"/>
                    </w:rPr>
                    <w:t>落后产能和不达标工业炉窑</w:t>
                  </w:r>
                  <w:r>
                    <w:rPr>
                      <w:rFonts w:hint="eastAsia"/>
                      <w:color w:val="auto"/>
                      <w:lang w:eastAsia="zh-CN"/>
                    </w:rPr>
                    <w:t>，</w:t>
                  </w:r>
                  <w:r>
                    <w:rPr>
                      <w:rFonts w:hint="eastAsia"/>
                      <w:color w:val="auto"/>
                      <w:lang w:val="en-US" w:eastAsia="zh-CN"/>
                    </w:rPr>
                    <w:t>也不要属于</w:t>
                  </w:r>
                  <w:r>
                    <w:rPr>
                      <w:rFonts w:hint="eastAsia"/>
                      <w:color w:val="auto"/>
                    </w:rPr>
                    <w:t>淘汰类工业炉窑</w:t>
                  </w:r>
                  <w:r>
                    <w:rPr>
                      <w:rFonts w:hint="eastAsia"/>
                      <w:color w:val="auto"/>
                      <w:lang w:eastAsia="zh-CN"/>
                    </w:rPr>
                    <w:t>。</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4</w:t>
                  </w:r>
                </w:p>
              </w:tc>
              <w:tc>
                <w:tcPr>
                  <w:tcW w:w="3352" w:type="dxa"/>
                  <w:vAlign w:val="center"/>
                </w:tcPr>
                <w:p>
                  <w:pPr>
                    <w:pStyle w:val="15"/>
                    <w:rPr>
                      <w:color w:val="auto"/>
                    </w:rPr>
                  </w:pPr>
                  <w:r>
                    <w:rPr>
                      <w:rFonts w:hint="eastAsia"/>
                      <w:color w:val="auto"/>
                    </w:rPr>
                    <w:t>对以煤、石油焦、渣油、重油等为燃料的工业炉窑，加快使用清洁低碳能源以及利用工厂余热、电厂热力等进行替代。</w:t>
                  </w:r>
                </w:p>
              </w:tc>
              <w:tc>
                <w:tcPr>
                  <w:tcW w:w="2287" w:type="dxa"/>
                  <w:vAlign w:val="center"/>
                </w:tcPr>
                <w:p>
                  <w:pPr>
                    <w:pStyle w:val="15"/>
                    <w:rPr>
                      <w:rFonts w:hint="default" w:eastAsia="宋体"/>
                      <w:color w:val="auto"/>
                      <w:lang w:val="en-US" w:eastAsia="zh-CN"/>
                    </w:rPr>
                  </w:pPr>
                  <w:r>
                    <w:rPr>
                      <w:rFonts w:hint="eastAsia"/>
                      <w:color w:val="auto"/>
                      <w:lang w:val="en-US" w:eastAsia="zh-CN"/>
                    </w:rPr>
                    <w:t>项目所在地暂无法利用天然气等清洁能源。</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5</w:t>
                  </w:r>
                </w:p>
              </w:tc>
              <w:tc>
                <w:tcPr>
                  <w:tcW w:w="3352" w:type="dxa"/>
                  <w:vAlign w:val="center"/>
                </w:tcPr>
                <w:p>
                  <w:pPr>
                    <w:pStyle w:val="15"/>
                    <w:rPr>
                      <w:color w:val="auto"/>
                    </w:rPr>
                  </w:pPr>
                  <w:r>
                    <w:rPr>
                      <w:rFonts w:hint="eastAsia"/>
                      <w:color w:val="auto"/>
                    </w:rPr>
                    <w:t>重点区域取缔燃煤热风炉，基本淘汰热电联产供热管网覆盖范围内的燃煤加热、烘干炉（窑）。加快推动铸造（10吨/小时及以下）、岩棉等行业冲天炉改为电炉。</w:t>
                  </w:r>
                </w:p>
              </w:tc>
              <w:tc>
                <w:tcPr>
                  <w:tcW w:w="2287" w:type="dxa"/>
                  <w:vAlign w:val="center"/>
                </w:tcPr>
                <w:p>
                  <w:pPr>
                    <w:pStyle w:val="15"/>
                    <w:rPr>
                      <w:rFonts w:hint="default" w:eastAsia="宋体"/>
                      <w:color w:val="auto"/>
                      <w:lang w:val="en-US" w:eastAsia="zh-CN"/>
                    </w:rPr>
                  </w:pPr>
                  <w:r>
                    <w:rPr>
                      <w:rFonts w:hint="eastAsia"/>
                      <w:color w:val="auto"/>
                      <w:lang w:val="en-US" w:eastAsia="zh-CN"/>
                    </w:rPr>
                    <w:t>项目区不属于</w:t>
                  </w:r>
                  <w:r>
                    <w:rPr>
                      <w:rFonts w:hint="eastAsia"/>
                      <w:color w:val="auto"/>
                    </w:rPr>
                    <w:t>热电联产供热管网覆盖范围</w:t>
                  </w:r>
                  <w:r>
                    <w:rPr>
                      <w:rFonts w:hint="eastAsia"/>
                      <w:color w:val="auto"/>
                      <w:lang w:eastAsia="zh-CN"/>
                    </w:rPr>
                    <w:t>，</w:t>
                  </w:r>
                  <w:r>
                    <w:rPr>
                      <w:rFonts w:hint="eastAsia"/>
                      <w:color w:val="auto"/>
                      <w:lang w:val="en-US" w:eastAsia="zh-CN"/>
                    </w:rPr>
                    <w:t>项目区工业炉窑为干燥炉，不涉及冲天炉的使用。</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6</w:t>
                  </w:r>
                </w:p>
              </w:tc>
              <w:tc>
                <w:tcPr>
                  <w:tcW w:w="3352" w:type="dxa"/>
                  <w:vAlign w:val="center"/>
                </w:tcPr>
                <w:p>
                  <w:pPr>
                    <w:pStyle w:val="15"/>
                    <w:rPr>
                      <w:color w:val="auto"/>
                    </w:rPr>
                  </w:pPr>
                  <w:r>
                    <w:rPr>
                      <w:rFonts w:hint="eastAsia"/>
                      <w:color w:val="auto"/>
                    </w:rPr>
                    <w:t>已有行业排放标准的工业炉窑，严格执行行业排放标准相关规定，配套建设高效脱硫脱硝除尘设施，确保稳定达标排放。</w:t>
                  </w:r>
                </w:p>
              </w:tc>
              <w:tc>
                <w:tcPr>
                  <w:tcW w:w="2287" w:type="dxa"/>
                  <w:vAlign w:val="center"/>
                </w:tcPr>
                <w:p>
                  <w:pPr>
                    <w:pStyle w:val="15"/>
                    <w:rPr>
                      <w:rFonts w:hint="eastAsia" w:eastAsia="宋体"/>
                      <w:color w:val="auto"/>
                      <w:lang w:eastAsia="zh-CN"/>
                    </w:rPr>
                  </w:pPr>
                  <w:r>
                    <w:rPr>
                      <w:rFonts w:hint="eastAsia"/>
                      <w:color w:val="auto"/>
                      <w:lang w:val="en-US" w:eastAsia="zh-CN"/>
                    </w:rPr>
                    <w:t>项目区</w:t>
                  </w:r>
                  <w:r>
                    <w:rPr>
                      <w:rFonts w:hint="eastAsia"/>
                      <w:color w:val="auto"/>
                    </w:rPr>
                    <w:t>配套</w:t>
                  </w:r>
                  <w:r>
                    <w:rPr>
                      <w:rFonts w:hint="eastAsia"/>
                      <w:color w:val="auto"/>
                      <w:lang w:val="en-US" w:eastAsia="zh-CN"/>
                    </w:rPr>
                    <w:t>有</w:t>
                  </w:r>
                  <w:r>
                    <w:rPr>
                      <w:rFonts w:hint="eastAsia"/>
                      <w:color w:val="auto"/>
                    </w:rPr>
                    <w:t>高效脱硫除尘设施，</w:t>
                  </w:r>
                  <w:r>
                    <w:rPr>
                      <w:rFonts w:hint="eastAsia"/>
                      <w:color w:val="auto"/>
                      <w:lang w:val="en-US" w:eastAsia="zh-CN"/>
                    </w:rPr>
                    <w:t>根据排污许可自行监测报告，工业炉窑废气</w:t>
                  </w:r>
                  <w:r>
                    <w:rPr>
                      <w:rFonts w:hint="eastAsia"/>
                      <w:color w:val="auto"/>
                    </w:rPr>
                    <w:t>稳定达标排放</w:t>
                  </w:r>
                  <w:r>
                    <w:rPr>
                      <w:rFonts w:hint="eastAsia"/>
                      <w:color w:val="auto"/>
                      <w:lang w:eastAsia="zh-CN"/>
                    </w:rPr>
                    <w:t>。</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color w:val="auto"/>
                    </w:rPr>
                  </w:pPr>
                  <w:r>
                    <w:rPr>
                      <w:color w:val="auto"/>
                    </w:rPr>
                    <w:t>7</w:t>
                  </w:r>
                </w:p>
              </w:tc>
              <w:tc>
                <w:tcPr>
                  <w:tcW w:w="3352" w:type="dxa"/>
                  <w:vAlign w:val="center"/>
                </w:tcPr>
                <w:p>
                  <w:pPr>
                    <w:pStyle w:val="15"/>
                    <w:rPr>
                      <w:color w:val="auto"/>
                    </w:rPr>
                  </w:pPr>
                  <w:r>
                    <w:rPr>
                      <w:rFonts w:hint="eastAsia"/>
                      <w:color w:val="auto"/>
                    </w:rPr>
                    <w:t>重点区域钢铁、水泥、焦化、石化、化工、有色等行业，二氧化硫、氮氧化物、颗粒物、挥发性有机物（VOCs）排放全面执行大气污染物特别排放限值。已核发排污许可证的，应严格执行许可要求。</w:t>
                  </w:r>
                </w:p>
              </w:tc>
              <w:tc>
                <w:tcPr>
                  <w:tcW w:w="2287" w:type="dxa"/>
                  <w:vAlign w:val="center"/>
                </w:tcPr>
                <w:p>
                  <w:pPr>
                    <w:pStyle w:val="15"/>
                    <w:rPr>
                      <w:rFonts w:hint="eastAsia" w:eastAsia="宋体"/>
                      <w:color w:val="auto"/>
                      <w:lang w:val="en-US" w:eastAsia="zh-CN"/>
                    </w:rPr>
                  </w:pPr>
                  <w:r>
                    <w:rPr>
                      <w:rFonts w:hint="eastAsia"/>
                      <w:color w:val="auto"/>
                      <w:lang w:val="en-US" w:eastAsia="zh-CN"/>
                    </w:rPr>
                    <w:t>本项目所在地不属于该方案中所述重点区域，项目</w:t>
                  </w:r>
                  <w:r>
                    <w:rPr>
                      <w:rFonts w:hint="eastAsia"/>
                      <w:color w:val="auto"/>
                    </w:rPr>
                    <w:t>严格执行</w:t>
                  </w:r>
                  <w:r>
                    <w:rPr>
                      <w:rFonts w:hint="eastAsia"/>
                      <w:color w:val="auto"/>
                      <w:lang w:val="en-US" w:eastAsia="zh-CN"/>
                    </w:rPr>
                    <w:t>排污许可证</w:t>
                  </w:r>
                  <w:r>
                    <w:rPr>
                      <w:rFonts w:hint="eastAsia"/>
                      <w:color w:val="auto"/>
                    </w:rPr>
                    <w:t>许可要求</w:t>
                  </w:r>
                  <w:r>
                    <w:rPr>
                      <w:rFonts w:hint="eastAsia"/>
                      <w:color w:val="auto"/>
                      <w:lang w:eastAsia="zh-CN"/>
                    </w:rPr>
                    <w:t>。</w:t>
                  </w:r>
                </w:p>
              </w:tc>
              <w:tc>
                <w:tcPr>
                  <w:tcW w:w="671" w:type="dxa"/>
                  <w:vAlign w:val="center"/>
                </w:tcPr>
                <w:p>
                  <w:pPr>
                    <w:pStyle w:val="15"/>
                    <w:rPr>
                      <w:color w:val="auto"/>
                    </w:rPr>
                  </w:pPr>
                  <w:r>
                    <w:rPr>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06" w:type="dxa"/>
                  <w:vAlign w:val="center"/>
                </w:tcPr>
                <w:p>
                  <w:pPr>
                    <w:pStyle w:val="15"/>
                    <w:rPr>
                      <w:rFonts w:hint="eastAsia" w:eastAsia="宋体"/>
                      <w:color w:val="auto"/>
                      <w:lang w:val="en-US" w:eastAsia="zh-CN"/>
                    </w:rPr>
                  </w:pPr>
                  <w:r>
                    <w:rPr>
                      <w:rFonts w:hint="eastAsia"/>
                      <w:color w:val="auto"/>
                      <w:lang w:val="en-US" w:eastAsia="zh-CN"/>
                    </w:rPr>
                    <w:t>8</w:t>
                  </w:r>
                </w:p>
              </w:tc>
              <w:tc>
                <w:tcPr>
                  <w:tcW w:w="3352" w:type="dxa"/>
                  <w:vAlign w:val="center"/>
                </w:tcPr>
                <w:p>
                  <w:pPr>
                    <w:pStyle w:val="15"/>
                    <w:rPr>
                      <w:rFonts w:hint="eastAsia"/>
                      <w:color w:val="auto"/>
                    </w:rPr>
                  </w:pPr>
                  <w:r>
                    <w:rPr>
                      <w:rFonts w:hint="eastAsia"/>
                      <w:color w:val="auto"/>
                    </w:rPr>
                    <w:t>严格控制工业炉窑生产工艺过程及相关物料储存、输送等无组织排放，在保障生产安全的前提下，采取密闭、封闭等有效措施，有效提高废气收集率，产尘点及车间不得有可见烟粉尘外逸。生产工艺产尘点（装置）应采取密闭、封闭或设置集气罩等措施。煤粉、粉煤灰、石灰、除尘灰、脱硫灰等粉状物料应密闭或封闭储存，采用密闭皮带、封闭通廊、管状带式输送机或密闭车厢、真空罐车、气力输送等方式输送。粒状、块状物料应采用入棚入仓或建设防风抑尘网等方式进行储存，粒状物料采用密闭、封闭等方式输送。物料输送过程中产尘点应采取有效抑尘措施。</w:t>
                  </w:r>
                </w:p>
              </w:tc>
              <w:tc>
                <w:tcPr>
                  <w:tcW w:w="2287" w:type="dxa"/>
                  <w:vAlign w:val="center"/>
                </w:tcPr>
                <w:p>
                  <w:pPr>
                    <w:pStyle w:val="15"/>
                    <w:rPr>
                      <w:rFonts w:hint="default" w:eastAsia="宋体"/>
                      <w:color w:val="auto"/>
                      <w:lang w:val="en-US" w:eastAsia="zh-CN"/>
                    </w:rPr>
                  </w:pPr>
                  <w:r>
                    <w:rPr>
                      <w:rFonts w:hint="eastAsia"/>
                      <w:color w:val="auto"/>
                      <w:lang w:val="en-US" w:eastAsia="zh-CN"/>
                    </w:rPr>
                    <w:t>项目工业炉窑采取了密闭措施，</w:t>
                  </w:r>
                  <w:r>
                    <w:rPr>
                      <w:rFonts w:hint="eastAsia"/>
                      <w:color w:val="auto"/>
                    </w:rPr>
                    <w:t>产尘点及车间</w:t>
                  </w:r>
                  <w:r>
                    <w:rPr>
                      <w:rFonts w:hint="eastAsia"/>
                      <w:color w:val="auto"/>
                      <w:lang w:val="en-US" w:eastAsia="zh-CN"/>
                    </w:rPr>
                    <w:t>无</w:t>
                  </w:r>
                  <w:r>
                    <w:rPr>
                      <w:rFonts w:hint="eastAsia"/>
                      <w:color w:val="auto"/>
                    </w:rPr>
                    <w:t>可见烟粉尘外逸</w:t>
                  </w:r>
                  <w:r>
                    <w:rPr>
                      <w:rFonts w:hint="eastAsia"/>
                      <w:color w:val="auto"/>
                      <w:lang w:eastAsia="zh-CN"/>
                    </w:rPr>
                    <w:t>；</w:t>
                  </w:r>
                  <w:r>
                    <w:rPr>
                      <w:rFonts w:hint="eastAsia"/>
                      <w:color w:val="auto"/>
                      <w:lang w:val="en-US" w:eastAsia="zh-CN"/>
                    </w:rPr>
                    <w:t>燃料煤均采用入棚方式储存等。</w:t>
                  </w:r>
                </w:p>
              </w:tc>
              <w:tc>
                <w:tcPr>
                  <w:tcW w:w="671" w:type="dxa"/>
                  <w:vAlign w:val="center"/>
                </w:tcPr>
                <w:p>
                  <w:pPr>
                    <w:pStyle w:val="15"/>
                    <w:rPr>
                      <w:color w:val="auto"/>
                    </w:rPr>
                  </w:pPr>
                  <w:r>
                    <w:rPr>
                      <w:color w:val="auto"/>
                    </w:rPr>
                    <w:t>符合</w:t>
                  </w:r>
                </w:p>
              </w:tc>
            </w:tr>
          </w:tbl>
          <w:p>
            <w:pPr>
              <w:ind w:firstLine="480"/>
              <w:rPr>
                <w:rFonts w:hint="default" w:eastAsia="宋体"/>
                <w:color w:val="auto"/>
                <w:lang w:val="en-US" w:eastAsia="zh-CN"/>
              </w:rPr>
            </w:pPr>
            <w:r>
              <w:rPr>
                <w:rFonts w:hint="eastAsia"/>
                <w:color w:val="auto"/>
              </w:rPr>
              <w:t>综上所述</w:t>
            </w:r>
            <w:r>
              <w:rPr>
                <w:color w:val="auto"/>
              </w:rPr>
              <w:t>，</w:t>
            </w:r>
            <w:r>
              <w:rPr>
                <w:rFonts w:hint="eastAsia"/>
                <w:color w:val="auto"/>
              </w:rPr>
              <w:t>本</w:t>
            </w:r>
            <w:r>
              <w:rPr>
                <w:color w:val="auto"/>
              </w:rPr>
              <w:t>项目的建设与</w:t>
            </w:r>
            <w:r>
              <w:rPr>
                <w:rFonts w:hint="eastAsia"/>
                <w:color w:val="auto"/>
              </w:rPr>
              <w:t>《工业炉窑大气污染综合治理方案》中相关要求</w:t>
            </w:r>
            <w:r>
              <w:rPr>
                <w:rFonts w:hint="eastAsia"/>
                <w:color w:val="auto"/>
                <w:lang w:val="en-US" w:eastAsia="zh-CN"/>
              </w:rPr>
              <w:t>相符。</w:t>
            </w:r>
          </w:p>
        </w:tc>
      </w:tr>
    </w:tbl>
    <w:p>
      <w:pPr>
        <w:rPr>
          <w:rFonts w:eastAsia="黑体"/>
          <w:color w:val="auto"/>
          <w:sz w:val="30"/>
        </w:rPr>
        <w:sectPr>
          <w:footerReference r:id="rId9" w:type="default"/>
          <w:pgSz w:w="11906" w:h="16838"/>
          <w:pgMar w:top="1701" w:right="1531" w:bottom="1701" w:left="1531" w:header="851" w:footer="850" w:gutter="0"/>
          <w:pgNumType w:start="1"/>
          <w:cols w:space="720" w:num="1"/>
          <w:docGrid w:linePitch="312" w:charSpace="0"/>
        </w:sectPr>
      </w:pPr>
    </w:p>
    <w:p>
      <w:pPr>
        <w:pStyle w:val="2"/>
        <w:spacing w:after="240"/>
        <w:jc w:val="left"/>
        <w:rPr>
          <w:color w:val="auto"/>
        </w:rPr>
      </w:pPr>
      <w:bookmarkStart w:id="3" w:name="_Toc11193"/>
      <w:r>
        <w:rPr>
          <w:color w:val="auto"/>
        </w:rPr>
        <w:t>二、建设项目工程分析</w:t>
      </w:r>
      <w:bookmarkEnd w:id="3"/>
    </w:p>
    <w:tbl>
      <w:tblPr>
        <w:tblStyle w:val="10"/>
        <w:tblW w:w="9060"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54"/>
        <w:gridCol w:w="86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722" w:hRule="atLeast"/>
          <w:jc w:val="center"/>
        </w:trPr>
        <w:tc>
          <w:tcPr>
            <w:tcW w:w="454" w:type="dxa"/>
            <w:vAlign w:val="center"/>
          </w:tcPr>
          <w:p>
            <w:pPr>
              <w:spacing w:line="240" w:lineRule="auto"/>
              <w:ind w:firstLine="0" w:firstLineChars="0"/>
              <w:jc w:val="center"/>
              <w:rPr>
                <w:color w:val="auto"/>
              </w:rPr>
            </w:pPr>
            <w:r>
              <w:rPr>
                <w:rFonts w:hint="eastAsia"/>
                <w:color w:val="auto"/>
              </w:rPr>
              <w:t>建设</w:t>
            </w:r>
          </w:p>
          <w:p>
            <w:pPr>
              <w:spacing w:line="240" w:lineRule="auto"/>
              <w:ind w:firstLine="0" w:firstLineChars="0"/>
              <w:jc w:val="center"/>
              <w:rPr>
                <w:color w:val="auto"/>
              </w:rPr>
            </w:pPr>
            <w:r>
              <w:rPr>
                <w:rFonts w:hint="eastAsia"/>
                <w:color w:val="auto"/>
              </w:rPr>
              <w:t>内容</w:t>
            </w:r>
          </w:p>
        </w:tc>
        <w:tc>
          <w:tcPr>
            <w:tcW w:w="8606" w:type="dxa"/>
          </w:tcPr>
          <w:p>
            <w:pPr>
              <w:ind w:firstLine="0" w:firstLineChars="0"/>
              <w:rPr>
                <w:color w:val="auto"/>
              </w:rPr>
            </w:pPr>
            <w:r>
              <w:rPr>
                <w:color w:val="auto"/>
              </w:rPr>
              <w:t>一、</w:t>
            </w:r>
            <w:r>
              <w:rPr>
                <w:rFonts w:hint="eastAsia"/>
                <w:color w:val="auto"/>
              </w:rPr>
              <w:t>项目建设背景和由来</w:t>
            </w:r>
          </w:p>
          <w:p>
            <w:pPr>
              <w:ind w:firstLine="480"/>
              <w:rPr>
                <w:color w:val="auto"/>
              </w:rPr>
            </w:pPr>
            <w:r>
              <w:rPr>
                <w:color w:val="auto"/>
              </w:rPr>
              <w:t>昆明红海磷肥有限责任公司前身为昆明市上蒜磷肥厂，位于晋宁区上蒜镇马家塘，1985年建厂，属于上蒜镇集体所有制企业。公司出于生产的需要，于2004年1月由云南云天化国际化工股份有限公司与自然人海立波合作，共同出资成立了昆明红海磷肥有限责任公司，现为云南云天化股份有限公司的控股子公司。目前</w:t>
            </w:r>
            <w:r>
              <w:rPr>
                <w:rFonts w:hint="eastAsia"/>
                <w:color w:val="auto"/>
              </w:rPr>
              <w:t>公司</w:t>
            </w:r>
            <w:r>
              <w:rPr>
                <w:color w:val="auto"/>
              </w:rPr>
              <w:t>拥有过磷酸钙（重过磷酸钙、普通过磷酸钙）生产线1</w:t>
            </w:r>
            <w:r>
              <w:rPr>
                <w:rFonts w:hint="eastAsia"/>
                <w:color w:val="auto"/>
              </w:rPr>
              <w:t>条</w:t>
            </w:r>
            <w:r>
              <w:rPr>
                <w:color w:val="auto"/>
              </w:rPr>
              <w:t>、复合肥料生产线1</w:t>
            </w:r>
            <w:r>
              <w:rPr>
                <w:rFonts w:hint="eastAsia"/>
                <w:color w:val="auto"/>
              </w:rPr>
              <w:t>条</w:t>
            </w:r>
            <w:r>
              <w:rPr>
                <w:color w:val="auto"/>
              </w:rPr>
              <w:t>、复合肥返料生产线1</w:t>
            </w:r>
            <w:r>
              <w:rPr>
                <w:rFonts w:hint="eastAsia"/>
                <w:color w:val="auto"/>
              </w:rPr>
              <w:t>条</w:t>
            </w:r>
            <w:r>
              <w:rPr>
                <w:color w:val="auto"/>
              </w:rPr>
              <w:t>、</w:t>
            </w:r>
            <w:r>
              <w:rPr>
                <w:rFonts w:hint="eastAsia"/>
                <w:color w:val="auto"/>
                <w:lang w:val="en-US" w:eastAsia="zh-CN"/>
              </w:rPr>
              <w:t>固态</w:t>
            </w:r>
            <w:r>
              <w:rPr>
                <w:color w:val="auto"/>
              </w:rPr>
              <w:t>水溶肥生产线</w:t>
            </w:r>
            <w:r>
              <w:rPr>
                <w:rFonts w:hint="eastAsia"/>
                <w:color w:val="auto"/>
                <w:lang w:val="en-US" w:eastAsia="zh-CN"/>
              </w:rPr>
              <w:t>1</w:t>
            </w:r>
            <w:r>
              <w:rPr>
                <w:rFonts w:hint="eastAsia"/>
                <w:color w:val="auto"/>
              </w:rPr>
              <w:t>条</w:t>
            </w:r>
            <w:r>
              <w:rPr>
                <w:color w:val="auto"/>
              </w:rPr>
              <w:t>、</w:t>
            </w:r>
            <w:r>
              <w:rPr>
                <w:rFonts w:hint="eastAsia"/>
                <w:color w:val="auto"/>
                <w:lang w:val="en-US" w:eastAsia="zh-CN"/>
              </w:rPr>
              <w:t>液态</w:t>
            </w:r>
            <w:r>
              <w:rPr>
                <w:color w:val="auto"/>
              </w:rPr>
              <w:t>水溶肥生产线</w:t>
            </w:r>
            <w:r>
              <w:rPr>
                <w:rFonts w:hint="eastAsia"/>
                <w:color w:val="auto"/>
                <w:lang w:val="en-US" w:eastAsia="zh-CN"/>
              </w:rPr>
              <w:t>1</w:t>
            </w:r>
            <w:r>
              <w:rPr>
                <w:rFonts w:hint="eastAsia"/>
                <w:color w:val="auto"/>
              </w:rPr>
              <w:t>条</w:t>
            </w:r>
            <w:r>
              <w:rPr>
                <w:color w:val="auto"/>
              </w:rPr>
              <w:t>。具备年产20万吨过磷酸钙（10万吨重过磷酸钙和10万吨普通过磷酸钙）、</w:t>
            </w:r>
            <w:r>
              <w:rPr>
                <w:rFonts w:hint="eastAsia"/>
                <w:color w:val="auto"/>
              </w:rPr>
              <w:t>3</w:t>
            </w:r>
            <w:r>
              <w:rPr>
                <w:color w:val="auto"/>
              </w:rPr>
              <w:t>万吨复合肥料、2万吨</w:t>
            </w:r>
            <w:r>
              <w:rPr>
                <w:rFonts w:hint="eastAsia"/>
                <w:color w:val="auto"/>
                <w:lang w:val="en-US" w:eastAsia="zh-CN"/>
              </w:rPr>
              <w:t>粒状</w:t>
            </w:r>
            <w:r>
              <w:rPr>
                <w:color w:val="auto"/>
              </w:rPr>
              <w:t>有机肥料、1万吨水溶肥料（5000吨固态水溶肥料和5000吨液态水溶肥料）的生产能力。</w:t>
            </w:r>
          </w:p>
          <w:p>
            <w:pPr>
              <w:ind w:firstLine="480"/>
              <w:rPr>
                <w:color w:val="auto"/>
              </w:rPr>
            </w:pPr>
            <w:r>
              <w:rPr>
                <w:color w:val="auto"/>
              </w:rPr>
              <w:t>结合昆明红海磷肥有限责任公司的实际情况，在充分依托现有</w:t>
            </w:r>
            <w:r>
              <w:rPr>
                <w:rFonts w:hint="eastAsia"/>
                <w:color w:val="auto"/>
              </w:rPr>
              <w:t>3</w:t>
            </w:r>
            <w:r>
              <w:rPr>
                <w:color w:val="auto"/>
              </w:rPr>
              <w:t>万吨/年复合肥装置的基础上，实施</w:t>
            </w:r>
            <w:r>
              <w:rPr>
                <w:rFonts w:hint="eastAsia"/>
                <w:color w:val="auto"/>
                <w:lang w:eastAsia="zh-CN"/>
              </w:rPr>
              <w:t>一般工业固废综合利用项目</w:t>
            </w:r>
            <w:r>
              <w:rPr>
                <w:color w:val="auto"/>
              </w:rPr>
              <w:t>。综合利用含磷废渣，主要为铵法硫酸亚铁除杂废渣、铵法压滤洗涤废水处理废渣（来源为云南云天化股份有限公司内部）</w:t>
            </w:r>
            <w:r>
              <w:rPr>
                <w:rFonts w:hint="eastAsia"/>
                <w:color w:val="auto"/>
              </w:rPr>
              <w:t>等</w:t>
            </w:r>
            <w:r>
              <w:rPr>
                <w:color w:val="auto"/>
              </w:rPr>
              <w:t>。项目总投资40万元，占地面积为</w:t>
            </w:r>
            <w:r>
              <w:rPr>
                <w:rFonts w:hint="eastAsia"/>
                <w:color w:val="auto"/>
                <w:lang w:val="en-US" w:eastAsia="zh-CN"/>
              </w:rPr>
              <w:t>1000</w:t>
            </w:r>
            <w:r>
              <w:rPr>
                <w:color w:val="auto"/>
              </w:rPr>
              <w:t>m</w:t>
            </w:r>
            <w:r>
              <w:rPr>
                <w:color w:val="auto"/>
                <w:vertAlign w:val="superscript"/>
              </w:rPr>
              <w:t>2</w:t>
            </w:r>
            <w:r>
              <w:rPr>
                <w:color w:val="auto"/>
              </w:rPr>
              <w:t>，设置原料</w:t>
            </w:r>
            <w:r>
              <w:rPr>
                <w:rFonts w:hint="eastAsia"/>
                <w:color w:val="auto"/>
              </w:rPr>
              <w:t>仓库</w:t>
            </w:r>
            <w:r>
              <w:rPr>
                <w:color w:val="auto"/>
              </w:rPr>
              <w:t>、复合肥加工区、成品堆存区等区域。</w:t>
            </w:r>
            <w:r>
              <w:rPr>
                <w:rFonts w:hint="eastAsia"/>
                <w:color w:val="auto"/>
              </w:rPr>
              <w:t>本项目主要</w:t>
            </w:r>
            <w:r>
              <w:rPr>
                <w:color w:val="auto"/>
              </w:rPr>
              <w:t>通过调整原辅料结构生产复合肥产品，不</w:t>
            </w:r>
            <w:r>
              <w:rPr>
                <w:rFonts w:hint="eastAsia"/>
                <w:color w:val="auto"/>
              </w:rPr>
              <w:t>新增</w:t>
            </w:r>
            <w:r>
              <w:rPr>
                <w:color w:val="auto"/>
              </w:rPr>
              <w:t>生产设备，</w:t>
            </w:r>
            <w:r>
              <w:rPr>
                <w:rFonts w:hint="eastAsia"/>
                <w:color w:val="auto"/>
              </w:rPr>
              <w:t>仅在现有半成品库的用地上改造一座原料仓库，项目建成后产品方案不变，投产后</w:t>
            </w:r>
            <w:r>
              <w:rPr>
                <w:color w:val="auto"/>
              </w:rPr>
              <w:t>年产复合肥3万t</w:t>
            </w:r>
            <w:r>
              <w:rPr>
                <w:rFonts w:hint="eastAsia"/>
                <w:color w:val="auto"/>
              </w:rPr>
              <w:t>。</w:t>
            </w:r>
          </w:p>
          <w:p>
            <w:pPr>
              <w:ind w:firstLine="480"/>
              <w:rPr>
                <w:color w:val="auto"/>
              </w:rPr>
            </w:pPr>
            <w:r>
              <w:rPr>
                <w:rFonts w:hint="eastAsia"/>
                <w:color w:val="auto"/>
              </w:rPr>
              <w:t>根据《中华人民共和国环境保护法》（2015年1月1日起实施）、《中华人民共和国环境影响评价法》（2018年12月29日修正），以及《建设项目环境保护管理条例》（中华人民共和国国务院令第682号）等有关条款规定，本项目需进行环境影响评价</w:t>
            </w:r>
            <w:r>
              <w:rPr>
                <w:color w:val="auto"/>
              </w:rPr>
              <w:t>。查阅《建设项目环境影响评价分类管理名录</w:t>
            </w:r>
            <w:r>
              <w:rPr>
                <w:rFonts w:hint="eastAsia"/>
                <w:color w:val="auto"/>
              </w:rPr>
              <w:t>（2021年版）</w:t>
            </w:r>
            <w:r>
              <w:rPr>
                <w:color w:val="auto"/>
              </w:rPr>
              <w:t>》</w:t>
            </w:r>
            <w:r>
              <w:rPr>
                <w:rFonts w:hint="eastAsia"/>
                <w:color w:val="auto"/>
              </w:rPr>
              <w:t>（原环境环保部44号令，2021年1月1日修正）</w:t>
            </w:r>
            <w:r>
              <w:rPr>
                <w:color w:val="auto"/>
              </w:rPr>
              <w:t>，</w:t>
            </w:r>
            <w:r>
              <w:rPr>
                <w:rFonts w:hint="eastAsia"/>
                <w:color w:val="auto"/>
              </w:rPr>
              <w:t>本项目属于“四十七、生态保护和环境治理业中103项：一般工业固体废物（含污水处理污泥）、建筑施工废弃物处置及综合利用中的‘其他’”，应编制环境影响评价报告表。</w:t>
            </w:r>
            <w:r>
              <w:rPr>
                <w:color w:val="auto"/>
              </w:rPr>
              <w:t>为此，</w:t>
            </w:r>
            <w:r>
              <w:rPr>
                <w:rFonts w:hint="eastAsia"/>
                <w:color w:val="auto"/>
              </w:rPr>
              <w:t>建设单位</w:t>
            </w:r>
            <w:r>
              <w:rPr>
                <w:color w:val="auto"/>
              </w:rPr>
              <w:t>委托</w:t>
            </w:r>
            <w:r>
              <w:rPr>
                <w:rFonts w:hint="eastAsia"/>
                <w:color w:val="auto"/>
              </w:rPr>
              <w:t>我</w:t>
            </w:r>
            <w:r>
              <w:rPr>
                <w:color w:val="auto"/>
              </w:rPr>
              <w:t>公司承担该项目的环境影响评价工作。接受委托后，我单位立即开展了现场调查、资料收集工作，在对项目建设区域和周边进行现场实际踏勘、</w:t>
            </w:r>
            <w:r>
              <w:rPr>
                <w:rFonts w:hint="eastAsia"/>
                <w:color w:val="auto"/>
              </w:rPr>
              <w:t>现状监测、</w:t>
            </w:r>
            <w:r>
              <w:rPr>
                <w:color w:val="auto"/>
              </w:rPr>
              <w:t>工程分析和环境影响预测与分析后，按</w:t>
            </w:r>
            <w:r>
              <w:rPr>
                <w:rFonts w:hint="eastAsia"/>
                <w:color w:val="auto"/>
              </w:rPr>
              <w:t>相关</w:t>
            </w:r>
            <w:r>
              <w:rPr>
                <w:color w:val="auto"/>
              </w:rPr>
              <w:t>要求完成了</w:t>
            </w:r>
            <w:r>
              <w:rPr>
                <w:rFonts w:hint="eastAsia"/>
                <w:color w:val="auto"/>
              </w:rPr>
              <w:t>本项目环境影响报告表</w:t>
            </w:r>
            <w:r>
              <w:rPr>
                <w:color w:val="auto"/>
              </w:rPr>
              <w:t>，供建设单位上报审批</w:t>
            </w:r>
            <w:r>
              <w:rPr>
                <w:rFonts w:hint="eastAsia"/>
                <w:color w:val="auto"/>
              </w:rPr>
              <w:t>，并作为环境管理的依据</w:t>
            </w:r>
            <w:r>
              <w:rPr>
                <w:color w:val="auto"/>
              </w:rPr>
              <w:t>。</w:t>
            </w:r>
          </w:p>
          <w:p>
            <w:pPr>
              <w:ind w:firstLine="0" w:firstLineChars="0"/>
              <w:rPr>
                <w:color w:val="auto"/>
              </w:rPr>
            </w:pPr>
            <w:r>
              <w:rPr>
                <w:color w:val="auto"/>
              </w:rPr>
              <w:t>二、项目主要建设内容及规模</w:t>
            </w:r>
          </w:p>
          <w:p>
            <w:pPr>
              <w:ind w:firstLine="0" w:firstLineChars="0"/>
              <w:rPr>
                <w:color w:val="auto"/>
              </w:rPr>
            </w:pPr>
            <w:r>
              <w:rPr>
                <w:color w:val="auto"/>
              </w:rPr>
              <w:t>1</w:t>
            </w:r>
            <w:r>
              <w:rPr>
                <w:rFonts w:hint="eastAsia"/>
                <w:color w:val="auto"/>
              </w:rPr>
              <w:t>、</w:t>
            </w:r>
            <w:r>
              <w:rPr>
                <w:color w:val="auto"/>
              </w:rPr>
              <w:t>项目概况</w:t>
            </w:r>
          </w:p>
          <w:p>
            <w:pPr>
              <w:ind w:firstLine="480"/>
              <w:rPr>
                <w:color w:val="auto"/>
              </w:rPr>
            </w:pPr>
            <w:r>
              <w:rPr>
                <w:color w:val="auto"/>
              </w:rPr>
              <w:t>项目名称：</w:t>
            </w:r>
            <w:r>
              <w:rPr>
                <w:rFonts w:hint="eastAsia"/>
                <w:color w:val="auto"/>
                <w:lang w:eastAsia="zh-CN"/>
              </w:rPr>
              <w:t>一般工业固废综合利用项目</w:t>
            </w:r>
            <w:r>
              <w:rPr>
                <w:color w:val="auto"/>
              </w:rPr>
              <w:t>；</w:t>
            </w:r>
          </w:p>
          <w:p>
            <w:pPr>
              <w:ind w:firstLine="480"/>
              <w:rPr>
                <w:color w:val="auto"/>
              </w:rPr>
            </w:pPr>
            <w:r>
              <w:rPr>
                <w:color w:val="auto"/>
              </w:rPr>
              <w:t>建设单位：</w:t>
            </w:r>
            <w:r>
              <w:rPr>
                <w:rFonts w:hint="eastAsia"/>
                <w:color w:val="auto"/>
              </w:rPr>
              <w:t>昆明红海磷肥有限责任公司</w:t>
            </w:r>
            <w:r>
              <w:rPr>
                <w:color w:val="auto"/>
              </w:rPr>
              <w:t>；</w:t>
            </w:r>
          </w:p>
          <w:p>
            <w:pPr>
              <w:ind w:firstLine="480"/>
              <w:rPr>
                <w:color w:val="auto"/>
              </w:rPr>
            </w:pPr>
            <w:r>
              <w:rPr>
                <w:color w:val="auto"/>
              </w:rPr>
              <w:t>建设性质：</w:t>
            </w:r>
            <w:r>
              <w:rPr>
                <w:rFonts w:hint="eastAsia"/>
                <w:color w:val="auto"/>
              </w:rPr>
              <w:t>改建</w:t>
            </w:r>
            <w:r>
              <w:rPr>
                <w:color w:val="auto"/>
              </w:rPr>
              <w:t>；</w:t>
            </w:r>
          </w:p>
          <w:p>
            <w:pPr>
              <w:ind w:firstLine="480"/>
              <w:rPr>
                <w:color w:val="auto"/>
              </w:rPr>
            </w:pPr>
            <w:r>
              <w:rPr>
                <w:rFonts w:hint="eastAsia"/>
                <w:color w:val="auto"/>
              </w:rPr>
              <w:t>工程</w:t>
            </w:r>
            <w:r>
              <w:rPr>
                <w:color w:val="auto"/>
              </w:rPr>
              <w:t>占地：</w:t>
            </w:r>
            <w:r>
              <w:rPr>
                <w:rFonts w:hint="eastAsia"/>
                <w:color w:val="auto"/>
              </w:rPr>
              <w:t>本项目为原址改建项目</w:t>
            </w:r>
            <w:r>
              <w:rPr>
                <w:color w:val="auto"/>
              </w:rPr>
              <w:t>，不新增建设用地</w:t>
            </w:r>
            <w:r>
              <w:rPr>
                <w:rFonts w:hint="eastAsia"/>
                <w:color w:val="auto"/>
              </w:rPr>
              <w:t>，改建工程</w:t>
            </w:r>
            <w:r>
              <w:rPr>
                <w:color w:val="auto"/>
              </w:rPr>
              <w:t>占地面积为</w:t>
            </w:r>
            <w:r>
              <w:rPr>
                <w:rFonts w:hint="eastAsia"/>
                <w:color w:val="auto"/>
              </w:rPr>
              <w:t>1000</w:t>
            </w:r>
            <w:r>
              <w:rPr>
                <w:color w:val="auto"/>
              </w:rPr>
              <w:t>m</w:t>
            </w:r>
            <w:r>
              <w:rPr>
                <w:color w:val="auto"/>
                <w:vertAlign w:val="superscript"/>
              </w:rPr>
              <w:t>2</w:t>
            </w:r>
            <w:r>
              <w:rPr>
                <w:rFonts w:hint="eastAsia"/>
                <w:color w:val="auto"/>
              </w:rPr>
              <w:t>；</w:t>
            </w:r>
          </w:p>
          <w:p>
            <w:pPr>
              <w:ind w:firstLine="480"/>
              <w:rPr>
                <w:color w:val="auto"/>
              </w:rPr>
            </w:pPr>
            <w:r>
              <w:rPr>
                <w:color w:val="auto"/>
              </w:rPr>
              <w:t>项目投资：</w:t>
            </w:r>
            <w:r>
              <w:rPr>
                <w:rFonts w:hint="eastAsia"/>
                <w:color w:val="auto"/>
              </w:rPr>
              <w:t>40</w:t>
            </w:r>
            <w:r>
              <w:rPr>
                <w:color w:val="auto"/>
              </w:rPr>
              <w:t>万元；</w:t>
            </w:r>
          </w:p>
          <w:p>
            <w:pPr>
              <w:ind w:firstLine="480"/>
              <w:rPr>
                <w:rFonts w:hint="default" w:eastAsia="宋体"/>
                <w:color w:val="auto"/>
                <w:lang w:val="en-US" w:eastAsia="zh-CN"/>
              </w:rPr>
            </w:pPr>
            <w:r>
              <w:rPr>
                <w:color w:val="auto"/>
              </w:rPr>
              <w:t>建设规模及内容：</w:t>
            </w:r>
            <w:r>
              <w:rPr>
                <w:rFonts w:hint="eastAsia"/>
                <w:color w:val="auto"/>
              </w:rPr>
              <w:t>本项目主要</w:t>
            </w:r>
            <w:r>
              <w:rPr>
                <w:color w:val="auto"/>
              </w:rPr>
              <w:t>通过调整原辅料结构</w:t>
            </w:r>
            <w:r>
              <w:rPr>
                <w:rFonts w:hint="eastAsia"/>
                <w:color w:val="auto"/>
              </w:rPr>
              <w:t>、用量</w:t>
            </w:r>
            <w:r>
              <w:rPr>
                <w:color w:val="auto"/>
              </w:rPr>
              <w:t>生产复合肥，</w:t>
            </w:r>
            <w:r>
              <w:rPr>
                <w:rFonts w:hint="eastAsia"/>
                <w:color w:val="auto"/>
              </w:rPr>
              <w:t>原料主要新增</w:t>
            </w:r>
            <w:r>
              <w:rPr>
                <w:color w:val="auto"/>
              </w:rPr>
              <w:t>铵法硫酸亚铁除杂废渣、铵法压滤洗涤废水处理废渣</w:t>
            </w:r>
            <w:r>
              <w:rPr>
                <w:rFonts w:hint="eastAsia"/>
                <w:color w:val="auto"/>
              </w:rPr>
              <w:t>等含磷一般固废，原料中新增含磷一般固废后可相应减少现有原料中氯化铵、氯化钾、硫酸铵、普钙等的用量，以达到磷的用量平衡，</w:t>
            </w:r>
            <w:r>
              <w:rPr>
                <w:color w:val="auto"/>
              </w:rPr>
              <w:t>不</w:t>
            </w:r>
            <w:r>
              <w:rPr>
                <w:rFonts w:hint="eastAsia"/>
                <w:color w:val="auto"/>
              </w:rPr>
              <w:t>新增</w:t>
            </w:r>
            <w:r>
              <w:rPr>
                <w:color w:val="auto"/>
              </w:rPr>
              <w:t>生产设备，</w:t>
            </w:r>
            <w:r>
              <w:rPr>
                <w:rFonts w:hint="eastAsia"/>
                <w:color w:val="auto"/>
              </w:rPr>
              <w:t>仅在现有半成品库</w:t>
            </w:r>
            <w:r>
              <w:rPr>
                <w:rFonts w:hint="eastAsia"/>
                <w:color w:val="auto"/>
                <w:lang w:val="en-US" w:eastAsia="zh-CN"/>
              </w:rPr>
              <w:t>内</w:t>
            </w:r>
            <w:r>
              <w:rPr>
                <w:rFonts w:hint="eastAsia"/>
                <w:color w:val="auto"/>
              </w:rPr>
              <w:t>改造一座原料仓库</w:t>
            </w:r>
            <w:r>
              <w:rPr>
                <w:color w:val="auto"/>
              </w:rPr>
              <w:t>。</w:t>
            </w:r>
            <w:r>
              <w:rPr>
                <w:rFonts w:hint="eastAsia"/>
                <w:color w:val="auto"/>
              </w:rPr>
              <w:t>项目建成后生产设备、生产规模、产品方案、生产工艺、劳动制度及劳动定员等均不发生改变。</w:t>
            </w:r>
            <w:r>
              <w:rPr>
                <w:rFonts w:hint="eastAsia"/>
                <w:color w:val="auto"/>
                <w:lang w:val="en-US" w:eastAsia="zh-CN"/>
              </w:rPr>
              <w:t>故本次评价内容主要针对一般固废（含磷废渣）综合利用过程产生的污染物，由于项目其余辅助工程等均不发生改变，故本次评价范围不包括锅炉、检验室和员工生活。</w:t>
            </w:r>
          </w:p>
          <w:p>
            <w:pPr>
              <w:ind w:firstLine="0" w:firstLineChars="0"/>
              <w:rPr>
                <w:color w:val="auto"/>
              </w:rPr>
            </w:pPr>
            <w:r>
              <w:rPr>
                <w:rFonts w:hint="eastAsia"/>
                <w:color w:val="auto"/>
              </w:rPr>
              <w:t>2、</w:t>
            </w:r>
            <w:r>
              <w:rPr>
                <w:color w:val="auto"/>
              </w:rPr>
              <w:t>项目建设内容及组成</w:t>
            </w:r>
          </w:p>
          <w:p>
            <w:pPr>
              <w:ind w:firstLine="480"/>
              <w:rPr>
                <w:color w:val="auto"/>
              </w:rPr>
            </w:pPr>
            <w:bookmarkStart w:id="4" w:name="OLE_LINK10"/>
            <w:r>
              <w:rPr>
                <w:color w:val="auto"/>
              </w:rPr>
              <w:t>项目建设内容</w:t>
            </w:r>
            <w:r>
              <w:rPr>
                <w:rFonts w:hint="eastAsia"/>
                <w:color w:val="auto"/>
              </w:rPr>
              <w:t>主要由主体工程、辅助工程、公用工程和环保工程等组成，</w:t>
            </w:r>
            <w:r>
              <w:rPr>
                <w:rFonts w:hint="eastAsia"/>
                <w:color w:val="auto"/>
                <w:lang w:val="en-US" w:eastAsia="zh-CN"/>
              </w:rPr>
              <w:t>本次改建工程主要为</w:t>
            </w:r>
            <w:r>
              <w:rPr>
                <w:rFonts w:hint="eastAsia"/>
                <w:color w:val="auto"/>
              </w:rPr>
              <w:t>在现有半成品库内改造一座原料仓库</w:t>
            </w:r>
            <w:r>
              <w:rPr>
                <w:rFonts w:hint="eastAsia"/>
                <w:color w:val="auto"/>
                <w:lang w:val="en-US" w:eastAsia="zh-CN"/>
              </w:rPr>
              <w:t>储存拟综合利用的一般固废（含磷废渣）</w:t>
            </w:r>
            <w:r>
              <w:rPr>
                <w:rFonts w:hint="eastAsia"/>
                <w:color w:val="auto"/>
              </w:rPr>
              <w:t>，工程组成详</w:t>
            </w:r>
            <w:r>
              <w:rPr>
                <w:color w:val="auto"/>
              </w:rPr>
              <w:t>见</w:t>
            </w:r>
            <w:r>
              <w:rPr>
                <w:rFonts w:hint="eastAsia"/>
                <w:color w:val="auto"/>
              </w:rPr>
              <w:t>下</w:t>
            </w:r>
            <w:r>
              <w:rPr>
                <w:color w:val="auto"/>
              </w:rPr>
              <w:t>表。</w:t>
            </w:r>
          </w:p>
          <w:p>
            <w:pPr>
              <w:pStyle w:val="14"/>
              <w:rPr>
                <w:color w:val="auto"/>
              </w:rPr>
            </w:pPr>
            <w:r>
              <w:rPr>
                <w:color w:val="auto"/>
              </w:rPr>
              <w:t>表2</w:t>
            </w:r>
            <w:r>
              <w:rPr>
                <w:rFonts w:hint="eastAsia"/>
                <w:color w:val="auto"/>
              </w:rPr>
              <w:t>-1</w:t>
            </w:r>
            <w:r>
              <w:rPr>
                <w:color w:val="auto"/>
              </w:rPr>
              <w:t xml:space="preserve">  </w:t>
            </w:r>
            <w:r>
              <w:rPr>
                <w:rFonts w:hint="eastAsia"/>
                <w:color w:val="auto"/>
              </w:rPr>
              <w:t xml:space="preserve"> </w:t>
            </w:r>
            <w:r>
              <w:rPr>
                <w:color w:val="auto"/>
              </w:rPr>
              <w:t>项目</w:t>
            </w:r>
            <w:r>
              <w:rPr>
                <w:rFonts w:hint="eastAsia"/>
                <w:color w:val="auto"/>
              </w:rPr>
              <w:t>建设</w:t>
            </w:r>
            <w:r>
              <w:rPr>
                <w:color w:val="auto"/>
              </w:rPr>
              <w:t>内容一览表</w:t>
            </w:r>
          </w:p>
          <w:tbl>
            <w:tblPr>
              <w:tblStyle w:val="11"/>
              <w:tblW w:w="8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138"/>
              <w:gridCol w:w="3000"/>
              <w:gridCol w:w="2868"/>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9" w:type="dxa"/>
                  <w:vAlign w:val="center"/>
                </w:tcPr>
                <w:p>
                  <w:pPr>
                    <w:pStyle w:val="15"/>
                    <w:rPr>
                      <w:color w:val="auto"/>
                    </w:rPr>
                  </w:pPr>
                  <w:r>
                    <w:rPr>
                      <w:rFonts w:hint="eastAsia"/>
                      <w:color w:val="auto"/>
                    </w:rPr>
                    <w:t>类别</w:t>
                  </w:r>
                </w:p>
              </w:tc>
              <w:tc>
                <w:tcPr>
                  <w:tcW w:w="1138" w:type="dxa"/>
                  <w:vAlign w:val="center"/>
                </w:tcPr>
                <w:p>
                  <w:pPr>
                    <w:pStyle w:val="15"/>
                    <w:rPr>
                      <w:color w:val="auto"/>
                    </w:rPr>
                  </w:pPr>
                  <w:r>
                    <w:rPr>
                      <w:rFonts w:hint="eastAsia"/>
                      <w:color w:val="auto"/>
                    </w:rPr>
                    <w:t>工程名称</w:t>
                  </w:r>
                </w:p>
              </w:tc>
              <w:tc>
                <w:tcPr>
                  <w:tcW w:w="3000" w:type="dxa"/>
                  <w:vAlign w:val="center"/>
                </w:tcPr>
                <w:p>
                  <w:pPr>
                    <w:pStyle w:val="15"/>
                    <w:rPr>
                      <w:color w:val="auto"/>
                    </w:rPr>
                  </w:pPr>
                  <w:r>
                    <w:rPr>
                      <w:rFonts w:hint="eastAsia"/>
                      <w:color w:val="auto"/>
                    </w:rPr>
                    <w:t>原环评批复主要建设内容</w:t>
                  </w:r>
                </w:p>
              </w:tc>
              <w:tc>
                <w:tcPr>
                  <w:tcW w:w="2868" w:type="dxa"/>
                  <w:vAlign w:val="center"/>
                </w:tcPr>
                <w:p>
                  <w:pPr>
                    <w:pStyle w:val="15"/>
                    <w:rPr>
                      <w:color w:val="auto"/>
                    </w:rPr>
                  </w:pPr>
                  <w:r>
                    <w:rPr>
                      <w:rFonts w:hint="eastAsia"/>
                      <w:color w:val="auto"/>
                    </w:rPr>
                    <w:t>改建项目主要建设内容</w:t>
                  </w:r>
                </w:p>
              </w:tc>
              <w:tc>
                <w:tcPr>
                  <w:tcW w:w="932" w:type="dxa"/>
                  <w:vAlign w:val="center"/>
                </w:tcPr>
                <w:p>
                  <w:pPr>
                    <w:pStyle w:val="15"/>
                    <w:rPr>
                      <w:color w:val="auto"/>
                    </w:rPr>
                  </w:pPr>
                  <w:r>
                    <w:rPr>
                      <w:rFonts w:hint="eastAsia"/>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439" w:type="dxa"/>
                  <w:vMerge w:val="restart"/>
                  <w:vAlign w:val="center"/>
                </w:tcPr>
                <w:p>
                  <w:pPr>
                    <w:pStyle w:val="15"/>
                    <w:rPr>
                      <w:color w:val="auto"/>
                    </w:rPr>
                  </w:pPr>
                  <w:r>
                    <w:rPr>
                      <w:rFonts w:hint="eastAsia"/>
                      <w:color w:val="auto"/>
                    </w:rPr>
                    <w:t>主体工程</w:t>
                  </w:r>
                </w:p>
              </w:tc>
              <w:tc>
                <w:tcPr>
                  <w:tcW w:w="1138" w:type="dxa"/>
                  <w:vAlign w:val="center"/>
                </w:tcPr>
                <w:p>
                  <w:pPr>
                    <w:pStyle w:val="15"/>
                    <w:rPr>
                      <w:color w:val="auto"/>
                    </w:rPr>
                  </w:pPr>
                  <w:r>
                    <w:rPr>
                      <w:rFonts w:hint="eastAsia"/>
                      <w:color w:val="auto"/>
                    </w:rPr>
                    <w:t>复合肥生产车间</w:t>
                  </w:r>
                </w:p>
              </w:tc>
              <w:tc>
                <w:tcPr>
                  <w:tcW w:w="3000" w:type="dxa"/>
                  <w:vAlign w:val="center"/>
                </w:tcPr>
                <w:p>
                  <w:pPr>
                    <w:pStyle w:val="15"/>
                    <w:rPr>
                      <w:color w:val="auto"/>
                    </w:rPr>
                  </w:pPr>
                  <w:r>
                    <w:rPr>
                      <w:rFonts w:hint="eastAsia"/>
                      <w:color w:val="auto"/>
                    </w:rPr>
                    <w:t>建筑面积</w:t>
                  </w:r>
                  <w:r>
                    <w:rPr>
                      <w:color w:val="auto"/>
                    </w:rPr>
                    <w:t>2674.5</w:t>
                  </w:r>
                  <w:r>
                    <w:rPr>
                      <w:rFonts w:hint="eastAsia"/>
                      <w:color w:val="auto"/>
                    </w:rPr>
                    <w:t>m</w:t>
                  </w:r>
                  <w:r>
                    <w:rPr>
                      <w:rFonts w:hint="eastAsia"/>
                      <w:color w:val="auto"/>
                      <w:vertAlign w:val="superscript"/>
                    </w:rPr>
                    <w:t>2</w:t>
                  </w:r>
                  <w:r>
                    <w:rPr>
                      <w:rFonts w:hint="eastAsia"/>
                      <w:color w:val="auto"/>
                    </w:rPr>
                    <w:t>，1层钢架结构，地面均进行硬化处理，设置原料堆存区、生产区。生产区面积</w:t>
                  </w:r>
                  <w:r>
                    <w:rPr>
                      <w:color w:val="auto"/>
                    </w:rPr>
                    <w:t>500</w:t>
                  </w:r>
                  <w:r>
                    <w:rPr>
                      <w:rFonts w:hint="eastAsia"/>
                      <w:color w:val="auto"/>
                    </w:rPr>
                    <w:t xml:space="preserve"> m</w:t>
                  </w:r>
                  <w:r>
                    <w:rPr>
                      <w:rFonts w:hint="eastAsia"/>
                      <w:color w:val="auto"/>
                      <w:vertAlign w:val="superscript"/>
                    </w:rPr>
                    <w:t>2</w:t>
                  </w:r>
                  <w:r>
                    <w:rPr>
                      <w:rFonts w:hint="eastAsia"/>
                      <w:color w:val="auto"/>
                    </w:rPr>
                    <w:t>，设置生产线1条，设置破碎机、搅拌机、对辊式造粒机、圆筒筛分机、回转抛圆机、自动定量包装枰、空气压缩机等生产设备。</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439" w:type="dxa"/>
                  <w:vMerge w:val="continue"/>
                  <w:vAlign w:val="center"/>
                </w:tcPr>
                <w:p>
                  <w:pPr>
                    <w:pStyle w:val="15"/>
                    <w:rPr>
                      <w:color w:val="auto"/>
                    </w:rPr>
                  </w:pPr>
                </w:p>
              </w:tc>
              <w:tc>
                <w:tcPr>
                  <w:tcW w:w="1138" w:type="dxa"/>
                  <w:vAlign w:val="center"/>
                </w:tcPr>
                <w:p>
                  <w:pPr>
                    <w:pStyle w:val="15"/>
                    <w:rPr>
                      <w:color w:val="auto"/>
                    </w:rPr>
                  </w:pPr>
                  <w:r>
                    <w:rPr>
                      <w:rFonts w:hint="eastAsia"/>
                      <w:color w:val="auto"/>
                    </w:rPr>
                    <w:t>造粒装置厂房</w:t>
                  </w:r>
                </w:p>
              </w:tc>
              <w:tc>
                <w:tcPr>
                  <w:tcW w:w="3000" w:type="dxa"/>
                  <w:vAlign w:val="center"/>
                </w:tcPr>
                <w:p>
                  <w:pPr>
                    <w:pStyle w:val="15"/>
                    <w:rPr>
                      <w:rFonts w:hint="eastAsia" w:eastAsia="宋体"/>
                      <w:color w:val="auto"/>
                      <w:lang w:eastAsia="zh-CN"/>
                    </w:rPr>
                  </w:pPr>
                  <w:r>
                    <w:rPr>
                      <w:rFonts w:hint="eastAsia"/>
                      <w:color w:val="auto"/>
                    </w:rPr>
                    <w:t>1个，建筑面积1600m</w:t>
                  </w:r>
                  <w:r>
                    <w:rPr>
                      <w:rFonts w:hint="eastAsia"/>
                      <w:color w:val="auto"/>
                      <w:vertAlign w:val="superscript"/>
                    </w:rPr>
                    <w:t>2</w:t>
                  </w:r>
                  <w:r>
                    <w:rPr>
                      <w:rFonts w:hint="eastAsia"/>
                      <w:color w:val="auto"/>
                    </w:rPr>
                    <w:t>，主要设有造粒机等生产设备</w:t>
                  </w:r>
                  <w:r>
                    <w:rPr>
                      <w:rFonts w:hint="eastAsia"/>
                      <w:color w:val="auto"/>
                      <w:lang w:eastAsia="zh-CN"/>
                    </w:rPr>
                    <w:t>。</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restart"/>
                  <w:vAlign w:val="center"/>
                </w:tcPr>
                <w:p>
                  <w:pPr>
                    <w:pStyle w:val="15"/>
                    <w:rPr>
                      <w:color w:val="auto"/>
                    </w:rPr>
                  </w:pPr>
                  <w:r>
                    <w:rPr>
                      <w:rFonts w:hint="eastAsia"/>
                      <w:color w:val="auto"/>
                    </w:rPr>
                    <w:t>辅助工程</w:t>
                  </w:r>
                </w:p>
              </w:tc>
              <w:tc>
                <w:tcPr>
                  <w:tcW w:w="1138" w:type="dxa"/>
                  <w:vAlign w:val="center"/>
                </w:tcPr>
                <w:p>
                  <w:pPr>
                    <w:pStyle w:val="15"/>
                    <w:rPr>
                      <w:color w:val="auto"/>
                    </w:rPr>
                  </w:pPr>
                  <w:r>
                    <w:rPr>
                      <w:rFonts w:hint="eastAsia"/>
                      <w:color w:val="auto"/>
                    </w:rPr>
                    <w:t>复合肥原料库</w:t>
                  </w:r>
                </w:p>
              </w:tc>
              <w:tc>
                <w:tcPr>
                  <w:tcW w:w="3000" w:type="dxa"/>
                  <w:vAlign w:val="center"/>
                </w:tcPr>
                <w:p>
                  <w:pPr>
                    <w:pStyle w:val="15"/>
                    <w:rPr>
                      <w:color w:val="auto"/>
                    </w:rPr>
                  </w:pPr>
                  <w:r>
                    <w:rPr>
                      <w:rFonts w:hint="eastAsia"/>
                      <w:color w:val="auto"/>
                    </w:rPr>
                    <w:t>1个，建筑面积1500m</w:t>
                  </w:r>
                  <w:r>
                    <w:rPr>
                      <w:rFonts w:hint="eastAsia"/>
                      <w:color w:val="auto"/>
                      <w:vertAlign w:val="superscript"/>
                    </w:rPr>
                    <w:t>2</w:t>
                  </w:r>
                  <w:r>
                    <w:rPr>
                      <w:rFonts w:hint="eastAsia"/>
                      <w:color w:val="auto"/>
                    </w:rPr>
                    <w:t>，储存复合肥生产原料。</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pStyle w:val="15"/>
                    <w:rPr>
                      <w:color w:val="auto"/>
                    </w:rPr>
                  </w:pPr>
                </w:p>
              </w:tc>
              <w:tc>
                <w:tcPr>
                  <w:tcW w:w="1138" w:type="dxa"/>
                  <w:vAlign w:val="center"/>
                </w:tcPr>
                <w:p>
                  <w:pPr>
                    <w:pStyle w:val="15"/>
                    <w:rPr>
                      <w:color w:val="auto"/>
                    </w:rPr>
                  </w:pPr>
                  <w:r>
                    <w:rPr>
                      <w:rFonts w:hint="eastAsia"/>
                      <w:color w:val="auto"/>
                    </w:rPr>
                    <w:t>半成品库</w:t>
                  </w:r>
                </w:p>
              </w:tc>
              <w:tc>
                <w:tcPr>
                  <w:tcW w:w="3000" w:type="dxa"/>
                  <w:vAlign w:val="center"/>
                </w:tcPr>
                <w:p>
                  <w:pPr>
                    <w:pStyle w:val="15"/>
                    <w:rPr>
                      <w:color w:val="auto"/>
                    </w:rPr>
                  </w:pPr>
                  <w:r>
                    <w:rPr>
                      <w:rFonts w:hint="eastAsia"/>
                      <w:color w:val="auto"/>
                    </w:rPr>
                    <w:t>3个，建筑面积4300m</w:t>
                  </w:r>
                  <w:r>
                    <w:rPr>
                      <w:rFonts w:hint="eastAsia"/>
                      <w:color w:val="auto"/>
                      <w:vertAlign w:val="superscript"/>
                    </w:rPr>
                    <w:t>2</w:t>
                  </w:r>
                  <w:r>
                    <w:rPr>
                      <w:rFonts w:hint="eastAsia"/>
                      <w:color w:val="auto"/>
                    </w:rPr>
                    <w:t>，储存生产过程半成品。</w:t>
                  </w:r>
                </w:p>
              </w:tc>
              <w:tc>
                <w:tcPr>
                  <w:tcW w:w="2868" w:type="dxa"/>
                  <w:vAlign w:val="center"/>
                </w:tcPr>
                <w:p>
                  <w:pPr>
                    <w:pStyle w:val="15"/>
                    <w:rPr>
                      <w:color w:val="auto"/>
                    </w:rPr>
                  </w:pPr>
                  <w:r>
                    <w:rPr>
                      <w:rFonts w:hint="eastAsia"/>
                      <w:color w:val="auto"/>
                    </w:rPr>
                    <w:t>在半成品库南侧改造一座</w:t>
                  </w:r>
                  <w:r>
                    <w:rPr>
                      <w:rFonts w:hint="eastAsia"/>
                      <w:color w:val="auto"/>
                      <w:lang w:val="en-US" w:eastAsia="zh-CN"/>
                    </w:rPr>
                    <w:t>建筑面积约1000</w:t>
                  </w:r>
                  <w:r>
                    <w:rPr>
                      <w:rFonts w:hint="eastAsia"/>
                      <w:color w:val="auto"/>
                    </w:rPr>
                    <w:t>m</w:t>
                  </w:r>
                  <w:r>
                    <w:rPr>
                      <w:rFonts w:hint="eastAsia"/>
                      <w:color w:val="auto"/>
                      <w:vertAlign w:val="superscript"/>
                    </w:rPr>
                    <w:t>2</w:t>
                  </w:r>
                  <w:r>
                    <w:rPr>
                      <w:rFonts w:hint="eastAsia"/>
                      <w:color w:val="auto"/>
                      <w:lang w:val="en-US" w:eastAsia="zh-CN"/>
                    </w:rPr>
                    <w:t>的</w:t>
                  </w:r>
                  <w:r>
                    <w:rPr>
                      <w:rFonts w:hint="eastAsia"/>
                      <w:color w:val="auto"/>
                    </w:rPr>
                    <w:t>原料仓库</w:t>
                  </w:r>
                  <w:r>
                    <w:rPr>
                      <w:rFonts w:hint="eastAsia"/>
                      <w:color w:val="auto"/>
                      <w:lang w:eastAsia="zh-CN"/>
                    </w:rPr>
                    <w:t>，</w:t>
                  </w:r>
                  <w:r>
                    <w:rPr>
                      <w:rFonts w:hint="eastAsia"/>
                      <w:color w:val="auto"/>
                      <w:lang w:val="en-US" w:eastAsia="zh-CN"/>
                    </w:rPr>
                    <w:t>用于储存拟综合利用的一般固废（含磷废渣）</w:t>
                  </w:r>
                  <w:r>
                    <w:rPr>
                      <w:rFonts w:hint="eastAsia"/>
                      <w:color w:val="auto"/>
                    </w:rPr>
                    <w:t>。</w:t>
                  </w:r>
                </w:p>
              </w:tc>
              <w:tc>
                <w:tcPr>
                  <w:tcW w:w="932" w:type="dxa"/>
                  <w:vAlign w:val="center"/>
                </w:tcPr>
                <w:p>
                  <w:pPr>
                    <w:pStyle w:val="15"/>
                    <w:rPr>
                      <w:color w:val="auto"/>
                    </w:rPr>
                  </w:pPr>
                  <w:r>
                    <w:rPr>
                      <w:rFonts w:hint="eastAsia"/>
                      <w:color w:val="auto"/>
                    </w:rPr>
                    <w:t>依托原有，</w:t>
                  </w:r>
                  <w:r>
                    <w:rPr>
                      <w:rFonts w:hint="eastAsia"/>
                      <w:color w:val="auto"/>
                      <w:lang w:val="en-US" w:eastAsia="zh-CN"/>
                    </w:rPr>
                    <w:t>部分</w:t>
                  </w: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pStyle w:val="15"/>
                    <w:rPr>
                      <w:color w:val="auto"/>
                    </w:rPr>
                  </w:pPr>
                </w:p>
              </w:tc>
              <w:tc>
                <w:tcPr>
                  <w:tcW w:w="1138"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造粒成品库</w:t>
                  </w:r>
                </w:p>
              </w:tc>
              <w:tc>
                <w:tcPr>
                  <w:tcW w:w="3000"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1个，建筑面积3000m</w:t>
                  </w:r>
                  <w:r>
                    <w:rPr>
                      <w:rFonts w:hint="eastAsia"/>
                      <w:color w:val="auto"/>
                      <w:vertAlign w:val="superscript"/>
                    </w:rPr>
                    <w:t>2</w:t>
                  </w:r>
                  <w:r>
                    <w:rPr>
                      <w:rFonts w:hint="eastAsia"/>
                      <w:color w:val="auto"/>
                    </w:rPr>
                    <w:t>，用于包装及暂存成品。</w:t>
                  </w:r>
                </w:p>
              </w:tc>
              <w:tc>
                <w:tcPr>
                  <w:tcW w:w="2868"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c>
                <w:tcPr>
                  <w:tcW w:w="932"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pStyle w:val="15"/>
                    <w:rPr>
                      <w:color w:val="auto"/>
                    </w:rPr>
                  </w:pPr>
                </w:p>
              </w:tc>
              <w:tc>
                <w:tcPr>
                  <w:tcW w:w="1138" w:type="dxa"/>
                  <w:vAlign w:val="center"/>
                </w:tcPr>
                <w:p>
                  <w:pPr>
                    <w:pStyle w:val="15"/>
                    <w:rPr>
                      <w:rFonts w:hint="eastAsia" w:eastAsia="宋体"/>
                      <w:color w:val="auto"/>
                      <w:lang w:val="en-US" w:eastAsia="zh-CN"/>
                    </w:rPr>
                  </w:pPr>
                  <w:r>
                    <w:rPr>
                      <w:rFonts w:hint="eastAsia"/>
                      <w:color w:val="auto"/>
                      <w:lang w:val="en-US" w:eastAsia="zh-CN"/>
                    </w:rPr>
                    <w:t>锅炉房</w:t>
                  </w:r>
                </w:p>
              </w:tc>
              <w:tc>
                <w:tcPr>
                  <w:tcW w:w="3000" w:type="dxa"/>
                  <w:vAlign w:val="center"/>
                </w:tcPr>
                <w:p>
                  <w:pPr>
                    <w:pStyle w:val="15"/>
                    <w:rPr>
                      <w:rFonts w:hint="default" w:eastAsia="宋体"/>
                      <w:color w:val="auto"/>
                      <w:lang w:val="en-US" w:eastAsia="zh-CN"/>
                    </w:rPr>
                  </w:pPr>
                  <w:r>
                    <w:rPr>
                      <w:rFonts w:hint="eastAsia"/>
                      <w:color w:val="auto"/>
                    </w:rPr>
                    <w:t>1个，建筑面积</w:t>
                  </w:r>
                  <w:r>
                    <w:rPr>
                      <w:rFonts w:hint="eastAsia"/>
                      <w:color w:val="auto"/>
                      <w:lang w:val="en-US" w:eastAsia="zh-CN"/>
                    </w:rPr>
                    <w:t>360</w:t>
                  </w:r>
                  <w:r>
                    <w:rPr>
                      <w:rFonts w:hint="eastAsia"/>
                      <w:color w:val="auto"/>
                    </w:rPr>
                    <w:t>m</w:t>
                  </w:r>
                  <w:r>
                    <w:rPr>
                      <w:rFonts w:hint="eastAsia"/>
                      <w:color w:val="auto"/>
                      <w:vertAlign w:val="superscript"/>
                    </w:rPr>
                    <w:t>2</w:t>
                  </w:r>
                  <w:r>
                    <w:rPr>
                      <w:rFonts w:hint="eastAsia"/>
                      <w:color w:val="auto"/>
                    </w:rPr>
                    <w:t>，</w:t>
                  </w:r>
                  <w:r>
                    <w:rPr>
                      <w:rFonts w:hint="eastAsia"/>
                      <w:color w:val="auto"/>
                      <w:lang w:val="en-US" w:eastAsia="zh-CN"/>
                    </w:rPr>
                    <w:t>内设4t/h生物质锅炉1台为造粒工序提供蒸汽</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pStyle w:val="15"/>
                    <w:rPr>
                      <w:color w:val="auto"/>
                    </w:rPr>
                  </w:pPr>
                </w:p>
              </w:tc>
              <w:tc>
                <w:tcPr>
                  <w:tcW w:w="1138"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锅炉燃料堆场</w:t>
                  </w:r>
                </w:p>
              </w:tc>
              <w:tc>
                <w:tcPr>
                  <w:tcW w:w="3000"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1个，</w:t>
                  </w:r>
                  <w:r>
                    <w:rPr>
                      <w:rFonts w:hint="eastAsia"/>
                      <w:color w:val="auto"/>
                    </w:rPr>
                    <w:t>建筑面积</w:t>
                  </w:r>
                  <w:r>
                    <w:rPr>
                      <w:rFonts w:hint="eastAsia"/>
                      <w:color w:val="auto"/>
                      <w:lang w:val="en-US" w:eastAsia="zh-CN"/>
                    </w:rPr>
                    <w:t>360</w:t>
                  </w:r>
                  <w:r>
                    <w:rPr>
                      <w:rFonts w:hint="eastAsia"/>
                      <w:color w:val="auto"/>
                    </w:rPr>
                    <w:t>m</w:t>
                  </w:r>
                  <w:r>
                    <w:rPr>
                      <w:rFonts w:hint="eastAsia"/>
                      <w:color w:val="auto"/>
                      <w:vertAlign w:val="superscript"/>
                    </w:rPr>
                    <w:t>2</w:t>
                  </w:r>
                  <w:r>
                    <w:rPr>
                      <w:rFonts w:hint="eastAsia"/>
                      <w:color w:val="auto"/>
                    </w:rPr>
                    <w:t>，</w:t>
                  </w:r>
                  <w:r>
                    <w:rPr>
                      <w:rFonts w:hint="eastAsia"/>
                      <w:color w:val="auto"/>
                      <w:lang w:val="en-US" w:eastAsia="zh-CN"/>
                    </w:rPr>
                    <w:t>主要堆场生物质燃料</w:t>
                  </w:r>
                </w:p>
              </w:tc>
              <w:tc>
                <w:tcPr>
                  <w:tcW w:w="2868"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c>
                <w:tcPr>
                  <w:tcW w:w="932"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9" w:type="dxa"/>
                  <w:vMerge w:val="continue"/>
                  <w:vAlign w:val="center"/>
                </w:tcPr>
                <w:p>
                  <w:pPr>
                    <w:pStyle w:val="15"/>
                    <w:rPr>
                      <w:color w:val="auto"/>
                    </w:rPr>
                  </w:pPr>
                </w:p>
              </w:tc>
              <w:tc>
                <w:tcPr>
                  <w:tcW w:w="1138" w:type="dxa"/>
                  <w:vAlign w:val="center"/>
                </w:tcPr>
                <w:p>
                  <w:pPr>
                    <w:pStyle w:val="15"/>
                    <w:rPr>
                      <w:rFonts w:hint="eastAsia"/>
                      <w:color w:val="auto"/>
                      <w:lang w:val="en-US" w:eastAsia="zh-CN"/>
                    </w:rPr>
                  </w:pPr>
                  <w:r>
                    <w:rPr>
                      <w:rFonts w:hint="eastAsia"/>
                      <w:color w:val="auto"/>
                      <w:lang w:val="en-US" w:eastAsia="zh-CN"/>
                    </w:rPr>
                    <w:t>锅炉堆渣场</w:t>
                  </w:r>
                </w:p>
              </w:tc>
              <w:tc>
                <w:tcPr>
                  <w:tcW w:w="3000" w:type="dxa"/>
                  <w:vAlign w:val="center"/>
                </w:tcPr>
                <w:p>
                  <w:pPr>
                    <w:pStyle w:val="15"/>
                    <w:rPr>
                      <w:rFonts w:hint="default" w:eastAsia="宋体"/>
                      <w:color w:val="auto"/>
                      <w:lang w:val="en-US" w:eastAsia="zh-CN"/>
                    </w:rPr>
                  </w:pPr>
                  <w:r>
                    <w:rPr>
                      <w:rFonts w:hint="eastAsia"/>
                      <w:color w:val="auto"/>
                      <w:lang w:val="en-US" w:eastAsia="zh-CN"/>
                    </w:rPr>
                    <w:t>1个，</w:t>
                  </w:r>
                  <w:r>
                    <w:rPr>
                      <w:rFonts w:hint="eastAsia"/>
                      <w:color w:val="auto"/>
                    </w:rPr>
                    <w:t>建筑面积</w:t>
                  </w:r>
                  <w:r>
                    <w:rPr>
                      <w:rFonts w:hint="eastAsia"/>
                      <w:color w:val="auto"/>
                      <w:lang w:val="en-US" w:eastAsia="zh-CN"/>
                    </w:rPr>
                    <w:t>360</w:t>
                  </w:r>
                  <w:r>
                    <w:rPr>
                      <w:rFonts w:hint="eastAsia"/>
                      <w:color w:val="auto"/>
                    </w:rPr>
                    <w:t>m</w:t>
                  </w:r>
                  <w:r>
                    <w:rPr>
                      <w:rFonts w:hint="eastAsia"/>
                      <w:color w:val="auto"/>
                      <w:vertAlign w:val="superscript"/>
                    </w:rPr>
                    <w:t>2</w:t>
                  </w:r>
                  <w:r>
                    <w:rPr>
                      <w:rFonts w:hint="eastAsia"/>
                      <w:color w:val="auto"/>
                    </w:rPr>
                    <w:t>，</w:t>
                  </w:r>
                  <w:r>
                    <w:rPr>
                      <w:rFonts w:hint="eastAsia"/>
                      <w:color w:val="auto"/>
                      <w:lang w:val="en-US" w:eastAsia="zh-CN"/>
                    </w:rPr>
                    <w:t>主要堆场锅炉废渣</w:t>
                  </w:r>
                </w:p>
              </w:tc>
              <w:tc>
                <w:tcPr>
                  <w:tcW w:w="2868"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c>
                <w:tcPr>
                  <w:tcW w:w="932"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39" w:type="dxa"/>
                  <w:vMerge w:val="restart"/>
                  <w:vAlign w:val="center"/>
                </w:tcPr>
                <w:p>
                  <w:pPr>
                    <w:pStyle w:val="15"/>
                    <w:rPr>
                      <w:color w:val="auto"/>
                    </w:rPr>
                  </w:pPr>
                  <w:r>
                    <w:rPr>
                      <w:color w:val="auto"/>
                    </w:rPr>
                    <w:t>公用工程</w:t>
                  </w:r>
                </w:p>
              </w:tc>
              <w:tc>
                <w:tcPr>
                  <w:tcW w:w="1138" w:type="dxa"/>
                  <w:vAlign w:val="center"/>
                </w:tcPr>
                <w:p>
                  <w:pPr>
                    <w:pStyle w:val="15"/>
                    <w:rPr>
                      <w:color w:val="auto"/>
                    </w:rPr>
                  </w:pPr>
                  <w:r>
                    <w:rPr>
                      <w:color w:val="auto"/>
                    </w:rPr>
                    <w:t>供水</w:t>
                  </w:r>
                </w:p>
              </w:tc>
              <w:tc>
                <w:tcPr>
                  <w:tcW w:w="3000" w:type="dxa"/>
                  <w:vAlign w:val="center"/>
                </w:tcPr>
                <w:p>
                  <w:pPr>
                    <w:pStyle w:val="15"/>
                    <w:rPr>
                      <w:color w:val="auto"/>
                    </w:rPr>
                  </w:pPr>
                  <w:r>
                    <w:rPr>
                      <w:rFonts w:hint="eastAsia"/>
                      <w:color w:val="auto"/>
                    </w:rPr>
                    <w:t>从</w:t>
                  </w:r>
                  <w:r>
                    <w:rPr>
                      <w:color w:val="auto"/>
                    </w:rPr>
                    <w:t>市政</w:t>
                  </w:r>
                  <w:r>
                    <w:rPr>
                      <w:rFonts w:hint="eastAsia"/>
                      <w:color w:val="auto"/>
                    </w:rPr>
                    <w:t>给</w:t>
                  </w:r>
                  <w:r>
                    <w:rPr>
                      <w:color w:val="auto"/>
                    </w:rPr>
                    <w:t>水管网引入市政自来水</w:t>
                  </w:r>
                  <w:r>
                    <w:rPr>
                      <w:rFonts w:hint="eastAsia"/>
                      <w:color w:val="auto"/>
                    </w:rPr>
                    <w:t>。</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pStyle w:val="15"/>
                    <w:rPr>
                      <w:color w:val="auto"/>
                    </w:rPr>
                  </w:pPr>
                </w:p>
              </w:tc>
              <w:tc>
                <w:tcPr>
                  <w:tcW w:w="1138" w:type="dxa"/>
                  <w:vAlign w:val="center"/>
                </w:tcPr>
                <w:p>
                  <w:pPr>
                    <w:pStyle w:val="15"/>
                    <w:rPr>
                      <w:color w:val="auto"/>
                    </w:rPr>
                  </w:pPr>
                  <w:r>
                    <w:rPr>
                      <w:color w:val="auto"/>
                    </w:rPr>
                    <w:t>供电</w:t>
                  </w:r>
                </w:p>
              </w:tc>
              <w:tc>
                <w:tcPr>
                  <w:tcW w:w="3000" w:type="dxa"/>
                  <w:vAlign w:val="center"/>
                </w:tcPr>
                <w:p>
                  <w:pPr>
                    <w:pStyle w:val="15"/>
                    <w:rPr>
                      <w:color w:val="auto"/>
                    </w:rPr>
                  </w:pPr>
                  <w:r>
                    <w:rPr>
                      <w:rFonts w:hint="eastAsia"/>
                      <w:color w:val="auto"/>
                    </w:rPr>
                    <w:t>从市政</w:t>
                  </w:r>
                  <w:r>
                    <w:rPr>
                      <w:color w:val="auto"/>
                    </w:rPr>
                    <w:t>供电电网</w:t>
                  </w:r>
                  <w:r>
                    <w:rPr>
                      <w:rFonts w:hint="eastAsia"/>
                      <w:color w:val="auto"/>
                    </w:rPr>
                    <w:t>接入。</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9" w:type="dxa"/>
                  <w:vMerge w:val="continue"/>
                  <w:vAlign w:val="center"/>
                </w:tcPr>
                <w:p>
                  <w:pPr>
                    <w:pStyle w:val="15"/>
                    <w:rPr>
                      <w:color w:val="auto"/>
                    </w:rPr>
                  </w:pPr>
                </w:p>
              </w:tc>
              <w:tc>
                <w:tcPr>
                  <w:tcW w:w="1138" w:type="dxa"/>
                  <w:vAlign w:val="center"/>
                </w:tcPr>
                <w:p>
                  <w:pPr>
                    <w:pStyle w:val="15"/>
                    <w:rPr>
                      <w:color w:val="auto"/>
                    </w:rPr>
                  </w:pPr>
                  <w:r>
                    <w:rPr>
                      <w:color w:val="auto"/>
                    </w:rPr>
                    <w:t>排水</w:t>
                  </w:r>
                </w:p>
              </w:tc>
              <w:tc>
                <w:tcPr>
                  <w:tcW w:w="3000" w:type="dxa"/>
                  <w:vAlign w:val="center"/>
                </w:tcPr>
                <w:p>
                  <w:pPr>
                    <w:pStyle w:val="15"/>
                    <w:rPr>
                      <w:color w:val="auto"/>
                    </w:rPr>
                  </w:pPr>
                  <w:r>
                    <w:rPr>
                      <w:rFonts w:hint="eastAsia"/>
                      <w:color w:val="auto"/>
                    </w:rPr>
                    <w:t>项目实行雨污分流制。初期雨水经雨水管收集后排入雨水收集池，收集后回用于生产；生活污水经生活污水处理设施处理后主要回用于厂区绿化，不外排</w:t>
                  </w:r>
                  <w:r>
                    <w:rPr>
                      <w:color w:val="auto"/>
                    </w:rPr>
                    <w:t>。</w:t>
                  </w:r>
                </w:p>
              </w:tc>
              <w:tc>
                <w:tcPr>
                  <w:tcW w:w="2868" w:type="dxa"/>
                  <w:vAlign w:val="center"/>
                </w:tcPr>
                <w:p>
                  <w:pPr>
                    <w:pStyle w:val="15"/>
                    <w:rPr>
                      <w:color w:val="auto"/>
                    </w:rPr>
                  </w:pPr>
                  <w:r>
                    <w:rPr>
                      <w:rFonts w:hint="eastAsia"/>
                      <w:color w:val="auto"/>
                    </w:rPr>
                    <w:t>改建项目不涉及废水排放</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39" w:type="dxa"/>
                  <w:vMerge w:val="restart"/>
                  <w:vAlign w:val="center"/>
                </w:tcPr>
                <w:p>
                  <w:pPr>
                    <w:pStyle w:val="15"/>
                    <w:rPr>
                      <w:color w:val="auto"/>
                    </w:rPr>
                  </w:pPr>
                  <w:r>
                    <w:rPr>
                      <w:rFonts w:hint="eastAsia"/>
                      <w:color w:val="auto"/>
                    </w:rPr>
                    <w:t>环保工程</w:t>
                  </w:r>
                </w:p>
              </w:tc>
              <w:tc>
                <w:tcPr>
                  <w:tcW w:w="1138" w:type="dxa"/>
                  <w:vAlign w:val="center"/>
                </w:tcPr>
                <w:p>
                  <w:pPr>
                    <w:pStyle w:val="15"/>
                    <w:rPr>
                      <w:color w:val="auto"/>
                    </w:rPr>
                  </w:pPr>
                  <w:r>
                    <w:rPr>
                      <w:rFonts w:hint="eastAsia"/>
                      <w:color w:val="auto"/>
                    </w:rPr>
                    <w:t>初期雨水收集池</w:t>
                  </w:r>
                </w:p>
              </w:tc>
              <w:tc>
                <w:tcPr>
                  <w:tcW w:w="3000" w:type="dxa"/>
                  <w:vAlign w:val="center"/>
                </w:tcPr>
                <w:p>
                  <w:pPr>
                    <w:pStyle w:val="15"/>
                    <w:rPr>
                      <w:color w:val="auto"/>
                    </w:rPr>
                  </w:pPr>
                  <w:r>
                    <w:rPr>
                      <w:rFonts w:hint="eastAsia"/>
                      <w:color w:val="auto"/>
                    </w:rPr>
                    <w:t>1座，容积3150m</w:t>
                  </w:r>
                  <w:r>
                    <w:rPr>
                      <w:rFonts w:hint="eastAsia"/>
                      <w:color w:val="auto"/>
                      <w:vertAlign w:val="superscript"/>
                    </w:rPr>
                    <w:t>3</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39" w:type="dxa"/>
                  <w:vMerge w:val="continue"/>
                  <w:vAlign w:val="center"/>
                </w:tcPr>
                <w:p>
                  <w:pPr>
                    <w:pStyle w:val="15"/>
                    <w:rPr>
                      <w:rFonts w:hint="eastAsia"/>
                      <w:color w:val="auto"/>
                    </w:rPr>
                  </w:pPr>
                </w:p>
              </w:tc>
              <w:tc>
                <w:tcPr>
                  <w:tcW w:w="1138" w:type="dxa"/>
                  <w:vAlign w:val="center"/>
                </w:tcPr>
                <w:p>
                  <w:pPr>
                    <w:pStyle w:val="15"/>
                    <w:rPr>
                      <w:rFonts w:hint="eastAsia" w:eastAsia="宋体"/>
                      <w:color w:val="auto"/>
                      <w:lang w:val="en-US" w:eastAsia="zh-CN"/>
                    </w:rPr>
                  </w:pPr>
                  <w:r>
                    <w:rPr>
                      <w:rFonts w:hint="eastAsia"/>
                      <w:color w:val="auto"/>
                      <w:lang w:val="en-US" w:eastAsia="zh-CN"/>
                    </w:rPr>
                    <w:t>事故池</w:t>
                  </w:r>
                </w:p>
              </w:tc>
              <w:tc>
                <w:tcPr>
                  <w:tcW w:w="3000" w:type="dxa"/>
                  <w:vAlign w:val="center"/>
                </w:tcPr>
                <w:p>
                  <w:pPr>
                    <w:pStyle w:val="15"/>
                    <w:rPr>
                      <w:rFonts w:hint="eastAsia"/>
                      <w:color w:val="auto"/>
                    </w:rPr>
                  </w:pPr>
                  <w:r>
                    <w:rPr>
                      <w:rFonts w:hint="eastAsia"/>
                      <w:color w:val="auto"/>
                    </w:rPr>
                    <w:t>1座，容积</w:t>
                  </w:r>
                  <w:r>
                    <w:rPr>
                      <w:rFonts w:hint="eastAsia"/>
                      <w:color w:val="auto"/>
                      <w:lang w:val="en-US" w:eastAsia="zh-CN"/>
                    </w:rPr>
                    <w:t>50</w:t>
                  </w:r>
                  <w:r>
                    <w:rPr>
                      <w:rFonts w:hint="eastAsia"/>
                      <w:color w:val="auto"/>
                    </w:rPr>
                    <w:t>0m</w:t>
                  </w:r>
                  <w:r>
                    <w:rPr>
                      <w:rFonts w:hint="eastAsia"/>
                      <w:color w:val="auto"/>
                      <w:vertAlign w:val="superscript"/>
                    </w:rPr>
                    <w:t>3</w:t>
                  </w:r>
                </w:p>
              </w:tc>
              <w:tc>
                <w:tcPr>
                  <w:tcW w:w="2868"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c>
                <w:tcPr>
                  <w:tcW w:w="932"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39" w:type="dxa"/>
                  <w:vMerge w:val="continue"/>
                  <w:vAlign w:val="center"/>
                </w:tcPr>
                <w:p>
                  <w:pPr>
                    <w:pStyle w:val="15"/>
                    <w:rPr>
                      <w:color w:val="auto"/>
                    </w:rPr>
                  </w:pPr>
                </w:p>
              </w:tc>
              <w:tc>
                <w:tcPr>
                  <w:tcW w:w="1138" w:type="dxa"/>
                  <w:vAlign w:val="center"/>
                </w:tcPr>
                <w:p>
                  <w:pPr>
                    <w:pStyle w:val="15"/>
                    <w:rPr>
                      <w:color w:val="auto"/>
                    </w:rPr>
                  </w:pPr>
                  <w:r>
                    <w:rPr>
                      <w:rFonts w:hint="eastAsia"/>
                      <w:color w:val="auto"/>
                    </w:rPr>
                    <w:t>化粪池</w:t>
                  </w:r>
                </w:p>
              </w:tc>
              <w:tc>
                <w:tcPr>
                  <w:tcW w:w="3000" w:type="dxa"/>
                  <w:vAlign w:val="center"/>
                </w:tcPr>
                <w:p>
                  <w:pPr>
                    <w:pStyle w:val="15"/>
                    <w:rPr>
                      <w:color w:val="auto"/>
                    </w:rPr>
                  </w:pPr>
                  <w:r>
                    <w:rPr>
                      <w:rFonts w:hint="eastAsia"/>
                      <w:color w:val="auto"/>
                    </w:rPr>
                    <w:t>1座，容积</w:t>
                  </w:r>
                  <w:r>
                    <w:rPr>
                      <w:rFonts w:hint="eastAsia"/>
                      <w:color w:val="auto"/>
                      <w:lang w:val="en-US" w:eastAsia="zh-CN"/>
                    </w:rPr>
                    <w:t>45</w:t>
                  </w:r>
                  <w:r>
                    <w:rPr>
                      <w:rFonts w:hint="eastAsia"/>
                      <w:color w:val="auto"/>
                    </w:rPr>
                    <w:t>m</w:t>
                  </w:r>
                  <w:r>
                    <w:rPr>
                      <w:rFonts w:hint="eastAsia"/>
                      <w:color w:val="auto"/>
                      <w:vertAlign w:val="superscript"/>
                    </w:rPr>
                    <w:t>3</w:t>
                  </w:r>
                  <w:r>
                    <w:rPr>
                      <w:rFonts w:hint="eastAsia"/>
                      <w:color w:val="auto"/>
                    </w:rPr>
                    <w:t>。</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pStyle w:val="15"/>
                    <w:rPr>
                      <w:color w:val="auto"/>
                    </w:rPr>
                  </w:pPr>
                </w:p>
              </w:tc>
              <w:tc>
                <w:tcPr>
                  <w:tcW w:w="1138" w:type="dxa"/>
                  <w:vAlign w:val="center"/>
                </w:tcPr>
                <w:p>
                  <w:pPr>
                    <w:pStyle w:val="15"/>
                    <w:rPr>
                      <w:color w:val="auto"/>
                    </w:rPr>
                  </w:pPr>
                  <w:r>
                    <w:rPr>
                      <w:rFonts w:hint="eastAsia"/>
                      <w:color w:val="auto"/>
                    </w:rPr>
                    <w:t>一体化污水处理设施</w:t>
                  </w:r>
                </w:p>
              </w:tc>
              <w:tc>
                <w:tcPr>
                  <w:tcW w:w="3000" w:type="dxa"/>
                  <w:vAlign w:val="center"/>
                </w:tcPr>
                <w:p>
                  <w:pPr>
                    <w:pStyle w:val="15"/>
                    <w:rPr>
                      <w:color w:val="auto"/>
                    </w:rPr>
                  </w:pPr>
                  <w:r>
                    <w:rPr>
                      <w:rFonts w:hint="eastAsia"/>
                      <w:color w:val="auto"/>
                    </w:rPr>
                    <w:t>1座，处理能力10m</w:t>
                  </w:r>
                  <w:r>
                    <w:rPr>
                      <w:rFonts w:hint="eastAsia"/>
                      <w:color w:val="auto"/>
                      <w:vertAlign w:val="superscript"/>
                    </w:rPr>
                    <w:t>3</w:t>
                  </w:r>
                  <w:r>
                    <w:rPr>
                      <w:rFonts w:hint="eastAsia"/>
                      <w:color w:val="auto"/>
                    </w:rPr>
                    <w:t>/d，处理工艺为A/O+MBR膜生物反应工艺。</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9" w:type="dxa"/>
                  <w:vMerge w:val="continue"/>
                  <w:vAlign w:val="center"/>
                </w:tcPr>
                <w:p>
                  <w:pPr>
                    <w:pStyle w:val="15"/>
                    <w:rPr>
                      <w:color w:val="auto"/>
                    </w:rPr>
                  </w:pPr>
                </w:p>
              </w:tc>
              <w:tc>
                <w:tcPr>
                  <w:tcW w:w="1138" w:type="dxa"/>
                  <w:vAlign w:val="center"/>
                </w:tcPr>
                <w:p>
                  <w:pPr>
                    <w:pStyle w:val="15"/>
                    <w:rPr>
                      <w:rFonts w:hint="default" w:eastAsia="宋体"/>
                      <w:color w:val="auto"/>
                      <w:lang w:val="en-US" w:eastAsia="zh-CN"/>
                    </w:rPr>
                  </w:pPr>
                  <w:r>
                    <w:rPr>
                      <w:rFonts w:hint="eastAsia"/>
                      <w:color w:val="auto"/>
                      <w:lang w:val="en-US" w:eastAsia="zh-CN"/>
                    </w:rPr>
                    <w:t>一体化初期雨水处理设施</w:t>
                  </w:r>
                </w:p>
              </w:tc>
              <w:tc>
                <w:tcPr>
                  <w:tcW w:w="3000" w:type="dxa"/>
                  <w:vAlign w:val="center"/>
                </w:tcPr>
                <w:p>
                  <w:pPr>
                    <w:pStyle w:val="15"/>
                    <w:rPr>
                      <w:rFonts w:hint="eastAsia" w:eastAsia="宋体"/>
                      <w:color w:val="auto"/>
                      <w:lang w:eastAsia="zh-CN"/>
                    </w:rPr>
                  </w:pPr>
                  <w:r>
                    <w:rPr>
                      <w:rFonts w:hint="eastAsia"/>
                      <w:color w:val="auto"/>
                    </w:rPr>
                    <w:t>1座，处理能力</w:t>
                  </w:r>
                  <w:r>
                    <w:rPr>
                      <w:rFonts w:hint="eastAsia"/>
                      <w:color w:val="auto"/>
                      <w:lang w:val="en-US" w:eastAsia="zh-CN"/>
                    </w:rPr>
                    <w:t>40</w:t>
                  </w:r>
                  <w:r>
                    <w:rPr>
                      <w:rFonts w:hint="eastAsia"/>
                      <w:color w:val="auto"/>
                    </w:rPr>
                    <w:t>m</w:t>
                  </w:r>
                  <w:r>
                    <w:rPr>
                      <w:rFonts w:hint="eastAsia"/>
                      <w:color w:val="auto"/>
                      <w:vertAlign w:val="superscript"/>
                    </w:rPr>
                    <w:t>3</w:t>
                  </w:r>
                  <w:r>
                    <w:rPr>
                      <w:rFonts w:hint="eastAsia"/>
                      <w:color w:val="auto"/>
                    </w:rPr>
                    <w:t>/</w:t>
                  </w:r>
                  <w:r>
                    <w:rPr>
                      <w:rFonts w:hint="eastAsia"/>
                      <w:color w:val="auto"/>
                      <w:lang w:val="en-US" w:eastAsia="zh-CN"/>
                    </w:rPr>
                    <w:t>h</w:t>
                  </w:r>
                  <w:r>
                    <w:rPr>
                      <w:rFonts w:hint="eastAsia"/>
                      <w:color w:val="auto"/>
                    </w:rPr>
                    <w:t>，处理工艺格栅+收集池+除氟反应+除磷反应+絮凝反应+斜管沉淀+清水池</w:t>
                  </w:r>
                  <w:r>
                    <w:rPr>
                      <w:rFonts w:hint="eastAsia"/>
                      <w:color w:val="auto"/>
                      <w:lang w:eastAsia="zh-CN"/>
                    </w:rPr>
                    <w:t>。</w:t>
                  </w:r>
                </w:p>
              </w:tc>
              <w:tc>
                <w:tcPr>
                  <w:tcW w:w="2868" w:type="dxa"/>
                  <w:vAlign w:val="center"/>
                </w:tcPr>
                <w:p>
                  <w:pPr>
                    <w:pStyle w:val="15"/>
                    <w:rPr>
                      <w:rFonts w:hint="eastAsia" w:eastAsia="宋体"/>
                      <w:color w:val="auto"/>
                      <w:lang w:val="en-US" w:eastAsia="zh-CN"/>
                    </w:rPr>
                  </w:pPr>
                  <w:r>
                    <w:rPr>
                      <w:rFonts w:hint="eastAsia"/>
                      <w:color w:val="auto"/>
                      <w:lang w:val="en-US" w:eastAsia="zh-CN"/>
                    </w:rPr>
                    <w:t>/</w:t>
                  </w:r>
                </w:p>
              </w:tc>
              <w:tc>
                <w:tcPr>
                  <w:tcW w:w="932" w:type="dxa"/>
                  <w:vAlign w:val="center"/>
                </w:tcPr>
                <w:p>
                  <w:pPr>
                    <w:pStyle w:val="15"/>
                    <w:rPr>
                      <w:rFonts w:hint="eastAsia"/>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pStyle w:val="15"/>
                    <w:rPr>
                      <w:color w:val="auto"/>
                    </w:rPr>
                  </w:pPr>
                </w:p>
              </w:tc>
              <w:tc>
                <w:tcPr>
                  <w:tcW w:w="1138" w:type="dxa"/>
                  <w:vAlign w:val="center"/>
                </w:tcPr>
                <w:p>
                  <w:pPr>
                    <w:pStyle w:val="15"/>
                    <w:rPr>
                      <w:color w:val="auto"/>
                    </w:rPr>
                  </w:pPr>
                  <w:r>
                    <w:rPr>
                      <w:rFonts w:hint="eastAsia"/>
                      <w:color w:val="auto"/>
                    </w:rPr>
                    <w:t>渗滤液收集池</w:t>
                  </w:r>
                </w:p>
              </w:tc>
              <w:tc>
                <w:tcPr>
                  <w:tcW w:w="3000" w:type="dxa"/>
                  <w:vAlign w:val="center"/>
                </w:tcPr>
                <w:p>
                  <w:pPr>
                    <w:pStyle w:val="15"/>
                    <w:rPr>
                      <w:color w:val="auto"/>
                    </w:rPr>
                  </w:pPr>
                  <w:r>
                    <w:rPr>
                      <w:rFonts w:hint="eastAsia"/>
                      <w:color w:val="auto"/>
                    </w:rPr>
                    <w:t>/</w:t>
                  </w:r>
                </w:p>
              </w:tc>
              <w:tc>
                <w:tcPr>
                  <w:tcW w:w="2868" w:type="dxa"/>
                  <w:vAlign w:val="center"/>
                </w:tcPr>
                <w:p>
                  <w:pPr>
                    <w:pStyle w:val="15"/>
                    <w:rPr>
                      <w:color w:val="auto"/>
                    </w:rPr>
                  </w:pPr>
                  <w:r>
                    <w:rPr>
                      <w:rFonts w:hint="eastAsia"/>
                      <w:color w:val="auto"/>
                    </w:rPr>
                    <w:t>新建1座，容积2m</w:t>
                  </w:r>
                  <w:r>
                    <w:rPr>
                      <w:rFonts w:hint="eastAsia"/>
                      <w:color w:val="auto"/>
                      <w:vertAlign w:val="superscript"/>
                    </w:rPr>
                    <w:t>3</w:t>
                  </w:r>
                  <w:r>
                    <w:rPr>
                      <w:rFonts w:hint="eastAsia"/>
                      <w:color w:val="auto"/>
                    </w:rPr>
                    <w:t>。</w:t>
                  </w:r>
                </w:p>
              </w:tc>
              <w:tc>
                <w:tcPr>
                  <w:tcW w:w="932" w:type="dxa"/>
                  <w:vAlign w:val="center"/>
                </w:tcPr>
                <w:p>
                  <w:pPr>
                    <w:pStyle w:val="15"/>
                    <w:rPr>
                      <w:color w:val="auto"/>
                    </w:rPr>
                  </w:pPr>
                  <w:r>
                    <w:rPr>
                      <w:rFonts w:hint="eastAsia"/>
                      <w:color w:val="auto"/>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9" w:type="dxa"/>
                  <w:vMerge w:val="continue"/>
                  <w:vAlign w:val="center"/>
                </w:tcPr>
                <w:p>
                  <w:pPr>
                    <w:pStyle w:val="15"/>
                    <w:rPr>
                      <w:color w:val="auto"/>
                    </w:rPr>
                  </w:pPr>
                </w:p>
              </w:tc>
              <w:tc>
                <w:tcPr>
                  <w:tcW w:w="1138" w:type="dxa"/>
                  <w:vAlign w:val="center"/>
                </w:tcPr>
                <w:p>
                  <w:pPr>
                    <w:pStyle w:val="15"/>
                    <w:rPr>
                      <w:color w:val="auto"/>
                    </w:rPr>
                  </w:pPr>
                  <w:r>
                    <w:rPr>
                      <w:rFonts w:hint="eastAsia"/>
                      <w:color w:val="auto"/>
                    </w:rPr>
                    <w:t>布袋除尘器</w:t>
                  </w:r>
                </w:p>
              </w:tc>
              <w:tc>
                <w:tcPr>
                  <w:tcW w:w="3000" w:type="dxa"/>
                  <w:vAlign w:val="center"/>
                </w:tcPr>
                <w:p>
                  <w:pPr>
                    <w:pStyle w:val="15"/>
                    <w:rPr>
                      <w:rFonts w:hint="default" w:eastAsia="宋体"/>
                      <w:color w:val="auto"/>
                      <w:lang w:val="en-US" w:eastAsia="zh-CN"/>
                    </w:rPr>
                  </w:pPr>
                  <w:r>
                    <w:rPr>
                      <w:rFonts w:hint="eastAsia"/>
                      <w:color w:val="auto"/>
                    </w:rPr>
                    <w:t>布袋除尘器1套+20m高排气筒（DA010）1根。</w:t>
                  </w:r>
                  <w:r>
                    <w:rPr>
                      <w:rFonts w:hint="eastAsia"/>
                      <w:color w:val="auto"/>
                      <w:lang w:val="en-US" w:eastAsia="zh-CN"/>
                    </w:rPr>
                    <w:t>用于处理破碎、筛分、冷却等生产过程粉尘。</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9" w:type="dxa"/>
                  <w:vMerge w:val="continue"/>
                  <w:vAlign w:val="center"/>
                </w:tcPr>
                <w:p>
                  <w:pPr>
                    <w:pStyle w:val="15"/>
                    <w:rPr>
                      <w:color w:val="auto"/>
                    </w:rPr>
                  </w:pPr>
                </w:p>
              </w:tc>
              <w:tc>
                <w:tcPr>
                  <w:tcW w:w="1138" w:type="dxa"/>
                  <w:vAlign w:val="center"/>
                </w:tcPr>
                <w:p>
                  <w:pPr>
                    <w:pStyle w:val="15"/>
                    <w:rPr>
                      <w:rFonts w:hint="eastAsia"/>
                      <w:color w:val="auto"/>
                    </w:rPr>
                  </w:pPr>
                  <w:r>
                    <w:rPr>
                      <w:rFonts w:hint="eastAsia"/>
                      <w:color w:val="auto"/>
                    </w:rPr>
                    <w:t>旋风除尘器+水膜脱硫除尘</w:t>
                  </w:r>
                </w:p>
              </w:tc>
              <w:tc>
                <w:tcPr>
                  <w:tcW w:w="3000" w:type="dxa"/>
                  <w:vAlign w:val="center"/>
                </w:tcPr>
                <w:p>
                  <w:pPr>
                    <w:pStyle w:val="15"/>
                    <w:rPr>
                      <w:rFonts w:hint="default" w:eastAsia="宋体"/>
                      <w:color w:val="auto"/>
                      <w:lang w:val="en-US" w:eastAsia="zh-CN"/>
                    </w:rPr>
                  </w:pPr>
                  <w:r>
                    <w:rPr>
                      <w:rFonts w:hint="eastAsia"/>
                      <w:color w:val="auto"/>
                    </w:rPr>
                    <w:t>1套+35m高排气筒（DA002）1根</w:t>
                  </w:r>
                  <w:r>
                    <w:rPr>
                      <w:rFonts w:hint="eastAsia"/>
                      <w:color w:val="auto"/>
                      <w:lang w:eastAsia="zh-CN"/>
                    </w:rPr>
                    <w:t>。</w:t>
                  </w:r>
                  <w:r>
                    <w:rPr>
                      <w:rFonts w:hint="eastAsia"/>
                      <w:color w:val="auto"/>
                      <w:lang w:val="en-US" w:eastAsia="zh-CN"/>
                    </w:rPr>
                    <w:t>用于处理锅炉废气。</w:t>
                  </w:r>
                </w:p>
              </w:tc>
              <w:tc>
                <w:tcPr>
                  <w:tcW w:w="2868"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932"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9" w:type="dxa"/>
                  <w:vMerge w:val="continue"/>
                  <w:vAlign w:val="center"/>
                </w:tcPr>
                <w:p>
                  <w:pPr>
                    <w:pStyle w:val="15"/>
                    <w:rPr>
                      <w:color w:val="auto"/>
                    </w:rPr>
                  </w:pPr>
                </w:p>
              </w:tc>
              <w:tc>
                <w:tcPr>
                  <w:tcW w:w="1138" w:type="dxa"/>
                  <w:vAlign w:val="center"/>
                </w:tcPr>
                <w:p>
                  <w:pPr>
                    <w:pStyle w:val="15"/>
                    <w:rPr>
                      <w:rFonts w:hint="eastAsia" w:eastAsia="宋体"/>
                      <w:color w:val="auto"/>
                      <w:lang w:eastAsia="zh-CN"/>
                    </w:rPr>
                  </w:pPr>
                  <w:r>
                    <w:rPr>
                      <w:rFonts w:hint="eastAsia"/>
                      <w:color w:val="auto"/>
                    </w:rPr>
                    <w:t>旋风除尘器+重力沉降室+</w:t>
                  </w:r>
                  <w:r>
                    <w:rPr>
                      <w:rFonts w:hint="eastAsia"/>
                      <w:color w:val="auto"/>
                      <w:lang w:eastAsia="zh-CN"/>
                    </w:rPr>
                    <w:t>水膜脱硫除尘</w:t>
                  </w:r>
                </w:p>
              </w:tc>
              <w:tc>
                <w:tcPr>
                  <w:tcW w:w="3000" w:type="dxa"/>
                  <w:vAlign w:val="center"/>
                </w:tcPr>
                <w:p>
                  <w:pPr>
                    <w:pStyle w:val="15"/>
                    <w:rPr>
                      <w:rFonts w:hint="default" w:eastAsia="宋体"/>
                      <w:color w:val="auto"/>
                      <w:lang w:val="en-US" w:eastAsia="zh-CN"/>
                    </w:rPr>
                  </w:pPr>
                  <w:r>
                    <w:rPr>
                      <w:rFonts w:hint="eastAsia"/>
                      <w:color w:val="auto"/>
                    </w:rPr>
                    <w:t>1套，15m高排气筒（DA009）1根。</w:t>
                  </w:r>
                  <w:r>
                    <w:rPr>
                      <w:rFonts w:hint="eastAsia"/>
                      <w:color w:val="auto"/>
                      <w:lang w:val="en-US" w:eastAsia="zh-CN"/>
                    </w:rPr>
                    <w:t>用于处理烘干废气。</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9" w:type="dxa"/>
                  <w:vMerge w:val="continue"/>
                  <w:vAlign w:val="center"/>
                </w:tcPr>
                <w:p>
                  <w:pPr>
                    <w:pStyle w:val="15"/>
                    <w:rPr>
                      <w:color w:val="auto"/>
                    </w:rPr>
                  </w:pPr>
                </w:p>
              </w:tc>
              <w:tc>
                <w:tcPr>
                  <w:tcW w:w="1138" w:type="dxa"/>
                  <w:vAlign w:val="center"/>
                </w:tcPr>
                <w:p>
                  <w:pPr>
                    <w:pStyle w:val="15"/>
                    <w:rPr>
                      <w:rFonts w:hint="default" w:eastAsia="宋体"/>
                      <w:color w:val="auto"/>
                      <w:lang w:val="en-US" w:eastAsia="zh-CN"/>
                    </w:rPr>
                  </w:pPr>
                  <w:r>
                    <w:rPr>
                      <w:rFonts w:hint="eastAsia"/>
                      <w:color w:val="auto"/>
                      <w:lang w:val="en-US" w:eastAsia="zh-CN"/>
                    </w:rPr>
                    <w:t>自动在线监测设备</w:t>
                  </w:r>
                </w:p>
              </w:tc>
              <w:tc>
                <w:tcPr>
                  <w:tcW w:w="3000" w:type="dxa"/>
                  <w:vAlign w:val="center"/>
                </w:tcPr>
                <w:p>
                  <w:pPr>
                    <w:pStyle w:val="15"/>
                    <w:rPr>
                      <w:rFonts w:hint="default" w:eastAsia="宋体"/>
                      <w:color w:val="auto"/>
                      <w:lang w:val="en-US" w:eastAsia="zh-CN"/>
                    </w:rPr>
                  </w:pPr>
                  <w:r>
                    <w:rPr>
                      <w:rFonts w:hint="eastAsia"/>
                      <w:color w:val="auto"/>
                    </w:rPr>
                    <w:t>DA009</w:t>
                  </w:r>
                  <w:r>
                    <w:rPr>
                      <w:rFonts w:hint="eastAsia"/>
                      <w:color w:val="auto"/>
                      <w:lang w:eastAsia="zh-CN"/>
                    </w:rPr>
                    <w:t>、</w:t>
                  </w:r>
                  <w:r>
                    <w:rPr>
                      <w:rFonts w:hint="eastAsia"/>
                      <w:color w:val="auto"/>
                    </w:rPr>
                    <w:t>DA010</w:t>
                  </w:r>
                  <w:r>
                    <w:rPr>
                      <w:rFonts w:hint="eastAsia"/>
                      <w:color w:val="auto"/>
                      <w:lang w:val="en-US" w:eastAsia="zh-CN"/>
                    </w:rPr>
                    <w:t>排气筒颗粒物自动在线监测设备各1套</w:t>
                  </w:r>
                </w:p>
              </w:tc>
              <w:tc>
                <w:tcPr>
                  <w:tcW w:w="2868" w:type="dxa"/>
                  <w:vAlign w:val="center"/>
                </w:tcPr>
                <w:p>
                  <w:pPr>
                    <w:pStyle w:val="15"/>
                    <w:rPr>
                      <w:rFonts w:hint="eastAsia" w:eastAsia="宋体"/>
                      <w:color w:val="auto"/>
                      <w:lang w:val="en-US" w:eastAsia="zh-CN"/>
                    </w:rPr>
                  </w:pPr>
                  <w:r>
                    <w:rPr>
                      <w:rFonts w:hint="eastAsia"/>
                      <w:color w:val="auto"/>
                      <w:lang w:val="en-US" w:eastAsia="zh-CN"/>
                    </w:rPr>
                    <w:t>/</w:t>
                  </w:r>
                </w:p>
              </w:tc>
              <w:tc>
                <w:tcPr>
                  <w:tcW w:w="932" w:type="dxa"/>
                  <w:vAlign w:val="center"/>
                </w:tcPr>
                <w:p>
                  <w:pPr>
                    <w:pStyle w:val="15"/>
                    <w:rPr>
                      <w:rFonts w:hint="eastAsia"/>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39" w:type="dxa"/>
                  <w:vMerge w:val="continue"/>
                  <w:vAlign w:val="center"/>
                </w:tcPr>
                <w:p>
                  <w:pPr>
                    <w:pStyle w:val="15"/>
                    <w:rPr>
                      <w:color w:val="auto"/>
                    </w:rPr>
                  </w:pPr>
                </w:p>
              </w:tc>
              <w:tc>
                <w:tcPr>
                  <w:tcW w:w="1138" w:type="dxa"/>
                  <w:vAlign w:val="center"/>
                </w:tcPr>
                <w:p>
                  <w:pPr>
                    <w:pStyle w:val="15"/>
                    <w:rPr>
                      <w:color w:val="auto"/>
                    </w:rPr>
                  </w:pPr>
                  <w:r>
                    <w:rPr>
                      <w:rFonts w:hint="eastAsia"/>
                      <w:color w:val="auto"/>
                    </w:rPr>
                    <w:t>危废暂存间</w:t>
                  </w:r>
                </w:p>
              </w:tc>
              <w:tc>
                <w:tcPr>
                  <w:tcW w:w="3000" w:type="dxa"/>
                  <w:vAlign w:val="center"/>
                </w:tcPr>
                <w:p>
                  <w:pPr>
                    <w:pStyle w:val="15"/>
                    <w:rPr>
                      <w:color w:val="auto"/>
                    </w:rPr>
                  </w:pPr>
                  <w:r>
                    <w:rPr>
                      <w:rFonts w:hint="eastAsia"/>
                      <w:color w:val="auto"/>
                    </w:rPr>
                    <w:t>位于备件库东侧，共2m</w:t>
                  </w:r>
                  <w:r>
                    <w:rPr>
                      <w:rFonts w:hint="eastAsia"/>
                      <w:color w:val="auto"/>
                      <w:vertAlign w:val="superscript"/>
                    </w:rPr>
                    <w:t>2</w:t>
                  </w:r>
                  <w:r>
                    <w:rPr>
                      <w:rFonts w:hint="eastAsia"/>
                      <w:color w:val="auto"/>
                    </w:rPr>
                    <w:t>，暂存项目区实验过程产生的废酸、废碱</w:t>
                  </w:r>
                  <w:r>
                    <w:rPr>
                      <w:rFonts w:hint="eastAsia"/>
                      <w:color w:val="auto"/>
                      <w:lang w:val="en-US" w:eastAsia="zh-CN"/>
                    </w:rPr>
                    <w:t>等危废</w:t>
                  </w:r>
                  <w:r>
                    <w:rPr>
                      <w:rFonts w:hint="eastAsia"/>
                      <w:color w:val="auto"/>
                    </w:rPr>
                    <w:t>。</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9" w:type="dxa"/>
                  <w:vMerge w:val="continue"/>
                  <w:vAlign w:val="center"/>
                </w:tcPr>
                <w:p>
                  <w:pPr>
                    <w:pStyle w:val="15"/>
                    <w:rPr>
                      <w:color w:val="auto"/>
                    </w:rPr>
                  </w:pPr>
                </w:p>
              </w:tc>
              <w:tc>
                <w:tcPr>
                  <w:tcW w:w="1138" w:type="dxa"/>
                  <w:vAlign w:val="center"/>
                </w:tcPr>
                <w:p>
                  <w:pPr>
                    <w:pStyle w:val="15"/>
                    <w:rPr>
                      <w:color w:val="auto"/>
                    </w:rPr>
                  </w:pPr>
                  <w:r>
                    <w:rPr>
                      <w:rFonts w:hint="eastAsia"/>
                      <w:color w:val="auto"/>
                    </w:rPr>
                    <w:t>危废暂存间</w:t>
                  </w:r>
                </w:p>
              </w:tc>
              <w:tc>
                <w:tcPr>
                  <w:tcW w:w="3000" w:type="dxa"/>
                  <w:vAlign w:val="center"/>
                </w:tcPr>
                <w:p>
                  <w:pPr>
                    <w:pStyle w:val="15"/>
                    <w:rPr>
                      <w:color w:val="auto"/>
                    </w:rPr>
                  </w:pPr>
                  <w:r>
                    <w:rPr>
                      <w:rFonts w:hint="eastAsia"/>
                      <w:color w:val="auto"/>
                    </w:rPr>
                    <w:t>位于立磨厂房西侧，共2m</w:t>
                  </w:r>
                  <w:r>
                    <w:rPr>
                      <w:rFonts w:hint="eastAsia"/>
                      <w:color w:val="auto"/>
                      <w:vertAlign w:val="superscript"/>
                    </w:rPr>
                    <w:t>2</w:t>
                  </w:r>
                  <w:r>
                    <w:rPr>
                      <w:rFonts w:hint="eastAsia"/>
                      <w:color w:val="auto"/>
                    </w:rPr>
                    <w:t>，暂存项目区废矿物油</w:t>
                  </w:r>
                  <w:r>
                    <w:rPr>
                      <w:rFonts w:hint="eastAsia"/>
                      <w:color w:val="auto"/>
                      <w:lang w:val="en-US" w:eastAsia="zh-CN"/>
                    </w:rPr>
                    <w:t>等危废</w:t>
                  </w:r>
                  <w:r>
                    <w:rPr>
                      <w:rFonts w:hint="eastAsia"/>
                      <w:color w:val="auto"/>
                    </w:rPr>
                    <w:t>。</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9" w:type="dxa"/>
                  <w:vMerge w:val="continue"/>
                  <w:vAlign w:val="center"/>
                </w:tcPr>
                <w:p>
                  <w:pPr>
                    <w:pStyle w:val="15"/>
                    <w:rPr>
                      <w:color w:val="auto"/>
                    </w:rPr>
                  </w:pPr>
                </w:p>
              </w:tc>
              <w:tc>
                <w:tcPr>
                  <w:tcW w:w="1138" w:type="dxa"/>
                  <w:vAlign w:val="center"/>
                </w:tcPr>
                <w:p>
                  <w:pPr>
                    <w:pStyle w:val="15"/>
                    <w:rPr>
                      <w:color w:val="auto"/>
                    </w:rPr>
                  </w:pPr>
                  <w:r>
                    <w:rPr>
                      <w:rFonts w:hint="eastAsia"/>
                      <w:color w:val="auto"/>
                    </w:rPr>
                    <w:t>原料堆场防渗工程</w:t>
                  </w:r>
                </w:p>
              </w:tc>
              <w:tc>
                <w:tcPr>
                  <w:tcW w:w="3000" w:type="dxa"/>
                  <w:vAlign w:val="center"/>
                </w:tcPr>
                <w:p>
                  <w:pPr>
                    <w:pStyle w:val="15"/>
                    <w:rPr>
                      <w:color w:val="auto"/>
                    </w:rPr>
                  </w:pPr>
                  <w:r>
                    <w:rPr>
                      <w:rFonts w:hint="eastAsia"/>
                      <w:color w:val="auto"/>
                    </w:rPr>
                    <w:t>/</w:t>
                  </w:r>
                </w:p>
              </w:tc>
              <w:tc>
                <w:tcPr>
                  <w:tcW w:w="2868" w:type="dxa"/>
                  <w:vAlign w:val="center"/>
                </w:tcPr>
                <w:p>
                  <w:pPr>
                    <w:pStyle w:val="15"/>
                    <w:rPr>
                      <w:color w:val="auto"/>
                    </w:rPr>
                  </w:pPr>
                  <w:r>
                    <w:rPr>
                      <w:rFonts w:hint="eastAsia"/>
                      <w:color w:val="auto"/>
                    </w:rPr>
                    <w:t>参照《一般工业固体废物贮存和填埋污染控制标准》（GB18599-2020），中水除杂废渣、磷石膏、黄磷渣、富钙镁磷矿原料临时储存区按照该标准中I类场</w:t>
                  </w:r>
                  <w:r>
                    <w:rPr>
                      <w:rFonts w:hint="eastAsia"/>
                      <w:color w:val="auto"/>
                      <w:lang w:val="en-US" w:eastAsia="zh-CN"/>
                    </w:rPr>
                    <w:t>要求</w:t>
                  </w:r>
                  <w:r>
                    <w:rPr>
                      <w:rFonts w:hint="eastAsia"/>
                      <w:color w:val="auto"/>
                    </w:rPr>
                    <w:t>进行建设，硫酸亚铁除杂废渣原料临时储存区按照该标准中II类场</w:t>
                  </w:r>
                  <w:r>
                    <w:rPr>
                      <w:rFonts w:hint="eastAsia"/>
                      <w:color w:val="auto"/>
                      <w:lang w:val="en-US" w:eastAsia="zh-CN"/>
                    </w:rPr>
                    <w:t>要求</w:t>
                  </w:r>
                  <w:r>
                    <w:rPr>
                      <w:rFonts w:hint="eastAsia"/>
                      <w:color w:val="auto"/>
                    </w:rPr>
                    <w:t>进行建设。</w:t>
                  </w:r>
                </w:p>
              </w:tc>
              <w:tc>
                <w:tcPr>
                  <w:tcW w:w="932" w:type="dxa"/>
                  <w:vAlign w:val="center"/>
                </w:tcPr>
                <w:p>
                  <w:pPr>
                    <w:pStyle w:val="15"/>
                    <w:rPr>
                      <w:color w:val="auto"/>
                    </w:rPr>
                  </w:pPr>
                  <w:r>
                    <w:rPr>
                      <w:rFonts w:hint="eastAsia"/>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39" w:type="dxa"/>
                  <w:vMerge w:val="continue"/>
                  <w:vAlign w:val="center"/>
                </w:tcPr>
                <w:p>
                  <w:pPr>
                    <w:pStyle w:val="15"/>
                    <w:rPr>
                      <w:color w:val="auto"/>
                    </w:rPr>
                  </w:pPr>
                </w:p>
              </w:tc>
              <w:tc>
                <w:tcPr>
                  <w:tcW w:w="1138" w:type="dxa"/>
                  <w:vAlign w:val="center"/>
                </w:tcPr>
                <w:p>
                  <w:pPr>
                    <w:pStyle w:val="15"/>
                    <w:rPr>
                      <w:color w:val="auto"/>
                    </w:rPr>
                  </w:pPr>
                  <w:r>
                    <w:rPr>
                      <w:color w:val="auto"/>
                    </w:rPr>
                    <w:t>绿化</w:t>
                  </w:r>
                </w:p>
              </w:tc>
              <w:tc>
                <w:tcPr>
                  <w:tcW w:w="3000" w:type="dxa"/>
                  <w:vAlign w:val="center"/>
                </w:tcPr>
                <w:p>
                  <w:pPr>
                    <w:pStyle w:val="15"/>
                    <w:rPr>
                      <w:color w:val="auto"/>
                    </w:rPr>
                  </w:pPr>
                  <w:r>
                    <w:rPr>
                      <w:color w:val="auto"/>
                    </w:rPr>
                    <w:t>绿化面积</w:t>
                  </w:r>
                  <w:r>
                    <w:rPr>
                      <w:rFonts w:hint="eastAsia"/>
                      <w:color w:val="auto"/>
                    </w:rPr>
                    <w:t>约30000</w:t>
                  </w:r>
                  <w:r>
                    <w:rPr>
                      <w:color w:val="auto"/>
                    </w:rPr>
                    <w:t>m</w:t>
                  </w:r>
                  <w:r>
                    <w:rPr>
                      <w:color w:val="auto"/>
                      <w:vertAlign w:val="superscript"/>
                    </w:rPr>
                    <w:t>2</w:t>
                  </w:r>
                </w:p>
              </w:tc>
              <w:tc>
                <w:tcPr>
                  <w:tcW w:w="2868" w:type="dxa"/>
                  <w:vAlign w:val="center"/>
                </w:tcPr>
                <w:p>
                  <w:pPr>
                    <w:pStyle w:val="15"/>
                    <w:rPr>
                      <w:color w:val="auto"/>
                    </w:rPr>
                  </w:pPr>
                  <w:r>
                    <w:rPr>
                      <w:rFonts w:hint="eastAsia"/>
                      <w:color w:val="auto"/>
                    </w:rPr>
                    <w:t>/</w:t>
                  </w:r>
                </w:p>
              </w:tc>
              <w:tc>
                <w:tcPr>
                  <w:tcW w:w="932" w:type="dxa"/>
                  <w:vAlign w:val="center"/>
                </w:tcPr>
                <w:p>
                  <w:pPr>
                    <w:pStyle w:val="15"/>
                    <w:rPr>
                      <w:color w:val="auto"/>
                    </w:rPr>
                  </w:pPr>
                  <w:r>
                    <w:rPr>
                      <w:rFonts w:hint="eastAsia"/>
                      <w:color w:val="auto"/>
                    </w:rPr>
                    <w:t>依托原有</w:t>
                  </w:r>
                </w:p>
              </w:tc>
            </w:tr>
          </w:tbl>
          <w:p>
            <w:pPr>
              <w:ind w:firstLine="0" w:firstLineChars="0"/>
              <w:rPr>
                <w:color w:val="auto"/>
              </w:rPr>
            </w:pPr>
            <w:r>
              <w:rPr>
                <w:rFonts w:hint="eastAsia"/>
                <w:color w:val="auto"/>
                <w:lang w:val="en-US" w:eastAsia="zh-CN"/>
              </w:rPr>
              <w:t>3</w:t>
            </w:r>
            <w:r>
              <w:rPr>
                <w:rFonts w:hint="eastAsia"/>
                <w:color w:val="auto"/>
              </w:rPr>
              <w:t>、产品方案</w:t>
            </w:r>
          </w:p>
          <w:p>
            <w:pPr>
              <w:ind w:firstLine="480"/>
              <w:rPr>
                <w:color w:val="auto"/>
              </w:rPr>
            </w:pPr>
            <w:r>
              <w:rPr>
                <w:rFonts w:hint="eastAsia"/>
                <w:color w:val="auto"/>
              </w:rPr>
              <w:t>项目改建后产品方案与原有项目一致，主要生产产品为复合肥（13-5-7）2万t/a、复合肥（20-0-5）1万t/a，袋装</w:t>
            </w:r>
            <w:r>
              <w:rPr>
                <w:rFonts w:hint="eastAsia"/>
                <w:color w:val="auto"/>
                <w:lang w:eastAsia="zh-CN"/>
              </w:rPr>
              <w:t>，</w:t>
            </w:r>
            <w:r>
              <w:rPr>
                <w:rFonts w:hint="eastAsia"/>
                <w:color w:val="auto"/>
                <w:lang w:val="en-US" w:eastAsia="zh-CN"/>
              </w:rPr>
              <w:t>产品方案详见下表</w:t>
            </w:r>
            <w:r>
              <w:rPr>
                <w:rFonts w:hint="eastAsia"/>
                <w:color w:val="auto"/>
              </w:rPr>
              <w:t>。</w:t>
            </w:r>
          </w:p>
          <w:p>
            <w:pPr>
              <w:pStyle w:val="14"/>
              <w:rPr>
                <w:color w:val="auto"/>
              </w:rPr>
            </w:pPr>
            <w:r>
              <w:rPr>
                <w:rFonts w:hint="eastAsia"/>
                <w:color w:val="auto"/>
              </w:rPr>
              <w:t>表2-</w:t>
            </w:r>
            <w:r>
              <w:rPr>
                <w:rFonts w:hint="eastAsia"/>
                <w:color w:val="auto"/>
                <w:lang w:val="en-US" w:eastAsia="zh-CN"/>
              </w:rPr>
              <w:t>2</w:t>
            </w:r>
            <w:r>
              <w:rPr>
                <w:rFonts w:hint="eastAsia"/>
                <w:color w:val="auto"/>
              </w:rPr>
              <w:t xml:space="preserve">   产品方案一览表</w:t>
            </w:r>
          </w:p>
          <w:tbl>
            <w:tblPr>
              <w:tblStyle w:val="10"/>
              <w:tblW w:w="8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6"/>
              <w:gridCol w:w="1833"/>
              <w:gridCol w:w="2182"/>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996" w:type="dxa"/>
                  <w:vAlign w:val="center"/>
                </w:tcPr>
                <w:p>
                  <w:pPr>
                    <w:pStyle w:val="15"/>
                    <w:rPr>
                      <w:color w:val="auto"/>
                    </w:rPr>
                  </w:pPr>
                  <w:r>
                    <w:rPr>
                      <w:color w:val="auto"/>
                    </w:rPr>
                    <w:t>产品名称</w:t>
                  </w:r>
                </w:p>
              </w:tc>
              <w:tc>
                <w:tcPr>
                  <w:tcW w:w="1833" w:type="dxa"/>
                  <w:vAlign w:val="center"/>
                </w:tcPr>
                <w:p>
                  <w:pPr>
                    <w:pStyle w:val="15"/>
                    <w:rPr>
                      <w:color w:val="auto"/>
                    </w:rPr>
                  </w:pPr>
                  <w:r>
                    <w:rPr>
                      <w:color w:val="auto"/>
                    </w:rPr>
                    <w:t>产品产量（</w:t>
                  </w:r>
                  <w:r>
                    <w:rPr>
                      <w:rFonts w:hint="eastAsia"/>
                      <w:color w:val="auto"/>
                    </w:rPr>
                    <w:t>万</w:t>
                  </w:r>
                  <w:r>
                    <w:rPr>
                      <w:color w:val="auto"/>
                    </w:rPr>
                    <w:t>t）</w:t>
                  </w:r>
                </w:p>
              </w:tc>
              <w:tc>
                <w:tcPr>
                  <w:tcW w:w="2182" w:type="dxa"/>
                  <w:vAlign w:val="center"/>
                </w:tcPr>
                <w:p>
                  <w:pPr>
                    <w:pStyle w:val="15"/>
                    <w:rPr>
                      <w:color w:val="auto"/>
                    </w:rPr>
                  </w:pPr>
                  <w:r>
                    <w:rPr>
                      <w:rFonts w:hint="eastAsia"/>
                      <w:color w:val="auto"/>
                    </w:rPr>
                    <w:t>去向</w:t>
                  </w:r>
                </w:p>
              </w:tc>
              <w:tc>
                <w:tcPr>
                  <w:tcW w:w="2366" w:type="dxa"/>
                  <w:vAlign w:val="center"/>
                </w:tcPr>
                <w:p>
                  <w:pPr>
                    <w:pStyle w:val="15"/>
                    <w:rPr>
                      <w:rFonts w:hint="eastAsia" w:eastAsia="宋体"/>
                      <w:color w:val="auto"/>
                      <w:lang w:val="en-US" w:eastAsia="zh-CN"/>
                    </w:rPr>
                  </w:pPr>
                  <w:r>
                    <w:rPr>
                      <w:rFonts w:hint="eastAsia"/>
                      <w:color w:val="auto"/>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996" w:type="dxa"/>
                  <w:vAlign w:val="center"/>
                </w:tcPr>
                <w:p>
                  <w:pPr>
                    <w:pStyle w:val="15"/>
                    <w:rPr>
                      <w:color w:val="auto"/>
                    </w:rPr>
                  </w:pPr>
                  <w:r>
                    <w:rPr>
                      <w:color w:val="auto"/>
                    </w:rPr>
                    <w:t>复合肥</w:t>
                  </w:r>
                  <w:r>
                    <w:rPr>
                      <w:rFonts w:hint="eastAsia"/>
                      <w:color w:val="auto"/>
                    </w:rPr>
                    <w:t>（</w:t>
                  </w:r>
                  <w:r>
                    <w:rPr>
                      <w:color w:val="auto"/>
                    </w:rPr>
                    <w:t>13-5-7</w:t>
                  </w:r>
                  <w:r>
                    <w:rPr>
                      <w:rFonts w:hint="eastAsia"/>
                      <w:color w:val="auto"/>
                    </w:rPr>
                    <w:t>）</w:t>
                  </w:r>
                </w:p>
              </w:tc>
              <w:tc>
                <w:tcPr>
                  <w:tcW w:w="1833" w:type="dxa"/>
                  <w:vAlign w:val="center"/>
                </w:tcPr>
                <w:p>
                  <w:pPr>
                    <w:pStyle w:val="15"/>
                    <w:rPr>
                      <w:color w:val="auto"/>
                    </w:rPr>
                  </w:pPr>
                  <w:r>
                    <w:rPr>
                      <w:rFonts w:hint="eastAsia"/>
                      <w:color w:val="auto"/>
                    </w:rPr>
                    <w:t>2</w:t>
                  </w:r>
                </w:p>
              </w:tc>
              <w:tc>
                <w:tcPr>
                  <w:tcW w:w="2182" w:type="dxa"/>
                  <w:vMerge w:val="restart"/>
                  <w:vAlign w:val="center"/>
                </w:tcPr>
                <w:p>
                  <w:pPr>
                    <w:pStyle w:val="15"/>
                    <w:rPr>
                      <w:color w:val="auto"/>
                    </w:rPr>
                  </w:pPr>
                  <w:r>
                    <w:rPr>
                      <w:color w:val="auto"/>
                    </w:rPr>
                    <w:t>通过农资连锁对外进行销售</w:t>
                  </w:r>
                </w:p>
              </w:tc>
              <w:tc>
                <w:tcPr>
                  <w:tcW w:w="2366" w:type="dxa"/>
                  <w:vMerge w:val="restart"/>
                  <w:vAlign w:val="center"/>
                </w:tcPr>
                <w:p>
                  <w:pPr>
                    <w:pStyle w:val="15"/>
                    <w:rPr>
                      <w:rFonts w:hint="default" w:eastAsia="宋体"/>
                      <w:color w:val="auto"/>
                      <w:lang w:val="en-US" w:eastAsia="zh-CN"/>
                    </w:rPr>
                  </w:pPr>
                  <w:r>
                    <w:rPr>
                      <w:rFonts w:hint="eastAsia"/>
                      <w:color w:val="auto"/>
                      <w:lang w:val="en-US" w:eastAsia="zh-CN"/>
                    </w:rPr>
                    <w:t>两种产品主要区别为氮、磷、钾含量不同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996" w:type="dxa"/>
                  <w:vAlign w:val="center"/>
                </w:tcPr>
                <w:p>
                  <w:pPr>
                    <w:pStyle w:val="15"/>
                    <w:rPr>
                      <w:color w:val="auto"/>
                    </w:rPr>
                  </w:pPr>
                  <w:r>
                    <w:rPr>
                      <w:color w:val="auto"/>
                    </w:rPr>
                    <w:t>复合肥（20-0-5）</w:t>
                  </w:r>
                </w:p>
              </w:tc>
              <w:tc>
                <w:tcPr>
                  <w:tcW w:w="1833" w:type="dxa"/>
                  <w:vAlign w:val="center"/>
                </w:tcPr>
                <w:p>
                  <w:pPr>
                    <w:pStyle w:val="15"/>
                    <w:rPr>
                      <w:color w:val="auto"/>
                    </w:rPr>
                  </w:pPr>
                  <w:r>
                    <w:rPr>
                      <w:color w:val="auto"/>
                    </w:rPr>
                    <w:t>1</w:t>
                  </w:r>
                </w:p>
              </w:tc>
              <w:tc>
                <w:tcPr>
                  <w:tcW w:w="2182" w:type="dxa"/>
                  <w:vMerge w:val="continue"/>
                  <w:vAlign w:val="center"/>
                </w:tcPr>
                <w:p>
                  <w:pPr>
                    <w:pStyle w:val="15"/>
                    <w:rPr>
                      <w:color w:val="auto"/>
                    </w:rPr>
                  </w:pPr>
                </w:p>
              </w:tc>
              <w:tc>
                <w:tcPr>
                  <w:tcW w:w="2366" w:type="dxa"/>
                  <w:vMerge w:val="continue"/>
                  <w:vAlign w:val="center"/>
                </w:tcPr>
                <w:p>
                  <w:pPr>
                    <w:pStyle w:val="15"/>
                    <w:rPr>
                      <w:color w:val="auto"/>
                    </w:rPr>
                  </w:pPr>
                </w:p>
              </w:tc>
            </w:tr>
          </w:tbl>
          <w:p>
            <w:pPr>
              <w:bidi w:val="0"/>
              <w:rPr>
                <w:rFonts w:hint="eastAsia"/>
                <w:color w:val="auto"/>
              </w:rPr>
            </w:pPr>
            <w:r>
              <w:rPr>
                <w:rFonts w:hint="eastAsia"/>
                <w:color w:val="auto"/>
              </w:rPr>
              <w:t>产品质量符合《复合肥料》（GB</w:t>
            </w:r>
            <w:r>
              <w:rPr>
                <w:rFonts w:hint="eastAsia"/>
                <w:color w:val="auto"/>
                <w:lang w:val="en-US" w:eastAsia="zh-CN"/>
              </w:rPr>
              <w:t>/</w:t>
            </w:r>
            <w:r>
              <w:rPr>
                <w:rFonts w:hint="eastAsia"/>
                <w:color w:val="auto"/>
              </w:rPr>
              <w:t>T 15063-2020）的要求</w:t>
            </w:r>
            <w:r>
              <w:rPr>
                <w:rFonts w:hint="eastAsia"/>
                <w:color w:val="auto"/>
                <w:lang w:eastAsia="zh-CN"/>
              </w:rPr>
              <w:t>，</w:t>
            </w:r>
            <w:r>
              <w:rPr>
                <w:rFonts w:hint="eastAsia"/>
                <w:color w:val="auto"/>
                <w:lang w:val="en-US" w:eastAsia="zh-CN"/>
              </w:rPr>
              <w:t>具体技术指标要求详见下表</w:t>
            </w:r>
            <w:r>
              <w:rPr>
                <w:rFonts w:hint="eastAsia"/>
                <w:color w:val="auto"/>
              </w:rPr>
              <w:t>。</w:t>
            </w:r>
          </w:p>
          <w:p>
            <w:pPr>
              <w:pStyle w:val="14"/>
              <w:bidi w:val="0"/>
              <w:rPr>
                <w:rFonts w:hint="eastAsia"/>
                <w:color w:val="auto"/>
                <w:lang w:val="en-US" w:eastAsia="zh-CN"/>
              </w:rPr>
            </w:pPr>
            <w:r>
              <w:rPr>
                <w:rFonts w:hint="eastAsia"/>
                <w:color w:val="auto"/>
              </w:rPr>
              <w:t>表2-</w:t>
            </w:r>
            <w:r>
              <w:rPr>
                <w:rFonts w:hint="eastAsia"/>
                <w:color w:val="auto"/>
                <w:lang w:val="en-US" w:eastAsia="zh-CN"/>
              </w:rPr>
              <w:t>3</w:t>
            </w:r>
            <w:r>
              <w:rPr>
                <w:rFonts w:hint="eastAsia"/>
                <w:color w:val="auto"/>
              </w:rPr>
              <w:t xml:space="preserve">   </w:t>
            </w:r>
            <w:r>
              <w:rPr>
                <w:rFonts w:hint="eastAsia"/>
                <w:color w:val="auto"/>
                <w:lang w:val="en-US" w:eastAsia="zh-CN"/>
              </w:rPr>
              <w:t>复合肥料技术指标</w:t>
            </w:r>
          </w:p>
          <w:p>
            <w:pPr>
              <w:pStyle w:val="15"/>
              <w:rPr>
                <w:rFonts w:hint="default"/>
                <w:color w:val="auto"/>
                <w:lang w:val="en-US" w:eastAsia="zh-CN"/>
              </w:rPr>
            </w:pPr>
            <w:r>
              <w:rPr>
                <w:color w:val="auto"/>
              </w:rPr>
              <w:drawing>
                <wp:inline distT="0" distB="0" distL="114300" distR="114300">
                  <wp:extent cx="5357495" cy="2433955"/>
                  <wp:effectExtent l="0" t="0" r="6985" b="444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13"/>
                          <a:stretch>
                            <a:fillRect/>
                          </a:stretch>
                        </pic:blipFill>
                        <pic:spPr>
                          <a:xfrm>
                            <a:off x="0" y="0"/>
                            <a:ext cx="5357495" cy="2433955"/>
                          </a:xfrm>
                          <a:prstGeom prst="rect">
                            <a:avLst/>
                          </a:prstGeom>
                          <a:noFill/>
                          <a:ln>
                            <a:noFill/>
                          </a:ln>
                        </pic:spPr>
                      </pic:pic>
                    </a:graphicData>
                  </a:graphic>
                </wp:inline>
              </w:drawing>
            </w:r>
          </w:p>
          <w:p>
            <w:pPr>
              <w:ind w:firstLine="0" w:firstLineChars="0"/>
              <w:jc w:val="center"/>
              <w:rPr>
                <w:rFonts w:hint="eastAsia"/>
                <w:color w:val="auto"/>
              </w:rPr>
            </w:pPr>
            <w:r>
              <w:rPr>
                <w:color w:val="auto"/>
              </w:rPr>
              <w:drawing>
                <wp:inline distT="0" distB="0" distL="114300" distR="114300">
                  <wp:extent cx="5363210" cy="1576070"/>
                  <wp:effectExtent l="0" t="0" r="1270" b="8890"/>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pic:cNvPicPr>
                        </pic:nvPicPr>
                        <pic:blipFill>
                          <a:blip r:embed="rId14"/>
                          <a:stretch>
                            <a:fillRect/>
                          </a:stretch>
                        </pic:blipFill>
                        <pic:spPr>
                          <a:xfrm>
                            <a:off x="0" y="0"/>
                            <a:ext cx="5363210" cy="1576070"/>
                          </a:xfrm>
                          <a:prstGeom prst="rect">
                            <a:avLst/>
                          </a:prstGeom>
                          <a:noFill/>
                          <a:ln>
                            <a:noFill/>
                          </a:ln>
                        </pic:spPr>
                      </pic:pic>
                    </a:graphicData>
                  </a:graphic>
                </wp:inline>
              </w:drawing>
            </w:r>
          </w:p>
          <w:p>
            <w:pPr>
              <w:ind w:firstLine="0" w:firstLineChars="0"/>
              <w:rPr>
                <w:color w:val="auto"/>
              </w:rPr>
            </w:pPr>
            <w:r>
              <w:rPr>
                <w:rFonts w:hint="eastAsia"/>
                <w:color w:val="auto"/>
              </w:rPr>
              <w:t>4、</w:t>
            </w:r>
            <w:r>
              <w:rPr>
                <w:color w:val="auto"/>
              </w:rPr>
              <w:t>主要原辅材料</w:t>
            </w:r>
          </w:p>
          <w:p>
            <w:pPr>
              <w:ind w:firstLine="480"/>
              <w:rPr>
                <w:color w:val="auto"/>
              </w:rPr>
            </w:pPr>
            <w:r>
              <w:rPr>
                <w:rFonts w:hint="eastAsia"/>
                <w:color w:val="auto"/>
              </w:rPr>
              <w:t>改建</w:t>
            </w:r>
            <w:r>
              <w:rPr>
                <w:color w:val="auto"/>
              </w:rPr>
              <w:t>项目主要原料</w:t>
            </w:r>
            <w:r>
              <w:rPr>
                <w:rFonts w:hint="eastAsia"/>
                <w:color w:val="auto"/>
              </w:rPr>
              <w:t>新增铵法硫酸亚铁除杂废渣、铵法压滤洗涤废水处理废渣等含磷一般固废</w:t>
            </w:r>
            <w:r>
              <w:rPr>
                <w:rFonts w:hint="eastAsia"/>
                <w:color w:val="auto"/>
                <w:lang w:eastAsia="zh-CN"/>
              </w:rPr>
              <w:t>（项目处理含磷固废均为一般固废，不处理列入危险废物名录中的危险废物）</w:t>
            </w:r>
            <w:r>
              <w:rPr>
                <w:color w:val="auto"/>
              </w:rPr>
              <w:t>，</w:t>
            </w:r>
            <w:r>
              <w:rPr>
                <w:rFonts w:hint="eastAsia"/>
                <w:color w:val="auto"/>
              </w:rPr>
              <w:t>主要原辅</w:t>
            </w:r>
            <w:r>
              <w:rPr>
                <w:rFonts w:hint="eastAsia"/>
                <w:color w:val="auto"/>
                <w:lang w:val="en-US" w:eastAsia="zh-CN"/>
              </w:rPr>
              <w:t>材料</w:t>
            </w:r>
            <w:r>
              <w:rPr>
                <w:rFonts w:hint="eastAsia"/>
                <w:color w:val="auto"/>
              </w:rPr>
              <w:t>消耗</w:t>
            </w:r>
            <w:r>
              <w:rPr>
                <w:color w:val="auto"/>
              </w:rPr>
              <w:t>量</w:t>
            </w:r>
            <w:r>
              <w:rPr>
                <w:rFonts w:hint="eastAsia"/>
                <w:color w:val="auto"/>
              </w:rPr>
              <w:t>及变化情况</w:t>
            </w:r>
            <w:r>
              <w:rPr>
                <w:color w:val="auto"/>
              </w:rPr>
              <w:t>见下表。</w:t>
            </w:r>
          </w:p>
          <w:p>
            <w:pPr>
              <w:pStyle w:val="14"/>
              <w:rPr>
                <w:color w:val="auto"/>
              </w:rPr>
            </w:pPr>
            <w:r>
              <w:rPr>
                <w:color w:val="auto"/>
              </w:rPr>
              <w:t>表2-</w:t>
            </w:r>
            <w:r>
              <w:rPr>
                <w:rFonts w:hint="eastAsia"/>
                <w:color w:val="auto"/>
                <w:lang w:val="en-US" w:eastAsia="zh-CN"/>
              </w:rPr>
              <w:t>4</w:t>
            </w:r>
            <w:r>
              <w:rPr>
                <w:color w:val="auto"/>
              </w:rPr>
              <w:t xml:space="preserve"> </w:t>
            </w:r>
            <w:r>
              <w:rPr>
                <w:rFonts w:hint="eastAsia"/>
                <w:color w:val="auto"/>
              </w:rPr>
              <w:t xml:space="preserve"> 项目主要</w:t>
            </w:r>
            <w:r>
              <w:rPr>
                <w:color w:val="auto"/>
              </w:rPr>
              <w:t>原辅材料</w:t>
            </w:r>
            <w:r>
              <w:rPr>
                <w:rFonts w:hint="eastAsia"/>
                <w:color w:val="auto"/>
              </w:rPr>
              <w:t>消耗</w:t>
            </w:r>
            <w:r>
              <w:rPr>
                <w:color w:val="auto"/>
              </w:rPr>
              <w:t>量</w:t>
            </w:r>
            <w:r>
              <w:rPr>
                <w:rFonts w:hint="eastAsia"/>
                <w:color w:val="auto"/>
              </w:rPr>
              <w:t>及变化情况</w:t>
            </w:r>
            <w:r>
              <w:rPr>
                <w:color w:val="auto"/>
              </w:rPr>
              <w:t>一览表</w:t>
            </w:r>
          </w:p>
          <w:tbl>
            <w:tblPr>
              <w:tblStyle w:val="10"/>
              <w:tblW w:w="8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0"/>
              <w:gridCol w:w="928"/>
              <w:gridCol w:w="652"/>
              <w:gridCol w:w="652"/>
              <w:gridCol w:w="680"/>
              <w:gridCol w:w="766"/>
              <w:gridCol w:w="630"/>
              <w:gridCol w:w="1280"/>
              <w:gridCol w:w="2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Merge w:val="restart"/>
                  <w:vAlign w:val="center"/>
                </w:tcPr>
                <w:p>
                  <w:pPr>
                    <w:pStyle w:val="15"/>
                    <w:rPr>
                      <w:color w:val="auto"/>
                    </w:rPr>
                  </w:pPr>
                  <w:r>
                    <w:rPr>
                      <w:rFonts w:hint="eastAsia"/>
                      <w:color w:val="auto"/>
                    </w:rPr>
                    <w:t>序号</w:t>
                  </w:r>
                </w:p>
              </w:tc>
              <w:tc>
                <w:tcPr>
                  <w:tcW w:w="928" w:type="dxa"/>
                  <w:vMerge w:val="restart"/>
                  <w:vAlign w:val="center"/>
                </w:tcPr>
                <w:p>
                  <w:pPr>
                    <w:pStyle w:val="15"/>
                    <w:rPr>
                      <w:color w:val="auto"/>
                    </w:rPr>
                  </w:pPr>
                  <w:r>
                    <w:rPr>
                      <w:color w:val="auto"/>
                    </w:rPr>
                    <w:t>名称</w:t>
                  </w:r>
                </w:p>
              </w:tc>
              <w:tc>
                <w:tcPr>
                  <w:tcW w:w="1984" w:type="dxa"/>
                  <w:gridSpan w:val="3"/>
                  <w:vAlign w:val="center"/>
                </w:tcPr>
                <w:p>
                  <w:pPr>
                    <w:pStyle w:val="15"/>
                    <w:rPr>
                      <w:color w:val="auto"/>
                    </w:rPr>
                  </w:pPr>
                  <w:r>
                    <w:rPr>
                      <w:color w:val="auto"/>
                    </w:rPr>
                    <w:t>年耗量（万吨）</w:t>
                  </w:r>
                </w:p>
              </w:tc>
              <w:tc>
                <w:tcPr>
                  <w:tcW w:w="766" w:type="dxa"/>
                  <w:vMerge w:val="restart"/>
                  <w:vAlign w:val="center"/>
                </w:tcPr>
                <w:p>
                  <w:pPr>
                    <w:pStyle w:val="15"/>
                    <w:rPr>
                      <w:color w:val="auto"/>
                    </w:rPr>
                  </w:pPr>
                  <w:r>
                    <w:rPr>
                      <w:rFonts w:hint="eastAsia"/>
                      <w:color w:val="auto"/>
                    </w:rPr>
                    <w:t>形态</w:t>
                  </w:r>
                </w:p>
              </w:tc>
              <w:tc>
                <w:tcPr>
                  <w:tcW w:w="630" w:type="dxa"/>
                  <w:vMerge w:val="restart"/>
                  <w:vAlign w:val="center"/>
                </w:tcPr>
                <w:p>
                  <w:pPr>
                    <w:pStyle w:val="15"/>
                    <w:rPr>
                      <w:color w:val="auto"/>
                    </w:rPr>
                  </w:pPr>
                  <w:r>
                    <w:rPr>
                      <w:rFonts w:hint="eastAsia"/>
                      <w:color w:val="auto"/>
                    </w:rPr>
                    <w:t>储存方式</w:t>
                  </w:r>
                </w:p>
              </w:tc>
              <w:tc>
                <w:tcPr>
                  <w:tcW w:w="1280" w:type="dxa"/>
                  <w:vMerge w:val="restart"/>
                  <w:vAlign w:val="center"/>
                </w:tcPr>
                <w:p>
                  <w:pPr>
                    <w:pStyle w:val="15"/>
                    <w:rPr>
                      <w:color w:val="auto"/>
                    </w:rPr>
                  </w:pPr>
                  <w:r>
                    <w:rPr>
                      <w:rFonts w:hint="eastAsia"/>
                      <w:color w:val="auto"/>
                    </w:rPr>
                    <w:t>项目区</w:t>
                  </w:r>
                  <w:r>
                    <w:rPr>
                      <w:color w:val="auto"/>
                    </w:rPr>
                    <w:t>最大存储量（t）</w:t>
                  </w:r>
                </w:p>
              </w:tc>
              <w:tc>
                <w:tcPr>
                  <w:tcW w:w="2339" w:type="dxa"/>
                  <w:vMerge w:val="restart"/>
                  <w:vAlign w:val="center"/>
                </w:tcPr>
                <w:p>
                  <w:pPr>
                    <w:pStyle w:val="15"/>
                    <w:rPr>
                      <w:color w:val="auto"/>
                    </w:rPr>
                  </w:pPr>
                  <w:r>
                    <w:rPr>
                      <w:color w:val="auto"/>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Merge w:val="continue"/>
                  <w:vAlign w:val="center"/>
                </w:tcPr>
                <w:p>
                  <w:pPr>
                    <w:pStyle w:val="15"/>
                    <w:rPr>
                      <w:color w:val="auto"/>
                    </w:rPr>
                  </w:pPr>
                </w:p>
              </w:tc>
              <w:tc>
                <w:tcPr>
                  <w:tcW w:w="928" w:type="dxa"/>
                  <w:vMerge w:val="continue"/>
                  <w:vAlign w:val="center"/>
                </w:tcPr>
                <w:p>
                  <w:pPr>
                    <w:pStyle w:val="15"/>
                    <w:rPr>
                      <w:color w:val="auto"/>
                    </w:rPr>
                  </w:pPr>
                </w:p>
              </w:tc>
              <w:tc>
                <w:tcPr>
                  <w:tcW w:w="652" w:type="dxa"/>
                  <w:vAlign w:val="center"/>
                </w:tcPr>
                <w:p>
                  <w:pPr>
                    <w:pStyle w:val="15"/>
                    <w:rPr>
                      <w:color w:val="auto"/>
                    </w:rPr>
                  </w:pPr>
                  <w:r>
                    <w:rPr>
                      <w:rFonts w:hint="eastAsia"/>
                      <w:color w:val="auto"/>
                    </w:rPr>
                    <w:t>改</w:t>
                  </w:r>
                  <w:r>
                    <w:rPr>
                      <w:color w:val="auto"/>
                    </w:rPr>
                    <w:t>建前</w:t>
                  </w:r>
                </w:p>
              </w:tc>
              <w:tc>
                <w:tcPr>
                  <w:tcW w:w="652" w:type="dxa"/>
                  <w:vAlign w:val="center"/>
                </w:tcPr>
                <w:p>
                  <w:pPr>
                    <w:pStyle w:val="15"/>
                    <w:rPr>
                      <w:color w:val="auto"/>
                    </w:rPr>
                  </w:pPr>
                  <w:r>
                    <w:rPr>
                      <w:rFonts w:hint="eastAsia"/>
                      <w:color w:val="auto"/>
                    </w:rPr>
                    <w:t>改</w:t>
                  </w:r>
                  <w:r>
                    <w:rPr>
                      <w:color w:val="auto"/>
                    </w:rPr>
                    <w:t>建后</w:t>
                  </w:r>
                </w:p>
              </w:tc>
              <w:tc>
                <w:tcPr>
                  <w:tcW w:w="680" w:type="dxa"/>
                  <w:vAlign w:val="center"/>
                </w:tcPr>
                <w:p>
                  <w:pPr>
                    <w:pStyle w:val="15"/>
                    <w:rPr>
                      <w:color w:val="auto"/>
                    </w:rPr>
                  </w:pPr>
                  <w:r>
                    <w:rPr>
                      <w:color w:val="auto"/>
                    </w:rPr>
                    <w:t>变化情况</w:t>
                  </w:r>
                </w:p>
              </w:tc>
              <w:tc>
                <w:tcPr>
                  <w:tcW w:w="766" w:type="dxa"/>
                  <w:vMerge w:val="continue"/>
                  <w:vAlign w:val="center"/>
                </w:tcPr>
                <w:p>
                  <w:pPr>
                    <w:pStyle w:val="15"/>
                    <w:rPr>
                      <w:color w:val="auto"/>
                    </w:rPr>
                  </w:pPr>
                </w:p>
              </w:tc>
              <w:tc>
                <w:tcPr>
                  <w:tcW w:w="630" w:type="dxa"/>
                  <w:vMerge w:val="continue"/>
                  <w:vAlign w:val="center"/>
                </w:tcPr>
                <w:p>
                  <w:pPr>
                    <w:pStyle w:val="15"/>
                    <w:rPr>
                      <w:color w:val="auto"/>
                    </w:rPr>
                  </w:pPr>
                </w:p>
              </w:tc>
              <w:tc>
                <w:tcPr>
                  <w:tcW w:w="1280" w:type="dxa"/>
                  <w:vMerge w:val="continue"/>
                  <w:vAlign w:val="center"/>
                </w:tcPr>
                <w:p>
                  <w:pPr>
                    <w:pStyle w:val="15"/>
                    <w:rPr>
                      <w:color w:val="auto"/>
                    </w:rPr>
                  </w:pPr>
                </w:p>
              </w:tc>
              <w:tc>
                <w:tcPr>
                  <w:tcW w:w="2339"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p>
              </w:tc>
              <w:tc>
                <w:tcPr>
                  <w:tcW w:w="5588" w:type="dxa"/>
                  <w:gridSpan w:val="7"/>
                  <w:vAlign w:val="center"/>
                </w:tcPr>
                <w:p>
                  <w:pPr>
                    <w:pStyle w:val="15"/>
                    <w:rPr>
                      <w:color w:val="auto"/>
                    </w:rPr>
                  </w:pPr>
                  <w:r>
                    <w:rPr>
                      <w:rFonts w:hint="eastAsia"/>
                      <w:color w:val="auto"/>
                    </w:rPr>
                    <w:t>复合肥生产线</w:t>
                  </w:r>
                </w:p>
              </w:tc>
              <w:tc>
                <w:tcPr>
                  <w:tcW w:w="2339" w:type="dxa"/>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1</w:t>
                  </w:r>
                </w:p>
              </w:tc>
              <w:tc>
                <w:tcPr>
                  <w:tcW w:w="928" w:type="dxa"/>
                  <w:vAlign w:val="center"/>
                </w:tcPr>
                <w:p>
                  <w:pPr>
                    <w:pStyle w:val="15"/>
                    <w:rPr>
                      <w:color w:val="auto"/>
                    </w:rPr>
                  </w:pPr>
                  <w:r>
                    <w:rPr>
                      <w:rFonts w:hint="eastAsia"/>
                      <w:color w:val="auto"/>
                    </w:rPr>
                    <w:t>硫酸亚铁除杂废渣</w:t>
                  </w:r>
                </w:p>
              </w:tc>
              <w:tc>
                <w:tcPr>
                  <w:tcW w:w="652" w:type="dxa"/>
                  <w:vAlign w:val="center"/>
                </w:tcPr>
                <w:p>
                  <w:pPr>
                    <w:pStyle w:val="15"/>
                    <w:rPr>
                      <w:color w:val="auto"/>
                    </w:rPr>
                  </w:pPr>
                  <w:r>
                    <w:rPr>
                      <w:rFonts w:hint="eastAsia"/>
                      <w:color w:val="auto"/>
                    </w:rPr>
                    <w:t>0</w:t>
                  </w:r>
                </w:p>
              </w:tc>
              <w:tc>
                <w:tcPr>
                  <w:tcW w:w="652" w:type="dxa"/>
                  <w:vAlign w:val="center"/>
                </w:tcPr>
                <w:p>
                  <w:pPr>
                    <w:pStyle w:val="15"/>
                    <w:rPr>
                      <w:color w:val="auto"/>
                    </w:rPr>
                  </w:pPr>
                  <w:r>
                    <w:rPr>
                      <w:rFonts w:hint="eastAsia"/>
                      <w:color w:val="auto"/>
                    </w:rPr>
                    <w:t>0.37</w:t>
                  </w:r>
                </w:p>
              </w:tc>
              <w:tc>
                <w:tcPr>
                  <w:tcW w:w="680" w:type="dxa"/>
                  <w:vAlign w:val="center"/>
                </w:tcPr>
                <w:p>
                  <w:pPr>
                    <w:pStyle w:val="15"/>
                    <w:rPr>
                      <w:color w:val="auto"/>
                    </w:rPr>
                  </w:pPr>
                  <w:r>
                    <w:rPr>
                      <w:rFonts w:hint="eastAsia"/>
                      <w:color w:val="auto"/>
                    </w:rPr>
                    <w:t>+0.37</w:t>
                  </w:r>
                </w:p>
              </w:tc>
              <w:tc>
                <w:tcPr>
                  <w:tcW w:w="766" w:type="dxa"/>
                  <w:vAlign w:val="center"/>
                </w:tcPr>
                <w:p>
                  <w:pPr>
                    <w:pStyle w:val="15"/>
                    <w:rPr>
                      <w:rFonts w:hint="eastAsia" w:eastAsia="宋体"/>
                      <w:color w:val="auto"/>
                      <w:lang w:val="en-US" w:eastAsia="zh-CN"/>
                    </w:rPr>
                  </w:pPr>
                  <w:r>
                    <w:rPr>
                      <w:rFonts w:hint="eastAsia"/>
                      <w:color w:val="auto"/>
                      <w:lang w:val="en-US" w:eastAsia="zh-CN"/>
                    </w:rPr>
                    <w:t>粉状</w:t>
                  </w:r>
                </w:p>
              </w:tc>
              <w:tc>
                <w:tcPr>
                  <w:tcW w:w="630" w:type="dxa"/>
                  <w:vAlign w:val="center"/>
                </w:tcPr>
                <w:p>
                  <w:pPr>
                    <w:pStyle w:val="15"/>
                    <w:rPr>
                      <w:color w:val="auto"/>
                    </w:rPr>
                  </w:pPr>
                  <w:r>
                    <w:rPr>
                      <w:rFonts w:hint="eastAsia"/>
                      <w:color w:val="auto"/>
                    </w:rPr>
                    <w:t>散装</w:t>
                  </w:r>
                </w:p>
              </w:tc>
              <w:tc>
                <w:tcPr>
                  <w:tcW w:w="1280" w:type="dxa"/>
                  <w:vAlign w:val="center"/>
                </w:tcPr>
                <w:p>
                  <w:pPr>
                    <w:pStyle w:val="15"/>
                    <w:rPr>
                      <w:rFonts w:hint="eastAsia" w:eastAsia="宋体"/>
                      <w:color w:val="auto"/>
                      <w:lang w:val="en-US" w:eastAsia="zh-CN"/>
                    </w:rPr>
                  </w:pPr>
                  <w:r>
                    <w:rPr>
                      <w:rFonts w:hint="eastAsia"/>
                      <w:color w:val="auto"/>
                    </w:rPr>
                    <w:t>31</w:t>
                  </w:r>
                  <w:r>
                    <w:rPr>
                      <w:rFonts w:hint="eastAsia"/>
                      <w:color w:val="auto"/>
                      <w:lang w:val="en-US" w:eastAsia="zh-CN"/>
                    </w:rPr>
                    <w:t>0</w:t>
                  </w:r>
                </w:p>
              </w:tc>
              <w:tc>
                <w:tcPr>
                  <w:tcW w:w="2339" w:type="dxa"/>
                  <w:vAlign w:val="center"/>
                </w:tcPr>
                <w:p>
                  <w:pPr>
                    <w:pStyle w:val="15"/>
                    <w:rPr>
                      <w:color w:val="auto"/>
                    </w:rPr>
                  </w:pPr>
                  <w:r>
                    <w:rPr>
                      <w:rFonts w:hint="eastAsia"/>
                      <w:color w:val="auto"/>
                    </w:rPr>
                    <w:t>外采（云南天安化工有限公司磷酸铁装置生产）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2</w:t>
                  </w:r>
                </w:p>
              </w:tc>
              <w:tc>
                <w:tcPr>
                  <w:tcW w:w="928" w:type="dxa"/>
                  <w:vAlign w:val="center"/>
                </w:tcPr>
                <w:p>
                  <w:pPr>
                    <w:pStyle w:val="15"/>
                    <w:rPr>
                      <w:color w:val="auto"/>
                    </w:rPr>
                  </w:pPr>
                  <w:r>
                    <w:rPr>
                      <w:rFonts w:hint="eastAsia"/>
                      <w:color w:val="auto"/>
                    </w:rPr>
                    <w:t>中水除杂废渣</w:t>
                  </w:r>
                </w:p>
              </w:tc>
              <w:tc>
                <w:tcPr>
                  <w:tcW w:w="652" w:type="dxa"/>
                  <w:vAlign w:val="center"/>
                </w:tcPr>
                <w:p>
                  <w:pPr>
                    <w:pStyle w:val="15"/>
                    <w:rPr>
                      <w:color w:val="auto"/>
                    </w:rPr>
                  </w:pPr>
                  <w:r>
                    <w:rPr>
                      <w:rFonts w:hint="eastAsia"/>
                      <w:color w:val="auto"/>
                    </w:rPr>
                    <w:t>0</w:t>
                  </w:r>
                </w:p>
              </w:tc>
              <w:tc>
                <w:tcPr>
                  <w:tcW w:w="652" w:type="dxa"/>
                  <w:vAlign w:val="center"/>
                </w:tcPr>
                <w:p>
                  <w:pPr>
                    <w:pStyle w:val="15"/>
                    <w:rPr>
                      <w:color w:val="auto"/>
                    </w:rPr>
                  </w:pPr>
                  <w:r>
                    <w:rPr>
                      <w:rFonts w:hint="eastAsia"/>
                      <w:color w:val="auto"/>
                    </w:rPr>
                    <w:t>0.29</w:t>
                  </w:r>
                </w:p>
              </w:tc>
              <w:tc>
                <w:tcPr>
                  <w:tcW w:w="680" w:type="dxa"/>
                  <w:vAlign w:val="center"/>
                </w:tcPr>
                <w:p>
                  <w:pPr>
                    <w:pStyle w:val="15"/>
                    <w:rPr>
                      <w:color w:val="auto"/>
                    </w:rPr>
                  </w:pPr>
                  <w:r>
                    <w:rPr>
                      <w:rFonts w:hint="eastAsia"/>
                      <w:color w:val="auto"/>
                    </w:rPr>
                    <w:t>+0.29</w:t>
                  </w:r>
                </w:p>
              </w:tc>
              <w:tc>
                <w:tcPr>
                  <w:tcW w:w="766" w:type="dxa"/>
                  <w:vAlign w:val="center"/>
                </w:tcPr>
                <w:p>
                  <w:pPr>
                    <w:pStyle w:val="15"/>
                    <w:rPr>
                      <w:color w:val="auto"/>
                    </w:rPr>
                  </w:pPr>
                  <w:r>
                    <w:rPr>
                      <w:rFonts w:hint="eastAsia"/>
                      <w:color w:val="auto"/>
                      <w:lang w:val="en-US" w:eastAsia="zh-CN"/>
                    </w:rPr>
                    <w:t>粉状</w:t>
                  </w:r>
                </w:p>
              </w:tc>
              <w:tc>
                <w:tcPr>
                  <w:tcW w:w="630" w:type="dxa"/>
                  <w:vAlign w:val="center"/>
                </w:tcPr>
                <w:p>
                  <w:pPr>
                    <w:pStyle w:val="15"/>
                    <w:rPr>
                      <w:color w:val="auto"/>
                    </w:rPr>
                  </w:pPr>
                  <w:r>
                    <w:rPr>
                      <w:rFonts w:hint="eastAsia"/>
                      <w:color w:val="auto"/>
                    </w:rPr>
                    <w:t>散装</w:t>
                  </w:r>
                </w:p>
              </w:tc>
              <w:tc>
                <w:tcPr>
                  <w:tcW w:w="1280" w:type="dxa"/>
                  <w:vAlign w:val="center"/>
                </w:tcPr>
                <w:p>
                  <w:pPr>
                    <w:pStyle w:val="15"/>
                    <w:rPr>
                      <w:rFonts w:hint="eastAsia" w:eastAsia="宋体"/>
                      <w:color w:val="auto"/>
                      <w:lang w:val="en-US" w:eastAsia="zh-CN"/>
                    </w:rPr>
                  </w:pPr>
                  <w:r>
                    <w:rPr>
                      <w:rFonts w:hint="eastAsia"/>
                      <w:color w:val="auto"/>
                    </w:rPr>
                    <w:t>24</w:t>
                  </w:r>
                  <w:r>
                    <w:rPr>
                      <w:rFonts w:hint="eastAsia"/>
                      <w:color w:val="auto"/>
                      <w:lang w:val="en-US" w:eastAsia="zh-CN"/>
                    </w:rPr>
                    <w:t>0</w:t>
                  </w:r>
                </w:p>
              </w:tc>
              <w:tc>
                <w:tcPr>
                  <w:tcW w:w="2339" w:type="dxa"/>
                  <w:vAlign w:val="center"/>
                </w:tcPr>
                <w:p>
                  <w:pPr>
                    <w:pStyle w:val="15"/>
                    <w:rPr>
                      <w:color w:val="auto"/>
                    </w:rPr>
                  </w:pPr>
                  <w:r>
                    <w:rPr>
                      <w:rFonts w:hint="eastAsia"/>
                      <w:color w:val="auto"/>
                    </w:rPr>
                    <w:t>外采（云南天安化工有限公司磷酸铁装置生产）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3</w:t>
                  </w:r>
                </w:p>
              </w:tc>
              <w:tc>
                <w:tcPr>
                  <w:tcW w:w="928" w:type="dxa"/>
                  <w:vAlign w:val="center"/>
                </w:tcPr>
                <w:p>
                  <w:pPr>
                    <w:pStyle w:val="15"/>
                    <w:rPr>
                      <w:color w:val="auto"/>
                    </w:rPr>
                  </w:pPr>
                  <w:r>
                    <w:rPr>
                      <w:rFonts w:hint="eastAsia"/>
                      <w:color w:val="auto"/>
                    </w:rPr>
                    <w:t>尿素</w:t>
                  </w:r>
                </w:p>
              </w:tc>
              <w:tc>
                <w:tcPr>
                  <w:tcW w:w="652" w:type="dxa"/>
                  <w:vAlign w:val="center"/>
                </w:tcPr>
                <w:p>
                  <w:pPr>
                    <w:pStyle w:val="15"/>
                    <w:rPr>
                      <w:color w:val="auto"/>
                    </w:rPr>
                  </w:pPr>
                  <w:r>
                    <w:rPr>
                      <w:rFonts w:hint="eastAsia"/>
                      <w:color w:val="auto"/>
                    </w:rPr>
                    <w:t>0.09</w:t>
                  </w:r>
                </w:p>
              </w:tc>
              <w:tc>
                <w:tcPr>
                  <w:tcW w:w="652" w:type="dxa"/>
                  <w:vAlign w:val="center"/>
                </w:tcPr>
                <w:p>
                  <w:pPr>
                    <w:pStyle w:val="15"/>
                    <w:rPr>
                      <w:color w:val="auto"/>
                    </w:rPr>
                  </w:pPr>
                  <w:r>
                    <w:rPr>
                      <w:rFonts w:hint="eastAsia"/>
                      <w:color w:val="auto"/>
                    </w:rPr>
                    <w:t>0.58</w:t>
                  </w:r>
                </w:p>
              </w:tc>
              <w:tc>
                <w:tcPr>
                  <w:tcW w:w="680" w:type="dxa"/>
                  <w:vAlign w:val="center"/>
                </w:tcPr>
                <w:p>
                  <w:pPr>
                    <w:pStyle w:val="15"/>
                    <w:rPr>
                      <w:color w:val="auto"/>
                    </w:rPr>
                  </w:pPr>
                  <w:r>
                    <w:rPr>
                      <w:rFonts w:hint="eastAsia"/>
                      <w:color w:val="auto"/>
                    </w:rPr>
                    <w:t>+0.49</w:t>
                  </w:r>
                </w:p>
              </w:tc>
              <w:tc>
                <w:tcPr>
                  <w:tcW w:w="766" w:type="dxa"/>
                  <w:vAlign w:val="center"/>
                </w:tcPr>
                <w:p>
                  <w:pPr>
                    <w:pStyle w:val="15"/>
                    <w:rPr>
                      <w:rFonts w:hint="eastAsia" w:eastAsia="宋体"/>
                      <w:color w:val="auto"/>
                      <w:lang w:eastAsia="zh-CN"/>
                    </w:rPr>
                  </w:pPr>
                  <w:r>
                    <w:rPr>
                      <w:rFonts w:hint="eastAsia"/>
                      <w:color w:val="auto"/>
                      <w:lang w:val="en-US" w:eastAsia="zh-CN"/>
                    </w:rPr>
                    <w:t>粉状</w:t>
                  </w:r>
                </w:p>
              </w:tc>
              <w:tc>
                <w:tcPr>
                  <w:tcW w:w="630" w:type="dxa"/>
                  <w:vAlign w:val="center"/>
                </w:tcPr>
                <w:p>
                  <w:pPr>
                    <w:pStyle w:val="15"/>
                    <w:rPr>
                      <w:color w:val="auto"/>
                    </w:rPr>
                  </w:pPr>
                  <w:r>
                    <w:rPr>
                      <w:rFonts w:hint="eastAsia"/>
                      <w:color w:val="auto"/>
                    </w:rPr>
                    <w:t>袋装</w:t>
                  </w:r>
                </w:p>
              </w:tc>
              <w:tc>
                <w:tcPr>
                  <w:tcW w:w="1280" w:type="dxa"/>
                  <w:vAlign w:val="center"/>
                </w:tcPr>
                <w:p>
                  <w:pPr>
                    <w:pStyle w:val="15"/>
                    <w:rPr>
                      <w:rFonts w:hint="default" w:eastAsia="宋体"/>
                      <w:color w:val="auto"/>
                      <w:lang w:val="en-US" w:eastAsia="zh-CN"/>
                    </w:rPr>
                  </w:pPr>
                  <w:r>
                    <w:rPr>
                      <w:rFonts w:hint="eastAsia"/>
                      <w:color w:val="auto"/>
                    </w:rPr>
                    <w:t>5</w:t>
                  </w:r>
                  <w:r>
                    <w:rPr>
                      <w:rFonts w:hint="eastAsia"/>
                      <w:color w:val="auto"/>
                      <w:lang w:val="en-US" w:eastAsia="zh-CN"/>
                    </w:rPr>
                    <w:t>00</w:t>
                  </w:r>
                </w:p>
              </w:tc>
              <w:tc>
                <w:tcPr>
                  <w:tcW w:w="2339" w:type="dxa"/>
                  <w:vAlign w:val="center"/>
                </w:tcPr>
                <w:p>
                  <w:pPr>
                    <w:pStyle w:val="15"/>
                    <w:rPr>
                      <w:color w:val="auto"/>
                    </w:rPr>
                  </w:pPr>
                  <w:r>
                    <w:rPr>
                      <w:rFonts w:hint="eastAsia"/>
                      <w:color w:val="auto"/>
                    </w:rPr>
                    <w:t>外采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4</w:t>
                  </w:r>
                </w:p>
              </w:tc>
              <w:tc>
                <w:tcPr>
                  <w:tcW w:w="928" w:type="dxa"/>
                  <w:vAlign w:val="center"/>
                </w:tcPr>
                <w:p>
                  <w:pPr>
                    <w:pStyle w:val="15"/>
                    <w:rPr>
                      <w:color w:val="auto"/>
                    </w:rPr>
                  </w:pPr>
                  <w:r>
                    <w:rPr>
                      <w:rFonts w:hint="eastAsia"/>
                      <w:color w:val="auto"/>
                    </w:rPr>
                    <w:t>氯化铵</w:t>
                  </w:r>
                </w:p>
              </w:tc>
              <w:tc>
                <w:tcPr>
                  <w:tcW w:w="652" w:type="dxa"/>
                  <w:vAlign w:val="center"/>
                </w:tcPr>
                <w:p>
                  <w:pPr>
                    <w:pStyle w:val="15"/>
                    <w:rPr>
                      <w:color w:val="auto"/>
                    </w:rPr>
                  </w:pPr>
                  <w:r>
                    <w:rPr>
                      <w:rFonts w:hint="eastAsia"/>
                      <w:color w:val="auto"/>
                    </w:rPr>
                    <w:t>1.245</w:t>
                  </w:r>
                </w:p>
              </w:tc>
              <w:tc>
                <w:tcPr>
                  <w:tcW w:w="652" w:type="dxa"/>
                  <w:vAlign w:val="center"/>
                </w:tcPr>
                <w:p>
                  <w:pPr>
                    <w:pStyle w:val="15"/>
                    <w:rPr>
                      <w:color w:val="auto"/>
                    </w:rPr>
                  </w:pPr>
                  <w:r>
                    <w:rPr>
                      <w:rFonts w:hint="eastAsia"/>
                      <w:color w:val="auto"/>
                    </w:rPr>
                    <w:t>0.56</w:t>
                  </w:r>
                </w:p>
              </w:tc>
              <w:tc>
                <w:tcPr>
                  <w:tcW w:w="680" w:type="dxa"/>
                  <w:vAlign w:val="center"/>
                </w:tcPr>
                <w:p>
                  <w:pPr>
                    <w:pStyle w:val="15"/>
                    <w:rPr>
                      <w:color w:val="auto"/>
                    </w:rPr>
                  </w:pPr>
                  <w:r>
                    <w:rPr>
                      <w:rFonts w:hint="eastAsia"/>
                      <w:color w:val="auto"/>
                    </w:rPr>
                    <w:t>-0.685</w:t>
                  </w:r>
                </w:p>
              </w:tc>
              <w:tc>
                <w:tcPr>
                  <w:tcW w:w="766" w:type="dxa"/>
                  <w:vAlign w:val="center"/>
                </w:tcPr>
                <w:p>
                  <w:pPr>
                    <w:pStyle w:val="15"/>
                    <w:rPr>
                      <w:color w:val="auto"/>
                    </w:rPr>
                  </w:pPr>
                  <w:r>
                    <w:rPr>
                      <w:rFonts w:hint="eastAsia"/>
                      <w:color w:val="auto"/>
                      <w:lang w:val="en-US" w:eastAsia="zh-CN"/>
                    </w:rPr>
                    <w:t>粉状</w:t>
                  </w:r>
                </w:p>
              </w:tc>
              <w:tc>
                <w:tcPr>
                  <w:tcW w:w="630" w:type="dxa"/>
                  <w:vAlign w:val="center"/>
                </w:tcPr>
                <w:p>
                  <w:pPr>
                    <w:pStyle w:val="15"/>
                    <w:rPr>
                      <w:color w:val="auto"/>
                    </w:rPr>
                  </w:pPr>
                  <w:r>
                    <w:rPr>
                      <w:rFonts w:hint="eastAsia"/>
                      <w:color w:val="auto"/>
                    </w:rPr>
                    <w:t>袋装</w:t>
                  </w:r>
                </w:p>
              </w:tc>
              <w:tc>
                <w:tcPr>
                  <w:tcW w:w="1280" w:type="dxa"/>
                  <w:vAlign w:val="center"/>
                </w:tcPr>
                <w:p>
                  <w:pPr>
                    <w:pStyle w:val="15"/>
                    <w:rPr>
                      <w:rFonts w:hint="eastAsia" w:eastAsia="宋体"/>
                      <w:color w:val="auto"/>
                      <w:lang w:val="en-US" w:eastAsia="zh-CN"/>
                    </w:rPr>
                  </w:pPr>
                  <w:r>
                    <w:rPr>
                      <w:rFonts w:hint="eastAsia"/>
                      <w:color w:val="auto"/>
                    </w:rPr>
                    <w:t>47</w:t>
                  </w:r>
                  <w:r>
                    <w:rPr>
                      <w:rFonts w:hint="eastAsia"/>
                      <w:color w:val="auto"/>
                      <w:lang w:val="en-US" w:eastAsia="zh-CN"/>
                    </w:rPr>
                    <w:t>0</w:t>
                  </w:r>
                </w:p>
              </w:tc>
              <w:tc>
                <w:tcPr>
                  <w:tcW w:w="2339" w:type="dxa"/>
                  <w:vAlign w:val="center"/>
                </w:tcPr>
                <w:p>
                  <w:pPr>
                    <w:pStyle w:val="15"/>
                    <w:rPr>
                      <w:color w:val="auto"/>
                    </w:rPr>
                  </w:pPr>
                  <w:r>
                    <w:rPr>
                      <w:rFonts w:hint="eastAsia"/>
                      <w:color w:val="auto"/>
                    </w:rPr>
                    <w:t>外采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5</w:t>
                  </w:r>
                </w:p>
              </w:tc>
              <w:tc>
                <w:tcPr>
                  <w:tcW w:w="928" w:type="dxa"/>
                  <w:vAlign w:val="center"/>
                </w:tcPr>
                <w:p>
                  <w:pPr>
                    <w:pStyle w:val="15"/>
                    <w:rPr>
                      <w:color w:val="auto"/>
                    </w:rPr>
                  </w:pPr>
                  <w:r>
                    <w:rPr>
                      <w:rFonts w:hint="eastAsia"/>
                      <w:color w:val="auto"/>
                    </w:rPr>
                    <w:t>氯化钾</w:t>
                  </w:r>
                </w:p>
              </w:tc>
              <w:tc>
                <w:tcPr>
                  <w:tcW w:w="652" w:type="dxa"/>
                  <w:vAlign w:val="center"/>
                </w:tcPr>
                <w:p>
                  <w:pPr>
                    <w:pStyle w:val="15"/>
                    <w:rPr>
                      <w:color w:val="auto"/>
                    </w:rPr>
                  </w:pPr>
                  <w:r>
                    <w:rPr>
                      <w:rFonts w:hint="eastAsia"/>
                      <w:color w:val="auto"/>
                    </w:rPr>
                    <w:t>0.375</w:t>
                  </w:r>
                </w:p>
              </w:tc>
              <w:tc>
                <w:tcPr>
                  <w:tcW w:w="652" w:type="dxa"/>
                  <w:vAlign w:val="center"/>
                </w:tcPr>
                <w:p>
                  <w:pPr>
                    <w:pStyle w:val="15"/>
                    <w:rPr>
                      <w:color w:val="auto"/>
                    </w:rPr>
                  </w:pPr>
                  <w:r>
                    <w:rPr>
                      <w:rFonts w:hint="eastAsia"/>
                      <w:color w:val="auto"/>
                    </w:rPr>
                    <w:t>0.31</w:t>
                  </w:r>
                </w:p>
              </w:tc>
              <w:tc>
                <w:tcPr>
                  <w:tcW w:w="680" w:type="dxa"/>
                  <w:vAlign w:val="center"/>
                </w:tcPr>
                <w:p>
                  <w:pPr>
                    <w:pStyle w:val="15"/>
                    <w:rPr>
                      <w:color w:val="auto"/>
                    </w:rPr>
                  </w:pPr>
                  <w:r>
                    <w:rPr>
                      <w:rFonts w:hint="eastAsia"/>
                      <w:color w:val="auto"/>
                    </w:rPr>
                    <w:t>-0.0065</w:t>
                  </w:r>
                </w:p>
              </w:tc>
              <w:tc>
                <w:tcPr>
                  <w:tcW w:w="766" w:type="dxa"/>
                  <w:vAlign w:val="center"/>
                </w:tcPr>
                <w:p>
                  <w:pPr>
                    <w:pStyle w:val="15"/>
                    <w:rPr>
                      <w:color w:val="auto"/>
                    </w:rPr>
                  </w:pPr>
                  <w:r>
                    <w:rPr>
                      <w:rFonts w:hint="eastAsia"/>
                      <w:color w:val="auto"/>
                      <w:lang w:val="en-US" w:eastAsia="zh-CN"/>
                    </w:rPr>
                    <w:t>粉状</w:t>
                  </w:r>
                </w:p>
              </w:tc>
              <w:tc>
                <w:tcPr>
                  <w:tcW w:w="630" w:type="dxa"/>
                  <w:vAlign w:val="center"/>
                </w:tcPr>
                <w:p>
                  <w:pPr>
                    <w:pStyle w:val="15"/>
                    <w:rPr>
                      <w:color w:val="auto"/>
                    </w:rPr>
                  </w:pPr>
                  <w:r>
                    <w:rPr>
                      <w:rFonts w:hint="eastAsia"/>
                      <w:color w:val="auto"/>
                    </w:rPr>
                    <w:t>袋装</w:t>
                  </w:r>
                </w:p>
              </w:tc>
              <w:tc>
                <w:tcPr>
                  <w:tcW w:w="1280" w:type="dxa"/>
                  <w:vAlign w:val="center"/>
                </w:tcPr>
                <w:p>
                  <w:pPr>
                    <w:pStyle w:val="15"/>
                    <w:rPr>
                      <w:rFonts w:hint="eastAsia" w:eastAsia="宋体"/>
                      <w:color w:val="auto"/>
                      <w:lang w:val="en-US" w:eastAsia="zh-CN"/>
                    </w:rPr>
                  </w:pPr>
                  <w:r>
                    <w:rPr>
                      <w:rFonts w:hint="eastAsia"/>
                      <w:color w:val="auto"/>
                    </w:rPr>
                    <w:t>31</w:t>
                  </w:r>
                  <w:r>
                    <w:rPr>
                      <w:rFonts w:hint="eastAsia"/>
                      <w:color w:val="auto"/>
                      <w:lang w:val="en-US" w:eastAsia="zh-CN"/>
                    </w:rPr>
                    <w:t>0</w:t>
                  </w:r>
                </w:p>
              </w:tc>
              <w:tc>
                <w:tcPr>
                  <w:tcW w:w="2339" w:type="dxa"/>
                  <w:vAlign w:val="center"/>
                </w:tcPr>
                <w:p>
                  <w:pPr>
                    <w:pStyle w:val="15"/>
                    <w:rPr>
                      <w:color w:val="auto"/>
                    </w:rPr>
                  </w:pPr>
                  <w:r>
                    <w:rPr>
                      <w:rFonts w:hint="eastAsia"/>
                      <w:color w:val="auto"/>
                    </w:rPr>
                    <w:t>外采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6</w:t>
                  </w:r>
                </w:p>
              </w:tc>
              <w:tc>
                <w:tcPr>
                  <w:tcW w:w="928" w:type="dxa"/>
                  <w:vAlign w:val="center"/>
                </w:tcPr>
                <w:p>
                  <w:pPr>
                    <w:pStyle w:val="15"/>
                    <w:rPr>
                      <w:color w:val="auto"/>
                    </w:rPr>
                  </w:pPr>
                  <w:r>
                    <w:rPr>
                      <w:rFonts w:hint="eastAsia"/>
                      <w:color w:val="auto"/>
                    </w:rPr>
                    <w:t>磷石膏</w:t>
                  </w:r>
                </w:p>
              </w:tc>
              <w:tc>
                <w:tcPr>
                  <w:tcW w:w="652" w:type="dxa"/>
                  <w:vAlign w:val="center"/>
                </w:tcPr>
                <w:p>
                  <w:pPr>
                    <w:pStyle w:val="15"/>
                    <w:rPr>
                      <w:color w:val="auto"/>
                    </w:rPr>
                  </w:pPr>
                  <w:r>
                    <w:rPr>
                      <w:rFonts w:hint="eastAsia"/>
                      <w:color w:val="auto"/>
                    </w:rPr>
                    <w:t>0</w:t>
                  </w:r>
                </w:p>
              </w:tc>
              <w:tc>
                <w:tcPr>
                  <w:tcW w:w="652" w:type="dxa"/>
                  <w:vAlign w:val="center"/>
                </w:tcPr>
                <w:p>
                  <w:pPr>
                    <w:pStyle w:val="15"/>
                    <w:rPr>
                      <w:color w:val="auto"/>
                    </w:rPr>
                  </w:pPr>
                  <w:r>
                    <w:rPr>
                      <w:rFonts w:hint="eastAsia"/>
                      <w:color w:val="auto"/>
                    </w:rPr>
                    <w:t>0.31</w:t>
                  </w:r>
                </w:p>
              </w:tc>
              <w:tc>
                <w:tcPr>
                  <w:tcW w:w="680" w:type="dxa"/>
                  <w:vAlign w:val="center"/>
                </w:tcPr>
                <w:p>
                  <w:pPr>
                    <w:pStyle w:val="15"/>
                    <w:rPr>
                      <w:color w:val="auto"/>
                    </w:rPr>
                  </w:pPr>
                  <w:r>
                    <w:rPr>
                      <w:rFonts w:hint="eastAsia"/>
                      <w:color w:val="auto"/>
                    </w:rPr>
                    <w:t>+0.31</w:t>
                  </w:r>
                </w:p>
              </w:tc>
              <w:tc>
                <w:tcPr>
                  <w:tcW w:w="766" w:type="dxa"/>
                  <w:vAlign w:val="center"/>
                </w:tcPr>
                <w:p>
                  <w:pPr>
                    <w:pStyle w:val="15"/>
                    <w:rPr>
                      <w:color w:val="auto"/>
                    </w:rPr>
                  </w:pPr>
                  <w:r>
                    <w:rPr>
                      <w:rFonts w:hint="eastAsia"/>
                      <w:color w:val="auto"/>
                      <w:lang w:val="en-US" w:eastAsia="zh-CN"/>
                    </w:rPr>
                    <w:t>粉状</w:t>
                  </w:r>
                </w:p>
              </w:tc>
              <w:tc>
                <w:tcPr>
                  <w:tcW w:w="630" w:type="dxa"/>
                  <w:vAlign w:val="center"/>
                </w:tcPr>
                <w:p>
                  <w:pPr>
                    <w:pStyle w:val="15"/>
                    <w:rPr>
                      <w:color w:val="auto"/>
                    </w:rPr>
                  </w:pPr>
                  <w:r>
                    <w:rPr>
                      <w:rFonts w:hint="eastAsia"/>
                      <w:color w:val="auto"/>
                    </w:rPr>
                    <w:t>散装</w:t>
                  </w:r>
                </w:p>
              </w:tc>
              <w:tc>
                <w:tcPr>
                  <w:tcW w:w="1280" w:type="dxa"/>
                  <w:vAlign w:val="center"/>
                </w:tcPr>
                <w:p>
                  <w:pPr>
                    <w:pStyle w:val="15"/>
                    <w:rPr>
                      <w:rFonts w:hint="eastAsia" w:eastAsia="宋体"/>
                      <w:color w:val="auto"/>
                      <w:lang w:val="en-US" w:eastAsia="zh-CN"/>
                    </w:rPr>
                  </w:pPr>
                  <w:r>
                    <w:rPr>
                      <w:rFonts w:hint="eastAsia"/>
                      <w:color w:val="auto"/>
                    </w:rPr>
                    <w:t>26</w:t>
                  </w:r>
                  <w:r>
                    <w:rPr>
                      <w:rFonts w:hint="eastAsia"/>
                      <w:color w:val="auto"/>
                      <w:lang w:val="en-US" w:eastAsia="zh-CN"/>
                    </w:rPr>
                    <w:t>0</w:t>
                  </w:r>
                </w:p>
              </w:tc>
              <w:tc>
                <w:tcPr>
                  <w:tcW w:w="2339" w:type="dxa"/>
                  <w:vAlign w:val="center"/>
                </w:tcPr>
                <w:p>
                  <w:pPr>
                    <w:pStyle w:val="15"/>
                    <w:rPr>
                      <w:color w:val="auto"/>
                    </w:rPr>
                  </w:pPr>
                  <w:r>
                    <w:rPr>
                      <w:rFonts w:hint="eastAsia"/>
                      <w:color w:val="auto"/>
                    </w:rPr>
                    <w:t>外采（云南磷化集团有限公司磷化工事业部磷酸装置生产）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7</w:t>
                  </w:r>
                </w:p>
              </w:tc>
              <w:tc>
                <w:tcPr>
                  <w:tcW w:w="928" w:type="dxa"/>
                  <w:vAlign w:val="center"/>
                </w:tcPr>
                <w:p>
                  <w:pPr>
                    <w:pStyle w:val="15"/>
                    <w:rPr>
                      <w:color w:val="auto"/>
                    </w:rPr>
                  </w:pPr>
                  <w:r>
                    <w:rPr>
                      <w:rFonts w:hint="eastAsia"/>
                      <w:color w:val="auto"/>
                    </w:rPr>
                    <w:t>黄磷渣</w:t>
                  </w:r>
                </w:p>
              </w:tc>
              <w:tc>
                <w:tcPr>
                  <w:tcW w:w="652" w:type="dxa"/>
                  <w:vAlign w:val="center"/>
                </w:tcPr>
                <w:p>
                  <w:pPr>
                    <w:pStyle w:val="15"/>
                    <w:rPr>
                      <w:color w:val="auto"/>
                    </w:rPr>
                  </w:pPr>
                  <w:r>
                    <w:rPr>
                      <w:rFonts w:hint="eastAsia"/>
                      <w:color w:val="auto"/>
                    </w:rPr>
                    <w:t>0</w:t>
                  </w:r>
                </w:p>
              </w:tc>
              <w:tc>
                <w:tcPr>
                  <w:tcW w:w="652" w:type="dxa"/>
                  <w:vAlign w:val="center"/>
                </w:tcPr>
                <w:p>
                  <w:pPr>
                    <w:pStyle w:val="15"/>
                    <w:rPr>
                      <w:color w:val="auto"/>
                    </w:rPr>
                  </w:pPr>
                  <w:r>
                    <w:rPr>
                      <w:rFonts w:hint="eastAsia"/>
                      <w:color w:val="auto"/>
                    </w:rPr>
                    <w:t>0.28</w:t>
                  </w:r>
                </w:p>
              </w:tc>
              <w:tc>
                <w:tcPr>
                  <w:tcW w:w="680" w:type="dxa"/>
                  <w:vAlign w:val="center"/>
                </w:tcPr>
                <w:p>
                  <w:pPr>
                    <w:pStyle w:val="15"/>
                    <w:rPr>
                      <w:color w:val="auto"/>
                    </w:rPr>
                  </w:pPr>
                  <w:r>
                    <w:rPr>
                      <w:rFonts w:hint="eastAsia"/>
                      <w:color w:val="auto"/>
                    </w:rPr>
                    <w:t>+0.28</w:t>
                  </w:r>
                </w:p>
              </w:tc>
              <w:tc>
                <w:tcPr>
                  <w:tcW w:w="766" w:type="dxa"/>
                  <w:vAlign w:val="center"/>
                </w:tcPr>
                <w:p>
                  <w:pPr>
                    <w:pStyle w:val="15"/>
                    <w:rPr>
                      <w:color w:val="auto"/>
                    </w:rPr>
                  </w:pPr>
                  <w:r>
                    <w:rPr>
                      <w:rFonts w:hint="eastAsia"/>
                      <w:color w:val="auto"/>
                      <w:lang w:val="en-US" w:eastAsia="zh-CN"/>
                    </w:rPr>
                    <w:t>粉状</w:t>
                  </w:r>
                </w:p>
              </w:tc>
              <w:tc>
                <w:tcPr>
                  <w:tcW w:w="630" w:type="dxa"/>
                  <w:vAlign w:val="center"/>
                </w:tcPr>
                <w:p>
                  <w:pPr>
                    <w:pStyle w:val="15"/>
                    <w:rPr>
                      <w:color w:val="auto"/>
                    </w:rPr>
                  </w:pPr>
                  <w:r>
                    <w:rPr>
                      <w:rFonts w:hint="eastAsia"/>
                      <w:color w:val="auto"/>
                    </w:rPr>
                    <w:t>散装</w:t>
                  </w:r>
                </w:p>
              </w:tc>
              <w:tc>
                <w:tcPr>
                  <w:tcW w:w="1280" w:type="dxa"/>
                  <w:vAlign w:val="center"/>
                </w:tcPr>
                <w:p>
                  <w:pPr>
                    <w:pStyle w:val="15"/>
                    <w:rPr>
                      <w:rFonts w:hint="eastAsia" w:eastAsia="宋体"/>
                      <w:color w:val="auto"/>
                      <w:lang w:val="en-US" w:eastAsia="zh-CN"/>
                    </w:rPr>
                  </w:pPr>
                  <w:r>
                    <w:rPr>
                      <w:rFonts w:hint="eastAsia"/>
                      <w:color w:val="auto"/>
                    </w:rPr>
                    <w:t>23</w:t>
                  </w:r>
                  <w:r>
                    <w:rPr>
                      <w:rFonts w:hint="eastAsia"/>
                      <w:color w:val="auto"/>
                      <w:lang w:val="en-US" w:eastAsia="zh-CN"/>
                    </w:rPr>
                    <w:t>0</w:t>
                  </w:r>
                </w:p>
              </w:tc>
              <w:tc>
                <w:tcPr>
                  <w:tcW w:w="2339" w:type="dxa"/>
                  <w:vAlign w:val="center"/>
                </w:tcPr>
                <w:p>
                  <w:pPr>
                    <w:pStyle w:val="15"/>
                    <w:rPr>
                      <w:color w:val="auto"/>
                    </w:rPr>
                  </w:pPr>
                  <w:r>
                    <w:rPr>
                      <w:rFonts w:hint="eastAsia"/>
                      <w:color w:val="auto"/>
                    </w:rPr>
                    <w:t>外采（云南福石科技有限公司黄磷装置生产）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8</w:t>
                  </w:r>
                </w:p>
              </w:tc>
              <w:tc>
                <w:tcPr>
                  <w:tcW w:w="928" w:type="dxa"/>
                  <w:vAlign w:val="center"/>
                </w:tcPr>
                <w:p>
                  <w:pPr>
                    <w:pStyle w:val="15"/>
                    <w:rPr>
                      <w:color w:val="auto"/>
                    </w:rPr>
                  </w:pPr>
                  <w:r>
                    <w:rPr>
                      <w:rFonts w:hint="eastAsia"/>
                      <w:color w:val="auto"/>
                    </w:rPr>
                    <w:t>富钙镁磷矿</w:t>
                  </w:r>
                </w:p>
              </w:tc>
              <w:tc>
                <w:tcPr>
                  <w:tcW w:w="652" w:type="dxa"/>
                  <w:vAlign w:val="center"/>
                </w:tcPr>
                <w:p>
                  <w:pPr>
                    <w:pStyle w:val="15"/>
                    <w:rPr>
                      <w:color w:val="auto"/>
                    </w:rPr>
                  </w:pPr>
                  <w:r>
                    <w:rPr>
                      <w:rFonts w:hint="eastAsia"/>
                      <w:color w:val="auto"/>
                    </w:rPr>
                    <w:t>0</w:t>
                  </w:r>
                </w:p>
              </w:tc>
              <w:tc>
                <w:tcPr>
                  <w:tcW w:w="652" w:type="dxa"/>
                  <w:vAlign w:val="center"/>
                </w:tcPr>
                <w:p>
                  <w:pPr>
                    <w:pStyle w:val="15"/>
                    <w:rPr>
                      <w:color w:val="auto"/>
                    </w:rPr>
                  </w:pPr>
                  <w:r>
                    <w:rPr>
                      <w:rFonts w:hint="eastAsia"/>
                      <w:color w:val="auto"/>
                    </w:rPr>
                    <w:t>0.3</w:t>
                  </w:r>
                </w:p>
              </w:tc>
              <w:tc>
                <w:tcPr>
                  <w:tcW w:w="680" w:type="dxa"/>
                  <w:vAlign w:val="center"/>
                </w:tcPr>
                <w:p>
                  <w:pPr>
                    <w:pStyle w:val="15"/>
                    <w:rPr>
                      <w:color w:val="auto"/>
                    </w:rPr>
                  </w:pPr>
                  <w:r>
                    <w:rPr>
                      <w:rFonts w:hint="eastAsia"/>
                      <w:color w:val="auto"/>
                    </w:rPr>
                    <w:t>+0.3</w:t>
                  </w:r>
                </w:p>
              </w:tc>
              <w:tc>
                <w:tcPr>
                  <w:tcW w:w="766" w:type="dxa"/>
                  <w:vAlign w:val="center"/>
                </w:tcPr>
                <w:p>
                  <w:pPr>
                    <w:pStyle w:val="15"/>
                    <w:rPr>
                      <w:color w:val="auto"/>
                    </w:rPr>
                  </w:pPr>
                  <w:r>
                    <w:rPr>
                      <w:rFonts w:hint="eastAsia"/>
                      <w:color w:val="auto"/>
                      <w:lang w:val="en-US" w:eastAsia="zh-CN"/>
                    </w:rPr>
                    <w:t>粉状</w:t>
                  </w:r>
                </w:p>
              </w:tc>
              <w:tc>
                <w:tcPr>
                  <w:tcW w:w="630" w:type="dxa"/>
                  <w:vAlign w:val="center"/>
                </w:tcPr>
                <w:p>
                  <w:pPr>
                    <w:pStyle w:val="15"/>
                    <w:rPr>
                      <w:color w:val="auto"/>
                    </w:rPr>
                  </w:pPr>
                  <w:r>
                    <w:rPr>
                      <w:rFonts w:hint="eastAsia"/>
                      <w:color w:val="auto"/>
                    </w:rPr>
                    <w:t>散装</w:t>
                  </w:r>
                </w:p>
              </w:tc>
              <w:tc>
                <w:tcPr>
                  <w:tcW w:w="1280" w:type="dxa"/>
                  <w:vAlign w:val="center"/>
                </w:tcPr>
                <w:p>
                  <w:pPr>
                    <w:pStyle w:val="15"/>
                    <w:rPr>
                      <w:rFonts w:hint="eastAsia" w:eastAsia="宋体"/>
                      <w:color w:val="auto"/>
                      <w:lang w:val="en-US" w:eastAsia="zh-CN"/>
                    </w:rPr>
                  </w:pPr>
                  <w:r>
                    <w:rPr>
                      <w:rFonts w:hint="eastAsia"/>
                      <w:color w:val="auto"/>
                    </w:rPr>
                    <w:t>25</w:t>
                  </w:r>
                  <w:r>
                    <w:rPr>
                      <w:rFonts w:hint="eastAsia"/>
                      <w:color w:val="auto"/>
                      <w:lang w:val="en-US" w:eastAsia="zh-CN"/>
                    </w:rPr>
                    <w:t>0</w:t>
                  </w:r>
                </w:p>
              </w:tc>
              <w:tc>
                <w:tcPr>
                  <w:tcW w:w="2339" w:type="dxa"/>
                  <w:vAlign w:val="center"/>
                </w:tcPr>
                <w:p>
                  <w:pPr>
                    <w:pStyle w:val="15"/>
                    <w:rPr>
                      <w:color w:val="auto"/>
                    </w:rPr>
                  </w:pPr>
                  <w:r>
                    <w:rPr>
                      <w:rFonts w:hint="eastAsia"/>
                      <w:color w:val="auto"/>
                    </w:rPr>
                    <w:t>外采（云南磷化集团有限公司晋宁选矿分公司浮选装置生产）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9</w:t>
                  </w:r>
                </w:p>
              </w:tc>
              <w:tc>
                <w:tcPr>
                  <w:tcW w:w="928" w:type="dxa"/>
                  <w:vAlign w:val="center"/>
                </w:tcPr>
                <w:p>
                  <w:pPr>
                    <w:pStyle w:val="15"/>
                    <w:rPr>
                      <w:color w:val="auto"/>
                    </w:rPr>
                  </w:pPr>
                  <w:r>
                    <w:rPr>
                      <w:rFonts w:hint="eastAsia"/>
                      <w:color w:val="auto"/>
                    </w:rPr>
                    <w:t>硫酸铵</w:t>
                  </w:r>
                </w:p>
              </w:tc>
              <w:tc>
                <w:tcPr>
                  <w:tcW w:w="652" w:type="dxa"/>
                  <w:vAlign w:val="center"/>
                </w:tcPr>
                <w:p>
                  <w:pPr>
                    <w:pStyle w:val="15"/>
                    <w:rPr>
                      <w:color w:val="auto"/>
                    </w:rPr>
                  </w:pPr>
                  <w:r>
                    <w:rPr>
                      <w:rFonts w:hint="eastAsia"/>
                      <w:color w:val="auto"/>
                    </w:rPr>
                    <w:t>0.</w:t>
                  </w:r>
                  <w:r>
                    <w:rPr>
                      <w:rFonts w:hint="eastAsia"/>
                      <w:color w:val="auto"/>
                      <w:lang w:val="en-US" w:eastAsia="zh-CN"/>
                    </w:rPr>
                    <w:t>2</w:t>
                  </w:r>
                  <w:r>
                    <w:rPr>
                      <w:rFonts w:hint="eastAsia"/>
                      <w:color w:val="auto"/>
                    </w:rPr>
                    <w:t>5</w:t>
                  </w:r>
                </w:p>
              </w:tc>
              <w:tc>
                <w:tcPr>
                  <w:tcW w:w="652" w:type="dxa"/>
                  <w:vAlign w:val="center"/>
                </w:tcPr>
                <w:p>
                  <w:pPr>
                    <w:pStyle w:val="15"/>
                    <w:rPr>
                      <w:color w:val="auto"/>
                    </w:rPr>
                  </w:pPr>
                  <w:r>
                    <w:rPr>
                      <w:rFonts w:hint="eastAsia"/>
                      <w:color w:val="auto"/>
                    </w:rPr>
                    <w:t>0.1</w:t>
                  </w:r>
                </w:p>
              </w:tc>
              <w:tc>
                <w:tcPr>
                  <w:tcW w:w="680" w:type="dxa"/>
                  <w:vAlign w:val="center"/>
                </w:tcPr>
                <w:p>
                  <w:pPr>
                    <w:pStyle w:val="15"/>
                    <w:rPr>
                      <w:color w:val="auto"/>
                    </w:rPr>
                  </w:pPr>
                  <w:r>
                    <w:rPr>
                      <w:rFonts w:hint="eastAsia"/>
                      <w:color w:val="auto"/>
                    </w:rPr>
                    <w:t>-0.</w:t>
                  </w:r>
                  <w:r>
                    <w:rPr>
                      <w:rFonts w:hint="eastAsia"/>
                      <w:color w:val="auto"/>
                      <w:lang w:val="en-US" w:eastAsia="zh-CN"/>
                    </w:rPr>
                    <w:t>1</w:t>
                  </w:r>
                  <w:r>
                    <w:rPr>
                      <w:rFonts w:hint="eastAsia"/>
                      <w:color w:val="auto"/>
                    </w:rPr>
                    <w:t>5</w:t>
                  </w:r>
                </w:p>
              </w:tc>
              <w:tc>
                <w:tcPr>
                  <w:tcW w:w="766" w:type="dxa"/>
                  <w:vAlign w:val="center"/>
                </w:tcPr>
                <w:p>
                  <w:pPr>
                    <w:pStyle w:val="15"/>
                    <w:rPr>
                      <w:color w:val="auto"/>
                    </w:rPr>
                  </w:pPr>
                  <w:r>
                    <w:rPr>
                      <w:rFonts w:hint="eastAsia"/>
                      <w:color w:val="auto"/>
                      <w:lang w:val="en-US" w:eastAsia="zh-CN"/>
                    </w:rPr>
                    <w:t>粉状</w:t>
                  </w:r>
                </w:p>
              </w:tc>
              <w:tc>
                <w:tcPr>
                  <w:tcW w:w="630" w:type="dxa"/>
                  <w:vAlign w:val="center"/>
                </w:tcPr>
                <w:p>
                  <w:pPr>
                    <w:pStyle w:val="15"/>
                    <w:rPr>
                      <w:color w:val="auto"/>
                    </w:rPr>
                  </w:pPr>
                  <w:r>
                    <w:rPr>
                      <w:rFonts w:hint="eastAsia"/>
                      <w:color w:val="auto"/>
                    </w:rPr>
                    <w:t>袋装</w:t>
                  </w:r>
                </w:p>
              </w:tc>
              <w:tc>
                <w:tcPr>
                  <w:tcW w:w="1280" w:type="dxa"/>
                  <w:vAlign w:val="center"/>
                </w:tcPr>
                <w:p>
                  <w:pPr>
                    <w:pStyle w:val="15"/>
                    <w:rPr>
                      <w:color w:val="auto"/>
                    </w:rPr>
                  </w:pPr>
                  <w:r>
                    <w:rPr>
                      <w:rFonts w:hint="eastAsia"/>
                      <w:color w:val="auto"/>
                    </w:rPr>
                    <w:t>125</w:t>
                  </w:r>
                </w:p>
              </w:tc>
              <w:tc>
                <w:tcPr>
                  <w:tcW w:w="2339" w:type="dxa"/>
                  <w:vAlign w:val="center"/>
                </w:tcPr>
                <w:p>
                  <w:pPr>
                    <w:pStyle w:val="15"/>
                    <w:rPr>
                      <w:color w:val="auto"/>
                    </w:rPr>
                  </w:pPr>
                  <w:r>
                    <w:rPr>
                      <w:rFonts w:hint="eastAsia"/>
                      <w:color w:val="auto"/>
                    </w:rPr>
                    <w:t>外采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10</w:t>
                  </w:r>
                </w:p>
              </w:tc>
              <w:tc>
                <w:tcPr>
                  <w:tcW w:w="928" w:type="dxa"/>
                  <w:vAlign w:val="center"/>
                </w:tcPr>
                <w:p>
                  <w:pPr>
                    <w:pStyle w:val="15"/>
                    <w:rPr>
                      <w:color w:val="auto"/>
                    </w:rPr>
                  </w:pPr>
                  <w:r>
                    <w:rPr>
                      <w:rFonts w:hint="eastAsia"/>
                      <w:color w:val="auto"/>
                    </w:rPr>
                    <w:t>普钙</w:t>
                  </w:r>
                </w:p>
              </w:tc>
              <w:tc>
                <w:tcPr>
                  <w:tcW w:w="652" w:type="dxa"/>
                  <w:vAlign w:val="center"/>
                </w:tcPr>
                <w:p>
                  <w:pPr>
                    <w:pStyle w:val="15"/>
                    <w:rPr>
                      <w:color w:val="auto"/>
                    </w:rPr>
                  </w:pPr>
                  <w:r>
                    <w:rPr>
                      <w:rFonts w:hint="eastAsia"/>
                      <w:color w:val="auto"/>
                    </w:rPr>
                    <w:t>1.</w:t>
                  </w:r>
                  <w:r>
                    <w:rPr>
                      <w:rFonts w:hint="eastAsia"/>
                      <w:color w:val="auto"/>
                      <w:lang w:val="en-US" w:eastAsia="zh-CN"/>
                    </w:rPr>
                    <w:t>2</w:t>
                  </w:r>
                  <w:r>
                    <w:rPr>
                      <w:rFonts w:hint="eastAsia"/>
                      <w:color w:val="auto"/>
                    </w:rPr>
                    <w:t>4</w:t>
                  </w:r>
                </w:p>
              </w:tc>
              <w:tc>
                <w:tcPr>
                  <w:tcW w:w="652" w:type="dxa"/>
                  <w:vAlign w:val="center"/>
                </w:tcPr>
                <w:p>
                  <w:pPr>
                    <w:pStyle w:val="15"/>
                    <w:rPr>
                      <w:color w:val="auto"/>
                    </w:rPr>
                  </w:pPr>
                  <w:r>
                    <w:rPr>
                      <w:rFonts w:hint="eastAsia"/>
                      <w:color w:val="auto"/>
                    </w:rPr>
                    <w:t>0.1</w:t>
                  </w:r>
                </w:p>
              </w:tc>
              <w:tc>
                <w:tcPr>
                  <w:tcW w:w="680" w:type="dxa"/>
                  <w:vAlign w:val="center"/>
                </w:tcPr>
                <w:p>
                  <w:pPr>
                    <w:pStyle w:val="15"/>
                    <w:rPr>
                      <w:color w:val="auto"/>
                    </w:rPr>
                  </w:pPr>
                  <w:r>
                    <w:rPr>
                      <w:rFonts w:hint="eastAsia"/>
                      <w:color w:val="auto"/>
                    </w:rPr>
                    <w:t>-1.</w:t>
                  </w:r>
                  <w:r>
                    <w:rPr>
                      <w:rFonts w:hint="eastAsia"/>
                      <w:color w:val="auto"/>
                      <w:lang w:val="en-US" w:eastAsia="zh-CN"/>
                    </w:rPr>
                    <w:t>1</w:t>
                  </w:r>
                  <w:r>
                    <w:rPr>
                      <w:rFonts w:hint="eastAsia"/>
                      <w:color w:val="auto"/>
                    </w:rPr>
                    <w:t>4</w:t>
                  </w:r>
                </w:p>
              </w:tc>
              <w:tc>
                <w:tcPr>
                  <w:tcW w:w="766" w:type="dxa"/>
                  <w:vAlign w:val="center"/>
                </w:tcPr>
                <w:p>
                  <w:pPr>
                    <w:pStyle w:val="15"/>
                    <w:rPr>
                      <w:rFonts w:hint="default" w:eastAsia="宋体"/>
                      <w:color w:val="auto"/>
                      <w:lang w:val="en-US" w:eastAsia="zh-CN"/>
                    </w:rPr>
                  </w:pPr>
                  <w:r>
                    <w:rPr>
                      <w:rFonts w:hint="eastAsia"/>
                      <w:color w:val="auto"/>
                      <w:lang w:val="en-US" w:eastAsia="zh-CN"/>
                    </w:rPr>
                    <w:t>粉状</w:t>
                  </w:r>
                </w:p>
              </w:tc>
              <w:tc>
                <w:tcPr>
                  <w:tcW w:w="630" w:type="dxa"/>
                  <w:vAlign w:val="center"/>
                </w:tcPr>
                <w:p>
                  <w:pPr>
                    <w:pStyle w:val="15"/>
                    <w:rPr>
                      <w:color w:val="auto"/>
                    </w:rPr>
                  </w:pPr>
                  <w:r>
                    <w:rPr>
                      <w:rFonts w:hint="eastAsia"/>
                      <w:color w:val="auto"/>
                    </w:rPr>
                    <w:t>散装</w:t>
                  </w:r>
                </w:p>
              </w:tc>
              <w:tc>
                <w:tcPr>
                  <w:tcW w:w="1280" w:type="dxa"/>
                  <w:vAlign w:val="center"/>
                </w:tcPr>
                <w:p>
                  <w:pPr>
                    <w:pStyle w:val="15"/>
                    <w:rPr>
                      <w:rFonts w:hint="default" w:eastAsia="宋体"/>
                      <w:color w:val="auto"/>
                      <w:lang w:val="en-US" w:eastAsia="zh-CN"/>
                    </w:rPr>
                  </w:pPr>
                  <w:r>
                    <w:rPr>
                      <w:rFonts w:hint="eastAsia"/>
                      <w:color w:val="auto"/>
                    </w:rPr>
                    <w:t>1</w:t>
                  </w:r>
                  <w:r>
                    <w:rPr>
                      <w:rFonts w:hint="eastAsia"/>
                      <w:color w:val="auto"/>
                      <w:lang w:val="en-US" w:eastAsia="zh-CN"/>
                    </w:rPr>
                    <w:t>000</w:t>
                  </w:r>
                </w:p>
              </w:tc>
              <w:tc>
                <w:tcPr>
                  <w:tcW w:w="2339" w:type="dxa"/>
                  <w:vAlign w:val="center"/>
                </w:tcPr>
                <w:p>
                  <w:pPr>
                    <w:pStyle w:val="15"/>
                    <w:rPr>
                      <w:color w:val="auto"/>
                    </w:rPr>
                  </w:pPr>
                  <w:r>
                    <w:rPr>
                      <w:rFonts w:hint="eastAsia"/>
                      <w:color w:val="auto"/>
                    </w:rPr>
                    <w:t>自产（昆明红海磷肥有限责任公司普钙装置生产）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378" w:type="dxa"/>
                  <w:gridSpan w:val="2"/>
                  <w:vAlign w:val="center"/>
                </w:tcPr>
                <w:p>
                  <w:pPr>
                    <w:pStyle w:val="15"/>
                    <w:rPr>
                      <w:rFonts w:hint="default" w:eastAsia="宋体"/>
                      <w:color w:val="auto"/>
                      <w:lang w:val="en-US" w:eastAsia="zh-CN"/>
                    </w:rPr>
                  </w:pPr>
                  <w:r>
                    <w:rPr>
                      <w:rFonts w:hint="eastAsia"/>
                      <w:color w:val="auto"/>
                      <w:lang w:val="en-US" w:eastAsia="zh-CN"/>
                    </w:rPr>
                    <w:t>合计</w:t>
                  </w:r>
                </w:p>
              </w:tc>
              <w:tc>
                <w:tcPr>
                  <w:tcW w:w="652" w:type="dxa"/>
                  <w:vAlign w:val="center"/>
                </w:tcPr>
                <w:p>
                  <w:pPr>
                    <w:pStyle w:val="15"/>
                    <w:rPr>
                      <w:rFonts w:hint="default" w:eastAsia="宋体"/>
                      <w:color w:val="auto"/>
                      <w:lang w:val="en-US" w:eastAsia="zh-CN"/>
                    </w:rPr>
                  </w:pPr>
                  <w:r>
                    <w:rPr>
                      <w:rFonts w:hint="eastAsia"/>
                      <w:color w:val="auto"/>
                      <w:lang w:val="en-US" w:eastAsia="zh-CN"/>
                    </w:rPr>
                    <w:t>3.2</w:t>
                  </w:r>
                </w:p>
              </w:tc>
              <w:tc>
                <w:tcPr>
                  <w:tcW w:w="652" w:type="dxa"/>
                  <w:vAlign w:val="center"/>
                </w:tcPr>
                <w:p>
                  <w:pPr>
                    <w:pStyle w:val="15"/>
                    <w:rPr>
                      <w:rFonts w:hint="default" w:eastAsia="宋体"/>
                      <w:color w:val="auto"/>
                      <w:lang w:val="en-US" w:eastAsia="zh-CN"/>
                    </w:rPr>
                  </w:pPr>
                  <w:r>
                    <w:rPr>
                      <w:rFonts w:hint="eastAsia"/>
                      <w:color w:val="auto"/>
                      <w:lang w:val="en-US" w:eastAsia="zh-CN"/>
                    </w:rPr>
                    <w:t>3.2</w:t>
                  </w:r>
                </w:p>
              </w:tc>
              <w:tc>
                <w:tcPr>
                  <w:tcW w:w="680" w:type="dxa"/>
                  <w:vAlign w:val="center"/>
                </w:tcPr>
                <w:p>
                  <w:pPr>
                    <w:pStyle w:val="15"/>
                    <w:rPr>
                      <w:rFonts w:hint="eastAsia" w:eastAsia="宋体"/>
                      <w:color w:val="auto"/>
                      <w:lang w:val="en-US" w:eastAsia="zh-CN"/>
                    </w:rPr>
                  </w:pPr>
                  <w:r>
                    <w:rPr>
                      <w:rFonts w:hint="eastAsia"/>
                      <w:color w:val="auto"/>
                      <w:lang w:val="en-US" w:eastAsia="zh-CN"/>
                    </w:rPr>
                    <w:t>/</w:t>
                  </w:r>
                </w:p>
              </w:tc>
              <w:tc>
                <w:tcPr>
                  <w:tcW w:w="766" w:type="dxa"/>
                  <w:vAlign w:val="center"/>
                </w:tcPr>
                <w:p>
                  <w:pPr>
                    <w:pStyle w:val="15"/>
                    <w:rPr>
                      <w:rFonts w:hint="default"/>
                      <w:color w:val="auto"/>
                      <w:lang w:val="en-US" w:eastAsia="zh-CN"/>
                    </w:rPr>
                  </w:pPr>
                  <w:r>
                    <w:rPr>
                      <w:rFonts w:hint="eastAsia"/>
                      <w:color w:val="auto"/>
                      <w:lang w:val="en-US" w:eastAsia="zh-CN"/>
                    </w:rPr>
                    <w:t>/</w:t>
                  </w:r>
                </w:p>
              </w:tc>
              <w:tc>
                <w:tcPr>
                  <w:tcW w:w="630" w:type="dxa"/>
                  <w:vAlign w:val="center"/>
                </w:tcPr>
                <w:p>
                  <w:pPr>
                    <w:pStyle w:val="15"/>
                    <w:rPr>
                      <w:rFonts w:hint="eastAsia" w:eastAsia="宋体"/>
                      <w:color w:val="auto"/>
                      <w:lang w:val="en-US" w:eastAsia="zh-CN"/>
                    </w:rPr>
                  </w:pPr>
                  <w:r>
                    <w:rPr>
                      <w:rFonts w:hint="eastAsia"/>
                      <w:color w:val="auto"/>
                      <w:lang w:val="en-US" w:eastAsia="zh-CN"/>
                    </w:rPr>
                    <w:t>/</w:t>
                  </w:r>
                </w:p>
              </w:tc>
              <w:tc>
                <w:tcPr>
                  <w:tcW w:w="1280" w:type="dxa"/>
                  <w:vAlign w:val="center"/>
                </w:tcPr>
                <w:p>
                  <w:pPr>
                    <w:pStyle w:val="15"/>
                    <w:rPr>
                      <w:rFonts w:hint="default" w:eastAsia="宋体"/>
                      <w:color w:val="auto"/>
                      <w:lang w:val="en-US" w:eastAsia="zh-CN"/>
                    </w:rPr>
                  </w:pPr>
                  <w:r>
                    <w:rPr>
                      <w:rFonts w:hint="eastAsia"/>
                      <w:color w:val="auto"/>
                      <w:lang w:val="en-US" w:eastAsia="zh-CN"/>
                    </w:rPr>
                    <w:t>3695</w:t>
                  </w:r>
                </w:p>
              </w:tc>
              <w:tc>
                <w:tcPr>
                  <w:tcW w:w="2339" w:type="dxa"/>
                  <w:vAlign w:val="center"/>
                </w:tcPr>
                <w:p>
                  <w:pPr>
                    <w:pStyle w:val="15"/>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11</w:t>
                  </w:r>
                </w:p>
              </w:tc>
              <w:tc>
                <w:tcPr>
                  <w:tcW w:w="928" w:type="dxa"/>
                  <w:vAlign w:val="center"/>
                </w:tcPr>
                <w:p>
                  <w:pPr>
                    <w:pStyle w:val="15"/>
                    <w:rPr>
                      <w:rFonts w:hint="eastAsia" w:eastAsia="宋体"/>
                      <w:color w:val="auto"/>
                      <w:lang w:val="en-US" w:eastAsia="zh-CN"/>
                    </w:rPr>
                  </w:pPr>
                  <w:r>
                    <w:rPr>
                      <w:rFonts w:hint="eastAsia"/>
                      <w:color w:val="auto"/>
                      <w:lang w:val="en-US" w:eastAsia="zh-CN"/>
                    </w:rPr>
                    <w:t>包衣剂</w:t>
                  </w:r>
                </w:p>
              </w:tc>
              <w:tc>
                <w:tcPr>
                  <w:tcW w:w="652" w:type="dxa"/>
                  <w:vAlign w:val="center"/>
                </w:tcPr>
                <w:p>
                  <w:pPr>
                    <w:pStyle w:val="15"/>
                    <w:rPr>
                      <w:rFonts w:hint="default"/>
                      <w:color w:val="auto"/>
                      <w:lang w:val="en-US" w:eastAsia="zh-CN"/>
                    </w:rPr>
                  </w:pPr>
                  <w:r>
                    <w:rPr>
                      <w:rFonts w:hint="eastAsia"/>
                      <w:color w:val="auto"/>
                      <w:lang w:val="en-US" w:eastAsia="zh-CN"/>
                    </w:rPr>
                    <w:t>20t</w:t>
                  </w:r>
                </w:p>
              </w:tc>
              <w:tc>
                <w:tcPr>
                  <w:tcW w:w="652" w:type="dxa"/>
                  <w:vAlign w:val="center"/>
                </w:tcPr>
                <w:p>
                  <w:pPr>
                    <w:pStyle w:val="15"/>
                    <w:rPr>
                      <w:rFonts w:hint="default" w:eastAsia="宋体"/>
                      <w:color w:val="auto"/>
                      <w:lang w:val="en-US" w:eastAsia="zh-CN"/>
                    </w:rPr>
                  </w:pPr>
                  <w:r>
                    <w:rPr>
                      <w:rFonts w:hint="eastAsia"/>
                      <w:color w:val="auto"/>
                      <w:lang w:val="en-US" w:eastAsia="zh-CN"/>
                    </w:rPr>
                    <w:t>20t</w:t>
                  </w:r>
                </w:p>
              </w:tc>
              <w:tc>
                <w:tcPr>
                  <w:tcW w:w="680" w:type="dxa"/>
                  <w:vAlign w:val="center"/>
                </w:tcPr>
                <w:p>
                  <w:pPr>
                    <w:pStyle w:val="15"/>
                    <w:rPr>
                      <w:rFonts w:hint="eastAsia" w:eastAsia="宋体"/>
                      <w:color w:val="auto"/>
                      <w:lang w:val="en-US" w:eastAsia="zh-CN"/>
                    </w:rPr>
                  </w:pPr>
                  <w:r>
                    <w:rPr>
                      <w:rFonts w:hint="eastAsia"/>
                      <w:color w:val="auto"/>
                      <w:lang w:val="en-US" w:eastAsia="zh-CN"/>
                    </w:rPr>
                    <w:t>/</w:t>
                  </w:r>
                </w:p>
              </w:tc>
              <w:tc>
                <w:tcPr>
                  <w:tcW w:w="766" w:type="dxa"/>
                  <w:vAlign w:val="center"/>
                </w:tcPr>
                <w:p>
                  <w:pPr>
                    <w:pStyle w:val="15"/>
                    <w:rPr>
                      <w:rFonts w:hint="default" w:eastAsia="宋体"/>
                      <w:color w:val="auto"/>
                      <w:lang w:val="en-US" w:eastAsia="zh-CN"/>
                    </w:rPr>
                  </w:pPr>
                  <w:r>
                    <w:rPr>
                      <w:rFonts w:hint="eastAsia"/>
                      <w:color w:val="auto"/>
                      <w:lang w:val="en-US" w:eastAsia="zh-CN"/>
                    </w:rPr>
                    <w:t>/</w:t>
                  </w:r>
                </w:p>
              </w:tc>
              <w:tc>
                <w:tcPr>
                  <w:tcW w:w="630" w:type="dxa"/>
                  <w:vAlign w:val="center"/>
                </w:tcPr>
                <w:p>
                  <w:pPr>
                    <w:pStyle w:val="15"/>
                    <w:rPr>
                      <w:rFonts w:hint="default" w:eastAsia="宋体"/>
                      <w:color w:val="auto"/>
                      <w:lang w:val="en-US" w:eastAsia="zh-CN"/>
                    </w:rPr>
                  </w:pPr>
                  <w:r>
                    <w:rPr>
                      <w:rFonts w:hint="eastAsia"/>
                      <w:color w:val="auto"/>
                      <w:lang w:val="en-US" w:eastAsia="zh-CN"/>
                    </w:rPr>
                    <w:t>/</w:t>
                  </w:r>
                </w:p>
              </w:tc>
              <w:tc>
                <w:tcPr>
                  <w:tcW w:w="1280" w:type="dxa"/>
                  <w:vAlign w:val="center"/>
                </w:tcPr>
                <w:p>
                  <w:pPr>
                    <w:pStyle w:val="15"/>
                    <w:rPr>
                      <w:rFonts w:hint="default" w:eastAsia="宋体"/>
                      <w:color w:val="auto"/>
                      <w:lang w:val="en-US" w:eastAsia="zh-CN"/>
                    </w:rPr>
                  </w:pPr>
                  <w:r>
                    <w:rPr>
                      <w:rFonts w:hint="eastAsia"/>
                      <w:color w:val="auto"/>
                      <w:lang w:val="en-US" w:eastAsia="zh-CN"/>
                    </w:rPr>
                    <w:t>2</w:t>
                  </w:r>
                </w:p>
              </w:tc>
              <w:tc>
                <w:tcPr>
                  <w:tcW w:w="2339" w:type="dxa"/>
                  <w:vAlign w:val="center"/>
                </w:tcPr>
                <w:p>
                  <w:pPr>
                    <w:pStyle w:val="15"/>
                    <w:rPr>
                      <w:color w:val="auto"/>
                    </w:rPr>
                  </w:pPr>
                  <w:r>
                    <w:rPr>
                      <w:rFonts w:hint="eastAsia"/>
                      <w:color w:val="auto"/>
                    </w:rPr>
                    <w:t>外采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rFonts w:hint="default" w:eastAsia="宋体"/>
                      <w:color w:val="auto"/>
                      <w:lang w:val="en-US" w:eastAsia="zh-CN"/>
                    </w:rPr>
                  </w:pPr>
                  <w:r>
                    <w:rPr>
                      <w:rFonts w:hint="eastAsia"/>
                      <w:color w:val="auto"/>
                      <w:lang w:val="en-US" w:eastAsia="zh-CN"/>
                    </w:rPr>
                    <w:t>12</w:t>
                  </w:r>
                </w:p>
              </w:tc>
              <w:tc>
                <w:tcPr>
                  <w:tcW w:w="928"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包装袋(40kg/袋)</w:t>
                  </w:r>
                </w:p>
              </w:tc>
              <w:tc>
                <w:tcPr>
                  <w:tcW w:w="652"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75万条</w:t>
                  </w:r>
                </w:p>
              </w:tc>
              <w:tc>
                <w:tcPr>
                  <w:tcW w:w="652"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75万条</w:t>
                  </w:r>
                </w:p>
              </w:tc>
              <w:tc>
                <w:tcPr>
                  <w:tcW w:w="680"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76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630"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1280"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6万条</w:t>
                  </w:r>
                </w:p>
              </w:tc>
              <w:tc>
                <w:tcPr>
                  <w:tcW w:w="2339"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外采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77" w:type="dxa"/>
                  <w:gridSpan w:val="9"/>
                  <w:vAlign w:val="center"/>
                </w:tcPr>
                <w:p>
                  <w:pPr>
                    <w:pStyle w:val="15"/>
                    <w:rPr>
                      <w:color w:val="auto"/>
                    </w:rPr>
                  </w:pPr>
                  <w:r>
                    <w:rPr>
                      <w:rFonts w:hint="eastAsia"/>
                      <w:color w:val="auto"/>
                    </w:rPr>
                    <w:t>实验室</w:t>
                  </w:r>
                  <w:r>
                    <w:rPr>
                      <w:rFonts w:hint="eastAsia"/>
                      <w:color w:val="auto"/>
                      <w:lang w:val="en-US" w:eastAsia="zh-CN"/>
                    </w:rPr>
                    <w:t>药剂</w:t>
                  </w:r>
                  <w:r>
                    <w:rPr>
                      <w:rFonts w:hint="eastAsia"/>
                      <w:color w:val="auto"/>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1</w:t>
                  </w:r>
                </w:p>
              </w:tc>
              <w:tc>
                <w:tcPr>
                  <w:tcW w:w="928" w:type="dxa"/>
                  <w:vAlign w:val="center"/>
                </w:tcPr>
                <w:p>
                  <w:pPr>
                    <w:pStyle w:val="15"/>
                    <w:rPr>
                      <w:color w:val="auto"/>
                    </w:rPr>
                  </w:pPr>
                  <w:r>
                    <w:rPr>
                      <w:rFonts w:hint="eastAsia"/>
                      <w:color w:val="auto"/>
                    </w:rPr>
                    <w:t>硫酸</w:t>
                  </w:r>
                </w:p>
              </w:tc>
              <w:tc>
                <w:tcPr>
                  <w:tcW w:w="652" w:type="dxa"/>
                  <w:vAlign w:val="center"/>
                </w:tcPr>
                <w:p>
                  <w:pPr>
                    <w:pStyle w:val="15"/>
                    <w:rPr>
                      <w:color w:val="auto"/>
                    </w:rPr>
                  </w:pPr>
                  <w:r>
                    <w:rPr>
                      <w:rFonts w:hint="eastAsia"/>
                      <w:color w:val="auto"/>
                    </w:rPr>
                    <w:t>18kg</w:t>
                  </w:r>
                </w:p>
              </w:tc>
              <w:tc>
                <w:tcPr>
                  <w:tcW w:w="652" w:type="dxa"/>
                  <w:vAlign w:val="center"/>
                </w:tcPr>
                <w:p>
                  <w:pPr>
                    <w:pStyle w:val="15"/>
                    <w:rPr>
                      <w:color w:val="auto"/>
                    </w:rPr>
                  </w:pPr>
                  <w:r>
                    <w:rPr>
                      <w:rFonts w:hint="eastAsia"/>
                      <w:color w:val="auto"/>
                    </w:rPr>
                    <w:t>18kg</w:t>
                  </w:r>
                </w:p>
              </w:tc>
              <w:tc>
                <w:tcPr>
                  <w:tcW w:w="680" w:type="dxa"/>
                  <w:vAlign w:val="center"/>
                </w:tcPr>
                <w:p>
                  <w:pPr>
                    <w:pStyle w:val="15"/>
                    <w:rPr>
                      <w:color w:val="auto"/>
                    </w:rPr>
                  </w:pPr>
                  <w:r>
                    <w:rPr>
                      <w:rFonts w:hint="eastAsia"/>
                      <w:color w:val="auto"/>
                    </w:rPr>
                    <w:t>0</w:t>
                  </w:r>
                </w:p>
              </w:tc>
              <w:tc>
                <w:tcPr>
                  <w:tcW w:w="766" w:type="dxa"/>
                  <w:vAlign w:val="center"/>
                </w:tcPr>
                <w:p>
                  <w:pPr>
                    <w:pStyle w:val="15"/>
                    <w:rPr>
                      <w:color w:val="auto"/>
                    </w:rPr>
                  </w:pPr>
                  <w:r>
                    <w:rPr>
                      <w:rFonts w:hint="eastAsia"/>
                      <w:color w:val="auto"/>
                    </w:rPr>
                    <w:t>液态</w:t>
                  </w:r>
                </w:p>
              </w:tc>
              <w:tc>
                <w:tcPr>
                  <w:tcW w:w="630" w:type="dxa"/>
                  <w:vAlign w:val="center"/>
                </w:tcPr>
                <w:p>
                  <w:pPr>
                    <w:pStyle w:val="15"/>
                    <w:rPr>
                      <w:color w:val="auto"/>
                    </w:rPr>
                  </w:pPr>
                  <w:r>
                    <w:rPr>
                      <w:rFonts w:hint="eastAsia"/>
                      <w:color w:val="auto"/>
                    </w:rPr>
                    <w:t>瓶装</w:t>
                  </w:r>
                </w:p>
              </w:tc>
              <w:tc>
                <w:tcPr>
                  <w:tcW w:w="1280" w:type="dxa"/>
                  <w:vAlign w:val="center"/>
                </w:tcPr>
                <w:p>
                  <w:pPr>
                    <w:pStyle w:val="15"/>
                    <w:rPr>
                      <w:color w:val="auto"/>
                    </w:rPr>
                  </w:pPr>
                  <w:r>
                    <w:rPr>
                      <w:rFonts w:hint="eastAsia"/>
                      <w:color w:val="auto"/>
                    </w:rPr>
                    <w:t>202.4kg</w:t>
                  </w:r>
                </w:p>
              </w:tc>
              <w:tc>
                <w:tcPr>
                  <w:tcW w:w="2339" w:type="dxa"/>
                  <w:vAlign w:val="center"/>
                </w:tcPr>
                <w:p>
                  <w:pPr>
                    <w:pStyle w:val="15"/>
                    <w:rPr>
                      <w:color w:val="auto"/>
                    </w:rPr>
                  </w:pPr>
                  <w:r>
                    <w:rPr>
                      <w:rFonts w:hint="eastAsia"/>
                      <w:color w:val="auto"/>
                    </w:rPr>
                    <w:t>四川西陇科学有限公司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2</w:t>
                  </w:r>
                </w:p>
              </w:tc>
              <w:tc>
                <w:tcPr>
                  <w:tcW w:w="928" w:type="dxa"/>
                  <w:vAlign w:val="center"/>
                </w:tcPr>
                <w:p>
                  <w:pPr>
                    <w:pStyle w:val="15"/>
                    <w:rPr>
                      <w:color w:val="auto"/>
                    </w:rPr>
                  </w:pPr>
                  <w:r>
                    <w:rPr>
                      <w:rFonts w:hint="eastAsia"/>
                      <w:color w:val="auto"/>
                    </w:rPr>
                    <w:t>盐酸</w:t>
                  </w:r>
                </w:p>
              </w:tc>
              <w:tc>
                <w:tcPr>
                  <w:tcW w:w="652" w:type="dxa"/>
                  <w:vAlign w:val="center"/>
                </w:tcPr>
                <w:p>
                  <w:pPr>
                    <w:pStyle w:val="15"/>
                    <w:rPr>
                      <w:color w:val="auto"/>
                    </w:rPr>
                  </w:pPr>
                  <w:r>
                    <w:rPr>
                      <w:rFonts w:hint="eastAsia"/>
                      <w:color w:val="auto"/>
                    </w:rPr>
                    <w:t>5kg</w:t>
                  </w:r>
                </w:p>
              </w:tc>
              <w:tc>
                <w:tcPr>
                  <w:tcW w:w="652" w:type="dxa"/>
                  <w:vAlign w:val="center"/>
                </w:tcPr>
                <w:p>
                  <w:pPr>
                    <w:pStyle w:val="15"/>
                    <w:rPr>
                      <w:color w:val="auto"/>
                    </w:rPr>
                  </w:pPr>
                  <w:r>
                    <w:rPr>
                      <w:rFonts w:hint="eastAsia"/>
                      <w:color w:val="auto"/>
                    </w:rPr>
                    <w:t>5kg</w:t>
                  </w:r>
                </w:p>
              </w:tc>
              <w:tc>
                <w:tcPr>
                  <w:tcW w:w="680" w:type="dxa"/>
                  <w:vAlign w:val="center"/>
                </w:tcPr>
                <w:p>
                  <w:pPr>
                    <w:pStyle w:val="15"/>
                    <w:rPr>
                      <w:color w:val="auto"/>
                    </w:rPr>
                  </w:pPr>
                  <w:r>
                    <w:rPr>
                      <w:rFonts w:hint="eastAsia"/>
                      <w:color w:val="auto"/>
                    </w:rPr>
                    <w:t>0</w:t>
                  </w:r>
                </w:p>
              </w:tc>
              <w:tc>
                <w:tcPr>
                  <w:tcW w:w="766" w:type="dxa"/>
                  <w:vAlign w:val="center"/>
                </w:tcPr>
                <w:p>
                  <w:pPr>
                    <w:pStyle w:val="15"/>
                    <w:rPr>
                      <w:color w:val="auto"/>
                    </w:rPr>
                  </w:pPr>
                  <w:r>
                    <w:rPr>
                      <w:rFonts w:hint="eastAsia"/>
                      <w:color w:val="auto"/>
                    </w:rPr>
                    <w:t>液态</w:t>
                  </w:r>
                </w:p>
              </w:tc>
              <w:tc>
                <w:tcPr>
                  <w:tcW w:w="630" w:type="dxa"/>
                  <w:vAlign w:val="center"/>
                </w:tcPr>
                <w:p>
                  <w:pPr>
                    <w:pStyle w:val="15"/>
                    <w:rPr>
                      <w:color w:val="auto"/>
                    </w:rPr>
                  </w:pPr>
                  <w:r>
                    <w:rPr>
                      <w:rFonts w:hint="eastAsia"/>
                      <w:color w:val="auto"/>
                    </w:rPr>
                    <w:t>瓶装</w:t>
                  </w:r>
                </w:p>
              </w:tc>
              <w:tc>
                <w:tcPr>
                  <w:tcW w:w="1280" w:type="dxa"/>
                  <w:vAlign w:val="center"/>
                </w:tcPr>
                <w:p>
                  <w:pPr>
                    <w:pStyle w:val="15"/>
                    <w:rPr>
                      <w:color w:val="auto"/>
                    </w:rPr>
                  </w:pPr>
                  <w:r>
                    <w:rPr>
                      <w:rFonts w:hint="eastAsia"/>
                      <w:color w:val="auto"/>
                    </w:rPr>
                    <w:t>148.8kg</w:t>
                  </w:r>
                </w:p>
              </w:tc>
              <w:tc>
                <w:tcPr>
                  <w:tcW w:w="2339" w:type="dxa"/>
                  <w:vAlign w:val="center"/>
                </w:tcPr>
                <w:p>
                  <w:pPr>
                    <w:pStyle w:val="15"/>
                    <w:rPr>
                      <w:color w:val="auto"/>
                    </w:rPr>
                  </w:pPr>
                  <w:r>
                    <w:rPr>
                      <w:rFonts w:hint="eastAsia"/>
                      <w:color w:val="auto"/>
                    </w:rPr>
                    <w:t>四川西陇科学有限公司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3</w:t>
                  </w:r>
                </w:p>
              </w:tc>
              <w:tc>
                <w:tcPr>
                  <w:tcW w:w="928" w:type="dxa"/>
                  <w:vAlign w:val="center"/>
                </w:tcPr>
                <w:p>
                  <w:pPr>
                    <w:pStyle w:val="15"/>
                    <w:rPr>
                      <w:color w:val="auto"/>
                    </w:rPr>
                  </w:pPr>
                  <w:r>
                    <w:rPr>
                      <w:rFonts w:hint="eastAsia"/>
                      <w:color w:val="auto"/>
                    </w:rPr>
                    <w:t>丙酮</w:t>
                  </w:r>
                </w:p>
              </w:tc>
              <w:tc>
                <w:tcPr>
                  <w:tcW w:w="652" w:type="dxa"/>
                  <w:vAlign w:val="center"/>
                </w:tcPr>
                <w:p>
                  <w:pPr>
                    <w:pStyle w:val="15"/>
                    <w:rPr>
                      <w:color w:val="auto"/>
                    </w:rPr>
                  </w:pPr>
                  <w:r>
                    <w:rPr>
                      <w:rFonts w:hint="eastAsia"/>
                      <w:color w:val="auto"/>
                    </w:rPr>
                    <w:t>6kg</w:t>
                  </w:r>
                </w:p>
              </w:tc>
              <w:tc>
                <w:tcPr>
                  <w:tcW w:w="652" w:type="dxa"/>
                  <w:vAlign w:val="center"/>
                </w:tcPr>
                <w:p>
                  <w:pPr>
                    <w:pStyle w:val="15"/>
                    <w:rPr>
                      <w:color w:val="auto"/>
                    </w:rPr>
                  </w:pPr>
                  <w:r>
                    <w:rPr>
                      <w:rFonts w:hint="eastAsia"/>
                      <w:color w:val="auto"/>
                    </w:rPr>
                    <w:t>6kg</w:t>
                  </w:r>
                </w:p>
              </w:tc>
              <w:tc>
                <w:tcPr>
                  <w:tcW w:w="680" w:type="dxa"/>
                  <w:vAlign w:val="center"/>
                </w:tcPr>
                <w:p>
                  <w:pPr>
                    <w:pStyle w:val="15"/>
                    <w:rPr>
                      <w:color w:val="auto"/>
                    </w:rPr>
                  </w:pPr>
                  <w:r>
                    <w:rPr>
                      <w:rFonts w:hint="eastAsia"/>
                      <w:color w:val="auto"/>
                    </w:rPr>
                    <w:t>0</w:t>
                  </w:r>
                </w:p>
              </w:tc>
              <w:tc>
                <w:tcPr>
                  <w:tcW w:w="766" w:type="dxa"/>
                  <w:vAlign w:val="center"/>
                </w:tcPr>
                <w:p>
                  <w:pPr>
                    <w:pStyle w:val="15"/>
                    <w:rPr>
                      <w:color w:val="auto"/>
                    </w:rPr>
                  </w:pPr>
                  <w:r>
                    <w:rPr>
                      <w:rFonts w:hint="eastAsia"/>
                      <w:color w:val="auto"/>
                    </w:rPr>
                    <w:t>液态</w:t>
                  </w:r>
                </w:p>
              </w:tc>
              <w:tc>
                <w:tcPr>
                  <w:tcW w:w="630" w:type="dxa"/>
                  <w:vAlign w:val="center"/>
                </w:tcPr>
                <w:p>
                  <w:pPr>
                    <w:pStyle w:val="15"/>
                    <w:rPr>
                      <w:color w:val="auto"/>
                    </w:rPr>
                  </w:pPr>
                  <w:r>
                    <w:rPr>
                      <w:rFonts w:hint="eastAsia"/>
                      <w:color w:val="auto"/>
                    </w:rPr>
                    <w:t>瓶装</w:t>
                  </w:r>
                </w:p>
              </w:tc>
              <w:tc>
                <w:tcPr>
                  <w:tcW w:w="1280" w:type="dxa"/>
                  <w:vAlign w:val="center"/>
                </w:tcPr>
                <w:p>
                  <w:pPr>
                    <w:pStyle w:val="15"/>
                    <w:rPr>
                      <w:color w:val="auto"/>
                    </w:rPr>
                  </w:pPr>
                  <w:r>
                    <w:rPr>
                      <w:rFonts w:hint="eastAsia"/>
                      <w:color w:val="auto"/>
                    </w:rPr>
                    <w:t>79.2kg</w:t>
                  </w:r>
                </w:p>
              </w:tc>
              <w:tc>
                <w:tcPr>
                  <w:tcW w:w="2339" w:type="dxa"/>
                  <w:vAlign w:val="center"/>
                </w:tcPr>
                <w:p>
                  <w:pPr>
                    <w:pStyle w:val="15"/>
                    <w:rPr>
                      <w:color w:val="auto"/>
                    </w:rPr>
                  </w:pPr>
                  <w:r>
                    <w:rPr>
                      <w:rFonts w:hint="eastAsia"/>
                      <w:color w:val="auto"/>
                    </w:rPr>
                    <w:t>四川西陇科学有限公司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8377" w:type="dxa"/>
                  <w:gridSpan w:val="9"/>
                  <w:vAlign w:val="center"/>
                </w:tcPr>
                <w:p>
                  <w:pPr>
                    <w:pStyle w:val="15"/>
                    <w:rPr>
                      <w:color w:val="auto"/>
                    </w:rPr>
                  </w:pPr>
                  <w:r>
                    <w:rPr>
                      <w:rFonts w:hint="eastAsia"/>
                      <w:color w:val="auto"/>
                    </w:rPr>
                    <w:t>主要能源消耗量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1</w:t>
                  </w:r>
                </w:p>
              </w:tc>
              <w:tc>
                <w:tcPr>
                  <w:tcW w:w="928" w:type="dxa"/>
                  <w:vAlign w:val="center"/>
                </w:tcPr>
                <w:p>
                  <w:pPr>
                    <w:pStyle w:val="15"/>
                    <w:rPr>
                      <w:color w:val="auto"/>
                    </w:rPr>
                  </w:pPr>
                  <w:r>
                    <w:rPr>
                      <w:rFonts w:hint="eastAsia"/>
                      <w:color w:val="auto"/>
                    </w:rPr>
                    <w:t>水（吨）</w:t>
                  </w:r>
                </w:p>
              </w:tc>
              <w:tc>
                <w:tcPr>
                  <w:tcW w:w="652" w:type="dxa"/>
                  <w:vAlign w:val="center"/>
                </w:tcPr>
                <w:p>
                  <w:pPr>
                    <w:pStyle w:val="15"/>
                    <w:rPr>
                      <w:color w:val="auto"/>
                    </w:rPr>
                  </w:pPr>
                  <w:r>
                    <w:rPr>
                      <w:rFonts w:hint="eastAsia"/>
                      <w:color w:val="auto"/>
                    </w:rPr>
                    <w:t>0.1</w:t>
                  </w:r>
                </w:p>
              </w:tc>
              <w:tc>
                <w:tcPr>
                  <w:tcW w:w="652" w:type="dxa"/>
                  <w:vAlign w:val="center"/>
                </w:tcPr>
                <w:p>
                  <w:pPr>
                    <w:pStyle w:val="15"/>
                    <w:rPr>
                      <w:color w:val="auto"/>
                    </w:rPr>
                  </w:pPr>
                  <w:r>
                    <w:rPr>
                      <w:rFonts w:hint="eastAsia"/>
                      <w:color w:val="auto"/>
                    </w:rPr>
                    <w:t>0.1</w:t>
                  </w:r>
                </w:p>
              </w:tc>
              <w:tc>
                <w:tcPr>
                  <w:tcW w:w="680" w:type="dxa"/>
                  <w:vAlign w:val="center"/>
                </w:tcPr>
                <w:p>
                  <w:pPr>
                    <w:pStyle w:val="15"/>
                    <w:rPr>
                      <w:color w:val="auto"/>
                    </w:rPr>
                  </w:pPr>
                  <w:r>
                    <w:rPr>
                      <w:rFonts w:hint="eastAsia"/>
                      <w:color w:val="auto"/>
                    </w:rPr>
                    <w:t>0</w:t>
                  </w:r>
                </w:p>
              </w:tc>
              <w:tc>
                <w:tcPr>
                  <w:tcW w:w="766" w:type="dxa"/>
                  <w:vAlign w:val="center"/>
                </w:tcPr>
                <w:p>
                  <w:pPr>
                    <w:pStyle w:val="15"/>
                    <w:rPr>
                      <w:color w:val="auto"/>
                    </w:rPr>
                  </w:pPr>
                  <w:r>
                    <w:rPr>
                      <w:rFonts w:hint="eastAsia"/>
                      <w:color w:val="auto"/>
                    </w:rPr>
                    <w:t>/</w:t>
                  </w:r>
                </w:p>
              </w:tc>
              <w:tc>
                <w:tcPr>
                  <w:tcW w:w="630" w:type="dxa"/>
                  <w:vAlign w:val="center"/>
                </w:tcPr>
                <w:p>
                  <w:pPr>
                    <w:pStyle w:val="15"/>
                    <w:rPr>
                      <w:color w:val="auto"/>
                    </w:rPr>
                  </w:pPr>
                  <w:r>
                    <w:rPr>
                      <w:rFonts w:hint="eastAsia"/>
                      <w:color w:val="auto"/>
                    </w:rPr>
                    <w:t>/</w:t>
                  </w:r>
                </w:p>
              </w:tc>
              <w:tc>
                <w:tcPr>
                  <w:tcW w:w="1280" w:type="dxa"/>
                  <w:vAlign w:val="center"/>
                </w:tcPr>
                <w:p>
                  <w:pPr>
                    <w:pStyle w:val="15"/>
                    <w:rPr>
                      <w:color w:val="auto"/>
                    </w:rPr>
                  </w:pPr>
                  <w:r>
                    <w:rPr>
                      <w:rFonts w:hint="eastAsia"/>
                      <w:color w:val="auto"/>
                    </w:rPr>
                    <w:t>/</w:t>
                  </w:r>
                </w:p>
              </w:tc>
              <w:tc>
                <w:tcPr>
                  <w:tcW w:w="2339" w:type="dxa"/>
                  <w:vAlign w:val="center"/>
                </w:tcPr>
                <w:p>
                  <w:pPr>
                    <w:pStyle w:val="15"/>
                    <w:rPr>
                      <w:rFonts w:hint="eastAsia" w:eastAsia="宋体"/>
                      <w:color w:val="auto"/>
                      <w:lang w:eastAsia="zh-CN"/>
                    </w:rPr>
                  </w:pPr>
                  <w:r>
                    <w:rPr>
                      <w:rFonts w:hint="eastAsia"/>
                      <w:color w:val="auto"/>
                      <w:lang w:val="en-US" w:eastAsia="zh-CN"/>
                    </w:rPr>
                    <w:t>自来水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2</w:t>
                  </w:r>
                </w:p>
              </w:tc>
              <w:tc>
                <w:tcPr>
                  <w:tcW w:w="928" w:type="dxa"/>
                  <w:vAlign w:val="center"/>
                </w:tcPr>
                <w:p>
                  <w:pPr>
                    <w:pStyle w:val="15"/>
                    <w:rPr>
                      <w:color w:val="auto"/>
                    </w:rPr>
                  </w:pPr>
                  <w:r>
                    <w:rPr>
                      <w:rFonts w:hint="eastAsia"/>
                      <w:color w:val="auto"/>
                    </w:rPr>
                    <w:t>电（万千瓦时）</w:t>
                  </w:r>
                </w:p>
              </w:tc>
              <w:tc>
                <w:tcPr>
                  <w:tcW w:w="652" w:type="dxa"/>
                  <w:vAlign w:val="center"/>
                </w:tcPr>
                <w:p>
                  <w:pPr>
                    <w:pStyle w:val="15"/>
                    <w:rPr>
                      <w:color w:val="auto"/>
                    </w:rPr>
                  </w:pPr>
                  <w:r>
                    <w:rPr>
                      <w:rFonts w:hint="eastAsia"/>
                      <w:color w:val="auto"/>
                    </w:rPr>
                    <w:t>150</w:t>
                  </w:r>
                </w:p>
              </w:tc>
              <w:tc>
                <w:tcPr>
                  <w:tcW w:w="652" w:type="dxa"/>
                  <w:vAlign w:val="center"/>
                </w:tcPr>
                <w:p>
                  <w:pPr>
                    <w:pStyle w:val="15"/>
                    <w:rPr>
                      <w:color w:val="auto"/>
                    </w:rPr>
                  </w:pPr>
                  <w:r>
                    <w:rPr>
                      <w:rFonts w:hint="eastAsia"/>
                      <w:color w:val="auto"/>
                    </w:rPr>
                    <w:t>150</w:t>
                  </w:r>
                </w:p>
              </w:tc>
              <w:tc>
                <w:tcPr>
                  <w:tcW w:w="680" w:type="dxa"/>
                  <w:vAlign w:val="center"/>
                </w:tcPr>
                <w:p>
                  <w:pPr>
                    <w:pStyle w:val="15"/>
                    <w:rPr>
                      <w:color w:val="auto"/>
                    </w:rPr>
                  </w:pPr>
                  <w:r>
                    <w:rPr>
                      <w:rFonts w:hint="eastAsia"/>
                      <w:color w:val="auto"/>
                    </w:rPr>
                    <w:t>0</w:t>
                  </w:r>
                </w:p>
              </w:tc>
              <w:tc>
                <w:tcPr>
                  <w:tcW w:w="766" w:type="dxa"/>
                  <w:vAlign w:val="center"/>
                </w:tcPr>
                <w:p>
                  <w:pPr>
                    <w:pStyle w:val="15"/>
                    <w:rPr>
                      <w:color w:val="auto"/>
                    </w:rPr>
                  </w:pPr>
                  <w:r>
                    <w:rPr>
                      <w:rFonts w:hint="eastAsia"/>
                      <w:color w:val="auto"/>
                    </w:rPr>
                    <w:t>/</w:t>
                  </w:r>
                </w:p>
              </w:tc>
              <w:tc>
                <w:tcPr>
                  <w:tcW w:w="630" w:type="dxa"/>
                  <w:vAlign w:val="center"/>
                </w:tcPr>
                <w:p>
                  <w:pPr>
                    <w:pStyle w:val="15"/>
                    <w:rPr>
                      <w:color w:val="auto"/>
                    </w:rPr>
                  </w:pPr>
                  <w:r>
                    <w:rPr>
                      <w:rFonts w:hint="eastAsia"/>
                      <w:color w:val="auto"/>
                    </w:rPr>
                    <w:t>/</w:t>
                  </w:r>
                </w:p>
              </w:tc>
              <w:tc>
                <w:tcPr>
                  <w:tcW w:w="1280" w:type="dxa"/>
                  <w:vAlign w:val="center"/>
                </w:tcPr>
                <w:p>
                  <w:pPr>
                    <w:pStyle w:val="15"/>
                    <w:rPr>
                      <w:color w:val="auto"/>
                    </w:rPr>
                  </w:pPr>
                  <w:r>
                    <w:rPr>
                      <w:rFonts w:hint="eastAsia"/>
                      <w:color w:val="auto"/>
                    </w:rPr>
                    <w:t>/</w:t>
                  </w:r>
                </w:p>
              </w:tc>
              <w:tc>
                <w:tcPr>
                  <w:tcW w:w="2339" w:type="dxa"/>
                  <w:vAlign w:val="center"/>
                </w:tcPr>
                <w:p>
                  <w:pPr>
                    <w:pStyle w:val="15"/>
                    <w:rPr>
                      <w:rFonts w:hint="default" w:eastAsia="宋体"/>
                      <w:color w:val="auto"/>
                      <w:lang w:val="en-US" w:eastAsia="zh-CN"/>
                    </w:rPr>
                  </w:pPr>
                  <w:r>
                    <w:rPr>
                      <w:rFonts w:hint="eastAsia"/>
                      <w:color w:val="auto"/>
                      <w:lang w:val="en-US" w:eastAsia="zh-CN"/>
                    </w:rPr>
                    <w:t>市政电网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color w:val="auto"/>
                    </w:rPr>
                  </w:pPr>
                  <w:r>
                    <w:rPr>
                      <w:rFonts w:hint="eastAsia"/>
                      <w:color w:val="auto"/>
                    </w:rPr>
                    <w:t>3</w:t>
                  </w:r>
                </w:p>
              </w:tc>
              <w:tc>
                <w:tcPr>
                  <w:tcW w:w="928" w:type="dxa"/>
                  <w:vAlign w:val="center"/>
                </w:tcPr>
                <w:p>
                  <w:pPr>
                    <w:pStyle w:val="15"/>
                    <w:rPr>
                      <w:color w:val="auto"/>
                    </w:rPr>
                  </w:pPr>
                  <w:r>
                    <w:rPr>
                      <w:rFonts w:hint="eastAsia"/>
                      <w:color w:val="auto"/>
                    </w:rPr>
                    <w:t>煤</w:t>
                  </w:r>
                </w:p>
              </w:tc>
              <w:tc>
                <w:tcPr>
                  <w:tcW w:w="652" w:type="dxa"/>
                  <w:vAlign w:val="center"/>
                </w:tcPr>
                <w:p>
                  <w:pPr>
                    <w:pStyle w:val="15"/>
                    <w:rPr>
                      <w:rFonts w:hint="default" w:eastAsia="宋体"/>
                      <w:color w:val="auto"/>
                      <w:lang w:val="en-US" w:eastAsia="zh-CN"/>
                    </w:rPr>
                  </w:pPr>
                  <w:r>
                    <w:rPr>
                      <w:rFonts w:hint="eastAsia"/>
                      <w:color w:val="auto"/>
                      <w:lang w:val="en-US" w:eastAsia="zh-CN"/>
                    </w:rPr>
                    <w:t>0.13</w:t>
                  </w:r>
                </w:p>
              </w:tc>
              <w:tc>
                <w:tcPr>
                  <w:tcW w:w="652" w:type="dxa"/>
                  <w:vAlign w:val="center"/>
                </w:tcPr>
                <w:p>
                  <w:pPr>
                    <w:pStyle w:val="15"/>
                    <w:rPr>
                      <w:color w:val="auto"/>
                    </w:rPr>
                  </w:pPr>
                  <w:r>
                    <w:rPr>
                      <w:rFonts w:hint="eastAsia"/>
                      <w:color w:val="auto"/>
                      <w:lang w:val="en-US" w:eastAsia="zh-CN"/>
                    </w:rPr>
                    <w:t>0.</w:t>
                  </w:r>
                  <w:r>
                    <w:rPr>
                      <w:rFonts w:hint="eastAsia"/>
                      <w:color w:val="auto"/>
                    </w:rPr>
                    <w:t>13</w:t>
                  </w:r>
                </w:p>
              </w:tc>
              <w:tc>
                <w:tcPr>
                  <w:tcW w:w="680" w:type="dxa"/>
                  <w:vAlign w:val="center"/>
                </w:tcPr>
                <w:p>
                  <w:pPr>
                    <w:pStyle w:val="15"/>
                    <w:rPr>
                      <w:color w:val="auto"/>
                    </w:rPr>
                  </w:pPr>
                  <w:r>
                    <w:rPr>
                      <w:rFonts w:hint="eastAsia"/>
                      <w:color w:val="auto"/>
                    </w:rPr>
                    <w:t>0</w:t>
                  </w:r>
                </w:p>
              </w:tc>
              <w:tc>
                <w:tcPr>
                  <w:tcW w:w="766" w:type="dxa"/>
                  <w:vAlign w:val="center"/>
                </w:tcPr>
                <w:p>
                  <w:pPr>
                    <w:pStyle w:val="15"/>
                    <w:rPr>
                      <w:color w:val="auto"/>
                    </w:rPr>
                  </w:pPr>
                  <w:r>
                    <w:rPr>
                      <w:rFonts w:hint="eastAsia"/>
                      <w:color w:val="auto"/>
                    </w:rPr>
                    <w:t>/</w:t>
                  </w:r>
                </w:p>
              </w:tc>
              <w:tc>
                <w:tcPr>
                  <w:tcW w:w="630" w:type="dxa"/>
                  <w:vAlign w:val="center"/>
                </w:tcPr>
                <w:p>
                  <w:pPr>
                    <w:pStyle w:val="15"/>
                    <w:rPr>
                      <w:color w:val="auto"/>
                    </w:rPr>
                  </w:pPr>
                  <w:r>
                    <w:rPr>
                      <w:rFonts w:hint="eastAsia"/>
                      <w:color w:val="auto"/>
                    </w:rPr>
                    <w:t>/</w:t>
                  </w:r>
                </w:p>
              </w:tc>
              <w:tc>
                <w:tcPr>
                  <w:tcW w:w="1280" w:type="dxa"/>
                  <w:vAlign w:val="center"/>
                </w:tcPr>
                <w:p>
                  <w:pPr>
                    <w:pStyle w:val="15"/>
                    <w:rPr>
                      <w:rFonts w:hint="default" w:eastAsia="宋体"/>
                      <w:color w:val="auto"/>
                      <w:lang w:val="en-US" w:eastAsia="zh-CN"/>
                    </w:rPr>
                  </w:pPr>
                  <w:r>
                    <w:rPr>
                      <w:rFonts w:hint="eastAsia"/>
                      <w:color w:val="auto"/>
                      <w:lang w:val="en-US" w:eastAsia="zh-CN"/>
                    </w:rPr>
                    <w:t>200</w:t>
                  </w:r>
                </w:p>
              </w:tc>
              <w:tc>
                <w:tcPr>
                  <w:tcW w:w="2339" w:type="dxa"/>
                  <w:vAlign w:val="center"/>
                </w:tcPr>
                <w:p>
                  <w:pPr>
                    <w:pStyle w:val="15"/>
                    <w:rPr>
                      <w:color w:val="auto"/>
                    </w:rPr>
                  </w:pPr>
                  <w:r>
                    <w:rPr>
                      <w:rFonts w:hint="eastAsia"/>
                      <w:color w:val="auto"/>
                    </w:rPr>
                    <w:t>外采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0" w:type="dxa"/>
                  <w:vAlign w:val="center"/>
                </w:tcPr>
                <w:p>
                  <w:pPr>
                    <w:pStyle w:val="15"/>
                    <w:rPr>
                      <w:rFonts w:hint="eastAsia" w:eastAsia="宋体"/>
                      <w:color w:val="auto"/>
                      <w:lang w:val="en-US" w:eastAsia="zh-CN"/>
                    </w:rPr>
                  </w:pPr>
                  <w:r>
                    <w:rPr>
                      <w:rFonts w:hint="eastAsia"/>
                      <w:color w:val="auto"/>
                      <w:lang w:val="en-US" w:eastAsia="zh-CN"/>
                    </w:rPr>
                    <w:t>4</w:t>
                  </w:r>
                </w:p>
              </w:tc>
              <w:tc>
                <w:tcPr>
                  <w:tcW w:w="928" w:type="dxa"/>
                  <w:vAlign w:val="center"/>
                </w:tcPr>
                <w:p>
                  <w:pPr>
                    <w:pStyle w:val="15"/>
                    <w:rPr>
                      <w:rFonts w:hint="default" w:eastAsia="宋体"/>
                      <w:color w:val="auto"/>
                      <w:lang w:val="en-US" w:eastAsia="zh-CN"/>
                    </w:rPr>
                  </w:pPr>
                  <w:r>
                    <w:rPr>
                      <w:rFonts w:hint="eastAsia"/>
                      <w:color w:val="auto"/>
                      <w:lang w:val="en-US" w:eastAsia="zh-CN"/>
                    </w:rPr>
                    <w:t>生物质燃料</w:t>
                  </w:r>
                </w:p>
              </w:tc>
              <w:tc>
                <w:tcPr>
                  <w:tcW w:w="652" w:type="dxa"/>
                  <w:vAlign w:val="center"/>
                </w:tcPr>
                <w:p>
                  <w:pPr>
                    <w:pStyle w:val="15"/>
                    <w:rPr>
                      <w:rFonts w:hint="default" w:eastAsia="宋体"/>
                      <w:color w:val="auto"/>
                      <w:lang w:val="en-US" w:eastAsia="zh-CN"/>
                    </w:rPr>
                  </w:pPr>
                  <w:r>
                    <w:rPr>
                      <w:rFonts w:hint="eastAsia"/>
                      <w:color w:val="auto"/>
                      <w:lang w:val="en-US" w:eastAsia="zh-CN"/>
                    </w:rPr>
                    <w:t>0.108</w:t>
                  </w:r>
                </w:p>
              </w:tc>
              <w:tc>
                <w:tcPr>
                  <w:tcW w:w="652" w:type="dxa"/>
                  <w:vAlign w:val="center"/>
                </w:tcPr>
                <w:p>
                  <w:pPr>
                    <w:pStyle w:val="15"/>
                    <w:rPr>
                      <w:rFonts w:hint="default" w:eastAsia="宋体"/>
                      <w:color w:val="auto"/>
                      <w:lang w:val="en-US" w:eastAsia="zh-CN"/>
                    </w:rPr>
                  </w:pPr>
                  <w:r>
                    <w:rPr>
                      <w:rFonts w:hint="eastAsia"/>
                      <w:color w:val="auto"/>
                      <w:lang w:val="en-US" w:eastAsia="zh-CN"/>
                    </w:rPr>
                    <w:t>0.108</w:t>
                  </w:r>
                </w:p>
              </w:tc>
              <w:tc>
                <w:tcPr>
                  <w:tcW w:w="680" w:type="dxa"/>
                  <w:vAlign w:val="center"/>
                </w:tcPr>
                <w:p>
                  <w:pPr>
                    <w:pStyle w:val="15"/>
                    <w:rPr>
                      <w:rFonts w:hint="eastAsia" w:eastAsia="宋体"/>
                      <w:color w:val="auto"/>
                      <w:lang w:val="en-US" w:eastAsia="zh-CN"/>
                    </w:rPr>
                  </w:pPr>
                  <w:r>
                    <w:rPr>
                      <w:rFonts w:hint="eastAsia"/>
                      <w:color w:val="auto"/>
                      <w:lang w:val="en-US" w:eastAsia="zh-CN"/>
                    </w:rPr>
                    <w:t>0</w:t>
                  </w:r>
                </w:p>
              </w:tc>
              <w:tc>
                <w:tcPr>
                  <w:tcW w:w="766" w:type="dxa"/>
                  <w:vAlign w:val="center"/>
                </w:tcPr>
                <w:p>
                  <w:pPr>
                    <w:pStyle w:val="15"/>
                    <w:rPr>
                      <w:rFonts w:hint="eastAsia" w:eastAsia="宋体"/>
                      <w:color w:val="auto"/>
                      <w:lang w:val="en-US" w:eastAsia="zh-CN"/>
                    </w:rPr>
                  </w:pPr>
                  <w:r>
                    <w:rPr>
                      <w:rFonts w:hint="eastAsia"/>
                      <w:color w:val="auto"/>
                      <w:lang w:val="en-US" w:eastAsia="zh-CN"/>
                    </w:rPr>
                    <w:t>/</w:t>
                  </w:r>
                </w:p>
              </w:tc>
              <w:tc>
                <w:tcPr>
                  <w:tcW w:w="630" w:type="dxa"/>
                  <w:vAlign w:val="center"/>
                </w:tcPr>
                <w:p>
                  <w:pPr>
                    <w:pStyle w:val="15"/>
                    <w:rPr>
                      <w:rFonts w:hint="eastAsia" w:eastAsia="宋体"/>
                      <w:color w:val="auto"/>
                      <w:lang w:val="en-US" w:eastAsia="zh-CN"/>
                    </w:rPr>
                  </w:pPr>
                  <w:r>
                    <w:rPr>
                      <w:rFonts w:hint="eastAsia"/>
                      <w:color w:val="auto"/>
                      <w:lang w:val="en-US" w:eastAsia="zh-CN"/>
                    </w:rPr>
                    <w:t>/</w:t>
                  </w:r>
                </w:p>
              </w:tc>
              <w:tc>
                <w:tcPr>
                  <w:tcW w:w="1280" w:type="dxa"/>
                  <w:vAlign w:val="center"/>
                </w:tcPr>
                <w:p>
                  <w:pPr>
                    <w:pStyle w:val="15"/>
                    <w:rPr>
                      <w:rFonts w:hint="default" w:eastAsia="宋体"/>
                      <w:color w:val="auto"/>
                      <w:lang w:val="en-US" w:eastAsia="zh-CN"/>
                    </w:rPr>
                  </w:pPr>
                  <w:r>
                    <w:rPr>
                      <w:rFonts w:hint="eastAsia"/>
                      <w:color w:val="auto"/>
                      <w:lang w:val="en-US" w:eastAsia="zh-CN"/>
                    </w:rPr>
                    <w:t>100</w:t>
                  </w:r>
                </w:p>
              </w:tc>
              <w:tc>
                <w:tcPr>
                  <w:tcW w:w="2339" w:type="dxa"/>
                  <w:vAlign w:val="center"/>
                </w:tcPr>
                <w:p>
                  <w:pPr>
                    <w:pStyle w:val="15"/>
                    <w:rPr>
                      <w:rFonts w:hint="eastAsia"/>
                      <w:color w:val="auto"/>
                    </w:rPr>
                  </w:pPr>
                  <w:r>
                    <w:rPr>
                      <w:rFonts w:hint="eastAsia"/>
                      <w:color w:val="auto"/>
                    </w:rPr>
                    <w:t>外采</w:t>
                  </w:r>
                </w:p>
              </w:tc>
            </w:tr>
          </w:tbl>
          <w:p>
            <w:pPr>
              <w:ind w:firstLine="480"/>
              <w:rPr>
                <w:color w:val="auto"/>
              </w:rPr>
            </w:pPr>
            <w:r>
              <w:rPr>
                <w:rFonts w:hint="eastAsia"/>
                <w:color w:val="auto"/>
              </w:rPr>
              <w:t>原辅材料理化性质：</w:t>
            </w:r>
          </w:p>
          <w:p>
            <w:pPr>
              <w:ind w:firstLine="480"/>
              <w:rPr>
                <w:color w:val="auto"/>
              </w:rPr>
            </w:pPr>
            <w:r>
              <w:rPr>
                <w:rFonts w:hint="eastAsia"/>
                <w:color w:val="auto"/>
              </w:rPr>
              <w:t>（1）铵法硫酸亚铁除杂废渣</w:t>
            </w:r>
          </w:p>
          <w:p>
            <w:pPr>
              <w:ind w:firstLine="480"/>
              <w:rPr>
                <w:rFonts w:hint="eastAsia"/>
                <w:color w:val="auto"/>
              </w:rPr>
            </w:pPr>
            <w:r>
              <w:rPr>
                <w:rFonts w:hint="eastAsia"/>
                <w:color w:val="auto"/>
              </w:rPr>
              <w:t>硫酸亚铁除杂废渣来源于云南天安化工有限公司磷酸铁装置生产过程，根据云南天安化工有限公司磷酸铁分部委托国检测试控股集团云南京诚检测有限公司对硫酸亚铁除杂废渣样品进行的浸出毒性鉴别实验，硫酸亚铁除杂废渣属于第II类一般工业固体废物，其含水率约为39.4%。</w:t>
            </w:r>
          </w:p>
          <w:p>
            <w:pPr>
              <w:ind w:firstLine="480"/>
              <w:rPr>
                <w:rFonts w:hint="eastAsia"/>
                <w:color w:val="auto"/>
              </w:rPr>
            </w:pPr>
            <w:r>
              <w:rPr>
                <w:rFonts w:hint="eastAsia"/>
                <w:color w:val="auto"/>
              </w:rPr>
              <w:t>硫酸亚铁除杂废渣原料临时储存区需按照《一般工业固体废物贮存和填埋污染控制标准》（GB18599-2020）中II类场要求进行建设。</w:t>
            </w:r>
          </w:p>
          <w:p>
            <w:pPr>
              <w:ind w:firstLine="480"/>
              <w:rPr>
                <w:rFonts w:hint="eastAsia"/>
                <w:color w:val="auto"/>
                <w:lang w:val="en-US" w:eastAsia="zh-CN"/>
              </w:rPr>
            </w:pPr>
            <w:r>
              <w:rPr>
                <w:rFonts w:hint="eastAsia"/>
                <w:color w:val="auto"/>
                <w:lang w:val="en-US" w:eastAsia="zh-CN"/>
              </w:rPr>
              <w:t>根据云南省化工产品质量监督检验站的委托检验报告，</w:t>
            </w:r>
            <w:r>
              <w:rPr>
                <w:rFonts w:hint="eastAsia"/>
                <w:color w:val="auto"/>
              </w:rPr>
              <w:t>铵法硫酸亚铁除杂废渣</w:t>
            </w:r>
            <w:r>
              <w:rPr>
                <w:rFonts w:hint="eastAsia"/>
                <w:color w:val="auto"/>
                <w:lang w:val="en-US" w:eastAsia="zh-CN"/>
              </w:rPr>
              <w:t>主要成分详见下表。</w:t>
            </w:r>
          </w:p>
          <w:p>
            <w:pPr>
              <w:pStyle w:val="14"/>
              <w:rPr>
                <w:color w:val="auto"/>
              </w:rPr>
            </w:pPr>
            <w:r>
              <w:rPr>
                <w:rFonts w:hint="eastAsia"/>
                <w:color w:val="auto"/>
              </w:rPr>
              <w:t>表2-</w:t>
            </w:r>
            <w:r>
              <w:rPr>
                <w:rFonts w:hint="eastAsia"/>
                <w:color w:val="auto"/>
                <w:lang w:val="en-US" w:eastAsia="zh-CN"/>
              </w:rPr>
              <w:t>5</w:t>
            </w:r>
            <w:r>
              <w:rPr>
                <w:rFonts w:hint="eastAsia"/>
                <w:color w:val="auto"/>
              </w:rPr>
              <w:t xml:space="preserve">   </w:t>
            </w:r>
            <w:r>
              <w:rPr>
                <w:rFonts w:hint="eastAsia"/>
                <w:color w:val="auto"/>
                <w:lang w:val="en-US" w:eastAsia="zh-CN"/>
              </w:rPr>
              <w:t>铵法硫酸亚铁除杂废渣主要成分分析</w:t>
            </w:r>
            <w:r>
              <w:rPr>
                <w:rFonts w:hint="eastAsia"/>
                <w:color w:val="auto"/>
              </w:rPr>
              <w:t>表</w:t>
            </w:r>
          </w:p>
          <w:tbl>
            <w:tblPr>
              <w:tblStyle w:val="10"/>
              <w:tblW w:w="8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6"/>
              <w:gridCol w:w="1833"/>
              <w:gridCol w:w="2182"/>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996" w:type="dxa"/>
                  <w:vAlign w:val="center"/>
                </w:tcPr>
                <w:p>
                  <w:pPr>
                    <w:pStyle w:val="15"/>
                    <w:rPr>
                      <w:rFonts w:hint="eastAsia" w:eastAsia="宋体"/>
                      <w:color w:val="auto"/>
                      <w:lang w:val="en-US" w:eastAsia="zh-CN"/>
                    </w:rPr>
                  </w:pPr>
                  <w:r>
                    <w:rPr>
                      <w:rFonts w:hint="eastAsia"/>
                      <w:color w:val="auto"/>
                      <w:lang w:val="en-US" w:eastAsia="zh-CN"/>
                    </w:rPr>
                    <w:t>成分</w:t>
                  </w:r>
                </w:p>
              </w:tc>
              <w:tc>
                <w:tcPr>
                  <w:tcW w:w="1833" w:type="dxa"/>
                  <w:vAlign w:val="center"/>
                </w:tcPr>
                <w:p>
                  <w:pPr>
                    <w:pStyle w:val="15"/>
                    <w:rPr>
                      <w:rFonts w:hint="eastAsia" w:eastAsia="宋体"/>
                      <w:color w:val="auto"/>
                      <w:lang w:eastAsia="zh-CN"/>
                    </w:rPr>
                  </w:pPr>
                  <w:r>
                    <w:rPr>
                      <w:rFonts w:hint="eastAsia"/>
                      <w:color w:val="auto"/>
                      <w:lang w:val="en-US" w:eastAsia="zh-CN"/>
                    </w:rPr>
                    <w:t>总氮</w:t>
                  </w:r>
                </w:p>
              </w:tc>
              <w:tc>
                <w:tcPr>
                  <w:tcW w:w="2182" w:type="dxa"/>
                  <w:vAlign w:val="center"/>
                </w:tcPr>
                <w:p>
                  <w:pPr>
                    <w:pStyle w:val="15"/>
                    <w:rPr>
                      <w:rFonts w:hint="eastAsia" w:eastAsia="宋体"/>
                      <w:color w:val="auto"/>
                      <w:lang w:val="en-US" w:eastAsia="zh-CN"/>
                    </w:rPr>
                  </w:pPr>
                  <w:r>
                    <w:rPr>
                      <w:rFonts w:hint="eastAsia"/>
                      <w:color w:val="auto"/>
                      <w:lang w:val="en-US" w:eastAsia="zh-CN"/>
                    </w:rPr>
                    <w:t>五氧化二磷</w:t>
                  </w:r>
                </w:p>
              </w:tc>
              <w:tc>
                <w:tcPr>
                  <w:tcW w:w="2366" w:type="dxa"/>
                  <w:vAlign w:val="center"/>
                </w:tcPr>
                <w:p>
                  <w:pPr>
                    <w:pStyle w:val="15"/>
                    <w:rPr>
                      <w:rFonts w:hint="default" w:eastAsia="宋体"/>
                      <w:color w:val="auto"/>
                      <w:lang w:val="en-US" w:eastAsia="zh-CN"/>
                    </w:rPr>
                  </w:pPr>
                  <w:r>
                    <w:rPr>
                      <w:rFonts w:hint="eastAsia"/>
                      <w:color w:val="auto"/>
                      <w:lang w:val="en-US" w:eastAsia="zh-CN"/>
                    </w:rPr>
                    <w:t>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996" w:type="dxa"/>
                  <w:vAlign w:val="center"/>
                </w:tcPr>
                <w:p>
                  <w:pPr>
                    <w:pStyle w:val="15"/>
                    <w:rPr>
                      <w:rFonts w:hint="eastAsia" w:eastAsia="宋体"/>
                      <w:color w:val="auto"/>
                      <w:lang w:val="en-US" w:eastAsia="zh-CN"/>
                    </w:rPr>
                  </w:pPr>
                  <w:r>
                    <w:rPr>
                      <w:rFonts w:hint="eastAsia"/>
                      <w:color w:val="auto"/>
                      <w:lang w:val="en-US" w:eastAsia="zh-CN"/>
                    </w:rPr>
                    <w:t>%</w:t>
                  </w:r>
                </w:p>
              </w:tc>
              <w:tc>
                <w:tcPr>
                  <w:tcW w:w="1833" w:type="dxa"/>
                  <w:vAlign w:val="center"/>
                </w:tcPr>
                <w:p>
                  <w:pPr>
                    <w:pStyle w:val="15"/>
                    <w:rPr>
                      <w:rFonts w:hint="default" w:eastAsia="宋体"/>
                      <w:color w:val="auto"/>
                      <w:lang w:val="en-US" w:eastAsia="zh-CN"/>
                    </w:rPr>
                  </w:pPr>
                  <w:r>
                    <w:rPr>
                      <w:rFonts w:hint="eastAsia"/>
                      <w:color w:val="auto"/>
                      <w:lang w:val="en-US" w:eastAsia="zh-CN"/>
                    </w:rPr>
                    <w:t>1.1</w:t>
                  </w:r>
                </w:p>
              </w:tc>
              <w:tc>
                <w:tcPr>
                  <w:tcW w:w="2182" w:type="dxa"/>
                  <w:vAlign w:val="center"/>
                </w:tcPr>
                <w:p>
                  <w:pPr>
                    <w:pStyle w:val="15"/>
                    <w:rPr>
                      <w:rFonts w:hint="default" w:eastAsia="宋体"/>
                      <w:color w:val="auto"/>
                      <w:lang w:val="en-US" w:eastAsia="zh-CN"/>
                    </w:rPr>
                  </w:pPr>
                  <w:r>
                    <w:rPr>
                      <w:rFonts w:hint="eastAsia"/>
                      <w:color w:val="auto"/>
                      <w:lang w:val="en-US" w:eastAsia="zh-CN"/>
                    </w:rPr>
                    <w:t>3.1</w:t>
                  </w:r>
                </w:p>
              </w:tc>
              <w:tc>
                <w:tcPr>
                  <w:tcW w:w="2366" w:type="dxa"/>
                  <w:vAlign w:val="center"/>
                </w:tcPr>
                <w:p>
                  <w:pPr>
                    <w:pStyle w:val="15"/>
                    <w:rPr>
                      <w:rFonts w:hint="default" w:eastAsia="宋体"/>
                      <w:color w:val="auto"/>
                      <w:lang w:val="en-US" w:eastAsia="zh-CN"/>
                    </w:rPr>
                  </w:pPr>
                  <w:r>
                    <w:rPr>
                      <w:rFonts w:hint="eastAsia"/>
                      <w:color w:val="auto"/>
                      <w:lang w:val="en-US" w:eastAsia="zh-CN"/>
                    </w:rPr>
                    <w:t>4.72</w:t>
                  </w:r>
                </w:p>
              </w:tc>
            </w:tr>
          </w:tbl>
          <w:p>
            <w:pPr>
              <w:ind w:firstLine="480"/>
              <w:rPr>
                <w:color w:val="auto"/>
              </w:rPr>
            </w:pPr>
            <w:r>
              <w:rPr>
                <w:rFonts w:hint="eastAsia"/>
                <w:color w:val="auto"/>
              </w:rPr>
              <w:t>（2）中水除杂废渣</w:t>
            </w:r>
          </w:p>
          <w:p>
            <w:pPr>
              <w:ind w:firstLine="480"/>
              <w:rPr>
                <w:color w:val="auto"/>
              </w:rPr>
            </w:pPr>
            <w:r>
              <w:rPr>
                <w:rFonts w:hint="eastAsia"/>
                <w:color w:val="auto"/>
              </w:rPr>
              <w:t>中水除杂废渣来源于云南天安化工有限公司磷酸铁装置生产过程，根据云南天安化工有限公司磷酸铁分部委托国检测试控股集团云南京诚检测有限公司对中水除杂废渣样品进行的浸出毒性鉴别实验，中水除杂废渣属于第I类一般工业固体废物，其含水率约为40.75%。</w:t>
            </w:r>
          </w:p>
          <w:p>
            <w:pPr>
              <w:ind w:firstLine="480"/>
              <w:rPr>
                <w:rFonts w:hint="eastAsia"/>
                <w:color w:val="auto"/>
              </w:rPr>
            </w:pPr>
            <w:r>
              <w:rPr>
                <w:rFonts w:hint="eastAsia"/>
                <w:color w:val="auto"/>
              </w:rPr>
              <w:t>中水除杂废渣原料临时储存区需按照《一般工业固体废物贮存和填埋污染控制标准》（GB18599-2020）中I类场要求进行建设。</w:t>
            </w:r>
          </w:p>
          <w:p>
            <w:pPr>
              <w:ind w:firstLine="480"/>
              <w:rPr>
                <w:rFonts w:hint="eastAsia"/>
                <w:color w:val="auto"/>
                <w:lang w:val="en-US" w:eastAsia="zh-CN"/>
              </w:rPr>
            </w:pPr>
            <w:r>
              <w:rPr>
                <w:rFonts w:hint="eastAsia"/>
                <w:color w:val="auto"/>
                <w:lang w:val="en-US" w:eastAsia="zh-CN"/>
              </w:rPr>
              <w:t>根据云南省化工产品质量监督检验站的委托检验报告，</w:t>
            </w:r>
            <w:r>
              <w:rPr>
                <w:rFonts w:hint="eastAsia"/>
                <w:color w:val="auto"/>
              </w:rPr>
              <w:t>中水除杂废渣</w:t>
            </w:r>
            <w:r>
              <w:rPr>
                <w:rFonts w:hint="eastAsia"/>
                <w:color w:val="auto"/>
                <w:lang w:val="en-US" w:eastAsia="zh-CN"/>
              </w:rPr>
              <w:t>主要成分详见下表。</w:t>
            </w:r>
          </w:p>
          <w:p>
            <w:pPr>
              <w:pStyle w:val="14"/>
              <w:rPr>
                <w:color w:val="auto"/>
              </w:rPr>
            </w:pPr>
            <w:r>
              <w:rPr>
                <w:rFonts w:hint="eastAsia"/>
                <w:color w:val="auto"/>
              </w:rPr>
              <w:t>表2-</w:t>
            </w:r>
            <w:r>
              <w:rPr>
                <w:rFonts w:hint="eastAsia"/>
                <w:color w:val="auto"/>
                <w:lang w:val="en-US" w:eastAsia="zh-CN"/>
              </w:rPr>
              <w:t>6</w:t>
            </w:r>
            <w:r>
              <w:rPr>
                <w:rFonts w:hint="eastAsia"/>
                <w:color w:val="auto"/>
              </w:rPr>
              <w:t xml:space="preserve">   </w:t>
            </w:r>
            <w:r>
              <w:rPr>
                <w:rFonts w:hint="eastAsia"/>
                <w:color w:val="auto"/>
                <w:lang w:val="en-US" w:eastAsia="zh-CN"/>
              </w:rPr>
              <w:t>中水除杂废渣主要成分分析</w:t>
            </w:r>
            <w:r>
              <w:rPr>
                <w:rFonts w:hint="eastAsia"/>
                <w:color w:val="auto"/>
              </w:rPr>
              <w:t>表</w:t>
            </w:r>
          </w:p>
          <w:tbl>
            <w:tblPr>
              <w:tblStyle w:val="10"/>
              <w:tblW w:w="8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96"/>
              <w:gridCol w:w="1833"/>
              <w:gridCol w:w="2182"/>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996" w:type="dxa"/>
                  <w:vAlign w:val="center"/>
                </w:tcPr>
                <w:p>
                  <w:pPr>
                    <w:pStyle w:val="15"/>
                    <w:rPr>
                      <w:rFonts w:hint="eastAsia" w:eastAsia="宋体"/>
                      <w:color w:val="auto"/>
                      <w:lang w:val="en-US" w:eastAsia="zh-CN"/>
                    </w:rPr>
                  </w:pPr>
                  <w:r>
                    <w:rPr>
                      <w:rFonts w:hint="eastAsia"/>
                      <w:color w:val="auto"/>
                      <w:lang w:val="en-US" w:eastAsia="zh-CN"/>
                    </w:rPr>
                    <w:t>成分</w:t>
                  </w:r>
                </w:p>
              </w:tc>
              <w:tc>
                <w:tcPr>
                  <w:tcW w:w="1833" w:type="dxa"/>
                  <w:vAlign w:val="center"/>
                </w:tcPr>
                <w:p>
                  <w:pPr>
                    <w:pStyle w:val="15"/>
                    <w:rPr>
                      <w:rFonts w:hint="eastAsia" w:eastAsia="宋体"/>
                      <w:color w:val="auto"/>
                      <w:lang w:eastAsia="zh-CN"/>
                    </w:rPr>
                  </w:pPr>
                  <w:r>
                    <w:rPr>
                      <w:rFonts w:hint="eastAsia"/>
                      <w:color w:val="auto"/>
                      <w:lang w:val="en-US" w:eastAsia="zh-CN"/>
                    </w:rPr>
                    <w:t>总氮</w:t>
                  </w:r>
                </w:p>
              </w:tc>
              <w:tc>
                <w:tcPr>
                  <w:tcW w:w="2182" w:type="dxa"/>
                  <w:vAlign w:val="center"/>
                </w:tcPr>
                <w:p>
                  <w:pPr>
                    <w:pStyle w:val="15"/>
                    <w:rPr>
                      <w:rFonts w:hint="eastAsia" w:eastAsia="宋体"/>
                      <w:color w:val="auto"/>
                      <w:lang w:val="en-US" w:eastAsia="zh-CN"/>
                    </w:rPr>
                  </w:pPr>
                  <w:r>
                    <w:rPr>
                      <w:rFonts w:hint="eastAsia"/>
                      <w:color w:val="auto"/>
                      <w:lang w:val="en-US" w:eastAsia="zh-CN"/>
                    </w:rPr>
                    <w:t>五氧化二磷</w:t>
                  </w:r>
                </w:p>
              </w:tc>
              <w:tc>
                <w:tcPr>
                  <w:tcW w:w="2366" w:type="dxa"/>
                  <w:vAlign w:val="center"/>
                </w:tcPr>
                <w:p>
                  <w:pPr>
                    <w:pStyle w:val="15"/>
                    <w:rPr>
                      <w:rFonts w:hint="default" w:eastAsia="宋体"/>
                      <w:color w:val="auto"/>
                      <w:lang w:val="en-US" w:eastAsia="zh-CN"/>
                    </w:rPr>
                  </w:pPr>
                  <w:r>
                    <w:rPr>
                      <w:rFonts w:hint="eastAsia"/>
                      <w:color w:val="auto"/>
                      <w:lang w:val="en-US" w:eastAsia="zh-CN"/>
                    </w:rPr>
                    <w:t>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996" w:type="dxa"/>
                  <w:vAlign w:val="center"/>
                </w:tcPr>
                <w:p>
                  <w:pPr>
                    <w:pStyle w:val="15"/>
                    <w:rPr>
                      <w:rFonts w:hint="eastAsia" w:eastAsia="宋体"/>
                      <w:color w:val="auto"/>
                      <w:lang w:val="en-US" w:eastAsia="zh-CN"/>
                    </w:rPr>
                  </w:pPr>
                  <w:r>
                    <w:rPr>
                      <w:rFonts w:hint="eastAsia"/>
                      <w:color w:val="auto"/>
                      <w:lang w:val="en-US" w:eastAsia="zh-CN"/>
                    </w:rPr>
                    <w:t>%</w:t>
                  </w:r>
                </w:p>
              </w:tc>
              <w:tc>
                <w:tcPr>
                  <w:tcW w:w="1833" w:type="dxa"/>
                  <w:vAlign w:val="center"/>
                </w:tcPr>
                <w:p>
                  <w:pPr>
                    <w:pStyle w:val="15"/>
                    <w:rPr>
                      <w:rFonts w:hint="default" w:eastAsia="宋体"/>
                      <w:color w:val="auto"/>
                      <w:lang w:val="en-US" w:eastAsia="zh-CN"/>
                    </w:rPr>
                  </w:pPr>
                  <w:r>
                    <w:rPr>
                      <w:rFonts w:hint="eastAsia"/>
                      <w:color w:val="auto"/>
                      <w:lang w:val="en-US" w:eastAsia="zh-CN"/>
                    </w:rPr>
                    <w:t>5.2</w:t>
                  </w:r>
                </w:p>
              </w:tc>
              <w:tc>
                <w:tcPr>
                  <w:tcW w:w="2182" w:type="dxa"/>
                  <w:vAlign w:val="center"/>
                </w:tcPr>
                <w:p>
                  <w:pPr>
                    <w:pStyle w:val="15"/>
                    <w:rPr>
                      <w:rFonts w:hint="default" w:eastAsia="宋体"/>
                      <w:color w:val="auto"/>
                      <w:lang w:val="en-US" w:eastAsia="zh-CN"/>
                    </w:rPr>
                  </w:pPr>
                  <w:r>
                    <w:rPr>
                      <w:rFonts w:hint="eastAsia"/>
                      <w:color w:val="auto"/>
                      <w:lang w:val="en-US" w:eastAsia="zh-CN"/>
                    </w:rPr>
                    <w:t>40.5</w:t>
                  </w:r>
                </w:p>
              </w:tc>
              <w:tc>
                <w:tcPr>
                  <w:tcW w:w="2366" w:type="dxa"/>
                  <w:vAlign w:val="center"/>
                </w:tcPr>
                <w:p>
                  <w:pPr>
                    <w:pStyle w:val="15"/>
                    <w:rPr>
                      <w:rFonts w:hint="default" w:eastAsia="宋体"/>
                      <w:color w:val="auto"/>
                      <w:lang w:val="en-US" w:eastAsia="zh-CN"/>
                    </w:rPr>
                  </w:pPr>
                  <w:r>
                    <w:rPr>
                      <w:rFonts w:hint="eastAsia"/>
                      <w:color w:val="auto"/>
                      <w:lang w:val="en-US" w:eastAsia="zh-CN"/>
                    </w:rPr>
                    <w:t>1.3</w:t>
                  </w:r>
                </w:p>
              </w:tc>
            </w:tr>
          </w:tbl>
          <w:p>
            <w:pPr>
              <w:ind w:firstLine="480"/>
              <w:rPr>
                <w:color w:val="auto"/>
              </w:rPr>
            </w:pPr>
            <w:r>
              <w:rPr>
                <w:rFonts w:hint="eastAsia"/>
                <w:color w:val="auto"/>
              </w:rPr>
              <w:t>（3）磷石膏、黄磷渣、富钙镁磷矿</w:t>
            </w:r>
          </w:p>
          <w:p>
            <w:pPr>
              <w:ind w:firstLine="480"/>
              <w:rPr>
                <w:rFonts w:hint="eastAsia"/>
                <w:color w:val="auto"/>
              </w:rPr>
            </w:pPr>
            <w:r>
              <w:rPr>
                <w:rFonts w:hint="eastAsia"/>
                <w:color w:val="auto"/>
              </w:rPr>
              <w:t>根据</w:t>
            </w:r>
            <w:r>
              <w:rPr>
                <w:rFonts w:hint="eastAsia"/>
                <w:color w:val="auto"/>
                <w:lang w:val="en-US" w:eastAsia="zh-CN"/>
              </w:rPr>
              <w:t>固废产生单位环评报告</w:t>
            </w:r>
            <w:r>
              <w:rPr>
                <w:rFonts w:hint="eastAsia"/>
                <w:color w:val="auto"/>
              </w:rPr>
              <w:t>，磷石膏、黄磷渣、富钙镁磷矿均属于第I类一般工业固体废物。原料临时储存区需按照《一般工业固体废物贮存和填埋污染控制标准》（GB18599-2020）中I类场要求进行建设。</w:t>
            </w:r>
          </w:p>
          <w:p>
            <w:pPr>
              <w:ind w:firstLine="480"/>
              <w:rPr>
                <w:rFonts w:hint="default"/>
                <w:color w:val="auto"/>
                <w:lang w:val="en-US" w:eastAsia="zh-CN"/>
              </w:rPr>
            </w:pPr>
            <w:r>
              <w:rPr>
                <w:rFonts w:hint="eastAsia"/>
                <w:color w:val="auto"/>
                <w:lang w:val="en-US" w:eastAsia="zh-CN"/>
              </w:rPr>
              <w:t>根据云南省化工产品质量监督检验站出具的检验报告，磷石膏粉主要成分详见下表：</w:t>
            </w:r>
          </w:p>
          <w:p>
            <w:pPr>
              <w:pStyle w:val="14"/>
              <w:rPr>
                <w:color w:val="auto"/>
              </w:rPr>
            </w:pPr>
            <w:r>
              <w:rPr>
                <w:rFonts w:hint="eastAsia"/>
                <w:color w:val="auto"/>
              </w:rPr>
              <w:t>表2-</w:t>
            </w:r>
            <w:r>
              <w:rPr>
                <w:rFonts w:hint="eastAsia"/>
                <w:color w:val="auto"/>
                <w:lang w:val="en-US" w:eastAsia="zh-CN"/>
              </w:rPr>
              <w:t>7</w:t>
            </w:r>
            <w:r>
              <w:rPr>
                <w:rFonts w:hint="eastAsia"/>
                <w:color w:val="auto"/>
              </w:rPr>
              <w:t xml:space="preserve">   </w:t>
            </w:r>
            <w:r>
              <w:rPr>
                <w:rFonts w:hint="eastAsia"/>
                <w:color w:val="auto"/>
                <w:lang w:val="en-US" w:eastAsia="zh-CN"/>
              </w:rPr>
              <w:t>磷石膏粉主要成分一览</w:t>
            </w:r>
            <w:r>
              <w:rPr>
                <w:rFonts w:hint="eastAsia"/>
                <w:color w:val="auto"/>
              </w:rPr>
              <w:t>表</w:t>
            </w:r>
          </w:p>
          <w:tbl>
            <w:tblPr>
              <w:tblStyle w:val="10"/>
              <w:tblW w:w="8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6"/>
              <w:gridCol w:w="1046"/>
              <w:gridCol w:w="1046"/>
              <w:gridCol w:w="1046"/>
              <w:gridCol w:w="1046"/>
              <w:gridCol w:w="1046"/>
              <w:gridCol w:w="1046"/>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6" w:type="dxa"/>
                  <w:vAlign w:val="center"/>
                </w:tcPr>
                <w:p>
                  <w:pPr>
                    <w:pStyle w:val="15"/>
                    <w:rPr>
                      <w:rFonts w:hint="eastAsia" w:eastAsia="宋体"/>
                      <w:color w:val="auto"/>
                      <w:lang w:val="en-US" w:eastAsia="zh-CN"/>
                    </w:rPr>
                  </w:pPr>
                  <w:r>
                    <w:rPr>
                      <w:rFonts w:hint="eastAsia"/>
                      <w:color w:val="auto"/>
                      <w:lang w:val="en-US" w:eastAsia="zh-CN"/>
                    </w:rPr>
                    <w:t>成分</w:t>
                  </w: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含水率</w:t>
                  </w: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水溶性五氧化二磷</w:t>
                  </w:r>
                </w:p>
              </w:tc>
              <w:tc>
                <w:tcPr>
                  <w:tcW w:w="1046" w:type="dxa"/>
                  <w:vAlign w:val="center"/>
                </w:tcPr>
                <w:p>
                  <w:pPr>
                    <w:pStyle w:val="15"/>
                    <w:rPr>
                      <w:rFonts w:hint="default"/>
                      <w:color w:val="auto"/>
                      <w:lang w:val="en-US" w:eastAsia="zh-CN"/>
                    </w:rPr>
                  </w:pPr>
                  <w:r>
                    <w:rPr>
                      <w:rFonts w:hint="eastAsia"/>
                      <w:color w:val="auto"/>
                      <w:lang w:val="en-US" w:eastAsia="zh-CN"/>
                    </w:rPr>
                    <w:t>三氧化硫</w:t>
                  </w:r>
                </w:p>
              </w:tc>
              <w:tc>
                <w:tcPr>
                  <w:tcW w:w="1046" w:type="dxa"/>
                  <w:vAlign w:val="center"/>
                </w:tcPr>
                <w:p>
                  <w:pPr>
                    <w:pStyle w:val="15"/>
                    <w:rPr>
                      <w:rFonts w:hint="default" w:eastAsia="宋体"/>
                      <w:color w:val="auto"/>
                      <w:lang w:val="en-US" w:eastAsia="zh-CN"/>
                    </w:rPr>
                  </w:pPr>
                  <w:r>
                    <w:rPr>
                      <w:rFonts w:hint="eastAsia"/>
                      <w:color w:val="auto"/>
                      <w:lang w:val="en-US" w:eastAsia="zh-CN"/>
                    </w:rPr>
                    <w:t>氧化钙</w:t>
                  </w:r>
                </w:p>
              </w:tc>
              <w:tc>
                <w:tcPr>
                  <w:tcW w:w="1046" w:type="dxa"/>
                  <w:vAlign w:val="center"/>
                </w:tcPr>
                <w:p>
                  <w:pPr>
                    <w:pStyle w:val="15"/>
                    <w:rPr>
                      <w:rFonts w:hint="default"/>
                      <w:color w:val="auto"/>
                      <w:lang w:val="en-US" w:eastAsia="zh-CN"/>
                    </w:rPr>
                  </w:pPr>
                  <w:r>
                    <w:rPr>
                      <w:rFonts w:hint="eastAsia"/>
                      <w:color w:val="auto"/>
                      <w:lang w:val="en-US" w:eastAsia="zh-CN"/>
                    </w:rPr>
                    <w:t>水溶性氧化钾</w:t>
                  </w:r>
                </w:p>
              </w:tc>
              <w:tc>
                <w:tcPr>
                  <w:tcW w:w="1046" w:type="dxa"/>
                  <w:vAlign w:val="center"/>
                </w:tcPr>
                <w:p>
                  <w:pPr>
                    <w:pStyle w:val="15"/>
                    <w:rPr>
                      <w:rFonts w:hint="default"/>
                      <w:color w:val="auto"/>
                      <w:lang w:val="en-US" w:eastAsia="zh-CN"/>
                    </w:rPr>
                  </w:pPr>
                  <w:r>
                    <w:rPr>
                      <w:rFonts w:hint="eastAsia"/>
                      <w:color w:val="auto"/>
                      <w:lang w:val="en-US" w:eastAsia="zh-CN"/>
                    </w:rPr>
                    <w:t>三氧化二铁</w:t>
                  </w:r>
                </w:p>
              </w:tc>
              <w:tc>
                <w:tcPr>
                  <w:tcW w:w="1051" w:type="dxa"/>
                  <w:vAlign w:val="center"/>
                </w:tcPr>
                <w:p>
                  <w:pPr>
                    <w:pStyle w:val="15"/>
                    <w:rPr>
                      <w:rFonts w:hint="default"/>
                      <w:color w:val="auto"/>
                      <w:lang w:val="en-US" w:eastAsia="zh-CN"/>
                    </w:rPr>
                  </w:pPr>
                  <w:r>
                    <w:rPr>
                      <w:rFonts w:hint="eastAsia"/>
                      <w:color w:val="auto"/>
                      <w:lang w:val="en-US" w:eastAsia="zh-CN"/>
                    </w:rPr>
                    <w:t>三氧化二铝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6" w:type="dxa"/>
                  <w:vAlign w:val="center"/>
                </w:tcPr>
                <w:p>
                  <w:pPr>
                    <w:pStyle w:val="15"/>
                    <w:rPr>
                      <w:rFonts w:hint="eastAsia" w:eastAsia="宋体"/>
                      <w:color w:val="auto"/>
                      <w:lang w:val="en-US" w:eastAsia="zh-CN"/>
                    </w:rPr>
                  </w:pPr>
                  <w:r>
                    <w:rPr>
                      <w:rFonts w:hint="eastAsia"/>
                      <w:color w:val="auto"/>
                      <w:lang w:val="en-US" w:eastAsia="zh-CN"/>
                    </w:rPr>
                    <w:t>%</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11.9</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0.26</w:t>
                  </w:r>
                </w:p>
              </w:tc>
              <w:tc>
                <w:tcPr>
                  <w:tcW w:w="1046" w:type="dxa"/>
                  <w:vAlign w:val="center"/>
                </w:tcPr>
                <w:p>
                  <w:pPr>
                    <w:pStyle w:val="15"/>
                    <w:rPr>
                      <w:rFonts w:hint="default"/>
                      <w:color w:val="auto"/>
                      <w:lang w:val="en-US" w:eastAsia="zh-CN"/>
                    </w:rPr>
                  </w:pPr>
                  <w:r>
                    <w:rPr>
                      <w:rFonts w:hint="eastAsia"/>
                      <w:color w:val="auto"/>
                      <w:lang w:val="en-US" w:eastAsia="zh-CN"/>
                    </w:rPr>
                    <w:t>42.96</w:t>
                  </w:r>
                </w:p>
              </w:tc>
              <w:tc>
                <w:tcPr>
                  <w:tcW w:w="1046" w:type="dxa"/>
                  <w:vAlign w:val="center"/>
                </w:tcPr>
                <w:p>
                  <w:pPr>
                    <w:pStyle w:val="15"/>
                    <w:rPr>
                      <w:rFonts w:hint="default" w:eastAsia="宋体"/>
                      <w:color w:val="auto"/>
                      <w:lang w:val="en-US" w:eastAsia="zh-CN"/>
                    </w:rPr>
                  </w:pPr>
                  <w:r>
                    <w:rPr>
                      <w:rFonts w:hint="eastAsia"/>
                      <w:color w:val="auto"/>
                      <w:lang w:val="en-US" w:eastAsia="zh-CN"/>
                    </w:rPr>
                    <w:t>31.06</w:t>
                  </w:r>
                </w:p>
              </w:tc>
              <w:tc>
                <w:tcPr>
                  <w:tcW w:w="1046" w:type="dxa"/>
                  <w:vAlign w:val="center"/>
                </w:tcPr>
                <w:p>
                  <w:pPr>
                    <w:pStyle w:val="15"/>
                    <w:rPr>
                      <w:rFonts w:hint="default"/>
                      <w:color w:val="auto"/>
                      <w:lang w:val="en-US" w:eastAsia="zh-CN"/>
                    </w:rPr>
                  </w:pPr>
                  <w:r>
                    <w:rPr>
                      <w:rFonts w:hint="eastAsia"/>
                      <w:color w:val="auto"/>
                      <w:lang w:val="en-US" w:eastAsia="zh-CN"/>
                    </w:rPr>
                    <w:t>0.04</w:t>
                  </w:r>
                </w:p>
              </w:tc>
              <w:tc>
                <w:tcPr>
                  <w:tcW w:w="1046" w:type="dxa"/>
                  <w:vAlign w:val="center"/>
                </w:tcPr>
                <w:p>
                  <w:pPr>
                    <w:pStyle w:val="15"/>
                    <w:rPr>
                      <w:rFonts w:hint="default"/>
                      <w:color w:val="auto"/>
                      <w:lang w:val="en-US" w:eastAsia="zh-CN"/>
                    </w:rPr>
                  </w:pPr>
                  <w:r>
                    <w:rPr>
                      <w:rFonts w:hint="eastAsia"/>
                      <w:color w:val="auto"/>
                      <w:lang w:val="en-US" w:eastAsia="zh-CN"/>
                    </w:rPr>
                    <w:t>0.2</w:t>
                  </w:r>
                </w:p>
              </w:tc>
              <w:tc>
                <w:tcPr>
                  <w:tcW w:w="1051" w:type="dxa"/>
                  <w:vAlign w:val="center"/>
                </w:tcPr>
                <w:p>
                  <w:pPr>
                    <w:pStyle w:val="15"/>
                    <w:rPr>
                      <w:rFonts w:hint="default"/>
                      <w:color w:val="auto"/>
                      <w:lang w:val="en-US" w:eastAsia="zh-CN"/>
                    </w:rPr>
                  </w:pPr>
                  <w:r>
                    <w:rPr>
                      <w:rFonts w:hint="eastAsia"/>
                      <w:color w:val="auto"/>
                      <w:lang w:val="en-US" w:eastAsia="zh-CN"/>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成分</w:t>
                  </w:r>
                </w:p>
              </w:tc>
              <w:tc>
                <w:tcPr>
                  <w:tcW w:w="1046" w:type="dxa"/>
                  <w:vAlign w:val="center"/>
                </w:tcPr>
                <w:p>
                  <w:pPr>
                    <w:pStyle w:val="15"/>
                    <w:rPr>
                      <w:rFonts w:hint="default" w:eastAsia="宋体"/>
                      <w:color w:val="auto"/>
                      <w:lang w:val="en-US" w:eastAsia="zh-CN"/>
                    </w:rPr>
                  </w:pPr>
                  <w:r>
                    <w:rPr>
                      <w:rFonts w:hint="eastAsia"/>
                      <w:color w:val="auto"/>
                      <w:lang w:val="en-US" w:eastAsia="zh-CN"/>
                    </w:rPr>
                    <w:t>砷</w:t>
                  </w:r>
                </w:p>
              </w:tc>
              <w:tc>
                <w:tcPr>
                  <w:tcW w:w="1046" w:type="dxa"/>
                  <w:vAlign w:val="center"/>
                </w:tcPr>
                <w:p>
                  <w:pPr>
                    <w:pStyle w:val="15"/>
                    <w:rPr>
                      <w:rFonts w:hint="default"/>
                      <w:color w:val="auto"/>
                      <w:lang w:val="en-US" w:eastAsia="zh-CN"/>
                    </w:rPr>
                  </w:pPr>
                  <w:r>
                    <w:rPr>
                      <w:rFonts w:hint="eastAsia"/>
                      <w:color w:val="auto"/>
                      <w:lang w:val="en-US" w:eastAsia="zh-CN"/>
                    </w:rPr>
                    <w:t>铅</w:t>
                  </w:r>
                </w:p>
              </w:tc>
              <w:tc>
                <w:tcPr>
                  <w:tcW w:w="1046" w:type="dxa"/>
                  <w:vAlign w:val="center"/>
                </w:tcPr>
                <w:p>
                  <w:pPr>
                    <w:pStyle w:val="15"/>
                    <w:rPr>
                      <w:rFonts w:hint="default"/>
                      <w:color w:val="auto"/>
                      <w:lang w:val="en-US" w:eastAsia="zh-CN"/>
                    </w:rPr>
                  </w:pPr>
                  <w:r>
                    <w:rPr>
                      <w:rFonts w:hint="eastAsia"/>
                      <w:color w:val="auto"/>
                      <w:lang w:val="en-US" w:eastAsia="zh-CN"/>
                    </w:rPr>
                    <w:t>总铬</w:t>
                  </w:r>
                </w:p>
              </w:tc>
              <w:tc>
                <w:tcPr>
                  <w:tcW w:w="1046" w:type="dxa"/>
                  <w:vAlign w:val="center"/>
                </w:tcPr>
                <w:p>
                  <w:pPr>
                    <w:pStyle w:val="15"/>
                    <w:rPr>
                      <w:rFonts w:hint="default" w:eastAsia="宋体"/>
                      <w:color w:val="auto"/>
                      <w:lang w:val="en-US" w:eastAsia="zh-CN"/>
                    </w:rPr>
                  </w:pPr>
                  <w:r>
                    <w:rPr>
                      <w:rFonts w:hint="eastAsia"/>
                      <w:color w:val="auto"/>
                      <w:lang w:val="en-US" w:eastAsia="zh-CN"/>
                    </w:rPr>
                    <w:t>汞</w:t>
                  </w: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二氧化硅</w:t>
                  </w: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酸不溶物</w:t>
                  </w:r>
                </w:p>
              </w:tc>
              <w:tc>
                <w:tcPr>
                  <w:tcW w:w="1051"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五氧化二磷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1046" w:type="dxa"/>
                  <w:vAlign w:val="center"/>
                </w:tcPr>
                <w:p>
                  <w:pPr>
                    <w:pStyle w:val="15"/>
                    <w:rPr>
                      <w:rFonts w:hint="default" w:eastAsia="宋体"/>
                      <w:color w:val="auto"/>
                      <w:lang w:val="en-US" w:eastAsia="zh-CN"/>
                    </w:rPr>
                  </w:pPr>
                  <w:r>
                    <w:rPr>
                      <w:rFonts w:hint="eastAsia"/>
                      <w:color w:val="auto"/>
                      <w:lang w:val="en-US" w:eastAsia="zh-CN"/>
                    </w:rPr>
                    <w:t>0.0004</w:t>
                  </w:r>
                </w:p>
              </w:tc>
              <w:tc>
                <w:tcPr>
                  <w:tcW w:w="1046" w:type="dxa"/>
                  <w:vAlign w:val="center"/>
                </w:tcPr>
                <w:p>
                  <w:pPr>
                    <w:pStyle w:val="15"/>
                    <w:rPr>
                      <w:rFonts w:hint="default"/>
                      <w:color w:val="auto"/>
                      <w:lang w:val="en-US" w:eastAsia="zh-CN"/>
                    </w:rPr>
                  </w:pPr>
                  <w:r>
                    <w:rPr>
                      <w:rFonts w:hint="eastAsia"/>
                      <w:color w:val="auto"/>
                      <w:lang w:val="en-US" w:eastAsia="zh-CN"/>
                    </w:rPr>
                    <w:t>0.0057</w:t>
                  </w:r>
                </w:p>
              </w:tc>
              <w:tc>
                <w:tcPr>
                  <w:tcW w:w="1046" w:type="dxa"/>
                  <w:vAlign w:val="center"/>
                </w:tcPr>
                <w:p>
                  <w:pPr>
                    <w:pStyle w:val="15"/>
                    <w:rPr>
                      <w:rFonts w:hint="default"/>
                      <w:color w:val="auto"/>
                      <w:lang w:val="en-US" w:eastAsia="zh-CN"/>
                    </w:rPr>
                  </w:pPr>
                  <w:r>
                    <w:rPr>
                      <w:rFonts w:hint="eastAsia"/>
                      <w:color w:val="auto"/>
                      <w:lang w:val="en-US" w:eastAsia="zh-CN"/>
                    </w:rPr>
                    <w:t>0.0002</w:t>
                  </w:r>
                </w:p>
              </w:tc>
              <w:tc>
                <w:tcPr>
                  <w:tcW w:w="1046" w:type="dxa"/>
                  <w:vAlign w:val="center"/>
                </w:tcPr>
                <w:p>
                  <w:pPr>
                    <w:pStyle w:val="15"/>
                    <w:rPr>
                      <w:rFonts w:hint="default" w:eastAsia="宋体"/>
                      <w:color w:val="auto"/>
                      <w:lang w:val="en-US" w:eastAsia="zh-CN"/>
                    </w:rPr>
                  </w:pPr>
                  <w:r>
                    <w:rPr>
                      <w:rFonts w:hint="eastAsia"/>
                      <w:color w:val="auto"/>
                      <w:lang w:val="en-US" w:eastAsia="zh-CN"/>
                    </w:rPr>
                    <w:t>0.00003</w:t>
                  </w: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14.14</w:t>
                  </w: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15</w:t>
                  </w:r>
                </w:p>
              </w:tc>
              <w:tc>
                <w:tcPr>
                  <w:tcW w:w="1051"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0.98</w:t>
                  </w:r>
                </w:p>
              </w:tc>
            </w:tr>
          </w:tbl>
          <w:p>
            <w:pPr>
              <w:ind w:firstLine="480"/>
              <w:rPr>
                <w:rFonts w:hint="default"/>
                <w:color w:val="auto"/>
                <w:lang w:val="en-US" w:eastAsia="zh-CN"/>
              </w:rPr>
            </w:pPr>
            <w:r>
              <w:rPr>
                <w:rFonts w:hint="eastAsia"/>
                <w:color w:val="auto"/>
                <w:lang w:val="en-US" w:eastAsia="zh-CN"/>
              </w:rPr>
              <w:t>根据云南省化工产品质量监督检验站出具的检验报告，黄磷渣主要成分详见下表：</w:t>
            </w:r>
          </w:p>
          <w:p>
            <w:pPr>
              <w:pStyle w:val="14"/>
              <w:rPr>
                <w:color w:val="auto"/>
              </w:rPr>
            </w:pPr>
            <w:r>
              <w:rPr>
                <w:rFonts w:hint="eastAsia"/>
                <w:color w:val="auto"/>
              </w:rPr>
              <w:t>表2-</w:t>
            </w:r>
            <w:r>
              <w:rPr>
                <w:rFonts w:hint="eastAsia"/>
                <w:color w:val="auto"/>
                <w:lang w:val="en-US" w:eastAsia="zh-CN"/>
              </w:rPr>
              <w:t>8</w:t>
            </w:r>
            <w:r>
              <w:rPr>
                <w:rFonts w:hint="eastAsia"/>
                <w:color w:val="auto"/>
              </w:rPr>
              <w:t xml:space="preserve">   </w:t>
            </w:r>
            <w:r>
              <w:rPr>
                <w:rFonts w:hint="eastAsia"/>
                <w:color w:val="auto"/>
                <w:lang w:val="en-US" w:eastAsia="zh-CN"/>
              </w:rPr>
              <w:t>黄磷渣主要成分一览</w:t>
            </w:r>
            <w:r>
              <w:rPr>
                <w:rFonts w:hint="eastAsia"/>
                <w:color w:val="auto"/>
              </w:rPr>
              <w:t>表</w:t>
            </w:r>
          </w:p>
          <w:tbl>
            <w:tblPr>
              <w:tblStyle w:val="10"/>
              <w:tblW w:w="8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6"/>
              <w:gridCol w:w="1046"/>
              <w:gridCol w:w="1046"/>
              <w:gridCol w:w="1046"/>
              <w:gridCol w:w="1046"/>
              <w:gridCol w:w="1046"/>
              <w:gridCol w:w="1046"/>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6" w:type="dxa"/>
                  <w:vAlign w:val="center"/>
                </w:tcPr>
                <w:p>
                  <w:pPr>
                    <w:pStyle w:val="15"/>
                    <w:rPr>
                      <w:rFonts w:hint="eastAsia" w:eastAsia="宋体"/>
                      <w:color w:val="auto"/>
                      <w:lang w:val="en-US" w:eastAsia="zh-CN"/>
                    </w:rPr>
                  </w:pPr>
                  <w:r>
                    <w:rPr>
                      <w:rFonts w:hint="eastAsia"/>
                      <w:color w:val="auto"/>
                      <w:lang w:val="en-US" w:eastAsia="zh-CN"/>
                    </w:rPr>
                    <w:t>成分</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含水率</w:t>
                  </w: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有效五氧化二磷</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有效钙</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有效镁</w:t>
                  </w:r>
                </w:p>
              </w:tc>
              <w:tc>
                <w:tcPr>
                  <w:tcW w:w="1046" w:type="dxa"/>
                  <w:vAlign w:val="center"/>
                </w:tcPr>
                <w:p>
                  <w:pPr>
                    <w:pStyle w:val="15"/>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SiO</w:t>
                  </w:r>
                  <w:r>
                    <w:rPr>
                      <w:rFonts w:hint="eastAsia"/>
                      <w:color w:val="auto"/>
                      <w:vertAlign w:val="subscript"/>
                      <w:lang w:val="en-US" w:eastAsia="zh-CN"/>
                    </w:rPr>
                    <w:t>2</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镉及其化合物</w:t>
                  </w:r>
                </w:p>
              </w:tc>
              <w:tc>
                <w:tcPr>
                  <w:tcW w:w="1051"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铅及其化合物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6" w:type="dxa"/>
                  <w:vAlign w:val="center"/>
                </w:tcPr>
                <w:p>
                  <w:pPr>
                    <w:pStyle w:val="15"/>
                    <w:rPr>
                      <w:rFonts w:hint="eastAsia" w:eastAsia="宋体"/>
                      <w:color w:val="auto"/>
                      <w:lang w:val="en-US" w:eastAsia="zh-CN"/>
                    </w:rPr>
                  </w:pPr>
                  <w:r>
                    <w:rPr>
                      <w:rFonts w:hint="eastAsia"/>
                      <w:color w:val="auto"/>
                      <w:lang w:val="en-US" w:eastAsia="zh-CN"/>
                    </w:rPr>
                    <w:t>%</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7.2</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2.3</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30.3</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1.8</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34.1</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0.0004</w:t>
                  </w:r>
                </w:p>
              </w:tc>
              <w:tc>
                <w:tcPr>
                  <w:tcW w:w="1051"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0.0071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成分</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铬及其化合物</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汞及其化合物</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铁</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锰</w:t>
                  </w: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锌</w:t>
                  </w: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钼</w:t>
                  </w:r>
                </w:p>
              </w:tc>
              <w:tc>
                <w:tcPr>
                  <w:tcW w:w="1051"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0.0023</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0.000002</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0.18</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0.01</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0.004</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0.0001</w:t>
                  </w:r>
                </w:p>
              </w:tc>
              <w:tc>
                <w:tcPr>
                  <w:tcW w:w="1051"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成分</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砷及其化合物</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氟</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硫</w:t>
                  </w: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氯</w:t>
                  </w:r>
                </w:p>
              </w:tc>
              <w:tc>
                <w:tcPr>
                  <w:tcW w:w="1046" w:type="dxa"/>
                  <w:vAlign w:val="center"/>
                </w:tcPr>
                <w:p>
                  <w:pPr>
                    <w:pStyle w:val="15"/>
                    <w:ind w:firstLine="0" w:firstLineChars="0"/>
                    <w:rPr>
                      <w:rFonts w:hint="eastAsia" w:cs="Times New Roman"/>
                      <w:color w:val="auto"/>
                      <w:kern w:val="2"/>
                      <w:sz w:val="21"/>
                      <w:szCs w:val="21"/>
                      <w:lang w:val="en-US" w:eastAsia="zh-CN" w:bidi="ar-SA"/>
                    </w:rPr>
                  </w:pPr>
                </w:p>
              </w:tc>
              <w:tc>
                <w:tcPr>
                  <w:tcW w:w="1046" w:type="dxa"/>
                  <w:vAlign w:val="center"/>
                </w:tcPr>
                <w:p>
                  <w:pPr>
                    <w:pStyle w:val="15"/>
                    <w:ind w:firstLine="0" w:firstLineChars="0"/>
                    <w:rPr>
                      <w:rFonts w:hint="eastAsia" w:cs="Times New Roman"/>
                      <w:color w:val="auto"/>
                      <w:kern w:val="2"/>
                      <w:sz w:val="21"/>
                      <w:szCs w:val="21"/>
                      <w:lang w:val="en-US" w:eastAsia="zh-CN" w:bidi="ar-SA"/>
                    </w:rPr>
                  </w:pPr>
                </w:p>
              </w:tc>
              <w:tc>
                <w:tcPr>
                  <w:tcW w:w="1051" w:type="dxa"/>
                  <w:vAlign w:val="center"/>
                </w:tcPr>
                <w:p>
                  <w:pPr>
                    <w:pStyle w:val="15"/>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0" w:hRule="atLeast"/>
                <w:jc w:val="center"/>
              </w:trPr>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0.0001</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2.12</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0.9</w:t>
                  </w: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0.1</w:t>
                  </w:r>
                </w:p>
              </w:tc>
              <w:tc>
                <w:tcPr>
                  <w:tcW w:w="1046" w:type="dxa"/>
                  <w:vAlign w:val="center"/>
                </w:tcPr>
                <w:p>
                  <w:pPr>
                    <w:pStyle w:val="15"/>
                    <w:ind w:firstLine="0" w:firstLineChars="0"/>
                    <w:rPr>
                      <w:rFonts w:hint="eastAsia" w:cs="Times New Roman"/>
                      <w:color w:val="auto"/>
                      <w:kern w:val="2"/>
                      <w:sz w:val="21"/>
                      <w:szCs w:val="21"/>
                      <w:lang w:val="en-US" w:eastAsia="zh-CN" w:bidi="ar-SA"/>
                    </w:rPr>
                  </w:pPr>
                </w:p>
              </w:tc>
              <w:tc>
                <w:tcPr>
                  <w:tcW w:w="1046" w:type="dxa"/>
                  <w:vAlign w:val="center"/>
                </w:tcPr>
                <w:p>
                  <w:pPr>
                    <w:pStyle w:val="15"/>
                    <w:ind w:firstLine="0" w:firstLineChars="0"/>
                    <w:rPr>
                      <w:rFonts w:hint="eastAsia" w:cs="Times New Roman"/>
                      <w:color w:val="auto"/>
                      <w:kern w:val="2"/>
                      <w:sz w:val="21"/>
                      <w:szCs w:val="21"/>
                      <w:lang w:val="en-US" w:eastAsia="zh-CN" w:bidi="ar-SA"/>
                    </w:rPr>
                  </w:pPr>
                </w:p>
              </w:tc>
              <w:tc>
                <w:tcPr>
                  <w:tcW w:w="1051" w:type="dxa"/>
                  <w:vAlign w:val="center"/>
                </w:tcPr>
                <w:p>
                  <w:pPr>
                    <w:pStyle w:val="15"/>
                    <w:rPr>
                      <w:rFonts w:hint="eastAsia"/>
                      <w:color w:val="auto"/>
                      <w:lang w:val="en-US" w:eastAsia="zh-CN"/>
                    </w:rPr>
                  </w:pPr>
                </w:p>
              </w:tc>
            </w:tr>
          </w:tbl>
          <w:p>
            <w:pPr>
              <w:ind w:firstLine="480"/>
              <w:rPr>
                <w:rFonts w:hint="default"/>
                <w:color w:val="auto"/>
                <w:lang w:val="en-US" w:eastAsia="zh-CN"/>
              </w:rPr>
            </w:pPr>
            <w:r>
              <w:rPr>
                <w:rFonts w:hint="eastAsia"/>
                <w:color w:val="auto"/>
                <w:lang w:val="en-US" w:eastAsia="zh-CN"/>
              </w:rPr>
              <w:t>根据云南省产品质量监督检验研究院出具的检验报告，富钙镁磷矿粉主要成分详见下表：</w:t>
            </w:r>
          </w:p>
          <w:p>
            <w:pPr>
              <w:pStyle w:val="14"/>
              <w:rPr>
                <w:color w:val="auto"/>
              </w:rPr>
            </w:pPr>
            <w:r>
              <w:rPr>
                <w:rFonts w:hint="eastAsia"/>
                <w:color w:val="auto"/>
              </w:rPr>
              <w:t>表2-</w:t>
            </w:r>
            <w:r>
              <w:rPr>
                <w:rFonts w:hint="eastAsia"/>
                <w:color w:val="auto"/>
                <w:lang w:val="en-US" w:eastAsia="zh-CN"/>
              </w:rPr>
              <w:t>9</w:t>
            </w:r>
            <w:r>
              <w:rPr>
                <w:rFonts w:hint="eastAsia"/>
                <w:color w:val="auto"/>
              </w:rPr>
              <w:t xml:space="preserve">   </w:t>
            </w:r>
            <w:r>
              <w:rPr>
                <w:rFonts w:hint="eastAsia"/>
                <w:color w:val="auto"/>
                <w:lang w:val="en-US" w:eastAsia="zh-CN"/>
              </w:rPr>
              <w:t>富钙镁磷矿主要成分一览</w:t>
            </w:r>
            <w:r>
              <w:rPr>
                <w:rFonts w:hint="eastAsia"/>
                <w:color w:val="auto"/>
              </w:rPr>
              <w:t>表</w:t>
            </w:r>
          </w:p>
          <w:tbl>
            <w:tblPr>
              <w:tblStyle w:val="10"/>
              <w:tblW w:w="8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6"/>
              <w:gridCol w:w="927"/>
              <w:gridCol w:w="930"/>
              <w:gridCol w:w="930"/>
              <w:gridCol w:w="930"/>
              <w:gridCol w:w="930"/>
              <w:gridCol w:w="930"/>
              <w:gridCol w:w="935"/>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926" w:type="dxa"/>
                  <w:vAlign w:val="center"/>
                </w:tcPr>
                <w:p>
                  <w:pPr>
                    <w:pStyle w:val="15"/>
                    <w:rPr>
                      <w:rFonts w:hint="eastAsia" w:eastAsia="宋体"/>
                      <w:color w:val="auto"/>
                      <w:lang w:val="en-US" w:eastAsia="zh-CN"/>
                    </w:rPr>
                  </w:pPr>
                  <w:r>
                    <w:rPr>
                      <w:rFonts w:hint="eastAsia"/>
                      <w:color w:val="auto"/>
                      <w:lang w:val="en-US" w:eastAsia="zh-CN"/>
                    </w:rPr>
                    <w:t>成分</w:t>
                  </w:r>
                </w:p>
              </w:tc>
              <w:tc>
                <w:tcPr>
                  <w:tcW w:w="927"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含水率</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有效磷</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有效钾</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有效钙</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有效镁</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硫</w:t>
                  </w:r>
                </w:p>
              </w:tc>
              <w:tc>
                <w:tcPr>
                  <w:tcW w:w="935"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水溶性钙</w:t>
                  </w:r>
                </w:p>
              </w:tc>
              <w:tc>
                <w:tcPr>
                  <w:tcW w:w="935"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水溶性镁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926" w:type="dxa"/>
                  <w:vAlign w:val="center"/>
                </w:tcPr>
                <w:p>
                  <w:pPr>
                    <w:pStyle w:val="15"/>
                    <w:rPr>
                      <w:rFonts w:hint="eastAsia" w:eastAsia="宋体"/>
                      <w:color w:val="auto"/>
                      <w:lang w:val="en-US" w:eastAsia="zh-CN"/>
                    </w:rPr>
                  </w:pPr>
                  <w:r>
                    <w:rPr>
                      <w:rFonts w:hint="eastAsia"/>
                      <w:color w:val="auto"/>
                      <w:lang w:val="en-US" w:eastAsia="zh-CN"/>
                    </w:rPr>
                    <w:t>%</w:t>
                  </w:r>
                </w:p>
              </w:tc>
              <w:tc>
                <w:tcPr>
                  <w:tcW w:w="927"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0.1</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5.5</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0.038</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20.5</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9.8</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0.38</w:t>
                  </w:r>
                </w:p>
              </w:tc>
              <w:tc>
                <w:tcPr>
                  <w:tcW w:w="935"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0.3</w:t>
                  </w:r>
                </w:p>
              </w:tc>
              <w:tc>
                <w:tcPr>
                  <w:tcW w:w="935"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92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成分</w:t>
                  </w:r>
                </w:p>
              </w:tc>
              <w:tc>
                <w:tcPr>
                  <w:tcW w:w="927" w:type="dxa"/>
                  <w:vAlign w:val="center"/>
                </w:tcPr>
                <w:p>
                  <w:pPr>
                    <w:pStyle w:val="15"/>
                    <w:rPr>
                      <w:rFonts w:hint="default" w:eastAsia="宋体"/>
                      <w:color w:val="auto"/>
                      <w:lang w:val="en-US" w:eastAsia="zh-CN"/>
                    </w:rPr>
                  </w:pPr>
                  <w:r>
                    <w:rPr>
                      <w:rFonts w:hint="eastAsia"/>
                      <w:color w:val="auto"/>
                      <w:lang w:val="en-US" w:eastAsia="zh-CN"/>
                    </w:rPr>
                    <w:t>砷</w:t>
                  </w:r>
                </w:p>
              </w:tc>
              <w:tc>
                <w:tcPr>
                  <w:tcW w:w="930" w:type="dxa"/>
                  <w:vAlign w:val="center"/>
                </w:tcPr>
                <w:p>
                  <w:pPr>
                    <w:pStyle w:val="15"/>
                    <w:rPr>
                      <w:rFonts w:hint="default"/>
                      <w:color w:val="auto"/>
                      <w:lang w:val="en-US" w:eastAsia="zh-CN"/>
                    </w:rPr>
                  </w:pPr>
                  <w:r>
                    <w:rPr>
                      <w:rFonts w:hint="eastAsia"/>
                      <w:color w:val="auto"/>
                      <w:lang w:val="en-US" w:eastAsia="zh-CN"/>
                    </w:rPr>
                    <w:t>铅</w:t>
                  </w:r>
                </w:p>
              </w:tc>
              <w:tc>
                <w:tcPr>
                  <w:tcW w:w="930" w:type="dxa"/>
                  <w:vAlign w:val="center"/>
                </w:tcPr>
                <w:p>
                  <w:pPr>
                    <w:pStyle w:val="15"/>
                    <w:rPr>
                      <w:rFonts w:hint="default"/>
                      <w:color w:val="auto"/>
                      <w:lang w:val="en-US" w:eastAsia="zh-CN"/>
                    </w:rPr>
                  </w:pPr>
                  <w:r>
                    <w:rPr>
                      <w:rFonts w:hint="eastAsia"/>
                      <w:color w:val="auto"/>
                      <w:lang w:val="en-US" w:eastAsia="zh-CN"/>
                    </w:rPr>
                    <w:t>铬</w:t>
                  </w:r>
                </w:p>
              </w:tc>
              <w:tc>
                <w:tcPr>
                  <w:tcW w:w="930" w:type="dxa"/>
                  <w:vAlign w:val="center"/>
                </w:tcPr>
                <w:p>
                  <w:pPr>
                    <w:pStyle w:val="15"/>
                    <w:rPr>
                      <w:rFonts w:hint="default" w:eastAsia="宋体"/>
                      <w:color w:val="auto"/>
                      <w:lang w:val="en-US" w:eastAsia="zh-CN"/>
                    </w:rPr>
                  </w:pPr>
                  <w:r>
                    <w:rPr>
                      <w:rFonts w:hint="eastAsia"/>
                      <w:color w:val="auto"/>
                      <w:lang w:val="en-US" w:eastAsia="zh-CN"/>
                    </w:rPr>
                    <w:t>铜</w:t>
                  </w:r>
                </w:p>
              </w:tc>
              <w:tc>
                <w:tcPr>
                  <w:tcW w:w="930"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锌</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总铊</w:t>
                  </w:r>
                </w:p>
              </w:tc>
              <w:tc>
                <w:tcPr>
                  <w:tcW w:w="935" w:type="dxa"/>
                  <w:vAlign w:val="center"/>
                </w:tcPr>
                <w:p>
                  <w:pPr>
                    <w:pStyle w:val="15"/>
                    <w:rPr>
                      <w:rFonts w:hint="default"/>
                      <w:color w:val="auto"/>
                      <w:lang w:val="en-US" w:eastAsia="zh-CN"/>
                    </w:rPr>
                  </w:pPr>
                  <w:r>
                    <w:rPr>
                      <w:rFonts w:hint="eastAsia"/>
                      <w:color w:val="auto"/>
                      <w:lang w:val="en-US" w:eastAsia="zh-CN"/>
                    </w:rPr>
                    <w:t>总钒</w:t>
                  </w:r>
                </w:p>
              </w:tc>
              <w:tc>
                <w:tcPr>
                  <w:tcW w:w="935" w:type="dxa"/>
                  <w:vAlign w:val="center"/>
                </w:tcPr>
                <w:p>
                  <w:pPr>
                    <w:pStyle w:val="15"/>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92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mg/kg</w:t>
                  </w:r>
                </w:p>
              </w:tc>
              <w:tc>
                <w:tcPr>
                  <w:tcW w:w="927" w:type="dxa"/>
                  <w:vAlign w:val="center"/>
                </w:tcPr>
                <w:p>
                  <w:pPr>
                    <w:pStyle w:val="15"/>
                    <w:rPr>
                      <w:rFonts w:hint="default" w:eastAsia="宋体"/>
                      <w:color w:val="auto"/>
                      <w:lang w:val="en-US" w:eastAsia="zh-CN"/>
                    </w:rPr>
                  </w:pPr>
                  <w:r>
                    <w:rPr>
                      <w:rFonts w:hint="eastAsia"/>
                      <w:color w:val="auto"/>
                      <w:lang w:val="en-US" w:eastAsia="zh-CN"/>
                    </w:rPr>
                    <w:t>14</w:t>
                  </w:r>
                </w:p>
              </w:tc>
              <w:tc>
                <w:tcPr>
                  <w:tcW w:w="930" w:type="dxa"/>
                  <w:vAlign w:val="center"/>
                </w:tcPr>
                <w:p>
                  <w:pPr>
                    <w:pStyle w:val="15"/>
                    <w:rPr>
                      <w:rFonts w:hint="default"/>
                      <w:color w:val="auto"/>
                      <w:lang w:val="en-US" w:eastAsia="zh-CN"/>
                    </w:rPr>
                  </w:pPr>
                  <w:r>
                    <w:rPr>
                      <w:rFonts w:hint="eastAsia"/>
                      <w:color w:val="auto"/>
                      <w:lang w:val="en-US" w:eastAsia="zh-CN"/>
                    </w:rPr>
                    <w:t>46</w:t>
                  </w:r>
                </w:p>
              </w:tc>
              <w:tc>
                <w:tcPr>
                  <w:tcW w:w="930" w:type="dxa"/>
                  <w:vAlign w:val="center"/>
                </w:tcPr>
                <w:p>
                  <w:pPr>
                    <w:pStyle w:val="15"/>
                    <w:rPr>
                      <w:rFonts w:hint="default"/>
                      <w:color w:val="auto"/>
                      <w:lang w:val="en-US" w:eastAsia="zh-CN"/>
                    </w:rPr>
                  </w:pPr>
                  <w:r>
                    <w:rPr>
                      <w:rFonts w:hint="eastAsia"/>
                      <w:color w:val="auto"/>
                      <w:lang w:val="en-US" w:eastAsia="zh-CN"/>
                    </w:rPr>
                    <w:t>5.9</w:t>
                  </w:r>
                </w:p>
              </w:tc>
              <w:tc>
                <w:tcPr>
                  <w:tcW w:w="930" w:type="dxa"/>
                  <w:vAlign w:val="center"/>
                </w:tcPr>
                <w:p>
                  <w:pPr>
                    <w:pStyle w:val="15"/>
                    <w:rPr>
                      <w:rFonts w:hint="default" w:eastAsia="宋体"/>
                      <w:color w:val="auto"/>
                      <w:lang w:val="en-US" w:eastAsia="zh-CN"/>
                    </w:rPr>
                  </w:pPr>
                  <w:r>
                    <w:rPr>
                      <w:rFonts w:hint="eastAsia"/>
                      <w:color w:val="auto"/>
                      <w:lang w:val="en-US" w:eastAsia="zh-CN"/>
                    </w:rPr>
                    <w:t>1.1</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47</w:t>
                  </w:r>
                </w:p>
              </w:tc>
              <w:tc>
                <w:tcPr>
                  <w:tcW w:w="93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0.05</w:t>
                  </w:r>
                </w:p>
              </w:tc>
              <w:tc>
                <w:tcPr>
                  <w:tcW w:w="935" w:type="dxa"/>
                  <w:vAlign w:val="center"/>
                </w:tcPr>
                <w:p>
                  <w:pPr>
                    <w:pStyle w:val="15"/>
                    <w:rPr>
                      <w:rFonts w:hint="default"/>
                      <w:color w:val="auto"/>
                      <w:lang w:val="en-US" w:eastAsia="zh-CN"/>
                    </w:rPr>
                  </w:pPr>
                  <w:r>
                    <w:rPr>
                      <w:rFonts w:hint="eastAsia"/>
                      <w:color w:val="auto"/>
                      <w:lang w:val="en-US" w:eastAsia="zh-CN"/>
                    </w:rPr>
                    <w:t>16</w:t>
                  </w:r>
                </w:p>
              </w:tc>
              <w:tc>
                <w:tcPr>
                  <w:tcW w:w="935" w:type="dxa"/>
                  <w:vAlign w:val="center"/>
                </w:tcPr>
                <w:p>
                  <w:pPr>
                    <w:pStyle w:val="15"/>
                    <w:rPr>
                      <w:rFonts w:hint="eastAsia"/>
                      <w:color w:val="auto"/>
                      <w:lang w:val="en-US" w:eastAsia="zh-CN"/>
                    </w:rPr>
                  </w:pPr>
                </w:p>
              </w:tc>
            </w:tr>
          </w:tbl>
          <w:p>
            <w:pPr>
              <w:bidi w:val="0"/>
              <w:rPr>
                <w:rFonts w:hint="default"/>
                <w:color w:val="auto"/>
                <w:lang w:val="en-US" w:eastAsia="zh-CN"/>
              </w:rPr>
            </w:pPr>
            <w:r>
              <w:rPr>
                <w:rFonts w:hint="eastAsia"/>
                <w:color w:val="auto"/>
                <w:lang w:val="en-US" w:eastAsia="zh-CN"/>
              </w:rPr>
              <w:t>（4）生物质燃料</w:t>
            </w:r>
          </w:p>
          <w:p>
            <w:pPr>
              <w:ind w:firstLine="480"/>
              <w:rPr>
                <w:rFonts w:hint="default"/>
                <w:color w:val="auto"/>
                <w:lang w:val="en-US" w:eastAsia="zh-CN"/>
              </w:rPr>
            </w:pPr>
            <w:r>
              <w:rPr>
                <w:rFonts w:hint="eastAsia"/>
                <w:color w:val="auto"/>
                <w:lang w:val="en-US" w:eastAsia="zh-CN"/>
              </w:rPr>
              <w:t>项目依托原有4t/h锅炉所使用燃料为生物质燃料，根据昆明红海磷肥有限责任公司排污许可证副本，项目所使用生物质燃料主要成分详见下表：</w:t>
            </w:r>
          </w:p>
          <w:p>
            <w:pPr>
              <w:pStyle w:val="14"/>
              <w:rPr>
                <w:color w:val="auto"/>
              </w:rPr>
            </w:pPr>
            <w:r>
              <w:rPr>
                <w:rFonts w:hint="eastAsia"/>
                <w:color w:val="auto"/>
              </w:rPr>
              <w:t>表2-</w:t>
            </w:r>
            <w:r>
              <w:rPr>
                <w:rFonts w:hint="eastAsia"/>
                <w:color w:val="auto"/>
                <w:lang w:val="en-US" w:eastAsia="zh-CN"/>
              </w:rPr>
              <w:t>10</w:t>
            </w:r>
            <w:r>
              <w:rPr>
                <w:rFonts w:hint="eastAsia"/>
                <w:color w:val="auto"/>
              </w:rPr>
              <w:t xml:space="preserve">   </w:t>
            </w:r>
            <w:r>
              <w:rPr>
                <w:rFonts w:hint="eastAsia"/>
                <w:color w:val="auto"/>
                <w:lang w:val="en-US" w:eastAsia="zh-CN"/>
              </w:rPr>
              <w:t>生物质燃料主要成分一览</w:t>
            </w:r>
            <w:r>
              <w:rPr>
                <w:rFonts w:hint="eastAsia"/>
                <w:color w:val="auto"/>
              </w:rPr>
              <w:t>表</w:t>
            </w:r>
          </w:p>
          <w:tbl>
            <w:tblPr>
              <w:tblStyle w:val="10"/>
              <w:tblW w:w="83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6"/>
              <w:gridCol w:w="1046"/>
              <w:gridCol w:w="1046"/>
              <w:gridCol w:w="1046"/>
              <w:gridCol w:w="1046"/>
              <w:gridCol w:w="1046"/>
              <w:gridCol w:w="1046"/>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6" w:type="dxa"/>
                  <w:vAlign w:val="center"/>
                </w:tcPr>
                <w:p>
                  <w:pPr>
                    <w:pStyle w:val="15"/>
                    <w:rPr>
                      <w:rFonts w:hint="eastAsia" w:eastAsia="宋体"/>
                      <w:color w:val="auto"/>
                      <w:lang w:val="en-US" w:eastAsia="zh-CN"/>
                    </w:rPr>
                  </w:pPr>
                  <w:r>
                    <w:rPr>
                      <w:rFonts w:hint="eastAsia"/>
                      <w:color w:val="auto"/>
                      <w:lang w:val="en-US" w:eastAsia="zh-CN"/>
                    </w:rPr>
                    <w:t>成分</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水分</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灰分</w:t>
                  </w:r>
                </w:p>
              </w:tc>
              <w:tc>
                <w:tcPr>
                  <w:tcW w:w="1046" w:type="dxa"/>
                  <w:vAlign w:val="center"/>
                </w:tcPr>
                <w:p>
                  <w:pPr>
                    <w:pStyle w:val="15"/>
                    <w:rPr>
                      <w:rFonts w:hint="default"/>
                      <w:color w:val="auto"/>
                      <w:lang w:val="en-US" w:eastAsia="zh-CN"/>
                    </w:rPr>
                  </w:pPr>
                  <w:r>
                    <w:rPr>
                      <w:rFonts w:hint="eastAsia"/>
                      <w:color w:val="auto"/>
                      <w:lang w:val="en-US" w:eastAsia="zh-CN"/>
                    </w:rPr>
                    <w:t>挥发分</w:t>
                  </w:r>
                </w:p>
              </w:tc>
              <w:tc>
                <w:tcPr>
                  <w:tcW w:w="1046" w:type="dxa"/>
                  <w:vAlign w:val="center"/>
                </w:tcPr>
                <w:p>
                  <w:pPr>
                    <w:pStyle w:val="15"/>
                    <w:rPr>
                      <w:rFonts w:hint="default" w:eastAsia="宋体"/>
                      <w:color w:val="auto"/>
                      <w:lang w:val="en-US" w:eastAsia="zh-CN"/>
                    </w:rPr>
                  </w:pPr>
                  <w:r>
                    <w:rPr>
                      <w:rFonts w:hint="eastAsia"/>
                      <w:color w:val="auto"/>
                      <w:lang w:val="en-US" w:eastAsia="zh-CN"/>
                    </w:rPr>
                    <w:t>固定碳</w:t>
                  </w:r>
                </w:p>
              </w:tc>
              <w:tc>
                <w:tcPr>
                  <w:tcW w:w="1046" w:type="dxa"/>
                  <w:vAlign w:val="center"/>
                </w:tcPr>
                <w:p>
                  <w:pPr>
                    <w:pStyle w:val="15"/>
                    <w:rPr>
                      <w:rFonts w:hint="default"/>
                      <w:color w:val="auto"/>
                      <w:lang w:val="en-US" w:eastAsia="zh-CN"/>
                    </w:rPr>
                  </w:pPr>
                  <w:r>
                    <w:rPr>
                      <w:rFonts w:hint="eastAsia"/>
                      <w:color w:val="auto"/>
                      <w:lang w:val="en-US" w:eastAsia="zh-CN"/>
                    </w:rPr>
                    <w:t>碳</w:t>
                  </w:r>
                </w:p>
              </w:tc>
              <w:tc>
                <w:tcPr>
                  <w:tcW w:w="1046" w:type="dxa"/>
                  <w:vAlign w:val="center"/>
                </w:tcPr>
                <w:p>
                  <w:pPr>
                    <w:pStyle w:val="15"/>
                    <w:rPr>
                      <w:rFonts w:hint="default"/>
                      <w:color w:val="auto"/>
                      <w:lang w:val="en-US" w:eastAsia="zh-CN"/>
                    </w:rPr>
                  </w:pPr>
                  <w:r>
                    <w:rPr>
                      <w:rFonts w:hint="eastAsia"/>
                      <w:color w:val="auto"/>
                      <w:lang w:val="en-US" w:eastAsia="zh-CN"/>
                    </w:rPr>
                    <w:t>氢</w:t>
                  </w:r>
                </w:p>
              </w:tc>
              <w:tc>
                <w:tcPr>
                  <w:tcW w:w="1051" w:type="dxa"/>
                  <w:vAlign w:val="center"/>
                </w:tcPr>
                <w:p>
                  <w:pPr>
                    <w:pStyle w:val="15"/>
                    <w:rPr>
                      <w:rFonts w:hint="default"/>
                      <w:color w:val="auto"/>
                      <w:lang w:val="en-US" w:eastAsia="zh-CN"/>
                    </w:rPr>
                  </w:pPr>
                  <w:r>
                    <w:rPr>
                      <w:rFonts w:hint="eastAsia"/>
                      <w:color w:val="auto"/>
                      <w:lang w:val="en-US" w:eastAsia="zh-CN"/>
                    </w:rPr>
                    <w:t>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6" w:type="dxa"/>
                  <w:vAlign w:val="center"/>
                </w:tcPr>
                <w:p>
                  <w:pPr>
                    <w:pStyle w:val="15"/>
                    <w:rPr>
                      <w:rFonts w:hint="eastAsia" w:eastAsia="宋体"/>
                      <w:color w:val="auto"/>
                      <w:lang w:val="en-US" w:eastAsia="zh-CN"/>
                    </w:rPr>
                  </w:pPr>
                  <w:r>
                    <w:rPr>
                      <w:rFonts w:hint="eastAsia"/>
                      <w:color w:val="auto"/>
                      <w:lang w:val="en-US" w:eastAsia="zh-CN"/>
                    </w:rPr>
                    <w:t>%</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6.3</w:t>
                  </w:r>
                </w:p>
              </w:tc>
              <w:tc>
                <w:tcPr>
                  <w:tcW w:w="1046"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1.7</w:t>
                  </w:r>
                </w:p>
              </w:tc>
              <w:tc>
                <w:tcPr>
                  <w:tcW w:w="1046" w:type="dxa"/>
                  <w:vAlign w:val="center"/>
                </w:tcPr>
                <w:p>
                  <w:pPr>
                    <w:pStyle w:val="15"/>
                    <w:rPr>
                      <w:rFonts w:hint="default"/>
                      <w:color w:val="auto"/>
                      <w:lang w:val="en-US" w:eastAsia="zh-CN"/>
                    </w:rPr>
                  </w:pPr>
                  <w:r>
                    <w:rPr>
                      <w:rFonts w:hint="eastAsia"/>
                      <w:color w:val="auto"/>
                      <w:lang w:val="en-US" w:eastAsia="zh-CN"/>
                    </w:rPr>
                    <w:t>76.17</w:t>
                  </w:r>
                </w:p>
              </w:tc>
              <w:tc>
                <w:tcPr>
                  <w:tcW w:w="1046" w:type="dxa"/>
                  <w:vAlign w:val="center"/>
                </w:tcPr>
                <w:p>
                  <w:pPr>
                    <w:pStyle w:val="15"/>
                    <w:rPr>
                      <w:rFonts w:hint="default" w:eastAsia="宋体"/>
                      <w:color w:val="auto"/>
                      <w:lang w:val="en-US" w:eastAsia="zh-CN"/>
                    </w:rPr>
                  </w:pPr>
                  <w:r>
                    <w:rPr>
                      <w:rFonts w:hint="eastAsia"/>
                      <w:color w:val="auto"/>
                      <w:lang w:val="en-US" w:eastAsia="zh-CN"/>
                    </w:rPr>
                    <w:t>15.07</w:t>
                  </w:r>
                </w:p>
              </w:tc>
              <w:tc>
                <w:tcPr>
                  <w:tcW w:w="1046" w:type="dxa"/>
                  <w:vAlign w:val="center"/>
                </w:tcPr>
                <w:p>
                  <w:pPr>
                    <w:pStyle w:val="15"/>
                    <w:rPr>
                      <w:rFonts w:hint="default"/>
                      <w:color w:val="auto"/>
                      <w:lang w:val="en-US" w:eastAsia="zh-CN"/>
                    </w:rPr>
                  </w:pPr>
                  <w:r>
                    <w:rPr>
                      <w:rFonts w:hint="eastAsia"/>
                      <w:color w:val="auto"/>
                      <w:lang w:val="en-US" w:eastAsia="zh-CN"/>
                    </w:rPr>
                    <w:t>48.42</w:t>
                  </w:r>
                </w:p>
              </w:tc>
              <w:tc>
                <w:tcPr>
                  <w:tcW w:w="1046" w:type="dxa"/>
                  <w:vAlign w:val="center"/>
                </w:tcPr>
                <w:p>
                  <w:pPr>
                    <w:pStyle w:val="15"/>
                    <w:rPr>
                      <w:rFonts w:hint="default"/>
                      <w:color w:val="auto"/>
                      <w:lang w:val="en-US" w:eastAsia="zh-CN"/>
                    </w:rPr>
                  </w:pPr>
                  <w:r>
                    <w:rPr>
                      <w:rFonts w:hint="eastAsia"/>
                      <w:color w:val="auto"/>
                      <w:lang w:val="en-US" w:eastAsia="zh-CN"/>
                    </w:rPr>
                    <w:t>5.45</w:t>
                  </w:r>
                </w:p>
              </w:tc>
              <w:tc>
                <w:tcPr>
                  <w:tcW w:w="1051" w:type="dxa"/>
                  <w:vAlign w:val="center"/>
                </w:tcPr>
                <w:p>
                  <w:pPr>
                    <w:pStyle w:val="15"/>
                    <w:rPr>
                      <w:rFonts w:hint="default"/>
                      <w:color w:val="auto"/>
                      <w:lang w:val="en-US" w:eastAsia="zh-CN"/>
                    </w:rPr>
                  </w:pPr>
                  <w:r>
                    <w:rPr>
                      <w:rFonts w:hint="eastAsia"/>
                      <w:color w:val="auto"/>
                      <w:lang w:val="en-US" w:eastAsia="zh-CN"/>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成分</w:t>
                  </w:r>
                </w:p>
              </w:tc>
              <w:tc>
                <w:tcPr>
                  <w:tcW w:w="1046" w:type="dxa"/>
                  <w:vAlign w:val="center"/>
                </w:tcPr>
                <w:p>
                  <w:pPr>
                    <w:pStyle w:val="15"/>
                    <w:rPr>
                      <w:rFonts w:hint="default" w:eastAsia="宋体"/>
                      <w:color w:val="auto"/>
                      <w:lang w:val="en-US" w:eastAsia="zh-CN"/>
                    </w:rPr>
                  </w:pPr>
                  <w:r>
                    <w:rPr>
                      <w:rFonts w:hint="eastAsia"/>
                      <w:color w:val="auto"/>
                      <w:lang w:val="en-US" w:eastAsia="zh-CN"/>
                    </w:rPr>
                    <w:t>硫</w:t>
                  </w:r>
                </w:p>
              </w:tc>
              <w:tc>
                <w:tcPr>
                  <w:tcW w:w="1046" w:type="dxa"/>
                  <w:vAlign w:val="center"/>
                </w:tcPr>
                <w:p>
                  <w:pPr>
                    <w:pStyle w:val="15"/>
                    <w:rPr>
                      <w:rFonts w:hint="default"/>
                      <w:color w:val="auto"/>
                      <w:lang w:val="en-US" w:eastAsia="zh-CN"/>
                    </w:rPr>
                  </w:pPr>
                  <w:r>
                    <w:rPr>
                      <w:rFonts w:hint="eastAsia"/>
                      <w:color w:val="auto"/>
                      <w:lang w:val="en-US" w:eastAsia="zh-CN"/>
                    </w:rPr>
                    <w:t>低位发热量（MJ/kg）</w:t>
                  </w:r>
                </w:p>
              </w:tc>
              <w:tc>
                <w:tcPr>
                  <w:tcW w:w="1046" w:type="dxa"/>
                  <w:vAlign w:val="center"/>
                </w:tcPr>
                <w:p>
                  <w:pPr>
                    <w:pStyle w:val="15"/>
                    <w:rPr>
                      <w:rFonts w:hint="default"/>
                      <w:color w:val="auto"/>
                      <w:lang w:val="en-US" w:eastAsia="zh-CN"/>
                    </w:rPr>
                  </w:pPr>
                </w:p>
              </w:tc>
              <w:tc>
                <w:tcPr>
                  <w:tcW w:w="1046" w:type="dxa"/>
                  <w:vAlign w:val="center"/>
                </w:tcPr>
                <w:p>
                  <w:pPr>
                    <w:pStyle w:val="15"/>
                    <w:rPr>
                      <w:rFonts w:hint="default" w:eastAsia="宋体"/>
                      <w:color w:val="auto"/>
                      <w:lang w:val="en-US" w:eastAsia="zh-CN"/>
                    </w:rPr>
                  </w:pP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p>
              </w:tc>
              <w:tc>
                <w:tcPr>
                  <w:tcW w:w="1051"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1046" w:type="dxa"/>
                  <w:vAlign w:val="center"/>
                </w:tcPr>
                <w:p>
                  <w:pPr>
                    <w:pStyle w:val="15"/>
                    <w:rPr>
                      <w:rFonts w:hint="default" w:eastAsia="宋体"/>
                      <w:color w:val="auto"/>
                      <w:lang w:val="en-US" w:eastAsia="zh-CN"/>
                    </w:rPr>
                  </w:pPr>
                  <w:r>
                    <w:rPr>
                      <w:rFonts w:hint="eastAsia"/>
                      <w:color w:val="auto"/>
                      <w:lang w:val="en-US" w:eastAsia="zh-CN"/>
                    </w:rPr>
                    <w:t>0.14</w:t>
                  </w:r>
                </w:p>
              </w:tc>
              <w:tc>
                <w:tcPr>
                  <w:tcW w:w="1046" w:type="dxa"/>
                  <w:vAlign w:val="center"/>
                </w:tcPr>
                <w:p>
                  <w:pPr>
                    <w:pStyle w:val="15"/>
                    <w:rPr>
                      <w:rFonts w:hint="default"/>
                      <w:color w:val="auto"/>
                      <w:lang w:val="en-US" w:eastAsia="zh-CN"/>
                    </w:rPr>
                  </w:pPr>
                  <w:r>
                    <w:rPr>
                      <w:rFonts w:hint="eastAsia"/>
                      <w:color w:val="auto"/>
                      <w:lang w:val="en-US" w:eastAsia="zh-CN"/>
                    </w:rPr>
                    <w:t>17.24</w:t>
                  </w:r>
                </w:p>
              </w:tc>
              <w:tc>
                <w:tcPr>
                  <w:tcW w:w="1046" w:type="dxa"/>
                  <w:vAlign w:val="center"/>
                </w:tcPr>
                <w:p>
                  <w:pPr>
                    <w:pStyle w:val="15"/>
                    <w:rPr>
                      <w:rFonts w:hint="default"/>
                      <w:color w:val="auto"/>
                      <w:lang w:val="en-US" w:eastAsia="zh-CN"/>
                    </w:rPr>
                  </w:pPr>
                </w:p>
              </w:tc>
              <w:tc>
                <w:tcPr>
                  <w:tcW w:w="1046" w:type="dxa"/>
                  <w:vAlign w:val="center"/>
                </w:tcPr>
                <w:p>
                  <w:pPr>
                    <w:pStyle w:val="15"/>
                    <w:rPr>
                      <w:rFonts w:hint="default" w:eastAsia="宋体"/>
                      <w:color w:val="auto"/>
                      <w:lang w:val="en-US" w:eastAsia="zh-CN"/>
                    </w:rPr>
                  </w:pP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p>
              </w:tc>
              <w:tc>
                <w:tcPr>
                  <w:tcW w:w="104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p>
              </w:tc>
              <w:tc>
                <w:tcPr>
                  <w:tcW w:w="1051"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p>
              </w:tc>
            </w:tr>
          </w:tbl>
          <w:p>
            <w:pPr>
              <w:bidi w:val="0"/>
              <w:rPr>
                <w:rFonts w:hint="default"/>
                <w:color w:val="auto"/>
                <w:lang w:val="en-US" w:eastAsia="zh-CN"/>
              </w:rPr>
            </w:pPr>
            <w:r>
              <w:rPr>
                <w:rFonts w:hint="eastAsia"/>
                <w:color w:val="auto"/>
                <w:lang w:val="en-US" w:eastAsia="zh-CN"/>
              </w:rPr>
              <w:t>（4）煤</w:t>
            </w:r>
          </w:p>
          <w:p>
            <w:pPr>
              <w:ind w:firstLine="480"/>
              <w:rPr>
                <w:rFonts w:hint="default"/>
                <w:color w:val="auto"/>
                <w:lang w:val="en-US" w:eastAsia="zh-CN"/>
              </w:rPr>
            </w:pPr>
            <w:r>
              <w:rPr>
                <w:rFonts w:hint="eastAsia"/>
                <w:color w:val="auto"/>
                <w:lang w:val="en-US" w:eastAsia="zh-CN"/>
              </w:rPr>
              <w:t>项目依托原有烘干工序热风炉所使用燃料为无烟煤，根据云南可保煤矿有限公司化验室分析报告单，项目所使用无烟煤主要成分详见下表：</w:t>
            </w:r>
          </w:p>
          <w:p>
            <w:pPr>
              <w:pStyle w:val="14"/>
              <w:rPr>
                <w:color w:val="auto"/>
              </w:rPr>
            </w:pPr>
            <w:r>
              <w:rPr>
                <w:rFonts w:hint="eastAsia"/>
                <w:color w:val="auto"/>
              </w:rPr>
              <w:t>表2-</w:t>
            </w:r>
            <w:r>
              <w:rPr>
                <w:rFonts w:hint="eastAsia"/>
                <w:color w:val="auto"/>
                <w:lang w:val="en-US" w:eastAsia="zh-CN"/>
              </w:rPr>
              <w:t>11</w:t>
            </w:r>
            <w:r>
              <w:rPr>
                <w:rFonts w:hint="eastAsia"/>
                <w:color w:val="auto"/>
              </w:rPr>
              <w:t xml:space="preserve">   </w:t>
            </w:r>
            <w:r>
              <w:rPr>
                <w:rFonts w:hint="eastAsia"/>
                <w:color w:val="auto"/>
                <w:lang w:val="en-US" w:eastAsia="zh-CN"/>
              </w:rPr>
              <w:t>无烟煤主要成分一览</w:t>
            </w:r>
            <w:r>
              <w:rPr>
                <w:rFonts w:hint="eastAsia"/>
                <w:color w:val="auto"/>
              </w:rPr>
              <w:t>表</w:t>
            </w:r>
          </w:p>
          <w:tbl>
            <w:tblPr>
              <w:tblStyle w:val="10"/>
              <w:tblW w:w="83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45"/>
              <w:gridCol w:w="1045"/>
              <w:gridCol w:w="1045"/>
              <w:gridCol w:w="1048"/>
              <w:gridCol w:w="1045"/>
              <w:gridCol w:w="1045"/>
              <w:gridCol w:w="1048"/>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 w:hRule="atLeast"/>
                <w:jc w:val="center"/>
              </w:trPr>
              <w:tc>
                <w:tcPr>
                  <w:tcW w:w="1045" w:type="dxa"/>
                  <w:vMerge w:val="restart"/>
                  <w:vAlign w:val="center"/>
                </w:tcPr>
                <w:p>
                  <w:pPr>
                    <w:pStyle w:val="15"/>
                    <w:rPr>
                      <w:rFonts w:hint="eastAsia" w:eastAsia="宋体"/>
                      <w:color w:val="auto"/>
                      <w:lang w:val="en-US" w:eastAsia="zh-CN"/>
                    </w:rPr>
                  </w:pPr>
                  <w:r>
                    <w:rPr>
                      <w:rFonts w:hint="eastAsia"/>
                      <w:color w:val="auto"/>
                      <w:lang w:val="en-US" w:eastAsia="zh-CN"/>
                    </w:rPr>
                    <w:t>成分</w:t>
                  </w:r>
                </w:p>
              </w:tc>
              <w:tc>
                <w:tcPr>
                  <w:tcW w:w="3138" w:type="dxa"/>
                  <w:gridSpan w:val="3"/>
                  <w:vAlign w:val="center"/>
                </w:tcPr>
                <w:p>
                  <w:pPr>
                    <w:pStyle w:val="15"/>
                    <w:rPr>
                      <w:rFonts w:hint="default"/>
                      <w:color w:val="auto"/>
                      <w:lang w:val="en-US" w:eastAsia="zh-CN"/>
                    </w:rPr>
                  </w:pPr>
                  <w:r>
                    <w:rPr>
                      <w:rFonts w:hint="eastAsia"/>
                      <w:color w:val="auto"/>
                      <w:lang w:val="en-US" w:eastAsia="zh-CN"/>
                    </w:rPr>
                    <w:t>空干基</w:t>
                  </w:r>
                </w:p>
              </w:tc>
              <w:tc>
                <w:tcPr>
                  <w:tcW w:w="3138" w:type="dxa"/>
                  <w:gridSpan w:val="3"/>
                  <w:vAlign w:val="center"/>
                </w:tcPr>
                <w:p>
                  <w:pPr>
                    <w:pStyle w:val="15"/>
                    <w:ind w:firstLine="0" w:firstLineChars="0"/>
                    <w:rPr>
                      <w:rFonts w:hint="default"/>
                      <w:color w:val="auto"/>
                      <w:lang w:val="en-US" w:eastAsia="zh-CN"/>
                    </w:rPr>
                  </w:pPr>
                  <w:r>
                    <w:rPr>
                      <w:rFonts w:hint="eastAsia"/>
                      <w:color w:val="auto"/>
                      <w:lang w:val="en-US" w:eastAsia="zh-CN"/>
                    </w:rPr>
                    <w:t>收干基</w:t>
                  </w:r>
                </w:p>
              </w:tc>
              <w:tc>
                <w:tcPr>
                  <w:tcW w:w="1051" w:type="dxa"/>
                  <w:vAlign w:val="center"/>
                </w:tcPr>
                <w:p>
                  <w:pPr>
                    <w:pStyle w:val="15"/>
                    <w:rPr>
                      <w:rFonts w:hint="default"/>
                      <w:color w:val="auto"/>
                      <w:lang w:val="en-US" w:eastAsia="zh-CN"/>
                    </w:rPr>
                  </w:pPr>
                  <w:r>
                    <w:rPr>
                      <w:rFonts w:hint="eastAsia"/>
                      <w:color w:val="auto"/>
                      <w:lang w:val="en-US" w:eastAsia="zh-CN"/>
                    </w:rPr>
                    <w:t>干燥基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 w:hRule="atLeast"/>
                <w:jc w:val="center"/>
              </w:trPr>
              <w:tc>
                <w:tcPr>
                  <w:tcW w:w="1045" w:type="dxa"/>
                  <w:vMerge w:val="continue"/>
                  <w:vAlign w:val="center"/>
                </w:tcPr>
                <w:p>
                  <w:pPr>
                    <w:pStyle w:val="15"/>
                    <w:rPr>
                      <w:color w:val="auto"/>
                    </w:rPr>
                  </w:pPr>
                </w:p>
              </w:tc>
              <w:tc>
                <w:tcPr>
                  <w:tcW w:w="1045"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水分</w:t>
                  </w:r>
                </w:p>
              </w:tc>
              <w:tc>
                <w:tcPr>
                  <w:tcW w:w="1045"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灰分</w:t>
                  </w:r>
                </w:p>
              </w:tc>
              <w:tc>
                <w:tcPr>
                  <w:tcW w:w="1048"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硫分</w:t>
                  </w:r>
                </w:p>
              </w:tc>
              <w:tc>
                <w:tcPr>
                  <w:tcW w:w="1045" w:type="dxa"/>
                  <w:vAlign w:val="center"/>
                </w:tcPr>
                <w:p>
                  <w:pPr>
                    <w:pStyle w:val="15"/>
                    <w:ind w:firstLine="0" w:firstLineChars="0"/>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全水分</w:t>
                  </w:r>
                </w:p>
              </w:tc>
              <w:tc>
                <w:tcPr>
                  <w:tcW w:w="1045" w:type="dxa"/>
                  <w:vAlign w:val="center"/>
                </w:tcPr>
                <w:p>
                  <w:pPr>
                    <w:pStyle w:val="15"/>
                    <w:ind w:firstLine="0" w:firstLineChars="0"/>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灰分</w:t>
                  </w:r>
                </w:p>
              </w:tc>
              <w:tc>
                <w:tcPr>
                  <w:tcW w:w="1048" w:type="dxa"/>
                  <w:vAlign w:val="center"/>
                </w:tcPr>
                <w:p>
                  <w:pPr>
                    <w:pStyle w:val="15"/>
                    <w:ind w:firstLine="0" w:firstLineChars="0"/>
                    <w:rPr>
                      <w:rFonts w:hint="eastAsia" w:cs="Times New Roman"/>
                      <w:color w:val="auto"/>
                      <w:kern w:val="2"/>
                      <w:sz w:val="21"/>
                      <w:szCs w:val="21"/>
                      <w:lang w:val="en-US" w:eastAsia="zh-CN" w:bidi="ar-SA"/>
                    </w:rPr>
                  </w:pPr>
                  <w:r>
                    <w:rPr>
                      <w:rFonts w:hint="eastAsia"/>
                      <w:color w:val="auto"/>
                      <w:lang w:val="en-US" w:eastAsia="zh-CN"/>
                    </w:rPr>
                    <w:t>硫分</w:t>
                  </w:r>
                </w:p>
              </w:tc>
              <w:tc>
                <w:tcPr>
                  <w:tcW w:w="1051" w:type="dxa"/>
                  <w:vAlign w:val="center"/>
                </w:tcPr>
                <w:p>
                  <w:pPr>
                    <w:pStyle w:val="15"/>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灰分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5" w:type="dxa"/>
                  <w:vAlign w:val="center"/>
                </w:tcPr>
                <w:p>
                  <w:pPr>
                    <w:pStyle w:val="15"/>
                    <w:rPr>
                      <w:rFonts w:hint="eastAsia" w:eastAsia="宋体"/>
                      <w:color w:val="auto"/>
                      <w:lang w:val="en-US" w:eastAsia="zh-CN"/>
                    </w:rPr>
                  </w:pPr>
                  <w:r>
                    <w:rPr>
                      <w:rFonts w:hint="eastAsia"/>
                      <w:color w:val="auto"/>
                      <w:lang w:val="en-US" w:eastAsia="zh-CN"/>
                    </w:rPr>
                    <w:t>%</w:t>
                  </w:r>
                </w:p>
              </w:tc>
              <w:tc>
                <w:tcPr>
                  <w:tcW w:w="1045"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7.97</w:t>
                  </w:r>
                </w:p>
              </w:tc>
              <w:tc>
                <w:tcPr>
                  <w:tcW w:w="1045"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40.53</w:t>
                  </w:r>
                </w:p>
              </w:tc>
              <w:tc>
                <w:tcPr>
                  <w:tcW w:w="1048" w:type="dxa"/>
                  <w:vAlign w:val="center"/>
                </w:tcPr>
                <w:p>
                  <w:pPr>
                    <w:pStyle w:val="15"/>
                    <w:rPr>
                      <w:rFonts w:hint="default"/>
                      <w:color w:val="auto"/>
                      <w:lang w:val="en-US" w:eastAsia="zh-CN"/>
                    </w:rPr>
                  </w:pPr>
                  <w:r>
                    <w:rPr>
                      <w:rFonts w:hint="eastAsia"/>
                      <w:color w:val="auto"/>
                      <w:lang w:val="en-US" w:eastAsia="zh-CN"/>
                    </w:rPr>
                    <w:t>1.16</w:t>
                  </w:r>
                </w:p>
              </w:tc>
              <w:tc>
                <w:tcPr>
                  <w:tcW w:w="1045" w:type="dxa"/>
                  <w:vAlign w:val="center"/>
                </w:tcPr>
                <w:p>
                  <w:pPr>
                    <w:pStyle w:val="15"/>
                    <w:rPr>
                      <w:rFonts w:hint="default" w:eastAsia="宋体"/>
                      <w:color w:val="auto"/>
                      <w:lang w:val="en-US" w:eastAsia="zh-CN"/>
                    </w:rPr>
                  </w:pPr>
                  <w:r>
                    <w:rPr>
                      <w:rFonts w:hint="eastAsia"/>
                      <w:color w:val="auto"/>
                      <w:lang w:val="en-US" w:eastAsia="zh-CN"/>
                    </w:rPr>
                    <w:t>41.3</w:t>
                  </w:r>
                </w:p>
              </w:tc>
              <w:tc>
                <w:tcPr>
                  <w:tcW w:w="1045" w:type="dxa"/>
                  <w:vAlign w:val="center"/>
                </w:tcPr>
                <w:p>
                  <w:pPr>
                    <w:pStyle w:val="15"/>
                    <w:rPr>
                      <w:rFonts w:hint="default"/>
                      <w:color w:val="auto"/>
                      <w:lang w:val="en-US" w:eastAsia="zh-CN"/>
                    </w:rPr>
                  </w:pPr>
                  <w:r>
                    <w:rPr>
                      <w:rFonts w:hint="eastAsia"/>
                      <w:color w:val="auto"/>
                      <w:lang w:val="en-US" w:eastAsia="zh-CN"/>
                    </w:rPr>
                    <w:t>25.85</w:t>
                  </w:r>
                </w:p>
              </w:tc>
              <w:tc>
                <w:tcPr>
                  <w:tcW w:w="1048" w:type="dxa"/>
                  <w:vAlign w:val="center"/>
                </w:tcPr>
                <w:p>
                  <w:pPr>
                    <w:pStyle w:val="15"/>
                    <w:rPr>
                      <w:rFonts w:hint="default"/>
                      <w:color w:val="auto"/>
                      <w:lang w:val="en-US" w:eastAsia="zh-CN"/>
                    </w:rPr>
                  </w:pPr>
                  <w:r>
                    <w:rPr>
                      <w:rFonts w:hint="eastAsia"/>
                      <w:color w:val="auto"/>
                      <w:lang w:val="en-US" w:eastAsia="zh-CN"/>
                    </w:rPr>
                    <w:t>0.74</w:t>
                  </w:r>
                </w:p>
              </w:tc>
              <w:tc>
                <w:tcPr>
                  <w:tcW w:w="1051" w:type="dxa"/>
                  <w:vAlign w:val="center"/>
                </w:tcPr>
                <w:p>
                  <w:pPr>
                    <w:pStyle w:val="15"/>
                    <w:rPr>
                      <w:rFonts w:hint="default"/>
                      <w:color w:val="auto"/>
                      <w:lang w:val="en-US" w:eastAsia="zh-CN"/>
                    </w:rPr>
                  </w:pPr>
                  <w:r>
                    <w:rPr>
                      <w:rFonts w:hint="eastAsia"/>
                      <w:color w:val="auto"/>
                      <w:lang w:val="en-US" w:eastAsia="zh-CN"/>
                    </w:rPr>
                    <w:t>44.04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1" w:hRule="atLeast"/>
                <w:jc w:val="center"/>
              </w:trPr>
              <w:tc>
                <w:tcPr>
                  <w:tcW w:w="1045" w:type="dxa"/>
                  <w:vMerge w:val="restart"/>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成分</w:t>
                  </w:r>
                </w:p>
              </w:tc>
              <w:tc>
                <w:tcPr>
                  <w:tcW w:w="6276" w:type="dxa"/>
                  <w:gridSpan w:val="6"/>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发热量</w:t>
                  </w:r>
                </w:p>
              </w:tc>
              <w:tc>
                <w:tcPr>
                  <w:tcW w:w="1051" w:type="dxa"/>
                  <w:vMerge w:val="restart"/>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1" w:hRule="atLeast"/>
                <w:jc w:val="center"/>
              </w:trPr>
              <w:tc>
                <w:tcPr>
                  <w:tcW w:w="1045" w:type="dxa"/>
                  <w:vMerge w:val="continue"/>
                  <w:vAlign w:val="center"/>
                </w:tcPr>
                <w:p>
                  <w:pPr>
                    <w:pStyle w:val="15"/>
                    <w:ind w:firstLine="0" w:firstLineChars="0"/>
                    <w:rPr>
                      <w:color w:val="auto"/>
                    </w:rPr>
                  </w:pPr>
                </w:p>
              </w:tc>
              <w:tc>
                <w:tcPr>
                  <w:tcW w:w="1045" w:type="dxa"/>
                  <w:vAlign w:val="center"/>
                </w:tcPr>
                <w:p>
                  <w:pPr>
                    <w:pStyle w:val="15"/>
                    <w:ind w:firstLine="0" w:firstLineChars="0"/>
                    <w:rPr>
                      <w:rFonts w:hint="default" w:eastAsia="宋体"/>
                      <w:color w:val="auto"/>
                      <w:lang w:val="en-US" w:eastAsia="zh-CN"/>
                    </w:rPr>
                  </w:pPr>
                  <w:r>
                    <w:rPr>
                      <w:rFonts w:hint="eastAsia"/>
                      <w:color w:val="auto"/>
                      <w:lang w:val="en-US" w:eastAsia="zh-CN"/>
                    </w:rPr>
                    <w:t>弹筒发热量（J/g）</w:t>
                  </w:r>
                </w:p>
              </w:tc>
              <w:tc>
                <w:tcPr>
                  <w:tcW w:w="1045" w:type="dxa"/>
                  <w:vAlign w:val="center"/>
                </w:tcPr>
                <w:p>
                  <w:pPr>
                    <w:pStyle w:val="15"/>
                    <w:ind w:firstLine="0" w:firstLineChars="0"/>
                    <w:rPr>
                      <w:rFonts w:hint="default" w:eastAsia="宋体"/>
                      <w:color w:val="auto"/>
                      <w:lang w:val="en-US" w:eastAsia="zh-CN"/>
                    </w:rPr>
                  </w:pPr>
                  <w:r>
                    <w:rPr>
                      <w:rFonts w:hint="eastAsia"/>
                      <w:color w:val="auto"/>
                      <w:lang w:val="en-US" w:eastAsia="zh-CN"/>
                    </w:rPr>
                    <w:t>空干基高位（J/g）</w:t>
                  </w:r>
                </w:p>
              </w:tc>
              <w:tc>
                <w:tcPr>
                  <w:tcW w:w="1048" w:type="dxa"/>
                  <w:vAlign w:val="center"/>
                </w:tcPr>
                <w:p>
                  <w:pPr>
                    <w:pStyle w:val="15"/>
                    <w:ind w:firstLine="0" w:firstLineChars="0"/>
                    <w:rPr>
                      <w:rFonts w:hint="default" w:eastAsia="宋体"/>
                      <w:color w:val="auto"/>
                      <w:lang w:val="en-US" w:eastAsia="zh-CN"/>
                    </w:rPr>
                  </w:pPr>
                  <w:r>
                    <w:rPr>
                      <w:rFonts w:hint="eastAsia"/>
                      <w:color w:val="auto"/>
                      <w:lang w:val="en-US" w:eastAsia="zh-CN"/>
                    </w:rPr>
                    <w:t>干燥基高位（Cal/g）</w:t>
                  </w:r>
                </w:p>
              </w:tc>
              <w:tc>
                <w:tcPr>
                  <w:tcW w:w="1045" w:type="dxa"/>
                  <w:vAlign w:val="center"/>
                </w:tcPr>
                <w:p>
                  <w:pPr>
                    <w:pStyle w:val="15"/>
                    <w:ind w:firstLine="0" w:firstLineChars="0"/>
                    <w:rPr>
                      <w:rFonts w:hint="default" w:eastAsia="宋体"/>
                      <w:color w:val="auto"/>
                      <w:lang w:val="en-US" w:eastAsia="zh-CN"/>
                    </w:rPr>
                  </w:pPr>
                  <w:r>
                    <w:rPr>
                      <w:rFonts w:hint="eastAsia"/>
                      <w:color w:val="auto"/>
                      <w:lang w:val="en-US" w:eastAsia="zh-CN"/>
                    </w:rPr>
                    <w:t>干燥基高位（J/g）</w:t>
                  </w:r>
                </w:p>
              </w:tc>
              <w:tc>
                <w:tcPr>
                  <w:tcW w:w="1045" w:type="dxa"/>
                  <w:vAlign w:val="center"/>
                </w:tcPr>
                <w:p>
                  <w:pPr>
                    <w:pStyle w:val="15"/>
                    <w:ind w:firstLine="0" w:firstLineChars="0"/>
                    <w:rPr>
                      <w:rFonts w:hint="default" w:eastAsia="宋体"/>
                      <w:color w:val="auto"/>
                      <w:lang w:val="en-US" w:eastAsia="zh-CN"/>
                    </w:rPr>
                  </w:pPr>
                  <w:r>
                    <w:rPr>
                      <w:rFonts w:hint="eastAsia"/>
                      <w:color w:val="auto"/>
                      <w:lang w:val="en-US" w:eastAsia="zh-CN"/>
                    </w:rPr>
                    <w:t>收到基低位（J/g）</w:t>
                  </w:r>
                </w:p>
              </w:tc>
              <w:tc>
                <w:tcPr>
                  <w:tcW w:w="1048" w:type="dxa"/>
                  <w:vAlign w:val="center"/>
                </w:tcPr>
                <w:p>
                  <w:pPr>
                    <w:pStyle w:val="15"/>
                    <w:ind w:firstLine="0" w:firstLineChars="0"/>
                    <w:rPr>
                      <w:rFonts w:hint="default" w:eastAsia="宋体"/>
                      <w:color w:val="auto"/>
                      <w:lang w:val="en-US" w:eastAsia="zh-CN"/>
                    </w:rPr>
                  </w:pPr>
                  <w:r>
                    <w:rPr>
                      <w:rFonts w:hint="eastAsia"/>
                      <w:color w:val="auto"/>
                      <w:lang w:val="en-US" w:eastAsia="zh-CN"/>
                    </w:rPr>
                    <w:t>收到基低位（Cal/g）</w:t>
                  </w:r>
                </w:p>
              </w:tc>
              <w:tc>
                <w:tcPr>
                  <w:tcW w:w="1051" w:type="dxa"/>
                  <w:vMerge w:val="continue"/>
                  <w:vAlign w:val="center"/>
                </w:tcPr>
                <w:p>
                  <w:pPr>
                    <w:pStyle w:val="15"/>
                    <w:ind w:firstLine="0" w:firstLineChars="0"/>
                    <w:rPr>
                      <w:rFonts w:hint="default" w:eastAsia="宋体"/>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0" w:hRule="atLeast"/>
                <w:jc w:val="center"/>
              </w:trPr>
              <w:tc>
                <w:tcPr>
                  <w:tcW w:w="1045"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1045" w:type="dxa"/>
                  <w:vAlign w:val="center"/>
                </w:tcPr>
                <w:p>
                  <w:pPr>
                    <w:pStyle w:val="15"/>
                    <w:rPr>
                      <w:rFonts w:hint="default" w:eastAsia="宋体"/>
                      <w:color w:val="auto"/>
                      <w:lang w:val="en-US" w:eastAsia="zh-CN"/>
                    </w:rPr>
                  </w:pPr>
                  <w:r>
                    <w:rPr>
                      <w:rFonts w:hint="eastAsia"/>
                      <w:color w:val="auto"/>
                      <w:lang w:val="en-US" w:eastAsia="zh-CN"/>
                    </w:rPr>
                    <w:t>12193</w:t>
                  </w:r>
                </w:p>
              </w:tc>
              <w:tc>
                <w:tcPr>
                  <w:tcW w:w="1045" w:type="dxa"/>
                  <w:vAlign w:val="center"/>
                </w:tcPr>
                <w:p>
                  <w:pPr>
                    <w:pStyle w:val="15"/>
                    <w:rPr>
                      <w:rFonts w:hint="default"/>
                      <w:color w:val="auto"/>
                      <w:lang w:val="en-US" w:eastAsia="zh-CN"/>
                    </w:rPr>
                  </w:pPr>
                  <w:r>
                    <w:rPr>
                      <w:rFonts w:hint="eastAsia"/>
                      <w:color w:val="auto"/>
                      <w:lang w:val="en-US" w:eastAsia="zh-CN"/>
                    </w:rPr>
                    <w:t>12072</w:t>
                  </w:r>
                </w:p>
              </w:tc>
              <w:tc>
                <w:tcPr>
                  <w:tcW w:w="1048" w:type="dxa"/>
                  <w:vAlign w:val="center"/>
                </w:tcPr>
                <w:p>
                  <w:pPr>
                    <w:pStyle w:val="15"/>
                    <w:rPr>
                      <w:rFonts w:hint="default"/>
                      <w:color w:val="auto"/>
                      <w:lang w:val="en-US" w:eastAsia="zh-CN"/>
                    </w:rPr>
                  </w:pPr>
                  <w:r>
                    <w:rPr>
                      <w:rFonts w:hint="eastAsia"/>
                      <w:color w:val="auto"/>
                      <w:lang w:val="en-US" w:eastAsia="zh-CN"/>
                    </w:rPr>
                    <w:t>3137</w:t>
                  </w:r>
                </w:p>
              </w:tc>
              <w:tc>
                <w:tcPr>
                  <w:tcW w:w="1045" w:type="dxa"/>
                  <w:vAlign w:val="center"/>
                </w:tcPr>
                <w:p>
                  <w:pPr>
                    <w:pStyle w:val="15"/>
                    <w:rPr>
                      <w:rFonts w:hint="default" w:eastAsia="宋体"/>
                      <w:color w:val="auto"/>
                      <w:lang w:val="en-US" w:eastAsia="zh-CN"/>
                    </w:rPr>
                  </w:pPr>
                  <w:r>
                    <w:rPr>
                      <w:rFonts w:hint="eastAsia"/>
                      <w:color w:val="auto"/>
                      <w:lang w:val="en-US" w:eastAsia="zh-CN"/>
                    </w:rPr>
                    <w:t>13117</w:t>
                  </w:r>
                </w:p>
              </w:tc>
              <w:tc>
                <w:tcPr>
                  <w:tcW w:w="1045"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6299</w:t>
                  </w:r>
                </w:p>
              </w:tc>
              <w:tc>
                <w:tcPr>
                  <w:tcW w:w="1048"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1506</w:t>
                  </w:r>
                </w:p>
              </w:tc>
              <w:tc>
                <w:tcPr>
                  <w:tcW w:w="1051"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w:t>
                  </w:r>
                </w:p>
              </w:tc>
            </w:tr>
          </w:tbl>
          <w:p>
            <w:pPr>
              <w:ind w:firstLine="0" w:firstLineChars="0"/>
              <w:rPr>
                <w:color w:val="auto"/>
              </w:rPr>
            </w:pPr>
            <w:r>
              <w:rPr>
                <w:rFonts w:hint="eastAsia"/>
                <w:color w:val="auto"/>
                <w:lang w:val="en-US" w:eastAsia="zh-CN"/>
              </w:rPr>
              <w:t>5</w:t>
            </w:r>
            <w:r>
              <w:rPr>
                <w:rFonts w:hint="eastAsia"/>
                <w:color w:val="auto"/>
              </w:rPr>
              <w:t>、</w:t>
            </w:r>
            <w:r>
              <w:rPr>
                <w:color w:val="auto"/>
              </w:rPr>
              <w:t>主要</w:t>
            </w:r>
            <w:r>
              <w:rPr>
                <w:rFonts w:hint="eastAsia"/>
                <w:color w:val="auto"/>
              </w:rPr>
              <w:t>生产</w:t>
            </w:r>
            <w:r>
              <w:rPr>
                <w:color w:val="auto"/>
              </w:rPr>
              <w:t>设备</w:t>
            </w:r>
          </w:p>
          <w:p>
            <w:pPr>
              <w:ind w:firstLine="480"/>
              <w:rPr>
                <w:color w:val="auto"/>
              </w:rPr>
            </w:pPr>
            <w:r>
              <w:rPr>
                <w:rFonts w:hint="eastAsia"/>
                <w:color w:val="auto"/>
              </w:rPr>
              <w:t>改</w:t>
            </w:r>
            <w:r>
              <w:rPr>
                <w:color w:val="auto"/>
              </w:rPr>
              <w:t>建项目</w:t>
            </w:r>
            <w:r>
              <w:rPr>
                <w:rFonts w:hint="eastAsia"/>
                <w:color w:val="auto"/>
              </w:rPr>
              <w:t>不新增生产设备，主要生产</w:t>
            </w:r>
            <w:r>
              <w:rPr>
                <w:color w:val="auto"/>
              </w:rPr>
              <w:t>设备</w:t>
            </w:r>
            <w:r>
              <w:rPr>
                <w:rFonts w:hint="eastAsia"/>
                <w:color w:val="auto"/>
              </w:rPr>
              <w:t>均</w:t>
            </w:r>
            <w:r>
              <w:rPr>
                <w:color w:val="auto"/>
              </w:rPr>
              <w:t>沿用</w:t>
            </w:r>
            <w:r>
              <w:rPr>
                <w:rFonts w:hint="eastAsia"/>
                <w:color w:val="auto"/>
              </w:rPr>
              <w:t>现有，详见下表</w:t>
            </w:r>
            <w:r>
              <w:rPr>
                <w:color w:val="auto"/>
              </w:rPr>
              <w:t>。</w:t>
            </w:r>
          </w:p>
          <w:p>
            <w:pPr>
              <w:pStyle w:val="14"/>
              <w:rPr>
                <w:color w:val="auto"/>
              </w:rPr>
            </w:pPr>
            <w:r>
              <w:rPr>
                <w:color w:val="auto"/>
              </w:rPr>
              <w:t>表2-</w:t>
            </w:r>
            <w:r>
              <w:rPr>
                <w:rFonts w:hint="eastAsia"/>
                <w:color w:val="auto"/>
                <w:lang w:val="en-US" w:eastAsia="zh-CN"/>
              </w:rPr>
              <w:t>12</w:t>
            </w:r>
            <w:r>
              <w:rPr>
                <w:rFonts w:hint="eastAsia"/>
                <w:color w:val="auto"/>
              </w:rPr>
              <w:t xml:space="preserve"> </w:t>
            </w:r>
            <w:r>
              <w:rPr>
                <w:color w:val="auto"/>
              </w:rPr>
              <w:t xml:space="preserve"> 项目</w:t>
            </w:r>
            <w:r>
              <w:rPr>
                <w:rFonts w:hint="eastAsia"/>
                <w:color w:val="auto"/>
              </w:rPr>
              <w:t>主要生产设备</w:t>
            </w:r>
            <w:r>
              <w:rPr>
                <w:color w:val="auto"/>
              </w:rPr>
              <w:t>一览表</w:t>
            </w:r>
          </w:p>
          <w:tbl>
            <w:tblPr>
              <w:tblStyle w:val="11"/>
              <w:tblW w:w="8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64"/>
              <w:gridCol w:w="2620"/>
              <w:gridCol w:w="977"/>
              <w:gridCol w:w="1071"/>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Merge w:val="restart"/>
                  <w:vAlign w:val="center"/>
                </w:tcPr>
                <w:p>
                  <w:pPr>
                    <w:pStyle w:val="15"/>
                    <w:rPr>
                      <w:color w:val="auto"/>
                    </w:rPr>
                  </w:pPr>
                  <w:r>
                    <w:rPr>
                      <w:color w:val="auto"/>
                    </w:rPr>
                    <w:t>序号</w:t>
                  </w:r>
                </w:p>
              </w:tc>
              <w:tc>
                <w:tcPr>
                  <w:tcW w:w="1764" w:type="dxa"/>
                  <w:vMerge w:val="restart"/>
                  <w:vAlign w:val="center"/>
                </w:tcPr>
                <w:p>
                  <w:pPr>
                    <w:pStyle w:val="15"/>
                    <w:rPr>
                      <w:color w:val="auto"/>
                    </w:rPr>
                  </w:pPr>
                  <w:r>
                    <w:rPr>
                      <w:color w:val="auto"/>
                    </w:rPr>
                    <w:t>设备名称</w:t>
                  </w:r>
                </w:p>
              </w:tc>
              <w:tc>
                <w:tcPr>
                  <w:tcW w:w="2620" w:type="dxa"/>
                  <w:vMerge w:val="restart"/>
                  <w:vAlign w:val="center"/>
                </w:tcPr>
                <w:p>
                  <w:pPr>
                    <w:pStyle w:val="15"/>
                    <w:rPr>
                      <w:color w:val="auto"/>
                    </w:rPr>
                  </w:pPr>
                  <w:r>
                    <w:rPr>
                      <w:color w:val="auto"/>
                    </w:rPr>
                    <w:t>规格型号</w:t>
                  </w:r>
                </w:p>
              </w:tc>
              <w:tc>
                <w:tcPr>
                  <w:tcW w:w="3338" w:type="dxa"/>
                  <w:gridSpan w:val="3"/>
                  <w:vAlign w:val="center"/>
                </w:tcPr>
                <w:p>
                  <w:pPr>
                    <w:pStyle w:val="15"/>
                    <w:rPr>
                      <w:color w:val="auto"/>
                    </w:rPr>
                  </w:pPr>
                  <w:r>
                    <w:rPr>
                      <w:color w:val="auto"/>
                    </w:rPr>
                    <w:t>数量（台/套）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5" w:type="dxa"/>
                  <w:vMerge w:val="continue"/>
                  <w:vAlign w:val="center"/>
                </w:tcPr>
                <w:p>
                  <w:pPr>
                    <w:pStyle w:val="15"/>
                    <w:rPr>
                      <w:color w:val="auto"/>
                    </w:rPr>
                  </w:pPr>
                </w:p>
              </w:tc>
              <w:tc>
                <w:tcPr>
                  <w:tcW w:w="1764" w:type="dxa"/>
                  <w:vMerge w:val="continue"/>
                  <w:vAlign w:val="center"/>
                </w:tcPr>
                <w:p>
                  <w:pPr>
                    <w:pStyle w:val="15"/>
                    <w:rPr>
                      <w:color w:val="auto"/>
                    </w:rPr>
                  </w:pPr>
                </w:p>
              </w:tc>
              <w:tc>
                <w:tcPr>
                  <w:tcW w:w="2620" w:type="dxa"/>
                  <w:vMerge w:val="continue"/>
                  <w:vAlign w:val="center"/>
                </w:tcPr>
                <w:p>
                  <w:pPr>
                    <w:pStyle w:val="15"/>
                    <w:rPr>
                      <w:color w:val="auto"/>
                    </w:rPr>
                  </w:pPr>
                </w:p>
              </w:tc>
              <w:tc>
                <w:tcPr>
                  <w:tcW w:w="977" w:type="dxa"/>
                  <w:vAlign w:val="center"/>
                </w:tcPr>
                <w:p>
                  <w:pPr>
                    <w:pStyle w:val="15"/>
                    <w:rPr>
                      <w:color w:val="auto"/>
                    </w:rPr>
                  </w:pPr>
                  <w:r>
                    <w:rPr>
                      <w:rFonts w:hint="eastAsia"/>
                      <w:color w:val="auto"/>
                    </w:rPr>
                    <w:t>扩建</w:t>
                  </w:r>
                  <w:r>
                    <w:rPr>
                      <w:color w:val="auto"/>
                    </w:rPr>
                    <w:t>前</w:t>
                  </w:r>
                </w:p>
              </w:tc>
              <w:tc>
                <w:tcPr>
                  <w:tcW w:w="1071" w:type="dxa"/>
                  <w:vAlign w:val="center"/>
                </w:tcPr>
                <w:p>
                  <w:pPr>
                    <w:pStyle w:val="15"/>
                    <w:rPr>
                      <w:color w:val="auto"/>
                    </w:rPr>
                  </w:pPr>
                  <w:r>
                    <w:rPr>
                      <w:rFonts w:hint="eastAsia"/>
                      <w:color w:val="auto"/>
                    </w:rPr>
                    <w:t>扩建</w:t>
                  </w:r>
                  <w:r>
                    <w:rPr>
                      <w:color w:val="auto"/>
                    </w:rPr>
                    <w:t>后</w:t>
                  </w:r>
                </w:p>
              </w:tc>
              <w:tc>
                <w:tcPr>
                  <w:tcW w:w="1290" w:type="dxa"/>
                  <w:vAlign w:val="center"/>
                </w:tcPr>
                <w:p>
                  <w:pPr>
                    <w:pStyle w:val="15"/>
                    <w:rPr>
                      <w:color w:val="auto"/>
                    </w:rPr>
                  </w:pPr>
                  <w:r>
                    <w:rPr>
                      <w:color w:val="auto"/>
                    </w:rPr>
                    <w:t>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77" w:type="dxa"/>
                  <w:gridSpan w:val="6"/>
                  <w:vAlign w:val="center"/>
                </w:tcPr>
                <w:p>
                  <w:pPr>
                    <w:pStyle w:val="15"/>
                    <w:rPr>
                      <w:color w:val="auto"/>
                    </w:rPr>
                  </w:pPr>
                  <w:r>
                    <w:rPr>
                      <w:rFonts w:hint="eastAsia"/>
                      <w:color w:val="auto"/>
                    </w:rPr>
                    <w:t>复合肥生产线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5" w:type="dxa"/>
                  <w:vAlign w:val="center"/>
                </w:tcPr>
                <w:p>
                  <w:pPr>
                    <w:pStyle w:val="15"/>
                    <w:rPr>
                      <w:color w:val="auto"/>
                    </w:rPr>
                  </w:pPr>
                  <w:r>
                    <w:rPr>
                      <w:color w:val="auto"/>
                    </w:rPr>
                    <w:t>1</w:t>
                  </w:r>
                </w:p>
              </w:tc>
              <w:tc>
                <w:tcPr>
                  <w:tcW w:w="1764" w:type="dxa"/>
                  <w:vAlign w:val="center"/>
                </w:tcPr>
                <w:p>
                  <w:pPr>
                    <w:pStyle w:val="15"/>
                    <w:rPr>
                      <w:color w:val="auto"/>
                    </w:rPr>
                  </w:pPr>
                  <w:r>
                    <w:rPr>
                      <w:rFonts w:hint="eastAsia"/>
                      <w:color w:val="auto"/>
                    </w:rPr>
                    <w:t>电子台秤</w:t>
                  </w:r>
                </w:p>
              </w:tc>
              <w:tc>
                <w:tcPr>
                  <w:tcW w:w="2620" w:type="dxa"/>
                  <w:vAlign w:val="center"/>
                </w:tcPr>
                <w:p>
                  <w:pPr>
                    <w:pStyle w:val="15"/>
                    <w:rPr>
                      <w:color w:val="auto"/>
                    </w:rPr>
                  </w:pPr>
                  <w:r>
                    <w:rPr>
                      <w:rFonts w:hint="eastAsia"/>
                      <w:color w:val="auto"/>
                    </w:rPr>
                    <w:t>TCS-200</w:t>
                  </w:r>
                </w:p>
              </w:tc>
              <w:tc>
                <w:tcPr>
                  <w:tcW w:w="977" w:type="dxa"/>
                  <w:vAlign w:val="center"/>
                </w:tcPr>
                <w:p>
                  <w:pPr>
                    <w:pStyle w:val="15"/>
                    <w:rPr>
                      <w:color w:val="auto"/>
                    </w:rPr>
                  </w:pPr>
                  <w:r>
                    <w:rPr>
                      <w:rFonts w:hint="eastAsia"/>
                      <w:color w:val="auto"/>
                    </w:rPr>
                    <w:t>2</w:t>
                  </w:r>
                </w:p>
              </w:tc>
              <w:tc>
                <w:tcPr>
                  <w:tcW w:w="1071" w:type="dxa"/>
                  <w:vAlign w:val="center"/>
                </w:tcPr>
                <w:p>
                  <w:pPr>
                    <w:pStyle w:val="15"/>
                    <w:rPr>
                      <w:color w:val="auto"/>
                    </w:rPr>
                  </w:pPr>
                  <w:r>
                    <w:rPr>
                      <w:rFonts w:hint="eastAsia"/>
                      <w:color w:val="auto"/>
                    </w:rPr>
                    <w:t>2</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5" w:type="dxa"/>
                  <w:vAlign w:val="center"/>
                </w:tcPr>
                <w:p>
                  <w:pPr>
                    <w:pStyle w:val="15"/>
                    <w:rPr>
                      <w:color w:val="auto"/>
                    </w:rPr>
                  </w:pPr>
                  <w:r>
                    <w:rPr>
                      <w:color w:val="auto"/>
                    </w:rPr>
                    <w:t>2</w:t>
                  </w:r>
                </w:p>
              </w:tc>
              <w:tc>
                <w:tcPr>
                  <w:tcW w:w="1764" w:type="dxa"/>
                  <w:vAlign w:val="center"/>
                </w:tcPr>
                <w:p>
                  <w:pPr>
                    <w:pStyle w:val="15"/>
                    <w:rPr>
                      <w:color w:val="auto"/>
                    </w:rPr>
                  </w:pPr>
                  <w:r>
                    <w:rPr>
                      <w:rFonts w:hint="eastAsia"/>
                      <w:color w:val="auto"/>
                    </w:rPr>
                    <w:t>电子台秤</w:t>
                  </w:r>
                </w:p>
              </w:tc>
              <w:tc>
                <w:tcPr>
                  <w:tcW w:w="2620" w:type="dxa"/>
                  <w:vAlign w:val="center"/>
                </w:tcPr>
                <w:p>
                  <w:pPr>
                    <w:pStyle w:val="15"/>
                    <w:rPr>
                      <w:color w:val="auto"/>
                    </w:rPr>
                  </w:pPr>
                  <w:r>
                    <w:rPr>
                      <w:rFonts w:hint="eastAsia"/>
                      <w:color w:val="auto"/>
                    </w:rPr>
                    <w:t>TCS-300</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5" w:type="dxa"/>
                  <w:vAlign w:val="center"/>
                </w:tcPr>
                <w:p>
                  <w:pPr>
                    <w:pStyle w:val="15"/>
                    <w:rPr>
                      <w:color w:val="auto"/>
                    </w:rPr>
                  </w:pPr>
                  <w:r>
                    <w:rPr>
                      <w:color w:val="auto"/>
                    </w:rPr>
                    <w:t>3</w:t>
                  </w:r>
                </w:p>
              </w:tc>
              <w:tc>
                <w:tcPr>
                  <w:tcW w:w="1764" w:type="dxa"/>
                  <w:vAlign w:val="center"/>
                </w:tcPr>
                <w:p>
                  <w:pPr>
                    <w:pStyle w:val="15"/>
                    <w:rPr>
                      <w:color w:val="auto"/>
                    </w:rPr>
                  </w:pPr>
                  <w:r>
                    <w:rPr>
                      <w:rFonts w:hint="eastAsia"/>
                      <w:color w:val="auto"/>
                    </w:rPr>
                    <w:t>多用粉碎机</w:t>
                  </w:r>
                </w:p>
              </w:tc>
              <w:tc>
                <w:tcPr>
                  <w:tcW w:w="2620" w:type="dxa"/>
                  <w:vAlign w:val="center"/>
                </w:tcPr>
                <w:p>
                  <w:pPr>
                    <w:pStyle w:val="15"/>
                    <w:rPr>
                      <w:color w:val="auto"/>
                    </w:rPr>
                  </w:pPr>
                  <w:r>
                    <w:rPr>
                      <w:rFonts w:hint="eastAsia"/>
                      <w:color w:val="auto"/>
                    </w:rPr>
                    <w:t>/</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5" w:type="dxa"/>
                  <w:vAlign w:val="center"/>
                </w:tcPr>
                <w:p>
                  <w:pPr>
                    <w:pStyle w:val="15"/>
                    <w:rPr>
                      <w:color w:val="auto"/>
                    </w:rPr>
                  </w:pPr>
                  <w:r>
                    <w:rPr>
                      <w:color w:val="auto"/>
                    </w:rPr>
                    <w:t>4</w:t>
                  </w:r>
                </w:p>
              </w:tc>
              <w:tc>
                <w:tcPr>
                  <w:tcW w:w="1764" w:type="dxa"/>
                  <w:vAlign w:val="center"/>
                </w:tcPr>
                <w:p>
                  <w:pPr>
                    <w:pStyle w:val="15"/>
                    <w:rPr>
                      <w:color w:val="auto"/>
                    </w:rPr>
                  </w:pPr>
                  <w:r>
                    <w:rPr>
                      <w:rFonts w:hint="eastAsia"/>
                      <w:color w:val="auto"/>
                    </w:rPr>
                    <w:t>配料破碎机</w:t>
                  </w:r>
                </w:p>
              </w:tc>
              <w:tc>
                <w:tcPr>
                  <w:tcW w:w="2620" w:type="dxa"/>
                  <w:vAlign w:val="center"/>
                </w:tcPr>
                <w:p>
                  <w:pPr>
                    <w:pStyle w:val="15"/>
                    <w:rPr>
                      <w:color w:val="auto"/>
                    </w:rPr>
                  </w:pPr>
                  <w:r>
                    <w:rPr>
                      <w:rFonts w:hint="eastAsia"/>
                      <w:color w:val="auto"/>
                    </w:rPr>
                    <w:t>Y225S-8</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5" w:type="dxa"/>
                  <w:vAlign w:val="center"/>
                </w:tcPr>
                <w:p>
                  <w:pPr>
                    <w:pStyle w:val="15"/>
                    <w:rPr>
                      <w:color w:val="auto"/>
                    </w:rPr>
                  </w:pPr>
                  <w:r>
                    <w:rPr>
                      <w:color w:val="auto"/>
                    </w:rPr>
                    <w:t>5</w:t>
                  </w:r>
                </w:p>
              </w:tc>
              <w:tc>
                <w:tcPr>
                  <w:tcW w:w="1764" w:type="dxa"/>
                  <w:vAlign w:val="center"/>
                </w:tcPr>
                <w:p>
                  <w:pPr>
                    <w:pStyle w:val="15"/>
                    <w:rPr>
                      <w:color w:val="auto"/>
                    </w:rPr>
                  </w:pPr>
                  <w:r>
                    <w:rPr>
                      <w:rFonts w:hint="eastAsia"/>
                      <w:color w:val="auto"/>
                    </w:rPr>
                    <w:t>配料仓</w:t>
                  </w:r>
                </w:p>
              </w:tc>
              <w:tc>
                <w:tcPr>
                  <w:tcW w:w="2620" w:type="dxa"/>
                  <w:vAlign w:val="center"/>
                </w:tcPr>
                <w:p>
                  <w:pPr>
                    <w:pStyle w:val="15"/>
                    <w:rPr>
                      <w:color w:val="auto"/>
                    </w:rPr>
                  </w:pPr>
                  <w:r>
                    <w:rPr>
                      <w:rFonts w:hint="eastAsia"/>
                      <w:color w:val="auto"/>
                    </w:rPr>
                    <w:t>/</w:t>
                  </w:r>
                </w:p>
              </w:tc>
              <w:tc>
                <w:tcPr>
                  <w:tcW w:w="977" w:type="dxa"/>
                  <w:vAlign w:val="center"/>
                </w:tcPr>
                <w:p>
                  <w:pPr>
                    <w:pStyle w:val="15"/>
                    <w:rPr>
                      <w:color w:val="auto"/>
                    </w:rPr>
                  </w:pPr>
                  <w:r>
                    <w:rPr>
                      <w:rFonts w:hint="eastAsia"/>
                      <w:color w:val="auto"/>
                    </w:rPr>
                    <w:t>5</w:t>
                  </w:r>
                </w:p>
              </w:tc>
              <w:tc>
                <w:tcPr>
                  <w:tcW w:w="1071" w:type="dxa"/>
                  <w:vAlign w:val="center"/>
                </w:tcPr>
                <w:p>
                  <w:pPr>
                    <w:pStyle w:val="15"/>
                    <w:rPr>
                      <w:color w:val="auto"/>
                    </w:rPr>
                  </w:pPr>
                  <w:r>
                    <w:rPr>
                      <w:rFonts w:hint="eastAsia"/>
                      <w:color w:val="auto"/>
                    </w:rPr>
                    <w:t>5</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6</w:t>
                  </w:r>
                </w:p>
              </w:tc>
              <w:tc>
                <w:tcPr>
                  <w:tcW w:w="1764" w:type="dxa"/>
                  <w:vAlign w:val="center"/>
                </w:tcPr>
                <w:p>
                  <w:pPr>
                    <w:pStyle w:val="15"/>
                    <w:rPr>
                      <w:color w:val="auto"/>
                    </w:rPr>
                  </w:pPr>
                  <w:r>
                    <w:rPr>
                      <w:rFonts w:hint="eastAsia"/>
                      <w:color w:val="auto"/>
                    </w:rPr>
                    <w:t>电子计量皮带机</w:t>
                  </w:r>
                </w:p>
              </w:tc>
              <w:tc>
                <w:tcPr>
                  <w:tcW w:w="2620" w:type="dxa"/>
                  <w:vAlign w:val="center"/>
                </w:tcPr>
                <w:p>
                  <w:pPr>
                    <w:pStyle w:val="15"/>
                    <w:rPr>
                      <w:color w:val="auto"/>
                    </w:rPr>
                  </w:pPr>
                  <w:r>
                    <w:rPr>
                      <w:rFonts w:hint="eastAsia"/>
                      <w:color w:val="auto"/>
                    </w:rPr>
                    <w:t>/</w:t>
                  </w:r>
                </w:p>
              </w:tc>
              <w:tc>
                <w:tcPr>
                  <w:tcW w:w="977" w:type="dxa"/>
                  <w:vAlign w:val="center"/>
                </w:tcPr>
                <w:p>
                  <w:pPr>
                    <w:pStyle w:val="15"/>
                    <w:rPr>
                      <w:color w:val="auto"/>
                    </w:rPr>
                  </w:pPr>
                  <w:r>
                    <w:rPr>
                      <w:rFonts w:hint="eastAsia"/>
                      <w:color w:val="auto"/>
                    </w:rPr>
                    <w:t>5</w:t>
                  </w:r>
                </w:p>
              </w:tc>
              <w:tc>
                <w:tcPr>
                  <w:tcW w:w="1071" w:type="dxa"/>
                  <w:vAlign w:val="center"/>
                </w:tcPr>
                <w:p>
                  <w:pPr>
                    <w:pStyle w:val="15"/>
                    <w:rPr>
                      <w:color w:val="auto"/>
                    </w:rPr>
                  </w:pPr>
                  <w:r>
                    <w:rPr>
                      <w:rFonts w:hint="eastAsia"/>
                      <w:color w:val="auto"/>
                    </w:rPr>
                    <w:t>5</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7</w:t>
                  </w:r>
                </w:p>
              </w:tc>
              <w:tc>
                <w:tcPr>
                  <w:tcW w:w="1764" w:type="dxa"/>
                  <w:vAlign w:val="center"/>
                </w:tcPr>
                <w:p>
                  <w:pPr>
                    <w:pStyle w:val="15"/>
                    <w:rPr>
                      <w:color w:val="auto"/>
                    </w:rPr>
                  </w:pPr>
                  <w:r>
                    <w:rPr>
                      <w:rFonts w:hint="eastAsia"/>
                      <w:color w:val="auto"/>
                    </w:rPr>
                    <w:t>1#混料皮带机</w:t>
                  </w:r>
                </w:p>
              </w:tc>
              <w:tc>
                <w:tcPr>
                  <w:tcW w:w="2620" w:type="dxa"/>
                  <w:vAlign w:val="center"/>
                </w:tcPr>
                <w:p>
                  <w:pPr>
                    <w:pStyle w:val="15"/>
                    <w:rPr>
                      <w:color w:val="auto"/>
                    </w:rPr>
                  </w:pPr>
                  <w:r>
                    <w:rPr>
                      <w:rFonts w:hint="eastAsia"/>
                      <w:color w:val="auto"/>
                    </w:rPr>
                    <w:t>/</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8</w:t>
                  </w:r>
                </w:p>
              </w:tc>
              <w:tc>
                <w:tcPr>
                  <w:tcW w:w="1764" w:type="dxa"/>
                  <w:vAlign w:val="center"/>
                </w:tcPr>
                <w:p>
                  <w:pPr>
                    <w:pStyle w:val="15"/>
                    <w:rPr>
                      <w:color w:val="auto"/>
                    </w:rPr>
                  </w:pPr>
                  <w:r>
                    <w:rPr>
                      <w:rFonts w:hint="eastAsia"/>
                      <w:color w:val="auto"/>
                    </w:rPr>
                    <w:t>2#混料皮带机</w:t>
                  </w:r>
                </w:p>
              </w:tc>
              <w:tc>
                <w:tcPr>
                  <w:tcW w:w="2620" w:type="dxa"/>
                  <w:vAlign w:val="center"/>
                </w:tcPr>
                <w:p>
                  <w:pPr>
                    <w:pStyle w:val="15"/>
                    <w:rPr>
                      <w:color w:val="auto"/>
                    </w:rPr>
                  </w:pPr>
                  <w:r>
                    <w:rPr>
                      <w:rFonts w:hint="eastAsia"/>
                      <w:color w:val="auto"/>
                    </w:rPr>
                    <w:t>/</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9</w:t>
                  </w:r>
                </w:p>
              </w:tc>
              <w:tc>
                <w:tcPr>
                  <w:tcW w:w="1764" w:type="dxa"/>
                  <w:vAlign w:val="center"/>
                </w:tcPr>
                <w:p>
                  <w:pPr>
                    <w:pStyle w:val="15"/>
                    <w:rPr>
                      <w:color w:val="auto"/>
                    </w:rPr>
                  </w:pPr>
                  <w:r>
                    <w:rPr>
                      <w:rFonts w:hint="eastAsia"/>
                      <w:color w:val="auto"/>
                    </w:rPr>
                    <w:t>粉普钙供料斗</w:t>
                  </w:r>
                </w:p>
              </w:tc>
              <w:tc>
                <w:tcPr>
                  <w:tcW w:w="2620" w:type="dxa"/>
                  <w:vAlign w:val="center"/>
                </w:tcPr>
                <w:p>
                  <w:pPr>
                    <w:pStyle w:val="15"/>
                    <w:rPr>
                      <w:color w:val="auto"/>
                    </w:rPr>
                  </w:pPr>
                  <w:r>
                    <w:rPr>
                      <w:rFonts w:hint="eastAsia"/>
                      <w:color w:val="auto"/>
                    </w:rPr>
                    <w:t>/</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10</w:t>
                  </w:r>
                </w:p>
              </w:tc>
              <w:tc>
                <w:tcPr>
                  <w:tcW w:w="1764" w:type="dxa"/>
                  <w:vAlign w:val="center"/>
                </w:tcPr>
                <w:p>
                  <w:pPr>
                    <w:pStyle w:val="15"/>
                    <w:rPr>
                      <w:color w:val="auto"/>
                    </w:rPr>
                  </w:pPr>
                  <w:r>
                    <w:rPr>
                      <w:rFonts w:hint="eastAsia"/>
                      <w:color w:val="auto"/>
                    </w:rPr>
                    <w:t>普钙供料皮带机</w:t>
                  </w:r>
                </w:p>
              </w:tc>
              <w:tc>
                <w:tcPr>
                  <w:tcW w:w="2620" w:type="dxa"/>
                  <w:vAlign w:val="center"/>
                </w:tcPr>
                <w:p>
                  <w:pPr>
                    <w:pStyle w:val="15"/>
                    <w:rPr>
                      <w:color w:val="auto"/>
                    </w:rPr>
                  </w:pPr>
                  <w:r>
                    <w:rPr>
                      <w:rFonts w:hint="eastAsia"/>
                      <w:color w:val="auto"/>
                    </w:rPr>
                    <w:t>/</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11</w:t>
                  </w:r>
                </w:p>
              </w:tc>
              <w:tc>
                <w:tcPr>
                  <w:tcW w:w="1764" w:type="dxa"/>
                  <w:vAlign w:val="center"/>
                </w:tcPr>
                <w:p>
                  <w:pPr>
                    <w:pStyle w:val="15"/>
                    <w:rPr>
                      <w:color w:val="auto"/>
                    </w:rPr>
                  </w:pPr>
                  <w:r>
                    <w:rPr>
                      <w:rFonts w:hint="eastAsia"/>
                      <w:color w:val="auto"/>
                    </w:rPr>
                    <w:t>普钙供料提升机</w:t>
                  </w:r>
                </w:p>
              </w:tc>
              <w:tc>
                <w:tcPr>
                  <w:tcW w:w="2620" w:type="dxa"/>
                  <w:vAlign w:val="center"/>
                </w:tcPr>
                <w:p>
                  <w:pPr>
                    <w:pStyle w:val="15"/>
                    <w:rPr>
                      <w:color w:val="auto"/>
                    </w:rPr>
                  </w:pPr>
                  <w:r>
                    <w:rPr>
                      <w:rFonts w:hint="eastAsia"/>
                      <w:color w:val="auto"/>
                    </w:rPr>
                    <w:t>/</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12</w:t>
                  </w:r>
                </w:p>
              </w:tc>
              <w:tc>
                <w:tcPr>
                  <w:tcW w:w="1764" w:type="dxa"/>
                  <w:vAlign w:val="center"/>
                </w:tcPr>
                <w:p>
                  <w:pPr>
                    <w:pStyle w:val="15"/>
                    <w:jc w:val="center"/>
                    <w:rPr>
                      <w:color w:val="auto"/>
                    </w:rPr>
                  </w:pPr>
                  <w:r>
                    <w:rPr>
                      <w:rFonts w:hint="eastAsia"/>
                      <w:color w:val="auto"/>
                    </w:rPr>
                    <w:t>原料仓</w:t>
                  </w:r>
                </w:p>
              </w:tc>
              <w:tc>
                <w:tcPr>
                  <w:tcW w:w="2620" w:type="dxa"/>
                  <w:vAlign w:val="center"/>
                </w:tcPr>
                <w:p>
                  <w:pPr>
                    <w:pStyle w:val="15"/>
                    <w:jc w:val="center"/>
                    <w:rPr>
                      <w:color w:val="auto"/>
                    </w:rPr>
                  </w:pPr>
                  <w:r>
                    <w:rPr>
                      <w:rFonts w:hint="eastAsia"/>
                      <w:color w:val="auto"/>
                    </w:rPr>
                    <w:t>3000×3000×2500V12m³</w:t>
                  </w:r>
                </w:p>
              </w:tc>
              <w:tc>
                <w:tcPr>
                  <w:tcW w:w="977" w:type="dxa"/>
                  <w:vAlign w:val="center"/>
                </w:tcPr>
                <w:p>
                  <w:pPr>
                    <w:pStyle w:val="15"/>
                    <w:rPr>
                      <w:color w:val="auto"/>
                    </w:rPr>
                  </w:pPr>
                  <w:r>
                    <w:rPr>
                      <w:rFonts w:hint="eastAsia"/>
                      <w:color w:val="auto"/>
                    </w:rPr>
                    <w:t>1套</w:t>
                  </w:r>
                </w:p>
              </w:tc>
              <w:tc>
                <w:tcPr>
                  <w:tcW w:w="1071" w:type="dxa"/>
                  <w:vAlign w:val="center"/>
                </w:tcPr>
                <w:p>
                  <w:pPr>
                    <w:pStyle w:val="15"/>
                    <w:rPr>
                      <w:color w:val="auto"/>
                    </w:rPr>
                  </w:pPr>
                  <w:r>
                    <w:rPr>
                      <w:rFonts w:hint="eastAsia"/>
                      <w:color w:val="auto"/>
                    </w:rPr>
                    <w:t>1套</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13</w:t>
                  </w:r>
                </w:p>
              </w:tc>
              <w:tc>
                <w:tcPr>
                  <w:tcW w:w="1764" w:type="dxa"/>
                </w:tcPr>
                <w:p>
                  <w:pPr>
                    <w:pStyle w:val="15"/>
                    <w:rPr>
                      <w:color w:val="auto"/>
                      <w:lang w:val="zh-CN"/>
                    </w:rPr>
                  </w:pPr>
                  <w:r>
                    <w:rPr>
                      <w:rFonts w:hint="eastAsia"/>
                      <w:color w:val="auto"/>
                    </w:rPr>
                    <w:t>1#原料皮带机</w:t>
                  </w:r>
                </w:p>
              </w:tc>
              <w:tc>
                <w:tcPr>
                  <w:tcW w:w="2620" w:type="dxa"/>
                </w:tcPr>
                <w:p>
                  <w:pPr>
                    <w:pStyle w:val="15"/>
                    <w:rPr>
                      <w:color w:val="auto"/>
                      <w:lang w:val="zh-CN"/>
                    </w:rPr>
                  </w:pPr>
                  <w:r>
                    <w:rPr>
                      <w:rFonts w:hint="eastAsia"/>
                      <w:color w:val="auto"/>
                    </w:rPr>
                    <w:t>TD75型带宽：B-800mm</w:t>
                  </w:r>
                </w:p>
              </w:tc>
              <w:tc>
                <w:tcPr>
                  <w:tcW w:w="977" w:type="dxa"/>
                  <w:vAlign w:val="center"/>
                </w:tcPr>
                <w:p>
                  <w:pPr>
                    <w:pStyle w:val="15"/>
                    <w:rPr>
                      <w:color w:val="auto"/>
                      <w:lang w:val="zh-CN"/>
                    </w:rPr>
                  </w:pPr>
                  <w:r>
                    <w:rPr>
                      <w:rFonts w:hint="eastAsia"/>
                      <w:color w:val="auto"/>
                    </w:rPr>
                    <w:t>1套</w:t>
                  </w:r>
                </w:p>
              </w:tc>
              <w:tc>
                <w:tcPr>
                  <w:tcW w:w="1071" w:type="dxa"/>
                  <w:vAlign w:val="center"/>
                </w:tcPr>
                <w:p>
                  <w:pPr>
                    <w:pStyle w:val="15"/>
                    <w:rPr>
                      <w:color w:val="auto"/>
                    </w:rPr>
                  </w:pPr>
                  <w:r>
                    <w:rPr>
                      <w:rFonts w:hint="eastAsia"/>
                      <w:color w:val="auto"/>
                    </w:rPr>
                    <w:t>1套</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14</w:t>
                  </w:r>
                </w:p>
              </w:tc>
              <w:tc>
                <w:tcPr>
                  <w:tcW w:w="1764" w:type="dxa"/>
                </w:tcPr>
                <w:p>
                  <w:pPr>
                    <w:pStyle w:val="15"/>
                    <w:rPr>
                      <w:color w:val="auto"/>
                    </w:rPr>
                  </w:pPr>
                  <w:r>
                    <w:rPr>
                      <w:rFonts w:hint="eastAsia"/>
                      <w:color w:val="auto"/>
                    </w:rPr>
                    <w:t>1#原料振动筛</w:t>
                  </w:r>
                </w:p>
              </w:tc>
              <w:tc>
                <w:tcPr>
                  <w:tcW w:w="2620" w:type="dxa"/>
                </w:tcPr>
                <w:p>
                  <w:pPr>
                    <w:pStyle w:val="15"/>
                    <w:rPr>
                      <w:color w:val="auto"/>
                    </w:rPr>
                  </w:pPr>
                  <w:r>
                    <w:rPr>
                      <w:rFonts w:hint="eastAsia"/>
                      <w:color w:val="auto"/>
                    </w:rPr>
                    <w:t>输送距离：L=7500MM</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17</w:t>
                  </w:r>
                </w:p>
              </w:tc>
              <w:tc>
                <w:tcPr>
                  <w:tcW w:w="1764" w:type="dxa"/>
                </w:tcPr>
                <w:p>
                  <w:pPr>
                    <w:pStyle w:val="15"/>
                    <w:rPr>
                      <w:color w:val="auto"/>
                    </w:rPr>
                  </w:pPr>
                  <w:r>
                    <w:rPr>
                      <w:rFonts w:hint="eastAsia"/>
                      <w:color w:val="auto"/>
                    </w:rPr>
                    <w:t>2#原料皮带机</w:t>
                  </w:r>
                </w:p>
              </w:tc>
              <w:tc>
                <w:tcPr>
                  <w:tcW w:w="2620" w:type="dxa"/>
                </w:tcPr>
                <w:p>
                  <w:pPr>
                    <w:pStyle w:val="15"/>
                    <w:rPr>
                      <w:color w:val="auto"/>
                    </w:rPr>
                  </w:pPr>
                  <w:r>
                    <w:rPr>
                      <w:rFonts w:hint="eastAsia"/>
                      <w:color w:val="auto"/>
                    </w:rPr>
                    <w:t>带速, 0.6m/s,16º</w:t>
                  </w:r>
                </w:p>
              </w:tc>
              <w:tc>
                <w:tcPr>
                  <w:tcW w:w="977" w:type="dxa"/>
                  <w:vAlign w:val="center"/>
                </w:tcPr>
                <w:p>
                  <w:pPr>
                    <w:pStyle w:val="15"/>
                    <w:rPr>
                      <w:color w:val="auto"/>
                    </w:rPr>
                  </w:pPr>
                  <w:r>
                    <w:rPr>
                      <w:rFonts w:hint="eastAsia"/>
                      <w:color w:val="auto"/>
                    </w:rPr>
                    <w:t>1套</w:t>
                  </w:r>
                </w:p>
              </w:tc>
              <w:tc>
                <w:tcPr>
                  <w:tcW w:w="1071" w:type="dxa"/>
                  <w:vAlign w:val="center"/>
                </w:tcPr>
                <w:p>
                  <w:pPr>
                    <w:pStyle w:val="15"/>
                    <w:rPr>
                      <w:color w:val="auto"/>
                    </w:rPr>
                  </w:pPr>
                  <w:r>
                    <w:rPr>
                      <w:rFonts w:hint="eastAsia"/>
                      <w:color w:val="auto"/>
                    </w:rPr>
                    <w:t>1套</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18</w:t>
                  </w:r>
                </w:p>
              </w:tc>
              <w:tc>
                <w:tcPr>
                  <w:tcW w:w="1764" w:type="dxa"/>
                </w:tcPr>
                <w:p>
                  <w:pPr>
                    <w:pStyle w:val="15"/>
                    <w:rPr>
                      <w:color w:val="auto"/>
                    </w:rPr>
                  </w:pPr>
                  <w:r>
                    <w:rPr>
                      <w:rFonts w:hint="eastAsia"/>
                      <w:color w:val="auto"/>
                    </w:rPr>
                    <w:t>3#原料皮带机</w:t>
                  </w:r>
                </w:p>
              </w:tc>
              <w:tc>
                <w:tcPr>
                  <w:tcW w:w="2620" w:type="dxa"/>
                </w:tcPr>
                <w:p>
                  <w:pPr>
                    <w:pStyle w:val="15"/>
                    <w:rPr>
                      <w:color w:val="auto"/>
                    </w:rPr>
                  </w:pPr>
                  <w:r>
                    <w:rPr>
                      <w:rFonts w:hint="eastAsia"/>
                      <w:color w:val="auto"/>
                    </w:rPr>
                    <w:t>1SZZ-1800×3600</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19</w:t>
                  </w:r>
                </w:p>
              </w:tc>
              <w:tc>
                <w:tcPr>
                  <w:tcW w:w="1764" w:type="dxa"/>
                </w:tcPr>
                <w:p>
                  <w:pPr>
                    <w:pStyle w:val="15"/>
                    <w:rPr>
                      <w:color w:val="auto"/>
                    </w:rPr>
                  </w:pPr>
                  <w:r>
                    <w:rPr>
                      <w:rFonts w:hint="eastAsia"/>
                      <w:color w:val="auto"/>
                    </w:rPr>
                    <w:t>中间缓冲仓</w:t>
                  </w:r>
                </w:p>
              </w:tc>
              <w:tc>
                <w:tcPr>
                  <w:tcW w:w="2620" w:type="dxa"/>
                </w:tcPr>
                <w:p>
                  <w:pPr>
                    <w:pStyle w:val="15"/>
                    <w:rPr>
                      <w:color w:val="auto"/>
                    </w:rPr>
                  </w:pPr>
                  <w:r>
                    <w:rPr>
                      <w:rFonts w:hint="eastAsia"/>
                      <w:color w:val="auto"/>
                    </w:rPr>
                    <w:t>TD75型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20</w:t>
                  </w:r>
                </w:p>
              </w:tc>
              <w:tc>
                <w:tcPr>
                  <w:tcW w:w="1764" w:type="dxa"/>
                </w:tcPr>
                <w:p>
                  <w:pPr>
                    <w:pStyle w:val="15"/>
                    <w:rPr>
                      <w:color w:val="auto"/>
                    </w:rPr>
                  </w:pPr>
                  <w:r>
                    <w:rPr>
                      <w:rFonts w:hint="eastAsia"/>
                      <w:color w:val="auto"/>
                    </w:rPr>
                    <w:t>4#原料计量皮带</w:t>
                  </w:r>
                </w:p>
              </w:tc>
              <w:tc>
                <w:tcPr>
                  <w:tcW w:w="2620" w:type="dxa"/>
                </w:tcPr>
                <w:p>
                  <w:pPr>
                    <w:pStyle w:val="15"/>
                    <w:rPr>
                      <w:color w:val="auto"/>
                    </w:rPr>
                  </w:pPr>
                  <w:r>
                    <w:rPr>
                      <w:rFonts w:hint="eastAsia"/>
                      <w:color w:val="auto"/>
                    </w:rPr>
                    <w:t>宽度B800 ，0.6m/s</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21</w:t>
                  </w:r>
                </w:p>
              </w:tc>
              <w:tc>
                <w:tcPr>
                  <w:tcW w:w="1764" w:type="dxa"/>
                </w:tcPr>
                <w:p>
                  <w:pPr>
                    <w:pStyle w:val="15"/>
                    <w:rPr>
                      <w:color w:val="auto"/>
                    </w:rPr>
                  </w:pPr>
                  <w:r>
                    <w:rPr>
                      <w:rFonts w:hint="eastAsia"/>
                      <w:color w:val="auto"/>
                    </w:rPr>
                    <w:t>造粒机</w:t>
                  </w:r>
                </w:p>
              </w:tc>
              <w:tc>
                <w:tcPr>
                  <w:tcW w:w="2620" w:type="dxa"/>
                </w:tcPr>
                <w:p>
                  <w:pPr>
                    <w:pStyle w:val="15"/>
                    <w:rPr>
                      <w:color w:val="auto"/>
                    </w:rPr>
                  </w:pPr>
                  <w:r>
                    <w:rPr>
                      <w:rFonts w:hint="eastAsia"/>
                      <w:color w:val="auto"/>
                    </w:rPr>
                    <w:t>输送距离13500</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22</w:t>
                  </w:r>
                </w:p>
              </w:tc>
              <w:tc>
                <w:tcPr>
                  <w:tcW w:w="1764" w:type="dxa"/>
                </w:tcPr>
                <w:p>
                  <w:pPr>
                    <w:pStyle w:val="15"/>
                    <w:rPr>
                      <w:color w:val="auto"/>
                    </w:rPr>
                  </w:pPr>
                  <w:r>
                    <w:rPr>
                      <w:rFonts w:hint="eastAsia"/>
                      <w:color w:val="auto"/>
                    </w:rPr>
                    <w:t>湿料皮带机</w:t>
                  </w:r>
                </w:p>
              </w:tc>
              <w:tc>
                <w:tcPr>
                  <w:tcW w:w="2620" w:type="dxa"/>
                </w:tcPr>
                <w:p>
                  <w:pPr>
                    <w:pStyle w:val="15"/>
                    <w:rPr>
                      <w:color w:val="auto"/>
                    </w:rPr>
                  </w:pPr>
                  <w:r>
                    <w:rPr>
                      <w:rFonts w:hint="eastAsia"/>
                      <w:color w:val="auto"/>
                    </w:rPr>
                    <w:t>倾角：0º</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23</w:t>
                  </w:r>
                </w:p>
              </w:tc>
              <w:tc>
                <w:tcPr>
                  <w:tcW w:w="1764" w:type="dxa"/>
                  <w:vAlign w:val="center"/>
                </w:tcPr>
                <w:p>
                  <w:pPr>
                    <w:pStyle w:val="15"/>
                    <w:rPr>
                      <w:color w:val="auto"/>
                    </w:rPr>
                  </w:pPr>
                  <w:r>
                    <w:rPr>
                      <w:rFonts w:hint="eastAsia"/>
                      <w:color w:val="auto"/>
                    </w:rPr>
                    <w:t>热风炉</w:t>
                  </w:r>
                </w:p>
              </w:tc>
              <w:tc>
                <w:tcPr>
                  <w:tcW w:w="2620" w:type="dxa"/>
                </w:tcPr>
                <w:p>
                  <w:pPr>
                    <w:pStyle w:val="15"/>
                    <w:rPr>
                      <w:color w:val="auto"/>
                    </w:rPr>
                  </w:pPr>
                  <w:r>
                    <w:rPr>
                      <w:rFonts w:hint="eastAsia"/>
                      <w:color w:val="auto"/>
                    </w:rPr>
                    <w:t>TD75型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24</w:t>
                  </w:r>
                </w:p>
              </w:tc>
              <w:tc>
                <w:tcPr>
                  <w:tcW w:w="1764" w:type="dxa"/>
                </w:tcPr>
                <w:p>
                  <w:pPr>
                    <w:pStyle w:val="15"/>
                    <w:rPr>
                      <w:color w:val="auto"/>
                    </w:rPr>
                  </w:pPr>
                  <w:r>
                    <w:rPr>
                      <w:rFonts w:hint="eastAsia"/>
                      <w:color w:val="auto"/>
                    </w:rPr>
                    <w:t>烘干机</w:t>
                  </w:r>
                </w:p>
              </w:tc>
              <w:tc>
                <w:tcPr>
                  <w:tcW w:w="2620" w:type="dxa"/>
                </w:tcPr>
                <w:p>
                  <w:pPr>
                    <w:pStyle w:val="15"/>
                    <w:rPr>
                      <w:color w:val="auto"/>
                    </w:rPr>
                  </w:pPr>
                  <w:r>
                    <w:rPr>
                      <w:rFonts w:hint="eastAsia"/>
                      <w:color w:val="auto"/>
                    </w:rPr>
                    <w:t>宽度B800 ，0.6m/s</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25</w:t>
                  </w:r>
                </w:p>
              </w:tc>
              <w:tc>
                <w:tcPr>
                  <w:tcW w:w="1764" w:type="dxa"/>
                </w:tcPr>
                <w:p>
                  <w:pPr>
                    <w:pStyle w:val="15"/>
                    <w:rPr>
                      <w:color w:val="auto"/>
                      <w:lang w:val="zh-CN"/>
                    </w:rPr>
                  </w:pPr>
                  <w:r>
                    <w:rPr>
                      <w:rFonts w:hint="eastAsia"/>
                      <w:color w:val="auto"/>
                    </w:rPr>
                    <w:t>烘干料皮带机</w:t>
                  </w:r>
                </w:p>
              </w:tc>
              <w:tc>
                <w:tcPr>
                  <w:tcW w:w="2620" w:type="dxa"/>
                </w:tcPr>
                <w:p>
                  <w:pPr>
                    <w:pStyle w:val="15"/>
                    <w:rPr>
                      <w:color w:val="auto"/>
                    </w:rPr>
                  </w:pPr>
                  <w:r>
                    <w:rPr>
                      <w:rFonts w:hint="eastAsia"/>
                      <w:color w:val="auto"/>
                    </w:rPr>
                    <w:t>输送距离28000</w:t>
                  </w:r>
                </w:p>
              </w:tc>
              <w:tc>
                <w:tcPr>
                  <w:tcW w:w="977" w:type="dxa"/>
                  <w:vAlign w:val="center"/>
                </w:tcPr>
                <w:p>
                  <w:pPr>
                    <w:pStyle w:val="15"/>
                    <w:rPr>
                      <w:color w:val="auto"/>
                    </w:rPr>
                  </w:pPr>
                  <w:r>
                    <w:rPr>
                      <w:rFonts w:hint="eastAsia"/>
                      <w:color w:val="auto"/>
                    </w:rPr>
                    <w:t>1套</w:t>
                  </w:r>
                </w:p>
              </w:tc>
              <w:tc>
                <w:tcPr>
                  <w:tcW w:w="1071" w:type="dxa"/>
                  <w:vAlign w:val="center"/>
                </w:tcPr>
                <w:p>
                  <w:pPr>
                    <w:pStyle w:val="15"/>
                    <w:rPr>
                      <w:color w:val="auto"/>
                    </w:rPr>
                  </w:pPr>
                  <w:r>
                    <w:rPr>
                      <w:rFonts w:hint="eastAsia"/>
                      <w:color w:val="auto"/>
                    </w:rPr>
                    <w:t>1套</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26</w:t>
                  </w:r>
                </w:p>
              </w:tc>
              <w:tc>
                <w:tcPr>
                  <w:tcW w:w="1764" w:type="dxa"/>
                  <w:vAlign w:val="center"/>
                </w:tcPr>
                <w:p>
                  <w:pPr>
                    <w:pStyle w:val="15"/>
                    <w:rPr>
                      <w:color w:val="auto"/>
                      <w:lang w:val="zh-CN"/>
                    </w:rPr>
                  </w:pPr>
                  <w:r>
                    <w:rPr>
                      <w:rFonts w:hint="eastAsia"/>
                      <w:color w:val="auto"/>
                    </w:rPr>
                    <w:t>烘干风机</w:t>
                  </w:r>
                </w:p>
              </w:tc>
              <w:tc>
                <w:tcPr>
                  <w:tcW w:w="2620" w:type="dxa"/>
                </w:tcPr>
                <w:p>
                  <w:pPr>
                    <w:pStyle w:val="15"/>
                    <w:rPr>
                      <w:color w:val="auto"/>
                    </w:rPr>
                  </w:pPr>
                  <w:r>
                    <w:rPr>
                      <w:rFonts w:hint="eastAsia"/>
                      <w:color w:val="auto"/>
                    </w:rPr>
                    <w:t>倾角：19º</w:t>
                  </w:r>
                </w:p>
              </w:tc>
              <w:tc>
                <w:tcPr>
                  <w:tcW w:w="977" w:type="dxa"/>
                </w:tcPr>
                <w:p>
                  <w:pPr>
                    <w:pStyle w:val="15"/>
                    <w:rPr>
                      <w:color w:val="auto"/>
                    </w:rPr>
                  </w:pPr>
                  <w:r>
                    <w:rPr>
                      <w:rFonts w:hint="eastAsia"/>
                      <w:color w:val="auto"/>
                    </w:rPr>
                    <w:t>1台</w:t>
                  </w:r>
                </w:p>
              </w:tc>
              <w:tc>
                <w:tcPr>
                  <w:tcW w:w="1071" w:type="dxa"/>
                </w:tcPr>
                <w:p>
                  <w:pPr>
                    <w:pStyle w:val="15"/>
                    <w:rPr>
                      <w:color w:val="auto"/>
                    </w:rPr>
                  </w:pPr>
                  <w:r>
                    <w:rPr>
                      <w:rFonts w:hint="eastAsia"/>
                      <w:color w:val="auto"/>
                    </w:rPr>
                    <w:t>1台</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27</w:t>
                  </w:r>
                </w:p>
              </w:tc>
              <w:tc>
                <w:tcPr>
                  <w:tcW w:w="1764" w:type="dxa"/>
                </w:tcPr>
                <w:p>
                  <w:pPr>
                    <w:pStyle w:val="15"/>
                    <w:rPr>
                      <w:color w:val="auto"/>
                      <w:lang w:val="zh-CN"/>
                    </w:rPr>
                  </w:pPr>
                  <w:r>
                    <w:rPr>
                      <w:rFonts w:hint="eastAsia"/>
                      <w:color w:val="auto"/>
                    </w:rPr>
                    <w:t>冷却机</w:t>
                  </w:r>
                </w:p>
              </w:tc>
              <w:tc>
                <w:tcPr>
                  <w:tcW w:w="2620" w:type="dxa"/>
                </w:tcPr>
                <w:p>
                  <w:pPr>
                    <w:pStyle w:val="15"/>
                    <w:rPr>
                      <w:color w:val="auto"/>
                    </w:rPr>
                  </w:pPr>
                  <w:r>
                    <w:rPr>
                      <w:rFonts w:hint="eastAsia"/>
                      <w:color w:val="auto"/>
                    </w:rPr>
                    <w:t>2000X2000X1500</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28</w:t>
                  </w:r>
                </w:p>
              </w:tc>
              <w:tc>
                <w:tcPr>
                  <w:tcW w:w="1764" w:type="dxa"/>
                  <w:vAlign w:val="center"/>
                </w:tcPr>
                <w:p>
                  <w:pPr>
                    <w:pStyle w:val="15"/>
                    <w:rPr>
                      <w:color w:val="auto"/>
                    </w:rPr>
                  </w:pPr>
                  <w:r>
                    <w:rPr>
                      <w:rFonts w:hint="eastAsia"/>
                      <w:color w:val="auto"/>
                    </w:rPr>
                    <w:t>冷却收尘风机</w:t>
                  </w:r>
                </w:p>
              </w:tc>
              <w:tc>
                <w:tcPr>
                  <w:tcW w:w="2620" w:type="dxa"/>
                </w:tcPr>
                <w:p>
                  <w:pPr>
                    <w:pStyle w:val="15"/>
                    <w:rPr>
                      <w:color w:val="auto"/>
                    </w:rPr>
                  </w:pPr>
                  <w:r>
                    <w:rPr>
                      <w:rFonts w:hint="eastAsia"/>
                      <w:color w:val="auto"/>
                    </w:rPr>
                    <w:t>TD75型宽度11000</w:t>
                  </w:r>
                </w:p>
              </w:tc>
              <w:tc>
                <w:tcPr>
                  <w:tcW w:w="977" w:type="dxa"/>
                  <w:vAlign w:val="center"/>
                </w:tcPr>
                <w:p>
                  <w:pPr>
                    <w:pStyle w:val="15"/>
                    <w:rPr>
                      <w:color w:val="auto"/>
                    </w:rPr>
                  </w:pPr>
                  <w:r>
                    <w:rPr>
                      <w:rFonts w:hint="eastAsia"/>
                      <w:color w:val="auto"/>
                    </w:rPr>
                    <w:t>1套</w:t>
                  </w:r>
                </w:p>
              </w:tc>
              <w:tc>
                <w:tcPr>
                  <w:tcW w:w="1071" w:type="dxa"/>
                  <w:vAlign w:val="center"/>
                </w:tcPr>
                <w:p>
                  <w:pPr>
                    <w:pStyle w:val="15"/>
                    <w:rPr>
                      <w:color w:val="auto"/>
                      <w:lang w:val="zh-CN"/>
                    </w:rPr>
                  </w:pPr>
                  <w:r>
                    <w:rPr>
                      <w:rFonts w:hint="eastAsia"/>
                      <w:color w:val="auto"/>
                    </w:rPr>
                    <w:t>1套</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29</w:t>
                  </w:r>
                </w:p>
              </w:tc>
              <w:tc>
                <w:tcPr>
                  <w:tcW w:w="1764" w:type="dxa"/>
                </w:tcPr>
                <w:p>
                  <w:pPr>
                    <w:pStyle w:val="15"/>
                    <w:rPr>
                      <w:color w:val="auto"/>
                    </w:rPr>
                  </w:pPr>
                  <w:r>
                    <w:rPr>
                      <w:rFonts w:hint="eastAsia"/>
                      <w:color w:val="auto"/>
                    </w:rPr>
                    <w:t>粗分斗提机</w:t>
                  </w:r>
                </w:p>
              </w:tc>
              <w:tc>
                <w:tcPr>
                  <w:tcW w:w="2620" w:type="dxa"/>
                </w:tcPr>
                <w:p>
                  <w:pPr>
                    <w:pStyle w:val="15"/>
                    <w:rPr>
                      <w:color w:val="auto"/>
                    </w:rPr>
                  </w:pPr>
                  <w:r>
                    <w:rPr>
                      <w:rFonts w:hint="eastAsia"/>
                      <w:color w:val="auto"/>
                    </w:rPr>
                    <w:t>2.2X11</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30</w:t>
                  </w:r>
                </w:p>
              </w:tc>
              <w:tc>
                <w:tcPr>
                  <w:tcW w:w="1764" w:type="dxa"/>
                </w:tcPr>
                <w:p>
                  <w:pPr>
                    <w:pStyle w:val="15"/>
                    <w:rPr>
                      <w:color w:val="auto"/>
                    </w:rPr>
                  </w:pPr>
                  <w:r>
                    <w:rPr>
                      <w:rFonts w:hint="eastAsia"/>
                      <w:color w:val="auto"/>
                    </w:rPr>
                    <w:t>粗分振动筛</w:t>
                  </w:r>
                </w:p>
              </w:tc>
              <w:tc>
                <w:tcPr>
                  <w:tcW w:w="2620" w:type="dxa"/>
                </w:tcPr>
                <w:p>
                  <w:pPr>
                    <w:pStyle w:val="15"/>
                    <w:rPr>
                      <w:color w:val="auto"/>
                    </w:rPr>
                  </w:pPr>
                  <w:r>
                    <w:rPr>
                      <w:rFonts w:hint="eastAsia"/>
                      <w:color w:val="auto"/>
                    </w:rPr>
                    <w:t>TD75型带宽: B-6500mm</w:t>
                  </w:r>
                </w:p>
                <w:p>
                  <w:pPr>
                    <w:pStyle w:val="15"/>
                    <w:rPr>
                      <w:color w:val="auto"/>
                    </w:rPr>
                  </w:pPr>
                  <w:r>
                    <w:rPr>
                      <w:rFonts w:hint="eastAsia"/>
                      <w:color w:val="auto"/>
                    </w:rPr>
                    <w:t>输送距离：L=12000MM</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31</w:t>
                  </w:r>
                </w:p>
              </w:tc>
              <w:tc>
                <w:tcPr>
                  <w:tcW w:w="1764" w:type="dxa"/>
                </w:tcPr>
                <w:p>
                  <w:pPr>
                    <w:pStyle w:val="15"/>
                    <w:rPr>
                      <w:color w:val="auto"/>
                      <w:lang w:val="zh-CN"/>
                    </w:rPr>
                  </w:pPr>
                  <w:r>
                    <w:rPr>
                      <w:rFonts w:hint="eastAsia"/>
                      <w:color w:val="auto"/>
                    </w:rPr>
                    <w:t>细分斗提机</w:t>
                  </w:r>
                </w:p>
              </w:tc>
              <w:tc>
                <w:tcPr>
                  <w:tcW w:w="2620" w:type="dxa"/>
                  <w:vAlign w:val="center"/>
                </w:tcPr>
                <w:p>
                  <w:pPr>
                    <w:pStyle w:val="15"/>
                    <w:rPr>
                      <w:color w:val="auto"/>
                    </w:rPr>
                  </w:pPr>
                  <w:r>
                    <w:rPr>
                      <w:rFonts w:hint="eastAsia"/>
                      <w:color w:val="auto"/>
                    </w:rPr>
                    <w:t>ZYFL-2</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32</w:t>
                  </w:r>
                </w:p>
              </w:tc>
              <w:tc>
                <w:tcPr>
                  <w:tcW w:w="1764" w:type="dxa"/>
                </w:tcPr>
                <w:p>
                  <w:pPr>
                    <w:pStyle w:val="15"/>
                    <w:rPr>
                      <w:color w:val="auto"/>
                      <w:lang w:val="zh-CN"/>
                    </w:rPr>
                  </w:pPr>
                  <w:r>
                    <w:rPr>
                      <w:rFonts w:hint="eastAsia"/>
                      <w:color w:val="auto"/>
                    </w:rPr>
                    <w:t>1#成品振动筛</w:t>
                  </w:r>
                </w:p>
              </w:tc>
              <w:tc>
                <w:tcPr>
                  <w:tcW w:w="2620" w:type="dxa"/>
                </w:tcPr>
                <w:p>
                  <w:pPr>
                    <w:pStyle w:val="15"/>
                    <w:rPr>
                      <w:color w:val="auto"/>
                    </w:rPr>
                  </w:pPr>
                  <w:r>
                    <w:rPr>
                      <w:rFonts w:hint="eastAsia"/>
                      <w:color w:val="auto"/>
                    </w:rPr>
                    <w:t>2.6X26</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33</w:t>
                  </w:r>
                </w:p>
              </w:tc>
              <w:tc>
                <w:tcPr>
                  <w:tcW w:w="1764" w:type="dxa"/>
                </w:tcPr>
                <w:p>
                  <w:pPr>
                    <w:pStyle w:val="15"/>
                    <w:rPr>
                      <w:color w:val="auto"/>
                      <w:lang w:val="zh-CN"/>
                    </w:rPr>
                  </w:pPr>
                  <w:r>
                    <w:rPr>
                      <w:rFonts w:hint="eastAsia"/>
                      <w:color w:val="auto"/>
                    </w:rPr>
                    <w:t>包裹机</w:t>
                  </w:r>
                </w:p>
              </w:tc>
              <w:tc>
                <w:tcPr>
                  <w:tcW w:w="2620" w:type="dxa"/>
                </w:tcPr>
                <w:p>
                  <w:pPr>
                    <w:pStyle w:val="15"/>
                    <w:rPr>
                      <w:color w:val="auto"/>
                    </w:rPr>
                  </w:pPr>
                  <w:r>
                    <w:rPr>
                      <w:rFonts w:hint="eastAsia"/>
                      <w:color w:val="auto"/>
                    </w:rPr>
                    <w:t>TD75型B650L6</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34</w:t>
                  </w:r>
                </w:p>
              </w:tc>
              <w:tc>
                <w:tcPr>
                  <w:tcW w:w="1764" w:type="dxa"/>
                </w:tcPr>
                <w:p>
                  <w:pPr>
                    <w:pStyle w:val="15"/>
                    <w:rPr>
                      <w:color w:val="auto"/>
                      <w:lang w:val="zh-CN"/>
                    </w:rPr>
                  </w:pPr>
                  <w:r>
                    <w:rPr>
                      <w:rFonts w:hint="eastAsia"/>
                      <w:color w:val="auto"/>
                    </w:rPr>
                    <w:t>1#成品振动筛</w:t>
                  </w:r>
                </w:p>
              </w:tc>
              <w:tc>
                <w:tcPr>
                  <w:tcW w:w="2620" w:type="dxa"/>
                  <w:vAlign w:val="center"/>
                </w:tcPr>
                <w:p>
                  <w:pPr>
                    <w:pStyle w:val="15"/>
                    <w:rPr>
                      <w:color w:val="auto"/>
                    </w:rPr>
                  </w:pPr>
                  <w:r>
                    <w:rPr>
                      <w:rFonts w:hint="eastAsia"/>
                      <w:color w:val="auto"/>
                    </w:rPr>
                    <w:t>Y5-48-13.6D</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35</w:t>
                  </w:r>
                </w:p>
              </w:tc>
              <w:tc>
                <w:tcPr>
                  <w:tcW w:w="1764" w:type="dxa"/>
                  <w:vAlign w:val="center"/>
                </w:tcPr>
                <w:p>
                  <w:pPr>
                    <w:pStyle w:val="15"/>
                    <w:rPr>
                      <w:color w:val="auto"/>
                      <w:lang w:val="zh-CN"/>
                    </w:rPr>
                  </w:pPr>
                  <w:r>
                    <w:rPr>
                      <w:rFonts w:hint="eastAsia"/>
                      <w:color w:val="auto"/>
                    </w:rPr>
                    <w:t>成品计量皮带</w:t>
                  </w:r>
                </w:p>
              </w:tc>
              <w:tc>
                <w:tcPr>
                  <w:tcW w:w="2620" w:type="dxa"/>
                  <w:vAlign w:val="center"/>
                </w:tcPr>
                <w:p>
                  <w:pPr>
                    <w:pStyle w:val="15"/>
                    <w:rPr>
                      <w:color w:val="auto"/>
                    </w:rPr>
                  </w:pPr>
                  <w:r>
                    <w:rPr>
                      <w:rFonts w:hint="eastAsia"/>
                      <w:color w:val="auto"/>
                    </w:rPr>
                    <w:t>Φ1850X19000</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36</w:t>
                  </w:r>
                </w:p>
              </w:tc>
              <w:tc>
                <w:tcPr>
                  <w:tcW w:w="1764" w:type="dxa"/>
                  <w:vAlign w:val="center"/>
                </w:tcPr>
                <w:p>
                  <w:pPr>
                    <w:pStyle w:val="15"/>
                    <w:rPr>
                      <w:color w:val="auto"/>
                      <w:lang w:val="zh-CN"/>
                    </w:rPr>
                  </w:pPr>
                  <w:r>
                    <w:rPr>
                      <w:rFonts w:hint="eastAsia"/>
                      <w:color w:val="auto"/>
                    </w:rPr>
                    <w:t>成品散存提升机</w:t>
                  </w:r>
                </w:p>
              </w:tc>
              <w:tc>
                <w:tcPr>
                  <w:tcW w:w="2620" w:type="dxa"/>
                  <w:vAlign w:val="center"/>
                </w:tcPr>
                <w:p>
                  <w:pPr>
                    <w:pStyle w:val="15"/>
                    <w:rPr>
                      <w:color w:val="auto"/>
                    </w:rPr>
                  </w:pPr>
                  <w:r>
                    <w:rPr>
                      <w:rFonts w:hint="eastAsia"/>
                      <w:color w:val="auto"/>
                    </w:rPr>
                    <w:t>Y5-48-1OD</w:t>
                  </w:r>
                </w:p>
              </w:tc>
              <w:tc>
                <w:tcPr>
                  <w:tcW w:w="977" w:type="dxa"/>
                  <w:vAlign w:val="center"/>
                </w:tcPr>
                <w:p>
                  <w:pPr>
                    <w:pStyle w:val="15"/>
                    <w:rPr>
                      <w:color w:val="auto"/>
                    </w:rPr>
                  </w:pPr>
                  <w:r>
                    <w:rPr>
                      <w:rFonts w:hint="eastAsia"/>
                      <w:color w:val="auto"/>
                    </w:rPr>
                    <w:t>2</w:t>
                  </w:r>
                </w:p>
              </w:tc>
              <w:tc>
                <w:tcPr>
                  <w:tcW w:w="1071" w:type="dxa"/>
                  <w:vAlign w:val="center"/>
                </w:tcPr>
                <w:p>
                  <w:pPr>
                    <w:pStyle w:val="15"/>
                    <w:rPr>
                      <w:color w:val="auto"/>
                    </w:rPr>
                  </w:pPr>
                  <w:r>
                    <w:rPr>
                      <w:rFonts w:hint="eastAsia"/>
                      <w:color w:val="auto"/>
                    </w:rPr>
                    <w:t>2</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37</w:t>
                  </w:r>
                </w:p>
              </w:tc>
              <w:tc>
                <w:tcPr>
                  <w:tcW w:w="1764" w:type="dxa"/>
                  <w:vAlign w:val="center"/>
                </w:tcPr>
                <w:p>
                  <w:pPr>
                    <w:pStyle w:val="15"/>
                    <w:rPr>
                      <w:color w:val="auto"/>
                      <w:lang w:val="zh-CN"/>
                    </w:rPr>
                  </w:pPr>
                  <w:r>
                    <w:rPr>
                      <w:rFonts w:hint="eastAsia"/>
                      <w:color w:val="auto"/>
                    </w:rPr>
                    <w:t>1#粗返料皮带机</w:t>
                  </w:r>
                </w:p>
              </w:tc>
              <w:tc>
                <w:tcPr>
                  <w:tcW w:w="2620" w:type="dxa"/>
                </w:tcPr>
                <w:p>
                  <w:pPr>
                    <w:pStyle w:val="15"/>
                    <w:rPr>
                      <w:color w:val="auto"/>
                    </w:rPr>
                  </w:pPr>
                  <w:r>
                    <w:rPr>
                      <w:rFonts w:hint="eastAsia"/>
                      <w:color w:val="auto"/>
                    </w:rPr>
                    <w:t>TH500   H12</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38</w:t>
                  </w:r>
                </w:p>
              </w:tc>
              <w:tc>
                <w:tcPr>
                  <w:tcW w:w="1764" w:type="dxa"/>
                  <w:vAlign w:val="center"/>
                </w:tcPr>
                <w:p>
                  <w:pPr>
                    <w:pStyle w:val="15"/>
                    <w:rPr>
                      <w:color w:val="auto"/>
                    </w:rPr>
                  </w:pPr>
                  <w:r>
                    <w:rPr>
                      <w:rFonts w:hint="eastAsia"/>
                      <w:color w:val="auto"/>
                    </w:rPr>
                    <w:t>2#粗返料皮带机</w:t>
                  </w:r>
                </w:p>
              </w:tc>
              <w:tc>
                <w:tcPr>
                  <w:tcW w:w="2620" w:type="dxa"/>
                </w:tcPr>
                <w:p>
                  <w:pPr>
                    <w:pStyle w:val="15"/>
                    <w:rPr>
                      <w:color w:val="auto"/>
                    </w:rPr>
                  </w:pPr>
                  <w:r>
                    <w:rPr>
                      <w:rFonts w:hint="eastAsia"/>
                      <w:color w:val="auto"/>
                    </w:rPr>
                    <w:t>ISZZ-2400X6000</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39</w:t>
                  </w:r>
                </w:p>
              </w:tc>
              <w:tc>
                <w:tcPr>
                  <w:tcW w:w="1764" w:type="dxa"/>
                  <w:vAlign w:val="center"/>
                </w:tcPr>
                <w:p>
                  <w:pPr>
                    <w:pStyle w:val="15"/>
                    <w:rPr>
                      <w:color w:val="auto"/>
                    </w:rPr>
                  </w:pPr>
                  <w:r>
                    <w:rPr>
                      <w:rFonts w:hint="eastAsia"/>
                      <w:color w:val="auto"/>
                    </w:rPr>
                    <w:t>粗返料斗提机</w:t>
                  </w:r>
                </w:p>
              </w:tc>
              <w:tc>
                <w:tcPr>
                  <w:tcW w:w="2620" w:type="dxa"/>
                </w:tcPr>
                <w:p>
                  <w:pPr>
                    <w:pStyle w:val="15"/>
                    <w:rPr>
                      <w:color w:val="auto"/>
                    </w:rPr>
                  </w:pPr>
                  <w:r>
                    <w:rPr>
                      <w:rFonts w:hint="eastAsia"/>
                      <w:color w:val="auto"/>
                    </w:rPr>
                    <w:t>HL300  H11m</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rFonts w:hint="eastAsia"/>
                      <w:color w:val="auto"/>
                    </w:rPr>
                    <w:t>40</w:t>
                  </w:r>
                </w:p>
              </w:tc>
              <w:tc>
                <w:tcPr>
                  <w:tcW w:w="1764" w:type="dxa"/>
                  <w:vAlign w:val="center"/>
                </w:tcPr>
                <w:p>
                  <w:pPr>
                    <w:pStyle w:val="15"/>
                    <w:rPr>
                      <w:color w:val="auto"/>
                    </w:rPr>
                  </w:pPr>
                  <w:r>
                    <w:rPr>
                      <w:rFonts w:hint="eastAsia"/>
                      <w:color w:val="auto"/>
                    </w:rPr>
                    <w:t>粗返料破碎机A/B</w:t>
                  </w:r>
                </w:p>
              </w:tc>
              <w:tc>
                <w:tcPr>
                  <w:tcW w:w="2620" w:type="dxa"/>
                </w:tcPr>
                <w:p>
                  <w:pPr>
                    <w:pStyle w:val="15"/>
                    <w:rPr>
                      <w:color w:val="auto"/>
                    </w:rPr>
                  </w:pPr>
                  <w:r>
                    <w:rPr>
                      <w:rFonts w:hint="eastAsia"/>
                      <w:color w:val="auto"/>
                    </w:rPr>
                    <w:t>1.2X4.5</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rFonts w:hint="eastAsia"/>
                      <w:color w:val="auto"/>
                    </w:rPr>
                    <w:t>41</w:t>
                  </w:r>
                </w:p>
              </w:tc>
              <w:tc>
                <w:tcPr>
                  <w:tcW w:w="1764" w:type="dxa"/>
                  <w:vAlign w:val="center"/>
                </w:tcPr>
                <w:p>
                  <w:pPr>
                    <w:pStyle w:val="15"/>
                    <w:rPr>
                      <w:color w:val="auto"/>
                    </w:rPr>
                  </w:pPr>
                  <w:r>
                    <w:rPr>
                      <w:rFonts w:hint="eastAsia"/>
                      <w:color w:val="auto"/>
                    </w:rPr>
                    <w:t>破碎料皮带机</w:t>
                  </w:r>
                </w:p>
              </w:tc>
              <w:tc>
                <w:tcPr>
                  <w:tcW w:w="2620" w:type="dxa"/>
                </w:tcPr>
                <w:p>
                  <w:pPr>
                    <w:pStyle w:val="15"/>
                    <w:rPr>
                      <w:color w:val="auto"/>
                    </w:rPr>
                  </w:pPr>
                  <w:r>
                    <w:rPr>
                      <w:rFonts w:hint="eastAsia"/>
                      <w:color w:val="auto"/>
                    </w:rPr>
                    <w:t>Φ1.6X6</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rFonts w:hint="eastAsia"/>
                      <w:color w:val="auto"/>
                    </w:rPr>
                    <w:t>42</w:t>
                  </w:r>
                </w:p>
              </w:tc>
              <w:tc>
                <w:tcPr>
                  <w:tcW w:w="1764" w:type="dxa"/>
                  <w:vAlign w:val="center"/>
                </w:tcPr>
                <w:p>
                  <w:pPr>
                    <w:pStyle w:val="15"/>
                    <w:rPr>
                      <w:color w:val="auto"/>
                    </w:rPr>
                  </w:pPr>
                  <w:r>
                    <w:rPr>
                      <w:rFonts w:hint="eastAsia"/>
                      <w:color w:val="auto"/>
                    </w:rPr>
                    <w:t>破碎料提升机</w:t>
                  </w:r>
                </w:p>
              </w:tc>
              <w:tc>
                <w:tcPr>
                  <w:tcW w:w="2620" w:type="dxa"/>
                </w:tcPr>
                <w:p>
                  <w:pPr>
                    <w:pStyle w:val="15"/>
                    <w:rPr>
                      <w:color w:val="auto"/>
                    </w:rPr>
                  </w:pPr>
                  <w:r>
                    <w:rPr>
                      <w:rFonts w:hint="eastAsia"/>
                      <w:color w:val="auto"/>
                    </w:rPr>
                    <w:t>ISZZ-2100X4800</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rFonts w:hint="eastAsia"/>
                      <w:color w:val="auto"/>
                    </w:rPr>
                    <w:t>43</w:t>
                  </w:r>
                </w:p>
              </w:tc>
              <w:tc>
                <w:tcPr>
                  <w:tcW w:w="1764" w:type="dxa"/>
                  <w:vAlign w:val="center"/>
                </w:tcPr>
                <w:p>
                  <w:pPr>
                    <w:pStyle w:val="15"/>
                    <w:rPr>
                      <w:color w:val="auto"/>
                    </w:rPr>
                  </w:pPr>
                  <w:r>
                    <w:rPr>
                      <w:rFonts w:hint="eastAsia"/>
                      <w:color w:val="auto"/>
                    </w:rPr>
                    <w:t>自动包装称</w:t>
                  </w:r>
                </w:p>
              </w:tc>
              <w:tc>
                <w:tcPr>
                  <w:tcW w:w="2620" w:type="dxa"/>
                </w:tcPr>
                <w:p>
                  <w:pPr>
                    <w:pStyle w:val="15"/>
                    <w:rPr>
                      <w:color w:val="auto"/>
                    </w:rPr>
                  </w:pPr>
                  <w:r>
                    <w:rPr>
                      <w:rFonts w:hint="eastAsia"/>
                      <w:color w:val="auto"/>
                    </w:rPr>
                    <w:t>TD75型，倾角8ºB650,L=11m</w:t>
                  </w:r>
                </w:p>
              </w:tc>
              <w:tc>
                <w:tcPr>
                  <w:tcW w:w="977" w:type="dxa"/>
                  <w:vAlign w:val="center"/>
                </w:tcPr>
                <w:p>
                  <w:pPr>
                    <w:pStyle w:val="15"/>
                    <w:rPr>
                      <w:color w:val="auto"/>
                    </w:rPr>
                  </w:pPr>
                  <w:r>
                    <w:rPr>
                      <w:rFonts w:hint="eastAsia"/>
                      <w:color w:val="auto"/>
                    </w:rPr>
                    <w:t>1台</w:t>
                  </w:r>
                </w:p>
              </w:tc>
              <w:tc>
                <w:tcPr>
                  <w:tcW w:w="1071" w:type="dxa"/>
                  <w:vAlign w:val="center"/>
                </w:tcPr>
                <w:p>
                  <w:pPr>
                    <w:pStyle w:val="15"/>
                    <w:rPr>
                      <w:color w:val="auto"/>
                    </w:rPr>
                  </w:pPr>
                  <w:r>
                    <w:rPr>
                      <w:rFonts w:hint="eastAsia"/>
                      <w:color w:val="auto"/>
                    </w:rPr>
                    <w:t>1台</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rFonts w:hint="default" w:eastAsia="宋体"/>
                      <w:color w:val="auto"/>
                      <w:lang w:val="en-US" w:eastAsia="zh-CN"/>
                    </w:rPr>
                  </w:pPr>
                  <w:r>
                    <w:rPr>
                      <w:rFonts w:hint="eastAsia"/>
                      <w:color w:val="auto"/>
                      <w:lang w:val="en-US" w:eastAsia="zh-CN"/>
                    </w:rPr>
                    <w:t>44</w:t>
                  </w:r>
                </w:p>
              </w:tc>
              <w:tc>
                <w:tcPr>
                  <w:tcW w:w="1764" w:type="dxa"/>
                  <w:vAlign w:val="center"/>
                </w:tcPr>
                <w:p>
                  <w:pPr>
                    <w:pStyle w:val="15"/>
                    <w:rPr>
                      <w:rFonts w:hint="eastAsia" w:eastAsia="宋体"/>
                      <w:color w:val="auto"/>
                      <w:lang w:val="en-US" w:eastAsia="zh-CN"/>
                    </w:rPr>
                  </w:pPr>
                  <w:r>
                    <w:rPr>
                      <w:rFonts w:hint="eastAsia"/>
                      <w:color w:val="auto"/>
                      <w:lang w:val="en-US" w:eastAsia="zh-CN"/>
                    </w:rPr>
                    <w:t>锅炉</w:t>
                  </w:r>
                </w:p>
              </w:tc>
              <w:tc>
                <w:tcPr>
                  <w:tcW w:w="2620" w:type="dxa"/>
                </w:tcPr>
                <w:p>
                  <w:pPr>
                    <w:pStyle w:val="15"/>
                    <w:rPr>
                      <w:rFonts w:hint="eastAsia"/>
                      <w:color w:val="auto"/>
                    </w:rPr>
                  </w:pPr>
                  <w:r>
                    <w:rPr>
                      <w:rFonts w:hint="eastAsia"/>
                      <w:color w:val="auto"/>
                    </w:rPr>
                    <w:t>4t/h生物质锅炉</w:t>
                  </w:r>
                </w:p>
              </w:tc>
              <w:tc>
                <w:tcPr>
                  <w:tcW w:w="977" w:type="dxa"/>
                  <w:vAlign w:val="center"/>
                </w:tcPr>
                <w:p>
                  <w:pPr>
                    <w:pStyle w:val="15"/>
                    <w:rPr>
                      <w:rFonts w:hint="eastAsia"/>
                      <w:color w:val="auto"/>
                    </w:rPr>
                  </w:pPr>
                  <w:r>
                    <w:rPr>
                      <w:rFonts w:hint="eastAsia"/>
                      <w:color w:val="auto"/>
                    </w:rPr>
                    <w:t>1台</w:t>
                  </w:r>
                </w:p>
              </w:tc>
              <w:tc>
                <w:tcPr>
                  <w:tcW w:w="1071" w:type="dxa"/>
                  <w:vAlign w:val="center"/>
                </w:tcPr>
                <w:p>
                  <w:pPr>
                    <w:pStyle w:val="15"/>
                    <w:rPr>
                      <w:rFonts w:hint="eastAsia"/>
                      <w:color w:val="auto"/>
                    </w:rPr>
                  </w:pPr>
                  <w:r>
                    <w:rPr>
                      <w:rFonts w:hint="eastAsia"/>
                      <w:color w:val="auto"/>
                    </w:rPr>
                    <w:t>1台</w:t>
                  </w:r>
                </w:p>
              </w:tc>
              <w:tc>
                <w:tcPr>
                  <w:tcW w:w="1290" w:type="dxa"/>
                  <w:vAlign w:val="center"/>
                </w:tcPr>
                <w:p>
                  <w:pPr>
                    <w:pStyle w:val="15"/>
                    <w:rPr>
                      <w:rFonts w:hint="eastAsia"/>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377" w:type="dxa"/>
                  <w:gridSpan w:val="6"/>
                  <w:vAlign w:val="center"/>
                </w:tcPr>
                <w:p>
                  <w:pPr>
                    <w:pStyle w:val="15"/>
                    <w:rPr>
                      <w:color w:val="auto"/>
                    </w:rPr>
                  </w:pPr>
                  <w:r>
                    <w:rPr>
                      <w:rFonts w:hint="eastAsia"/>
                      <w:color w:val="auto"/>
                    </w:rPr>
                    <w:t>实验室主要实验设备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w:t>
                  </w:r>
                </w:p>
              </w:tc>
              <w:tc>
                <w:tcPr>
                  <w:tcW w:w="1764" w:type="dxa"/>
                  <w:vAlign w:val="center"/>
                </w:tcPr>
                <w:p>
                  <w:pPr>
                    <w:pStyle w:val="15"/>
                    <w:rPr>
                      <w:color w:val="auto"/>
                    </w:rPr>
                  </w:pPr>
                  <w:r>
                    <w:rPr>
                      <w:rFonts w:hint="eastAsia"/>
                      <w:color w:val="auto"/>
                    </w:rPr>
                    <w:t>真空干燥箱</w:t>
                  </w:r>
                </w:p>
              </w:tc>
              <w:tc>
                <w:tcPr>
                  <w:tcW w:w="2620" w:type="dxa"/>
                  <w:vAlign w:val="center"/>
                </w:tcPr>
                <w:p>
                  <w:pPr>
                    <w:pStyle w:val="15"/>
                    <w:rPr>
                      <w:color w:val="auto"/>
                    </w:rPr>
                  </w:pPr>
                  <w:r>
                    <w:rPr>
                      <w:rFonts w:hint="eastAsia"/>
                      <w:color w:val="auto"/>
                    </w:rPr>
                    <w:t>DZF-IB型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lang w:val="zh-CN"/>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2</w:t>
                  </w:r>
                </w:p>
              </w:tc>
              <w:tc>
                <w:tcPr>
                  <w:tcW w:w="1764" w:type="dxa"/>
                  <w:vAlign w:val="center"/>
                </w:tcPr>
                <w:p>
                  <w:pPr>
                    <w:pStyle w:val="15"/>
                    <w:rPr>
                      <w:color w:val="auto"/>
                    </w:rPr>
                  </w:pPr>
                  <w:r>
                    <w:rPr>
                      <w:rFonts w:hint="eastAsia"/>
                      <w:color w:val="auto"/>
                    </w:rPr>
                    <w:t>电热鼓风干燥箱</w:t>
                  </w:r>
                </w:p>
              </w:tc>
              <w:tc>
                <w:tcPr>
                  <w:tcW w:w="2620" w:type="dxa"/>
                  <w:vAlign w:val="center"/>
                </w:tcPr>
                <w:p>
                  <w:pPr>
                    <w:pStyle w:val="15"/>
                    <w:rPr>
                      <w:color w:val="auto"/>
                    </w:rPr>
                  </w:pPr>
                  <w:r>
                    <w:rPr>
                      <w:rFonts w:hint="eastAsia"/>
                      <w:color w:val="auto"/>
                    </w:rPr>
                    <w:t>DHG-9075A型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3</w:t>
                  </w:r>
                </w:p>
              </w:tc>
              <w:tc>
                <w:tcPr>
                  <w:tcW w:w="1764" w:type="dxa"/>
                  <w:vAlign w:val="center"/>
                </w:tcPr>
                <w:p>
                  <w:pPr>
                    <w:pStyle w:val="15"/>
                    <w:rPr>
                      <w:color w:val="auto"/>
                    </w:rPr>
                  </w:pPr>
                  <w:r>
                    <w:rPr>
                      <w:rFonts w:hint="eastAsia"/>
                      <w:color w:val="auto"/>
                    </w:rPr>
                    <w:t>陶瓷纤维马弗炉</w:t>
                  </w:r>
                </w:p>
              </w:tc>
              <w:tc>
                <w:tcPr>
                  <w:tcW w:w="2620" w:type="dxa"/>
                  <w:vAlign w:val="center"/>
                </w:tcPr>
                <w:p>
                  <w:pPr>
                    <w:pStyle w:val="15"/>
                    <w:rPr>
                      <w:color w:val="auto"/>
                    </w:rPr>
                  </w:pPr>
                  <w:r>
                    <w:rPr>
                      <w:rFonts w:hint="eastAsia"/>
                      <w:color w:val="auto"/>
                    </w:rPr>
                    <w:t>2.5-10T型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4</w:t>
                  </w:r>
                </w:p>
              </w:tc>
              <w:tc>
                <w:tcPr>
                  <w:tcW w:w="1764" w:type="dxa"/>
                  <w:vAlign w:val="center"/>
                </w:tcPr>
                <w:p>
                  <w:pPr>
                    <w:pStyle w:val="15"/>
                    <w:rPr>
                      <w:color w:val="auto"/>
                    </w:rPr>
                  </w:pPr>
                  <w:r>
                    <w:rPr>
                      <w:rFonts w:hint="eastAsia"/>
                      <w:color w:val="auto"/>
                    </w:rPr>
                    <w:t>台式干燥箱</w:t>
                  </w:r>
                </w:p>
              </w:tc>
              <w:tc>
                <w:tcPr>
                  <w:tcW w:w="2620" w:type="dxa"/>
                  <w:vAlign w:val="center"/>
                </w:tcPr>
                <w:p>
                  <w:pPr>
                    <w:pStyle w:val="15"/>
                    <w:rPr>
                      <w:color w:val="auto"/>
                    </w:rPr>
                  </w:pPr>
                  <w:r>
                    <w:rPr>
                      <w:rFonts w:hint="eastAsia"/>
                      <w:color w:val="auto"/>
                    </w:rPr>
                    <w:t>202-OBS型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5</w:t>
                  </w:r>
                </w:p>
              </w:tc>
              <w:tc>
                <w:tcPr>
                  <w:tcW w:w="1764" w:type="dxa"/>
                  <w:vAlign w:val="center"/>
                </w:tcPr>
                <w:p>
                  <w:pPr>
                    <w:pStyle w:val="15"/>
                    <w:rPr>
                      <w:color w:val="auto"/>
                    </w:rPr>
                  </w:pPr>
                  <w:r>
                    <w:rPr>
                      <w:rFonts w:hint="eastAsia"/>
                      <w:color w:val="auto"/>
                    </w:rPr>
                    <w:t>台式干燥箱</w:t>
                  </w:r>
                </w:p>
              </w:tc>
              <w:tc>
                <w:tcPr>
                  <w:tcW w:w="2620" w:type="dxa"/>
                  <w:vAlign w:val="center"/>
                </w:tcPr>
                <w:p>
                  <w:pPr>
                    <w:pStyle w:val="15"/>
                    <w:rPr>
                      <w:color w:val="auto"/>
                    </w:rPr>
                  </w:pPr>
                  <w:r>
                    <w:rPr>
                      <w:rFonts w:hint="eastAsia"/>
                      <w:color w:val="auto"/>
                    </w:rPr>
                    <w:t>202-0型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6</w:t>
                  </w:r>
                </w:p>
              </w:tc>
              <w:tc>
                <w:tcPr>
                  <w:tcW w:w="1764" w:type="dxa"/>
                  <w:vAlign w:val="center"/>
                </w:tcPr>
                <w:p>
                  <w:pPr>
                    <w:pStyle w:val="15"/>
                    <w:rPr>
                      <w:color w:val="auto"/>
                    </w:rPr>
                  </w:pPr>
                  <w:r>
                    <w:rPr>
                      <w:rFonts w:hint="eastAsia"/>
                      <w:color w:val="auto"/>
                    </w:rPr>
                    <w:t>原子荧光光度计</w:t>
                  </w:r>
                </w:p>
              </w:tc>
              <w:tc>
                <w:tcPr>
                  <w:tcW w:w="2620" w:type="dxa"/>
                  <w:vAlign w:val="center"/>
                </w:tcPr>
                <w:p>
                  <w:pPr>
                    <w:pStyle w:val="15"/>
                    <w:rPr>
                      <w:color w:val="auto"/>
                    </w:rPr>
                  </w:pPr>
                  <w:r>
                    <w:rPr>
                      <w:rFonts w:hint="eastAsia"/>
                      <w:color w:val="auto"/>
                    </w:rPr>
                    <w:t>AFS-8530型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7</w:t>
                  </w:r>
                </w:p>
              </w:tc>
              <w:tc>
                <w:tcPr>
                  <w:tcW w:w="1764" w:type="dxa"/>
                  <w:vAlign w:val="center"/>
                </w:tcPr>
                <w:p>
                  <w:pPr>
                    <w:pStyle w:val="15"/>
                    <w:rPr>
                      <w:color w:val="auto"/>
                    </w:rPr>
                  </w:pPr>
                  <w:r>
                    <w:rPr>
                      <w:rFonts w:hint="eastAsia"/>
                      <w:color w:val="auto"/>
                    </w:rPr>
                    <w:t>电热鼓风干燥箱</w:t>
                  </w:r>
                </w:p>
              </w:tc>
              <w:tc>
                <w:tcPr>
                  <w:tcW w:w="2620" w:type="dxa"/>
                  <w:vAlign w:val="center"/>
                </w:tcPr>
                <w:p>
                  <w:pPr>
                    <w:pStyle w:val="15"/>
                    <w:rPr>
                      <w:color w:val="auto"/>
                    </w:rPr>
                  </w:pPr>
                  <w:r>
                    <w:rPr>
                      <w:rFonts w:hint="eastAsia"/>
                      <w:color w:val="auto"/>
                    </w:rPr>
                    <w:t>101A-1E</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8</w:t>
                  </w:r>
                </w:p>
              </w:tc>
              <w:tc>
                <w:tcPr>
                  <w:tcW w:w="1764" w:type="dxa"/>
                  <w:vAlign w:val="center"/>
                </w:tcPr>
                <w:p>
                  <w:pPr>
                    <w:pStyle w:val="15"/>
                    <w:rPr>
                      <w:color w:val="auto"/>
                    </w:rPr>
                  </w:pPr>
                  <w:r>
                    <w:rPr>
                      <w:rFonts w:hint="eastAsia"/>
                      <w:color w:val="auto"/>
                    </w:rPr>
                    <w:t>火焰原子吸收分光光度计</w:t>
                  </w:r>
                </w:p>
              </w:tc>
              <w:tc>
                <w:tcPr>
                  <w:tcW w:w="2620" w:type="dxa"/>
                  <w:vAlign w:val="center"/>
                </w:tcPr>
                <w:p>
                  <w:pPr>
                    <w:pStyle w:val="15"/>
                    <w:rPr>
                      <w:color w:val="auto"/>
                    </w:rPr>
                  </w:pPr>
                  <w:r>
                    <w:rPr>
                      <w:rFonts w:hint="eastAsia"/>
                      <w:color w:val="auto"/>
                    </w:rPr>
                    <w:t>iCE 3000型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9</w:t>
                  </w:r>
                </w:p>
              </w:tc>
              <w:tc>
                <w:tcPr>
                  <w:tcW w:w="1764" w:type="dxa"/>
                  <w:vAlign w:val="center"/>
                </w:tcPr>
                <w:p>
                  <w:pPr>
                    <w:pStyle w:val="15"/>
                    <w:rPr>
                      <w:color w:val="auto"/>
                    </w:rPr>
                  </w:pPr>
                  <w:r>
                    <w:rPr>
                      <w:rFonts w:hint="eastAsia"/>
                      <w:color w:val="auto"/>
                    </w:rPr>
                    <w:t>分光光度计</w:t>
                  </w:r>
                </w:p>
              </w:tc>
              <w:tc>
                <w:tcPr>
                  <w:tcW w:w="2620" w:type="dxa"/>
                  <w:vAlign w:val="center"/>
                </w:tcPr>
                <w:p>
                  <w:pPr>
                    <w:pStyle w:val="15"/>
                    <w:rPr>
                      <w:color w:val="auto"/>
                    </w:rPr>
                  </w:pPr>
                  <w:r>
                    <w:rPr>
                      <w:rFonts w:hint="eastAsia"/>
                      <w:color w:val="auto"/>
                    </w:rPr>
                    <w:t>721型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10</w:t>
                  </w:r>
                </w:p>
              </w:tc>
              <w:tc>
                <w:tcPr>
                  <w:tcW w:w="1764" w:type="dxa"/>
                  <w:vAlign w:val="center"/>
                </w:tcPr>
                <w:p>
                  <w:pPr>
                    <w:pStyle w:val="15"/>
                    <w:rPr>
                      <w:color w:val="auto"/>
                    </w:rPr>
                  </w:pPr>
                  <w:r>
                    <w:rPr>
                      <w:rFonts w:hint="eastAsia"/>
                      <w:color w:val="auto"/>
                    </w:rPr>
                    <w:t>电子天平</w:t>
                  </w:r>
                </w:p>
              </w:tc>
              <w:tc>
                <w:tcPr>
                  <w:tcW w:w="2620" w:type="dxa"/>
                  <w:vAlign w:val="center"/>
                </w:tcPr>
                <w:p>
                  <w:pPr>
                    <w:pStyle w:val="15"/>
                    <w:rPr>
                      <w:color w:val="auto"/>
                    </w:rPr>
                  </w:pPr>
                  <w:r>
                    <w:rPr>
                      <w:rFonts w:hint="eastAsia"/>
                      <w:color w:val="auto"/>
                    </w:rPr>
                    <w:t>AL204型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11</w:t>
                  </w:r>
                </w:p>
              </w:tc>
              <w:tc>
                <w:tcPr>
                  <w:tcW w:w="1764" w:type="dxa"/>
                  <w:vAlign w:val="center"/>
                </w:tcPr>
                <w:p>
                  <w:pPr>
                    <w:pStyle w:val="15"/>
                    <w:rPr>
                      <w:color w:val="auto"/>
                    </w:rPr>
                  </w:pPr>
                  <w:r>
                    <w:rPr>
                      <w:rFonts w:hint="eastAsia"/>
                      <w:color w:val="auto"/>
                    </w:rPr>
                    <w:t>水浴恒温振荡器</w:t>
                  </w:r>
                </w:p>
              </w:tc>
              <w:tc>
                <w:tcPr>
                  <w:tcW w:w="2620" w:type="dxa"/>
                  <w:vAlign w:val="center"/>
                </w:tcPr>
                <w:p>
                  <w:pPr>
                    <w:pStyle w:val="15"/>
                    <w:rPr>
                      <w:color w:val="auto"/>
                    </w:rPr>
                  </w:pPr>
                  <w:r>
                    <w:rPr>
                      <w:rFonts w:hint="eastAsia"/>
                      <w:color w:val="auto"/>
                    </w:rPr>
                    <w:t>SHZ-88型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12</w:t>
                  </w:r>
                </w:p>
              </w:tc>
              <w:tc>
                <w:tcPr>
                  <w:tcW w:w="1764" w:type="dxa"/>
                  <w:vAlign w:val="center"/>
                </w:tcPr>
                <w:p>
                  <w:pPr>
                    <w:pStyle w:val="15"/>
                    <w:rPr>
                      <w:color w:val="auto"/>
                    </w:rPr>
                  </w:pPr>
                  <w:r>
                    <w:rPr>
                      <w:rFonts w:hint="eastAsia"/>
                      <w:color w:val="auto"/>
                    </w:rPr>
                    <w:t>数显恒温水浴锅</w:t>
                  </w:r>
                </w:p>
              </w:tc>
              <w:tc>
                <w:tcPr>
                  <w:tcW w:w="2620" w:type="dxa"/>
                  <w:vAlign w:val="center"/>
                </w:tcPr>
                <w:p>
                  <w:pPr>
                    <w:pStyle w:val="15"/>
                    <w:rPr>
                      <w:color w:val="auto"/>
                    </w:rPr>
                  </w:pPr>
                  <w:r>
                    <w:rPr>
                      <w:rFonts w:hint="eastAsia"/>
                      <w:color w:val="auto"/>
                    </w:rPr>
                    <w:t>HH-S4型</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55" w:type="dxa"/>
                  <w:vAlign w:val="center"/>
                </w:tcPr>
                <w:p>
                  <w:pPr>
                    <w:pStyle w:val="15"/>
                    <w:rPr>
                      <w:color w:val="auto"/>
                    </w:rPr>
                  </w:pPr>
                  <w:r>
                    <w:rPr>
                      <w:color w:val="auto"/>
                    </w:rPr>
                    <w:t>13</w:t>
                  </w:r>
                </w:p>
              </w:tc>
              <w:tc>
                <w:tcPr>
                  <w:tcW w:w="1764" w:type="dxa"/>
                  <w:vAlign w:val="center"/>
                </w:tcPr>
                <w:p>
                  <w:pPr>
                    <w:pStyle w:val="15"/>
                    <w:rPr>
                      <w:color w:val="auto"/>
                    </w:rPr>
                  </w:pPr>
                  <w:r>
                    <w:rPr>
                      <w:rFonts w:hint="eastAsia"/>
                      <w:color w:val="auto"/>
                    </w:rPr>
                    <w:t>PH酸度计</w:t>
                  </w:r>
                </w:p>
              </w:tc>
              <w:tc>
                <w:tcPr>
                  <w:tcW w:w="2620" w:type="dxa"/>
                  <w:vAlign w:val="center"/>
                </w:tcPr>
                <w:p>
                  <w:pPr>
                    <w:pStyle w:val="15"/>
                    <w:rPr>
                      <w:color w:val="auto"/>
                    </w:rPr>
                  </w:pPr>
                  <w:r>
                    <w:rPr>
                      <w:rFonts w:hint="eastAsia"/>
                      <w:color w:val="auto"/>
                    </w:rPr>
                    <w:t>FiveEasy Plus</w:t>
                  </w:r>
                </w:p>
              </w:tc>
              <w:tc>
                <w:tcPr>
                  <w:tcW w:w="977" w:type="dxa"/>
                  <w:vAlign w:val="center"/>
                </w:tcPr>
                <w:p>
                  <w:pPr>
                    <w:pStyle w:val="15"/>
                    <w:rPr>
                      <w:color w:val="auto"/>
                    </w:rPr>
                  </w:pPr>
                  <w:r>
                    <w:rPr>
                      <w:rFonts w:hint="eastAsia"/>
                      <w:color w:val="auto"/>
                    </w:rPr>
                    <w:t>1</w:t>
                  </w:r>
                </w:p>
              </w:tc>
              <w:tc>
                <w:tcPr>
                  <w:tcW w:w="1071" w:type="dxa"/>
                  <w:vAlign w:val="center"/>
                </w:tcPr>
                <w:p>
                  <w:pPr>
                    <w:pStyle w:val="15"/>
                    <w:rPr>
                      <w:color w:val="auto"/>
                    </w:rPr>
                  </w:pPr>
                  <w:r>
                    <w:rPr>
                      <w:rFonts w:hint="eastAsia"/>
                      <w:color w:val="auto"/>
                    </w:rPr>
                    <w:t>1</w:t>
                  </w:r>
                </w:p>
              </w:tc>
              <w:tc>
                <w:tcPr>
                  <w:tcW w:w="1290" w:type="dxa"/>
                  <w:vAlign w:val="center"/>
                </w:tcPr>
                <w:p>
                  <w:pPr>
                    <w:pStyle w:val="15"/>
                    <w:rPr>
                      <w:color w:val="auto"/>
                    </w:rPr>
                  </w:pPr>
                  <w:r>
                    <w:rPr>
                      <w:rFonts w:hint="eastAsia"/>
                      <w:color w:val="auto"/>
                    </w:rPr>
                    <w:t>0</w:t>
                  </w:r>
                </w:p>
              </w:tc>
            </w:tr>
          </w:tbl>
          <w:p>
            <w:pPr>
              <w:ind w:firstLine="0" w:firstLineChars="0"/>
              <w:rPr>
                <w:color w:val="auto"/>
              </w:rPr>
            </w:pPr>
            <w:r>
              <w:rPr>
                <w:rFonts w:hint="eastAsia"/>
                <w:color w:val="auto"/>
              </w:rPr>
              <w:t>6、公用工程</w:t>
            </w:r>
          </w:p>
          <w:p>
            <w:pPr>
              <w:ind w:firstLine="480"/>
              <w:rPr>
                <w:color w:val="auto"/>
              </w:rPr>
            </w:pPr>
            <w:r>
              <w:rPr>
                <w:rFonts w:hint="eastAsia"/>
                <w:color w:val="auto"/>
              </w:rPr>
              <w:t>（1）供电</w:t>
            </w:r>
          </w:p>
          <w:p>
            <w:pPr>
              <w:ind w:firstLine="480"/>
              <w:rPr>
                <w:color w:val="auto"/>
              </w:rPr>
            </w:pPr>
            <w:r>
              <w:rPr>
                <w:rFonts w:hint="eastAsia"/>
                <w:color w:val="auto"/>
              </w:rPr>
              <w:t>本项目供电由市政供电网提供。</w:t>
            </w:r>
          </w:p>
          <w:p>
            <w:pPr>
              <w:ind w:firstLine="480"/>
              <w:rPr>
                <w:color w:val="auto"/>
              </w:rPr>
            </w:pPr>
            <w:r>
              <w:rPr>
                <w:rFonts w:hint="eastAsia"/>
                <w:color w:val="auto"/>
              </w:rPr>
              <w:t>（2）给水</w:t>
            </w:r>
          </w:p>
          <w:p>
            <w:pPr>
              <w:ind w:firstLine="480"/>
              <w:rPr>
                <w:color w:val="auto"/>
              </w:rPr>
            </w:pPr>
            <w:r>
              <w:rPr>
                <w:rFonts w:hint="eastAsia"/>
                <w:color w:val="auto"/>
              </w:rPr>
              <w:t>本项目给水由市政供水管网提供。改建项目不涉及用水环节。</w:t>
            </w:r>
          </w:p>
          <w:p>
            <w:pPr>
              <w:ind w:firstLine="480"/>
              <w:rPr>
                <w:color w:val="auto"/>
              </w:rPr>
            </w:pPr>
            <w:r>
              <w:rPr>
                <w:rFonts w:hint="eastAsia"/>
                <w:color w:val="auto"/>
              </w:rPr>
              <w:t>（3）排水</w:t>
            </w:r>
          </w:p>
          <w:p>
            <w:pPr>
              <w:ind w:firstLine="480"/>
              <w:rPr>
                <w:color w:val="auto"/>
              </w:rPr>
            </w:pPr>
            <w:r>
              <w:rPr>
                <w:rFonts w:hint="eastAsia"/>
                <w:color w:val="auto"/>
              </w:rPr>
              <w:t>项目排水依托现有工程，雨季厂区内收集初期雨水由初期雨水收集池收集，收集后用于</w:t>
            </w:r>
            <w:r>
              <w:rPr>
                <w:rFonts w:hint="eastAsia"/>
                <w:color w:val="auto"/>
                <w:lang w:val="en-US" w:eastAsia="zh-CN"/>
              </w:rPr>
              <w:t>现有项目</w:t>
            </w:r>
            <w:r>
              <w:rPr>
                <w:rFonts w:hint="eastAsia"/>
                <w:color w:val="auto"/>
              </w:rPr>
              <w:t>原料堆场洒水降尘用水，不外排。</w:t>
            </w:r>
          </w:p>
          <w:p>
            <w:pPr>
              <w:ind w:firstLine="0" w:firstLineChars="0"/>
              <w:rPr>
                <w:color w:val="auto"/>
              </w:rPr>
            </w:pPr>
            <w:r>
              <w:rPr>
                <w:rFonts w:hint="eastAsia"/>
                <w:color w:val="auto"/>
              </w:rPr>
              <w:t>7、</w:t>
            </w:r>
            <w:r>
              <w:rPr>
                <w:color w:val="auto"/>
              </w:rPr>
              <w:t>工作制度</w:t>
            </w:r>
            <w:r>
              <w:rPr>
                <w:rFonts w:hint="eastAsia"/>
                <w:color w:val="auto"/>
              </w:rPr>
              <w:t>及劳动定员</w:t>
            </w:r>
          </w:p>
          <w:p>
            <w:pPr>
              <w:ind w:firstLine="480"/>
              <w:rPr>
                <w:color w:val="auto"/>
              </w:rPr>
            </w:pPr>
            <w:r>
              <w:rPr>
                <w:rFonts w:hint="eastAsia"/>
                <w:color w:val="auto"/>
              </w:rPr>
              <w:t>改建项目不新增劳动定员，劳动制度及劳动定员与现有项目一致，现有项目共有劳动定员15人，年运行300天，每天运行24小时，实行3班制，每班8小时</w:t>
            </w:r>
            <w:r>
              <w:rPr>
                <w:color w:val="auto"/>
              </w:rPr>
              <w:t>。</w:t>
            </w:r>
          </w:p>
          <w:p>
            <w:pPr>
              <w:ind w:firstLine="0" w:firstLineChars="0"/>
              <w:rPr>
                <w:color w:val="auto"/>
              </w:rPr>
            </w:pPr>
            <w:r>
              <w:rPr>
                <w:rFonts w:hint="eastAsia"/>
                <w:color w:val="auto"/>
              </w:rPr>
              <w:t>8、物料平衡</w:t>
            </w:r>
          </w:p>
          <w:p>
            <w:pPr>
              <w:ind w:firstLine="480"/>
              <w:rPr>
                <w:color w:val="auto"/>
              </w:rPr>
            </w:pPr>
            <w:r>
              <w:rPr>
                <w:rFonts w:hint="eastAsia"/>
                <w:color w:val="auto"/>
              </w:rPr>
              <w:t>根据项目进出物料，物料平衡表见下表。</w:t>
            </w:r>
          </w:p>
          <w:p>
            <w:pPr>
              <w:pStyle w:val="14"/>
              <w:rPr>
                <w:color w:val="auto"/>
              </w:rPr>
            </w:pPr>
            <w:r>
              <w:rPr>
                <w:rFonts w:hint="eastAsia"/>
                <w:color w:val="auto"/>
              </w:rPr>
              <w:t>表2-</w:t>
            </w:r>
            <w:r>
              <w:rPr>
                <w:rFonts w:hint="eastAsia"/>
                <w:color w:val="auto"/>
                <w:lang w:val="en-US" w:eastAsia="zh-CN"/>
              </w:rPr>
              <w:t>13</w:t>
            </w:r>
            <w:r>
              <w:rPr>
                <w:rFonts w:hint="eastAsia"/>
                <w:color w:val="auto"/>
              </w:rPr>
              <w:t xml:space="preserve">  物料平衡表</w:t>
            </w:r>
          </w:p>
          <w:tbl>
            <w:tblPr>
              <w:tblStyle w:val="11"/>
              <w:tblW w:w="8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163"/>
              <w:gridCol w:w="1094"/>
              <w:gridCol w:w="697"/>
              <w:gridCol w:w="1472"/>
              <w:gridCol w:w="1265"/>
              <w:gridCol w:w="1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6" w:type="dxa"/>
                  <w:vMerge w:val="restart"/>
                  <w:vAlign w:val="center"/>
                </w:tcPr>
                <w:p>
                  <w:pPr>
                    <w:pStyle w:val="15"/>
                    <w:rPr>
                      <w:color w:val="auto"/>
                    </w:rPr>
                  </w:pPr>
                  <w:r>
                    <w:rPr>
                      <w:color w:val="auto"/>
                    </w:rPr>
                    <w:t>序号</w:t>
                  </w:r>
                </w:p>
              </w:tc>
              <w:tc>
                <w:tcPr>
                  <w:tcW w:w="2257" w:type="dxa"/>
                  <w:gridSpan w:val="2"/>
                  <w:vAlign w:val="center"/>
                </w:tcPr>
                <w:p>
                  <w:pPr>
                    <w:pStyle w:val="15"/>
                    <w:rPr>
                      <w:color w:val="auto"/>
                    </w:rPr>
                  </w:pPr>
                  <w:r>
                    <w:rPr>
                      <w:color w:val="auto"/>
                    </w:rPr>
                    <w:t>输入（使用）</w:t>
                  </w:r>
                </w:p>
              </w:tc>
              <w:tc>
                <w:tcPr>
                  <w:tcW w:w="697" w:type="dxa"/>
                  <w:vMerge w:val="restart"/>
                  <w:vAlign w:val="center"/>
                </w:tcPr>
                <w:p>
                  <w:pPr>
                    <w:pStyle w:val="15"/>
                    <w:rPr>
                      <w:color w:val="auto"/>
                    </w:rPr>
                  </w:pPr>
                  <w:r>
                    <w:rPr>
                      <w:color w:val="auto"/>
                    </w:rPr>
                    <w:t>备注</w:t>
                  </w:r>
                </w:p>
              </w:tc>
              <w:tc>
                <w:tcPr>
                  <w:tcW w:w="2737" w:type="dxa"/>
                  <w:gridSpan w:val="2"/>
                  <w:vAlign w:val="center"/>
                </w:tcPr>
                <w:p>
                  <w:pPr>
                    <w:pStyle w:val="15"/>
                    <w:rPr>
                      <w:color w:val="auto"/>
                    </w:rPr>
                  </w:pPr>
                  <w:r>
                    <w:rPr>
                      <w:color w:val="auto"/>
                    </w:rPr>
                    <w:t>输出（产生）</w:t>
                  </w:r>
                </w:p>
              </w:tc>
              <w:tc>
                <w:tcPr>
                  <w:tcW w:w="1970" w:type="dxa"/>
                  <w:vMerge w:val="restart"/>
                  <w:vAlign w:val="center"/>
                </w:tcPr>
                <w:p>
                  <w:pPr>
                    <w:pStyle w:val="15"/>
                    <w:rPr>
                      <w:color w:val="auto"/>
                    </w:rPr>
                  </w:pPr>
                  <w:r>
                    <w:rPr>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6" w:type="dxa"/>
                  <w:vMerge w:val="continue"/>
                  <w:vAlign w:val="center"/>
                </w:tcPr>
                <w:p>
                  <w:pPr>
                    <w:pStyle w:val="15"/>
                    <w:rPr>
                      <w:color w:val="auto"/>
                    </w:rPr>
                  </w:pPr>
                </w:p>
              </w:tc>
              <w:tc>
                <w:tcPr>
                  <w:tcW w:w="1163" w:type="dxa"/>
                  <w:vAlign w:val="center"/>
                </w:tcPr>
                <w:p>
                  <w:pPr>
                    <w:pStyle w:val="15"/>
                    <w:rPr>
                      <w:color w:val="auto"/>
                    </w:rPr>
                  </w:pPr>
                  <w:r>
                    <w:rPr>
                      <w:color w:val="auto"/>
                    </w:rPr>
                    <w:t>输入环节</w:t>
                  </w:r>
                </w:p>
              </w:tc>
              <w:tc>
                <w:tcPr>
                  <w:tcW w:w="1094" w:type="dxa"/>
                  <w:vAlign w:val="center"/>
                </w:tcPr>
                <w:p>
                  <w:pPr>
                    <w:pStyle w:val="15"/>
                    <w:rPr>
                      <w:color w:val="auto"/>
                    </w:rPr>
                  </w:pPr>
                  <w:r>
                    <w:rPr>
                      <w:color w:val="auto"/>
                    </w:rPr>
                    <w:t>使用量(t)</w:t>
                  </w:r>
                </w:p>
              </w:tc>
              <w:tc>
                <w:tcPr>
                  <w:tcW w:w="697" w:type="dxa"/>
                  <w:vMerge w:val="continue"/>
                  <w:vAlign w:val="center"/>
                </w:tcPr>
                <w:p>
                  <w:pPr>
                    <w:pStyle w:val="15"/>
                    <w:rPr>
                      <w:color w:val="auto"/>
                    </w:rPr>
                  </w:pPr>
                </w:p>
              </w:tc>
              <w:tc>
                <w:tcPr>
                  <w:tcW w:w="1472" w:type="dxa"/>
                  <w:vAlign w:val="center"/>
                </w:tcPr>
                <w:p>
                  <w:pPr>
                    <w:pStyle w:val="15"/>
                    <w:rPr>
                      <w:color w:val="auto"/>
                    </w:rPr>
                  </w:pPr>
                  <w:r>
                    <w:rPr>
                      <w:color w:val="auto"/>
                    </w:rPr>
                    <w:t>输出环节</w:t>
                  </w:r>
                </w:p>
              </w:tc>
              <w:tc>
                <w:tcPr>
                  <w:tcW w:w="1265" w:type="dxa"/>
                  <w:vAlign w:val="center"/>
                </w:tcPr>
                <w:p>
                  <w:pPr>
                    <w:pStyle w:val="15"/>
                    <w:rPr>
                      <w:color w:val="auto"/>
                    </w:rPr>
                  </w:pPr>
                  <w:r>
                    <w:rPr>
                      <w:color w:val="auto"/>
                    </w:rPr>
                    <w:t>产生量（t）</w:t>
                  </w:r>
                </w:p>
              </w:tc>
              <w:tc>
                <w:tcPr>
                  <w:tcW w:w="1970"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6" w:type="dxa"/>
                  <w:vAlign w:val="center"/>
                </w:tcPr>
                <w:p>
                  <w:pPr>
                    <w:pStyle w:val="15"/>
                    <w:rPr>
                      <w:color w:val="auto"/>
                    </w:rPr>
                  </w:pPr>
                  <w:r>
                    <w:rPr>
                      <w:color w:val="auto"/>
                    </w:rPr>
                    <w:t>1</w:t>
                  </w:r>
                </w:p>
              </w:tc>
              <w:tc>
                <w:tcPr>
                  <w:tcW w:w="1163" w:type="dxa"/>
                  <w:vAlign w:val="center"/>
                </w:tcPr>
                <w:p>
                  <w:pPr>
                    <w:pStyle w:val="15"/>
                    <w:rPr>
                      <w:color w:val="auto"/>
                    </w:rPr>
                  </w:pPr>
                  <w:r>
                    <w:rPr>
                      <w:color w:val="auto"/>
                    </w:rPr>
                    <w:t>含磷固废</w:t>
                  </w:r>
                </w:p>
              </w:tc>
              <w:tc>
                <w:tcPr>
                  <w:tcW w:w="1094" w:type="dxa"/>
                  <w:vAlign w:val="center"/>
                </w:tcPr>
                <w:p>
                  <w:pPr>
                    <w:pStyle w:val="15"/>
                    <w:rPr>
                      <w:color w:val="auto"/>
                    </w:rPr>
                  </w:pPr>
                  <w:r>
                    <w:rPr>
                      <w:rFonts w:hint="eastAsia"/>
                      <w:color w:val="auto"/>
                    </w:rPr>
                    <w:t>1550</w:t>
                  </w:r>
                  <w:r>
                    <w:rPr>
                      <w:color w:val="auto"/>
                    </w:rPr>
                    <w:t>0</w:t>
                  </w:r>
                </w:p>
              </w:tc>
              <w:tc>
                <w:tcPr>
                  <w:tcW w:w="697" w:type="dxa"/>
                  <w:vAlign w:val="center"/>
                </w:tcPr>
                <w:p>
                  <w:pPr>
                    <w:pStyle w:val="15"/>
                    <w:rPr>
                      <w:color w:val="auto"/>
                    </w:rPr>
                  </w:pPr>
                  <w:r>
                    <w:rPr>
                      <w:rFonts w:hint="eastAsia"/>
                      <w:color w:val="auto"/>
                    </w:rPr>
                    <w:t>/</w:t>
                  </w:r>
                </w:p>
              </w:tc>
              <w:tc>
                <w:tcPr>
                  <w:tcW w:w="1472" w:type="dxa"/>
                  <w:vAlign w:val="center"/>
                </w:tcPr>
                <w:p>
                  <w:pPr>
                    <w:pStyle w:val="15"/>
                    <w:rPr>
                      <w:color w:val="auto"/>
                    </w:rPr>
                  </w:pPr>
                  <w:r>
                    <w:rPr>
                      <w:rFonts w:hint="eastAsia"/>
                      <w:color w:val="auto"/>
                    </w:rPr>
                    <w:t>复合肥</w:t>
                  </w:r>
                </w:p>
              </w:tc>
              <w:tc>
                <w:tcPr>
                  <w:tcW w:w="1265" w:type="dxa"/>
                  <w:vAlign w:val="center"/>
                </w:tcPr>
                <w:p>
                  <w:pPr>
                    <w:pStyle w:val="15"/>
                    <w:rPr>
                      <w:color w:val="auto"/>
                    </w:rPr>
                  </w:pPr>
                  <w:r>
                    <w:rPr>
                      <w:rFonts w:hint="eastAsia"/>
                      <w:color w:val="auto"/>
                    </w:rPr>
                    <w:t>30000</w:t>
                  </w:r>
                </w:p>
              </w:tc>
              <w:tc>
                <w:tcPr>
                  <w:tcW w:w="1970" w:type="dxa"/>
                  <w:vAlign w:val="center"/>
                </w:tcPr>
                <w:p>
                  <w:pPr>
                    <w:pStyle w:val="15"/>
                    <w:rPr>
                      <w:color w:val="auto"/>
                    </w:rPr>
                  </w:pPr>
                  <w:r>
                    <w:rPr>
                      <w:rFonts w:hint="eastAsia"/>
                      <w:color w:val="auto"/>
                    </w:rPr>
                    <w:t>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6" w:type="dxa"/>
                  <w:vAlign w:val="center"/>
                </w:tcPr>
                <w:p>
                  <w:pPr>
                    <w:pStyle w:val="15"/>
                    <w:rPr>
                      <w:color w:val="auto"/>
                    </w:rPr>
                  </w:pPr>
                  <w:r>
                    <w:rPr>
                      <w:color w:val="auto"/>
                    </w:rPr>
                    <w:t>2</w:t>
                  </w:r>
                </w:p>
              </w:tc>
              <w:tc>
                <w:tcPr>
                  <w:tcW w:w="1163" w:type="dxa"/>
                  <w:vAlign w:val="center"/>
                </w:tcPr>
                <w:p>
                  <w:pPr>
                    <w:pStyle w:val="15"/>
                    <w:rPr>
                      <w:color w:val="auto"/>
                    </w:rPr>
                  </w:pPr>
                  <w:r>
                    <w:rPr>
                      <w:rFonts w:hint="eastAsia"/>
                      <w:color w:val="auto"/>
                    </w:rPr>
                    <w:t>尿素</w:t>
                  </w:r>
                </w:p>
              </w:tc>
              <w:tc>
                <w:tcPr>
                  <w:tcW w:w="1094" w:type="dxa"/>
                  <w:vAlign w:val="center"/>
                </w:tcPr>
                <w:p>
                  <w:pPr>
                    <w:pStyle w:val="15"/>
                    <w:rPr>
                      <w:color w:val="auto"/>
                    </w:rPr>
                  </w:pPr>
                  <w:r>
                    <w:rPr>
                      <w:rFonts w:hint="eastAsia"/>
                      <w:color w:val="auto"/>
                    </w:rPr>
                    <w:t>5800</w:t>
                  </w:r>
                </w:p>
              </w:tc>
              <w:tc>
                <w:tcPr>
                  <w:tcW w:w="697" w:type="dxa"/>
                  <w:vAlign w:val="center"/>
                </w:tcPr>
                <w:p>
                  <w:pPr>
                    <w:pStyle w:val="15"/>
                    <w:rPr>
                      <w:color w:val="auto"/>
                    </w:rPr>
                  </w:pPr>
                  <w:r>
                    <w:rPr>
                      <w:rFonts w:hint="eastAsia"/>
                      <w:color w:val="auto"/>
                    </w:rPr>
                    <w:t>/</w:t>
                  </w:r>
                </w:p>
              </w:tc>
              <w:tc>
                <w:tcPr>
                  <w:tcW w:w="1472" w:type="dxa"/>
                  <w:vAlign w:val="center"/>
                </w:tcPr>
                <w:p>
                  <w:pPr>
                    <w:pStyle w:val="15"/>
                    <w:rPr>
                      <w:color w:val="auto"/>
                    </w:rPr>
                  </w:pPr>
                  <w:r>
                    <w:rPr>
                      <w:color w:val="auto"/>
                    </w:rPr>
                    <w:t>水蒸气</w:t>
                  </w:r>
                </w:p>
              </w:tc>
              <w:tc>
                <w:tcPr>
                  <w:tcW w:w="1265" w:type="dxa"/>
                  <w:vAlign w:val="center"/>
                </w:tcPr>
                <w:p>
                  <w:pPr>
                    <w:pStyle w:val="15"/>
                    <w:rPr>
                      <w:color w:val="auto"/>
                    </w:rPr>
                  </w:pPr>
                  <w:r>
                    <w:rPr>
                      <w:rFonts w:hint="eastAsia"/>
                      <w:color w:val="auto"/>
                    </w:rPr>
                    <w:t>1742.4</w:t>
                  </w:r>
                </w:p>
              </w:tc>
              <w:tc>
                <w:tcPr>
                  <w:tcW w:w="1970" w:type="dxa"/>
                  <w:vAlign w:val="center"/>
                </w:tcPr>
                <w:p>
                  <w:pPr>
                    <w:pStyle w:val="15"/>
                    <w:rPr>
                      <w:color w:val="auto"/>
                    </w:rPr>
                  </w:pPr>
                  <w:r>
                    <w:rPr>
                      <w:color w:val="auto"/>
                    </w:rPr>
                    <w:t>蒸发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716" w:type="dxa"/>
                  <w:vAlign w:val="center"/>
                </w:tcPr>
                <w:p>
                  <w:pPr>
                    <w:pStyle w:val="15"/>
                    <w:rPr>
                      <w:color w:val="auto"/>
                    </w:rPr>
                  </w:pPr>
                  <w:r>
                    <w:rPr>
                      <w:rFonts w:hint="eastAsia"/>
                      <w:color w:val="auto"/>
                    </w:rPr>
                    <w:t>3</w:t>
                  </w:r>
                </w:p>
              </w:tc>
              <w:tc>
                <w:tcPr>
                  <w:tcW w:w="1163" w:type="dxa"/>
                  <w:vAlign w:val="center"/>
                </w:tcPr>
                <w:p>
                  <w:pPr>
                    <w:pStyle w:val="15"/>
                    <w:rPr>
                      <w:color w:val="auto"/>
                    </w:rPr>
                  </w:pPr>
                  <w:r>
                    <w:rPr>
                      <w:rFonts w:hint="eastAsia"/>
                      <w:color w:val="auto"/>
                    </w:rPr>
                    <w:t>氯化铵</w:t>
                  </w:r>
                </w:p>
              </w:tc>
              <w:tc>
                <w:tcPr>
                  <w:tcW w:w="1094" w:type="dxa"/>
                  <w:vAlign w:val="center"/>
                </w:tcPr>
                <w:p>
                  <w:pPr>
                    <w:pStyle w:val="15"/>
                    <w:rPr>
                      <w:color w:val="auto"/>
                    </w:rPr>
                  </w:pPr>
                  <w:r>
                    <w:rPr>
                      <w:rFonts w:hint="eastAsia"/>
                      <w:color w:val="auto"/>
                    </w:rPr>
                    <w:t>5600</w:t>
                  </w:r>
                </w:p>
              </w:tc>
              <w:tc>
                <w:tcPr>
                  <w:tcW w:w="697" w:type="dxa"/>
                  <w:vAlign w:val="center"/>
                </w:tcPr>
                <w:p>
                  <w:pPr>
                    <w:pStyle w:val="15"/>
                    <w:rPr>
                      <w:color w:val="auto"/>
                    </w:rPr>
                  </w:pPr>
                  <w:r>
                    <w:rPr>
                      <w:rFonts w:hint="eastAsia"/>
                      <w:color w:val="auto"/>
                    </w:rPr>
                    <w:t>/</w:t>
                  </w:r>
                </w:p>
              </w:tc>
              <w:tc>
                <w:tcPr>
                  <w:tcW w:w="1472" w:type="dxa"/>
                  <w:vAlign w:val="center"/>
                </w:tcPr>
                <w:p>
                  <w:pPr>
                    <w:pStyle w:val="15"/>
                    <w:rPr>
                      <w:color w:val="auto"/>
                    </w:rPr>
                  </w:pPr>
                  <w:r>
                    <w:rPr>
                      <w:color w:val="auto"/>
                    </w:rPr>
                    <w:t>收集粉尘</w:t>
                  </w:r>
                </w:p>
              </w:tc>
              <w:tc>
                <w:tcPr>
                  <w:tcW w:w="1265" w:type="dxa"/>
                  <w:vAlign w:val="center"/>
                </w:tcPr>
                <w:p>
                  <w:pPr>
                    <w:pStyle w:val="15"/>
                    <w:rPr>
                      <w:color w:val="auto"/>
                    </w:rPr>
                  </w:pPr>
                  <w:r>
                    <w:rPr>
                      <w:rFonts w:hint="eastAsia"/>
                      <w:color w:val="auto"/>
                    </w:rPr>
                    <w:t>229.466</w:t>
                  </w:r>
                </w:p>
              </w:tc>
              <w:tc>
                <w:tcPr>
                  <w:tcW w:w="1970" w:type="dxa"/>
                  <w:vAlign w:val="center"/>
                </w:tcPr>
                <w:p>
                  <w:pPr>
                    <w:pStyle w:val="15"/>
                    <w:rPr>
                      <w:color w:val="auto"/>
                    </w:rPr>
                  </w:pPr>
                  <w:r>
                    <w:rPr>
                      <w:color w:val="auto"/>
                    </w:rPr>
                    <w:t>除尘设施收集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pStyle w:val="15"/>
                    <w:rPr>
                      <w:color w:val="auto"/>
                    </w:rPr>
                  </w:pPr>
                  <w:r>
                    <w:rPr>
                      <w:rFonts w:hint="eastAsia"/>
                      <w:color w:val="auto"/>
                    </w:rPr>
                    <w:t>4</w:t>
                  </w:r>
                </w:p>
              </w:tc>
              <w:tc>
                <w:tcPr>
                  <w:tcW w:w="1163" w:type="dxa"/>
                  <w:vAlign w:val="center"/>
                </w:tcPr>
                <w:p>
                  <w:pPr>
                    <w:pStyle w:val="15"/>
                    <w:rPr>
                      <w:color w:val="auto"/>
                    </w:rPr>
                  </w:pPr>
                  <w:r>
                    <w:rPr>
                      <w:rFonts w:hint="eastAsia"/>
                      <w:color w:val="auto"/>
                    </w:rPr>
                    <w:t>氯化钾</w:t>
                  </w:r>
                </w:p>
              </w:tc>
              <w:tc>
                <w:tcPr>
                  <w:tcW w:w="1094" w:type="dxa"/>
                  <w:vAlign w:val="center"/>
                </w:tcPr>
                <w:p>
                  <w:pPr>
                    <w:pStyle w:val="15"/>
                    <w:rPr>
                      <w:color w:val="auto"/>
                    </w:rPr>
                  </w:pPr>
                  <w:r>
                    <w:rPr>
                      <w:rFonts w:hint="eastAsia"/>
                      <w:color w:val="auto"/>
                    </w:rPr>
                    <w:t>3100</w:t>
                  </w:r>
                </w:p>
              </w:tc>
              <w:tc>
                <w:tcPr>
                  <w:tcW w:w="697" w:type="dxa"/>
                  <w:vAlign w:val="center"/>
                </w:tcPr>
                <w:p>
                  <w:pPr>
                    <w:pStyle w:val="15"/>
                    <w:rPr>
                      <w:color w:val="auto"/>
                    </w:rPr>
                  </w:pPr>
                  <w:r>
                    <w:rPr>
                      <w:rFonts w:hint="eastAsia"/>
                      <w:color w:val="auto"/>
                    </w:rPr>
                    <w:t>/</w:t>
                  </w:r>
                </w:p>
              </w:tc>
              <w:tc>
                <w:tcPr>
                  <w:tcW w:w="1472" w:type="dxa"/>
                  <w:vAlign w:val="center"/>
                </w:tcPr>
                <w:p>
                  <w:pPr>
                    <w:pStyle w:val="15"/>
                    <w:rPr>
                      <w:color w:val="auto"/>
                    </w:rPr>
                  </w:pPr>
                  <w:r>
                    <w:rPr>
                      <w:rFonts w:hint="eastAsia"/>
                      <w:color w:val="auto"/>
                    </w:rPr>
                    <w:t>无组织排放</w:t>
                  </w:r>
                  <w:r>
                    <w:rPr>
                      <w:color w:val="auto"/>
                    </w:rPr>
                    <w:t>粉尘</w:t>
                  </w:r>
                </w:p>
              </w:tc>
              <w:tc>
                <w:tcPr>
                  <w:tcW w:w="1265" w:type="dxa"/>
                  <w:vAlign w:val="center"/>
                </w:tcPr>
                <w:p>
                  <w:pPr>
                    <w:pStyle w:val="15"/>
                    <w:rPr>
                      <w:color w:val="auto"/>
                    </w:rPr>
                  </w:pPr>
                  <w:r>
                    <w:rPr>
                      <w:rFonts w:hint="eastAsia"/>
                      <w:color w:val="auto"/>
                    </w:rPr>
                    <w:t>25.84</w:t>
                  </w:r>
                </w:p>
              </w:tc>
              <w:tc>
                <w:tcPr>
                  <w:tcW w:w="1970" w:type="dxa"/>
                  <w:vAlign w:val="center"/>
                </w:tcPr>
                <w:p>
                  <w:pPr>
                    <w:pStyle w:val="15"/>
                    <w:rPr>
                      <w:color w:val="auto"/>
                    </w:rPr>
                  </w:pPr>
                  <w:r>
                    <w:rPr>
                      <w:rFonts w:hint="eastAsia"/>
                      <w:color w:val="auto"/>
                    </w:rPr>
                    <w:t>部分在车间沉降，部分自然稀释扩散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pStyle w:val="15"/>
                    <w:rPr>
                      <w:color w:val="auto"/>
                    </w:rPr>
                  </w:pPr>
                  <w:r>
                    <w:rPr>
                      <w:rFonts w:hint="eastAsia"/>
                      <w:color w:val="auto"/>
                    </w:rPr>
                    <w:t>5</w:t>
                  </w:r>
                </w:p>
              </w:tc>
              <w:tc>
                <w:tcPr>
                  <w:tcW w:w="1163" w:type="dxa"/>
                  <w:vAlign w:val="center"/>
                </w:tcPr>
                <w:p>
                  <w:pPr>
                    <w:pStyle w:val="15"/>
                    <w:rPr>
                      <w:color w:val="auto"/>
                    </w:rPr>
                  </w:pPr>
                  <w:r>
                    <w:rPr>
                      <w:rFonts w:hint="eastAsia"/>
                      <w:color w:val="auto"/>
                    </w:rPr>
                    <w:t>硫酸铵</w:t>
                  </w:r>
                </w:p>
              </w:tc>
              <w:tc>
                <w:tcPr>
                  <w:tcW w:w="1094" w:type="dxa"/>
                  <w:vAlign w:val="center"/>
                </w:tcPr>
                <w:p>
                  <w:pPr>
                    <w:pStyle w:val="15"/>
                    <w:rPr>
                      <w:color w:val="auto"/>
                    </w:rPr>
                  </w:pPr>
                  <w:r>
                    <w:rPr>
                      <w:rFonts w:hint="eastAsia"/>
                      <w:color w:val="auto"/>
                    </w:rPr>
                    <w:t>1000</w:t>
                  </w:r>
                </w:p>
              </w:tc>
              <w:tc>
                <w:tcPr>
                  <w:tcW w:w="697" w:type="dxa"/>
                  <w:vAlign w:val="center"/>
                </w:tcPr>
                <w:p>
                  <w:pPr>
                    <w:pStyle w:val="15"/>
                    <w:rPr>
                      <w:color w:val="auto"/>
                    </w:rPr>
                  </w:pPr>
                  <w:r>
                    <w:rPr>
                      <w:rFonts w:hint="eastAsia"/>
                      <w:color w:val="auto"/>
                    </w:rPr>
                    <w:t>/</w:t>
                  </w:r>
                </w:p>
              </w:tc>
              <w:tc>
                <w:tcPr>
                  <w:tcW w:w="1472" w:type="dxa"/>
                  <w:vAlign w:val="center"/>
                </w:tcPr>
                <w:p>
                  <w:pPr>
                    <w:pStyle w:val="15"/>
                    <w:rPr>
                      <w:color w:val="auto"/>
                    </w:rPr>
                  </w:pPr>
                  <w:r>
                    <w:rPr>
                      <w:rFonts w:hint="eastAsia"/>
                      <w:color w:val="auto"/>
                    </w:rPr>
                    <w:t>有组织排放粉尘</w:t>
                  </w:r>
                </w:p>
              </w:tc>
              <w:tc>
                <w:tcPr>
                  <w:tcW w:w="1265" w:type="dxa"/>
                  <w:vAlign w:val="center"/>
                </w:tcPr>
                <w:p>
                  <w:pPr>
                    <w:pStyle w:val="15"/>
                    <w:rPr>
                      <w:color w:val="auto"/>
                    </w:rPr>
                  </w:pPr>
                  <w:r>
                    <w:rPr>
                      <w:rFonts w:hint="eastAsia"/>
                      <w:color w:val="auto"/>
                    </w:rPr>
                    <w:t>2.294</w:t>
                  </w:r>
                </w:p>
              </w:tc>
              <w:tc>
                <w:tcPr>
                  <w:tcW w:w="1970" w:type="dxa"/>
                  <w:vAlign w:val="center"/>
                </w:tcPr>
                <w:p>
                  <w:pPr>
                    <w:pStyle w:val="15"/>
                    <w:rPr>
                      <w:color w:val="auto"/>
                    </w:rPr>
                  </w:pPr>
                  <w:r>
                    <w:rPr>
                      <w:color w:val="auto"/>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pStyle w:val="15"/>
                    <w:rPr>
                      <w:color w:val="auto"/>
                    </w:rPr>
                  </w:pPr>
                  <w:r>
                    <w:rPr>
                      <w:rFonts w:hint="eastAsia"/>
                      <w:color w:val="auto"/>
                    </w:rPr>
                    <w:t>6</w:t>
                  </w:r>
                </w:p>
              </w:tc>
              <w:tc>
                <w:tcPr>
                  <w:tcW w:w="1163" w:type="dxa"/>
                  <w:vAlign w:val="center"/>
                </w:tcPr>
                <w:p>
                  <w:pPr>
                    <w:pStyle w:val="15"/>
                    <w:rPr>
                      <w:color w:val="auto"/>
                    </w:rPr>
                  </w:pPr>
                  <w:r>
                    <w:rPr>
                      <w:rFonts w:hint="eastAsia"/>
                      <w:color w:val="auto"/>
                    </w:rPr>
                    <w:t>普钙</w:t>
                  </w:r>
                </w:p>
              </w:tc>
              <w:tc>
                <w:tcPr>
                  <w:tcW w:w="1094" w:type="dxa"/>
                  <w:vAlign w:val="center"/>
                </w:tcPr>
                <w:p>
                  <w:pPr>
                    <w:pStyle w:val="15"/>
                    <w:rPr>
                      <w:color w:val="auto"/>
                    </w:rPr>
                  </w:pPr>
                  <w:r>
                    <w:rPr>
                      <w:rFonts w:hint="eastAsia"/>
                      <w:color w:val="auto"/>
                    </w:rPr>
                    <w:t>1000</w:t>
                  </w:r>
                </w:p>
              </w:tc>
              <w:tc>
                <w:tcPr>
                  <w:tcW w:w="697" w:type="dxa"/>
                  <w:vAlign w:val="center"/>
                </w:tcPr>
                <w:p>
                  <w:pPr>
                    <w:pStyle w:val="15"/>
                    <w:rPr>
                      <w:color w:val="auto"/>
                    </w:rPr>
                  </w:pPr>
                  <w:r>
                    <w:rPr>
                      <w:rFonts w:hint="eastAsia"/>
                      <w:color w:val="auto"/>
                    </w:rPr>
                    <w:t>/</w:t>
                  </w:r>
                </w:p>
              </w:tc>
              <w:tc>
                <w:tcPr>
                  <w:tcW w:w="1472" w:type="dxa"/>
                  <w:vAlign w:val="center"/>
                </w:tcPr>
                <w:p>
                  <w:pPr>
                    <w:pStyle w:val="15"/>
                    <w:rPr>
                      <w:color w:val="auto"/>
                    </w:rPr>
                  </w:pPr>
                  <w:r>
                    <w:rPr>
                      <w:rFonts w:hint="eastAsia"/>
                      <w:color w:val="auto"/>
                    </w:rPr>
                    <w:t>/</w:t>
                  </w:r>
                </w:p>
              </w:tc>
              <w:tc>
                <w:tcPr>
                  <w:tcW w:w="1265" w:type="dxa"/>
                  <w:vAlign w:val="center"/>
                </w:tcPr>
                <w:p>
                  <w:pPr>
                    <w:pStyle w:val="15"/>
                    <w:rPr>
                      <w:color w:val="auto"/>
                    </w:rPr>
                  </w:pPr>
                  <w:r>
                    <w:rPr>
                      <w:rFonts w:hint="eastAsia"/>
                      <w:color w:val="auto"/>
                    </w:rPr>
                    <w:t>/</w:t>
                  </w:r>
                </w:p>
              </w:tc>
              <w:tc>
                <w:tcPr>
                  <w:tcW w:w="1970" w:type="dxa"/>
                  <w:vAlign w:val="center"/>
                </w:tcPr>
                <w:p>
                  <w:pPr>
                    <w:pStyle w:val="15"/>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6" w:type="dxa"/>
                  <w:vAlign w:val="center"/>
                </w:tcPr>
                <w:p>
                  <w:pPr>
                    <w:pStyle w:val="15"/>
                    <w:rPr>
                      <w:color w:val="auto"/>
                    </w:rPr>
                  </w:pPr>
                  <w:r>
                    <w:rPr>
                      <w:color w:val="auto"/>
                    </w:rPr>
                    <w:t>合计</w:t>
                  </w:r>
                </w:p>
              </w:tc>
              <w:tc>
                <w:tcPr>
                  <w:tcW w:w="1163" w:type="dxa"/>
                  <w:vAlign w:val="center"/>
                </w:tcPr>
                <w:p>
                  <w:pPr>
                    <w:pStyle w:val="15"/>
                    <w:rPr>
                      <w:color w:val="auto"/>
                    </w:rPr>
                  </w:pPr>
                  <w:r>
                    <w:rPr>
                      <w:rFonts w:hint="eastAsia"/>
                      <w:color w:val="auto"/>
                    </w:rPr>
                    <w:t>/</w:t>
                  </w:r>
                </w:p>
              </w:tc>
              <w:tc>
                <w:tcPr>
                  <w:tcW w:w="1094" w:type="dxa"/>
                  <w:vAlign w:val="center"/>
                </w:tcPr>
                <w:p>
                  <w:pPr>
                    <w:pStyle w:val="15"/>
                    <w:rPr>
                      <w:color w:val="auto"/>
                    </w:rPr>
                  </w:pPr>
                  <w:r>
                    <w:rPr>
                      <w:rFonts w:hint="eastAsia"/>
                      <w:color w:val="auto"/>
                    </w:rPr>
                    <w:t>32000</w:t>
                  </w:r>
                </w:p>
              </w:tc>
              <w:tc>
                <w:tcPr>
                  <w:tcW w:w="697" w:type="dxa"/>
                  <w:vAlign w:val="center"/>
                </w:tcPr>
                <w:p>
                  <w:pPr>
                    <w:pStyle w:val="15"/>
                    <w:rPr>
                      <w:color w:val="auto"/>
                    </w:rPr>
                  </w:pPr>
                  <w:r>
                    <w:rPr>
                      <w:rFonts w:hint="eastAsia"/>
                      <w:color w:val="auto"/>
                    </w:rPr>
                    <w:t>/</w:t>
                  </w:r>
                </w:p>
              </w:tc>
              <w:tc>
                <w:tcPr>
                  <w:tcW w:w="1472" w:type="dxa"/>
                  <w:vAlign w:val="center"/>
                </w:tcPr>
                <w:p>
                  <w:pPr>
                    <w:pStyle w:val="15"/>
                    <w:rPr>
                      <w:color w:val="auto"/>
                    </w:rPr>
                  </w:pPr>
                  <w:r>
                    <w:rPr>
                      <w:rFonts w:hint="eastAsia"/>
                      <w:color w:val="auto"/>
                    </w:rPr>
                    <w:t>/</w:t>
                  </w:r>
                </w:p>
              </w:tc>
              <w:tc>
                <w:tcPr>
                  <w:tcW w:w="1265" w:type="dxa"/>
                  <w:vAlign w:val="center"/>
                </w:tcPr>
                <w:p>
                  <w:pPr>
                    <w:pStyle w:val="15"/>
                    <w:rPr>
                      <w:color w:val="auto"/>
                    </w:rPr>
                  </w:pPr>
                  <w:r>
                    <w:rPr>
                      <w:rFonts w:hint="eastAsia"/>
                      <w:color w:val="auto"/>
                    </w:rPr>
                    <w:t>32000</w:t>
                  </w:r>
                </w:p>
              </w:tc>
              <w:tc>
                <w:tcPr>
                  <w:tcW w:w="1970" w:type="dxa"/>
                  <w:vAlign w:val="center"/>
                </w:tcPr>
                <w:p>
                  <w:pPr>
                    <w:pStyle w:val="15"/>
                    <w:rPr>
                      <w:color w:val="auto"/>
                    </w:rPr>
                  </w:pPr>
                  <w:r>
                    <w:rPr>
                      <w:rFonts w:hint="eastAsia"/>
                      <w:color w:val="auto"/>
                    </w:rPr>
                    <w:t>/</w:t>
                  </w:r>
                </w:p>
              </w:tc>
            </w:tr>
          </w:tbl>
          <w:p>
            <w:pPr>
              <w:ind w:firstLine="0" w:firstLineChars="0"/>
              <w:rPr>
                <w:color w:val="auto"/>
              </w:rPr>
            </w:pPr>
            <w:r>
              <w:rPr>
                <w:rFonts w:hint="eastAsia"/>
                <w:color w:val="auto"/>
              </w:rPr>
              <w:t>9、</w:t>
            </w:r>
            <w:r>
              <w:rPr>
                <w:color w:val="auto"/>
              </w:rPr>
              <w:t>水平衡</w:t>
            </w:r>
          </w:p>
          <w:p>
            <w:pPr>
              <w:ind w:firstLine="480"/>
              <w:rPr>
                <w:rFonts w:hint="default" w:eastAsia="宋体"/>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水量平衡</w:t>
            </w:r>
          </w:p>
          <w:p>
            <w:pPr>
              <w:ind w:firstLine="480"/>
              <w:rPr>
                <w:color w:val="auto"/>
              </w:rPr>
            </w:pPr>
            <w:r>
              <w:rPr>
                <w:rFonts w:hint="eastAsia"/>
                <w:color w:val="auto"/>
              </w:rPr>
              <w:t>改建项目不新增劳动定员，不调整产品类型，故不新增生活污水，运营期废水主要为原料堆场渗滤液。渗滤液全部进入渗滤液水池中，沉淀处理后回用于</w:t>
            </w:r>
            <w:r>
              <w:rPr>
                <w:rFonts w:hint="eastAsia"/>
                <w:color w:val="auto"/>
                <w:lang w:val="en-US" w:eastAsia="zh-CN"/>
              </w:rPr>
              <w:t>拟建</w:t>
            </w:r>
            <w:r>
              <w:rPr>
                <w:rFonts w:hint="eastAsia"/>
                <w:color w:val="auto"/>
              </w:rPr>
              <w:t>原料堆场洒水降尘用水，不外排。水平衡图见下图</w:t>
            </w:r>
            <w:r>
              <w:rPr>
                <w:color w:val="auto"/>
              </w:rPr>
              <w:t>。</w:t>
            </w:r>
          </w:p>
          <w:p>
            <w:pPr>
              <w:ind w:firstLine="0" w:firstLineChars="0"/>
              <w:jc w:val="center"/>
              <w:rPr>
                <w:color w:val="auto"/>
              </w:rPr>
            </w:pPr>
            <w:r>
              <w:rPr>
                <w:color w:val="auto"/>
              </w:rPr>
              <w:drawing>
                <wp:inline distT="0" distB="0" distL="114300" distR="114300">
                  <wp:extent cx="4084320" cy="830580"/>
                  <wp:effectExtent l="0" t="0" r="0" b="7620"/>
                  <wp:docPr id="2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pic:cNvPicPr>
                            <a:picLocks noChangeAspect="1"/>
                          </pic:cNvPicPr>
                        </pic:nvPicPr>
                        <pic:blipFill>
                          <a:blip r:embed="rId15"/>
                          <a:stretch>
                            <a:fillRect/>
                          </a:stretch>
                        </pic:blipFill>
                        <pic:spPr>
                          <a:xfrm>
                            <a:off x="0" y="0"/>
                            <a:ext cx="4084320" cy="830580"/>
                          </a:xfrm>
                          <a:prstGeom prst="rect">
                            <a:avLst/>
                          </a:prstGeom>
                          <a:noFill/>
                          <a:ln>
                            <a:noFill/>
                          </a:ln>
                        </pic:spPr>
                      </pic:pic>
                    </a:graphicData>
                  </a:graphic>
                </wp:inline>
              </w:drawing>
            </w:r>
          </w:p>
          <w:p>
            <w:pPr>
              <w:ind w:firstLine="0" w:firstLineChars="0"/>
              <w:jc w:val="center"/>
              <w:rPr>
                <w:rFonts w:hint="eastAsia"/>
                <w:b/>
                <w:bCs/>
                <w:color w:val="auto"/>
              </w:rPr>
            </w:pPr>
            <w:r>
              <w:rPr>
                <w:rFonts w:hint="eastAsia"/>
                <w:b/>
                <w:bCs/>
                <w:color w:val="auto"/>
              </w:rPr>
              <w:t>图2-1 项目区水平衡图  单位：t/d</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lang w:val="en-US" w:eastAsia="zh-CN"/>
              </w:rPr>
            </w:pPr>
            <w:r>
              <w:rPr>
                <w:rFonts w:hint="default" w:ascii="Times New Roman" w:hAnsi="Times New Roman" w:cs="Times New Roman"/>
                <w:b w:val="0"/>
                <w:bCs w:val="0"/>
                <w:color w:val="auto"/>
                <w:sz w:val="24"/>
                <w:lang w:eastAsia="zh-CN"/>
              </w:rPr>
              <w:t>（</w:t>
            </w:r>
            <w:r>
              <w:rPr>
                <w:rFonts w:hint="eastAsia" w:cs="Times New Roman"/>
                <w:b w:val="0"/>
                <w:bCs w:val="0"/>
                <w:color w:val="auto"/>
                <w:sz w:val="24"/>
                <w:lang w:val="en-US" w:eastAsia="zh-CN"/>
              </w:rPr>
              <w:t>2</w:t>
            </w:r>
            <w:r>
              <w:rPr>
                <w:rFonts w:hint="default" w:ascii="Times New Roman" w:hAnsi="Times New Roman" w:cs="Times New Roman"/>
                <w:b w:val="0"/>
                <w:bCs w:val="0"/>
                <w:color w:val="auto"/>
                <w:sz w:val="24"/>
                <w:lang w:eastAsia="zh-CN"/>
              </w:rPr>
              <w:t>）</w:t>
            </w:r>
            <w:r>
              <w:rPr>
                <w:rFonts w:hint="default" w:ascii="Times New Roman" w:hAnsi="Times New Roman" w:cs="Times New Roman"/>
                <w:b w:val="0"/>
                <w:bCs w:val="0"/>
                <w:color w:val="auto"/>
                <w:sz w:val="24"/>
                <w:lang w:val="en-US" w:eastAsia="zh-CN"/>
              </w:rPr>
              <w:t>蒸汽平衡</w:t>
            </w:r>
          </w:p>
          <w:p>
            <w:pPr>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eastAsia" w:cs="Times New Roman"/>
                <w:b/>
                <w:bCs/>
                <w:color w:val="auto"/>
                <w:sz w:val="21"/>
                <w:szCs w:val="21"/>
                <w:lang w:val="en-US" w:eastAsia="zh-CN"/>
              </w:rPr>
              <w:t>2-14</w:t>
            </w:r>
            <w:r>
              <w:rPr>
                <w:rFonts w:hint="default" w:ascii="Times New Roman" w:hAnsi="Times New Roman" w:cs="Times New Roman"/>
                <w:b/>
                <w:bCs/>
                <w:color w:val="auto"/>
                <w:sz w:val="21"/>
                <w:szCs w:val="21"/>
                <w:lang w:val="en-US" w:eastAsia="zh-CN"/>
              </w:rPr>
              <w:t xml:space="preserve">  本</w:t>
            </w:r>
            <w:r>
              <w:rPr>
                <w:rFonts w:hint="default" w:ascii="Times New Roman" w:hAnsi="Times New Roman" w:cs="Times New Roman"/>
                <w:b/>
                <w:bCs/>
                <w:color w:val="auto"/>
                <w:sz w:val="21"/>
                <w:szCs w:val="21"/>
              </w:rPr>
              <w:t>项目蒸汽平衡表</w:t>
            </w:r>
          </w:p>
          <w:tbl>
            <w:tblPr>
              <w:tblStyle w:val="10"/>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1558"/>
              <w:gridCol w:w="3672"/>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3241" w:type="dxa"/>
                  <w:gridSpan w:val="2"/>
                  <w:noWrap w:val="0"/>
                  <w:vAlign w:val="center"/>
                </w:tcPr>
                <w:p>
                  <w:pPr>
                    <w:spacing w:line="240" w:lineRule="auto"/>
                    <w:ind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入方</w:t>
                  </w:r>
                </w:p>
              </w:tc>
              <w:tc>
                <w:tcPr>
                  <w:tcW w:w="5139" w:type="dxa"/>
                  <w:gridSpan w:val="2"/>
                  <w:noWrap w:val="0"/>
                  <w:vAlign w:val="center"/>
                </w:tcPr>
                <w:p>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出方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83" w:type="dxa"/>
                  <w:noWrap w:val="0"/>
                  <w:vAlign w:val="center"/>
                </w:tcPr>
                <w:p>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物料名称</w:t>
                  </w:r>
                </w:p>
              </w:tc>
              <w:tc>
                <w:tcPr>
                  <w:tcW w:w="1558" w:type="dxa"/>
                  <w:noWrap w:val="0"/>
                  <w:vAlign w:val="center"/>
                </w:tcPr>
                <w:p>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投入量（t/d）</w:t>
                  </w:r>
                </w:p>
              </w:tc>
              <w:tc>
                <w:tcPr>
                  <w:tcW w:w="3672" w:type="dxa"/>
                  <w:noWrap w:val="0"/>
                  <w:vAlign w:val="center"/>
                </w:tcPr>
                <w:p>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物料名称</w:t>
                  </w:r>
                </w:p>
              </w:tc>
              <w:tc>
                <w:tcPr>
                  <w:tcW w:w="1467" w:type="dxa"/>
                  <w:noWrap w:val="0"/>
                  <w:vAlign w:val="center"/>
                </w:tcPr>
                <w:p>
                  <w:pPr>
                    <w:spacing w:line="240" w:lineRule="auto"/>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产出量（t/d）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83" w:type="dxa"/>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去离子水</w:t>
                  </w:r>
                </w:p>
              </w:tc>
              <w:tc>
                <w:tcPr>
                  <w:tcW w:w="155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3672"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用</w:t>
                  </w:r>
                  <w:r>
                    <w:rPr>
                      <w:rFonts w:hint="eastAsia" w:cs="Times New Roman"/>
                      <w:color w:val="auto"/>
                      <w:sz w:val="21"/>
                      <w:szCs w:val="21"/>
                      <w:lang w:val="en-US" w:eastAsia="zh-CN"/>
                    </w:rPr>
                    <w:t>汽</w:t>
                  </w:r>
                  <w:r>
                    <w:rPr>
                      <w:rFonts w:hint="default" w:ascii="Times New Roman" w:hAnsi="Times New Roman" w:cs="Times New Roman"/>
                      <w:color w:val="auto"/>
                      <w:sz w:val="21"/>
                      <w:szCs w:val="21"/>
                      <w:lang w:val="en-US" w:eastAsia="zh-CN"/>
                    </w:rPr>
                    <w:t>环节（</w:t>
                  </w:r>
                  <w:r>
                    <w:rPr>
                      <w:rFonts w:hint="eastAsia" w:cs="Times New Roman"/>
                      <w:color w:val="auto"/>
                      <w:sz w:val="21"/>
                      <w:szCs w:val="21"/>
                      <w:lang w:val="en-US" w:eastAsia="zh-CN"/>
                    </w:rPr>
                    <w:t>滚筒</w:t>
                  </w:r>
                  <w:r>
                    <w:rPr>
                      <w:rFonts w:hint="eastAsia" w:cs="Times New Roman"/>
                      <w:bCs/>
                      <w:color w:val="auto"/>
                      <w:sz w:val="21"/>
                      <w:szCs w:val="21"/>
                      <w:lang w:val="en-US" w:eastAsia="zh-CN"/>
                    </w:rPr>
                    <w:t>造粒</w:t>
                  </w:r>
                  <w:r>
                    <w:rPr>
                      <w:rFonts w:hint="default" w:ascii="Times New Roman" w:hAnsi="Times New Roman" w:cs="Times New Roman"/>
                      <w:color w:val="auto"/>
                      <w:sz w:val="21"/>
                      <w:szCs w:val="21"/>
                      <w:lang w:val="en-US" w:eastAsia="zh-CN"/>
                    </w:rPr>
                    <w:t>）</w:t>
                  </w:r>
                </w:p>
              </w:tc>
              <w:tc>
                <w:tcPr>
                  <w:tcW w:w="146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83" w:type="dxa"/>
                  <w:noWrap w:val="0"/>
                  <w:vAlign w:val="center"/>
                </w:tcPr>
                <w:p>
                  <w:pPr>
                    <w:spacing w:line="240" w:lineRule="auto"/>
                    <w:ind w:firstLine="0" w:firstLineChars="0"/>
                    <w:jc w:val="center"/>
                    <w:rPr>
                      <w:rFonts w:hint="default" w:ascii="Times New Roman" w:hAnsi="Times New Roman" w:cs="Times New Roman"/>
                      <w:color w:val="auto"/>
                      <w:sz w:val="21"/>
                      <w:szCs w:val="21"/>
                    </w:rPr>
                  </w:pPr>
                </w:p>
              </w:tc>
              <w:tc>
                <w:tcPr>
                  <w:tcW w:w="155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p>
              </w:tc>
              <w:tc>
                <w:tcPr>
                  <w:tcW w:w="3672" w:type="dxa"/>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损耗</w:t>
                  </w:r>
                </w:p>
              </w:tc>
              <w:tc>
                <w:tcPr>
                  <w:tcW w:w="146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683" w:type="dxa"/>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合计</w:t>
                  </w:r>
                </w:p>
              </w:tc>
              <w:tc>
                <w:tcPr>
                  <w:tcW w:w="1558"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3672" w:type="dxa"/>
                  <w:noWrap w:val="0"/>
                  <w:vAlign w:val="center"/>
                </w:tcPr>
                <w:p>
                  <w:pPr>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合计</w:t>
                  </w:r>
                </w:p>
              </w:tc>
              <w:tc>
                <w:tcPr>
                  <w:tcW w:w="1467" w:type="dxa"/>
                  <w:noWrap w:val="0"/>
                  <w:vAlign w:val="center"/>
                </w:tcPr>
                <w:p>
                  <w:pPr>
                    <w:spacing w:line="240" w:lineRule="auto"/>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r>
          </w:tbl>
          <w:p>
            <w:pPr>
              <w:spacing w:line="240" w:lineRule="auto"/>
              <w:ind w:firstLine="480"/>
              <w:rPr>
                <w:rFonts w:hint="default" w:ascii="Times New Roman" w:hAnsi="Times New Roman" w:cs="Times New Roman"/>
                <w:color w:val="auto"/>
              </w:rPr>
            </w:pPr>
          </w:p>
          <w:p>
            <w:pPr>
              <w:ind w:firstLine="0" w:firstLineChars="0"/>
              <w:jc w:val="center"/>
              <w:rPr>
                <w:rFonts w:hint="default" w:ascii="Times New Roman" w:hAnsi="Times New Roman" w:cs="Times New Roman"/>
                <w:color w:val="auto"/>
              </w:rPr>
            </w:pPr>
            <w:r>
              <w:rPr>
                <w:rFonts w:hint="default" w:ascii="Times New Roman" w:hAnsi="Times New Roman" w:cs="Times New Roman"/>
                <w:color w:val="auto"/>
              </w:rPr>
              <w:object>
                <v:shape id="_x0000_i1025" o:spt="75" type="#_x0000_t75" style="height:145.55pt;width:351.1pt;" o:ole="t" filled="f" o:preferrelative="t" stroked="t" coordsize="21600,21600">
                  <v:path/>
                  <v:fill on="f" focussize="0,0"/>
                  <v:stroke weight="0.5pt" color="#000000" joinstyle="miter"/>
                  <v:imagedata r:id="rId17" o:title=""/>
                  <o:lock v:ext="edit" aspectratio="f"/>
                  <w10:wrap type="none"/>
                  <w10:anchorlock/>
                </v:shape>
                <o:OLEObject Type="Embed" ProgID="Visio.Drawing.11" ShapeID="_x0000_i1025" DrawAspect="Content" ObjectID="_1468075725" r:id="rId16">
                  <o:LockedField>false</o:LockedField>
                </o:OLEObject>
              </w:object>
            </w:r>
          </w:p>
          <w:p>
            <w:pPr>
              <w:ind w:firstLine="0" w:firstLineChars="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图</w:t>
            </w:r>
            <w:r>
              <w:rPr>
                <w:rFonts w:hint="eastAsia" w:cs="Times New Roman"/>
                <w:b/>
                <w:bCs/>
                <w:color w:val="auto"/>
                <w:sz w:val="21"/>
                <w:szCs w:val="21"/>
                <w:lang w:val="en-US" w:eastAsia="zh-CN"/>
              </w:rPr>
              <w:t>2-2</w:t>
            </w:r>
            <w:r>
              <w:rPr>
                <w:rFonts w:hint="default" w:ascii="Times New Roman" w:hAnsi="Times New Roman" w:cs="Times New Roman"/>
                <w:b/>
                <w:bCs/>
                <w:color w:val="auto"/>
                <w:sz w:val="21"/>
                <w:szCs w:val="21"/>
                <w:lang w:val="en-US" w:eastAsia="zh-CN"/>
              </w:rPr>
              <w:t xml:space="preserve">  锅炉</w:t>
            </w:r>
            <w:r>
              <w:rPr>
                <w:rFonts w:hint="default" w:ascii="Times New Roman" w:hAnsi="Times New Roman" w:cs="Times New Roman"/>
                <w:b/>
                <w:bCs/>
                <w:color w:val="auto"/>
                <w:sz w:val="21"/>
                <w:szCs w:val="21"/>
              </w:rPr>
              <w:t>蒸汽平衡图（单位：t/d）</w:t>
            </w:r>
          </w:p>
          <w:p>
            <w:pPr>
              <w:ind w:firstLine="0" w:firstLineChars="0"/>
              <w:rPr>
                <w:color w:val="auto"/>
              </w:rPr>
            </w:pPr>
            <w:r>
              <w:rPr>
                <w:rFonts w:hint="eastAsia"/>
                <w:color w:val="auto"/>
              </w:rPr>
              <w:t>10、总</w:t>
            </w:r>
            <w:r>
              <w:rPr>
                <w:color w:val="auto"/>
              </w:rPr>
              <w:t>平面布置</w:t>
            </w:r>
          </w:p>
          <w:p>
            <w:pPr>
              <w:ind w:firstLine="480"/>
              <w:rPr>
                <w:color w:val="auto"/>
              </w:rPr>
            </w:pPr>
            <w:r>
              <w:rPr>
                <w:rFonts w:hint="eastAsia"/>
                <w:color w:val="auto"/>
              </w:rPr>
              <w:t>项目位于复合肥料生产车间不新增建设用地，紧邻厂区道路，方便进出。项目利用昆明红海磷肥有限责任公司现有厂房进行建设，在充分依托现有3万吨/年复合肥装置的基础上，不增加生产设备、生产厂房。根据</w:t>
            </w:r>
            <w:r>
              <w:rPr>
                <w:rFonts w:hint="eastAsia"/>
                <w:color w:val="auto"/>
                <w:lang w:val="en-US" w:eastAsia="zh-CN"/>
              </w:rPr>
              <w:t>项目</w:t>
            </w:r>
            <w:r>
              <w:rPr>
                <w:rFonts w:hint="eastAsia"/>
                <w:color w:val="auto"/>
              </w:rPr>
              <w:t>生产工艺流程情况，位于复合肥料生产车间设置一般固废堆放区、配料区、造粒区、干燥区、尾气洗涤工段区、成品堆存区等区域，项目办公区依托昆明红海磷肥有限责任公司办公设施。布局合理</w:t>
            </w:r>
            <w:r>
              <w:rPr>
                <w:color w:val="auto"/>
              </w:rPr>
              <w:t>。</w:t>
            </w:r>
          </w:p>
          <w:bookmarkEnd w:id="4"/>
          <w:p>
            <w:pPr>
              <w:ind w:firstLine="0" w:firstLineChars="0"/>
              <w:rPr>
                <w:color w:val="auto"/>
              </w:rPr>
            </w:pPr>
            <w:r>
              <w:rPr>
                <w:rFonts w:hint="eastAsia"/>
                <w:color w:val="auto"/>
              </w:rPr>
              <w:t>11、</w:t>
            </w:r>
            <w:r>
              <w:rPr>
                <w:color w:val="auto"/>
              </w:rPr>
              <w:t>项目环保投资</w:t>
            </w:r>
          </w:p>
          <w:p>
            <w:pPr>
              <w:ind w:firstLine="480"/>
              <w:rPr>
                <w:color w:val="auto"/>
              </w:rPr>
            </w:pPr>
            <w:r>
              <w:rPr>
                <w:rFonts w:hint="eastAsia"/>
                <w:color w:val="auto"/>
              </w:rPr>
              <w:t>改建项目</w:t>
            </w:r>
            <w:r>
              <w:rPr>
                <w:color w:val="auto"/>
              </w:rPr>
              <w:t>总投资</w:t>
            </w:r>
            <w:r>
              <w:rPr>
                <w:rFonts w:hint="eastAsia"/>
                <w:color w:val="auto"/>
              </w:rPr>
              <w:t>50万</w:t>
            </w:r>
            <w:r>
              <w:rPr>
                <w:color w:val="auto"/>
              </w:rPr>
              <w:t>元，其中环保投资</w:t>
            </w:r>
            <w:r>
              <w:rPr>
                <w:rFonts w:hint="eastAsia"/>
                <w:color w:val="auto"/>
              </w:rPr>
              <w:t>17</w:t>
            </w:r>
            <w:r>
              <w:rPr>
                <w:color w:val="auto"/>
              </w:rPr>
              <w:t>万元，占总投资的</w:t>
            </w:r>
            <w:r>
              <w:rPr>
                <w:rFonts w:hint="eastAsia"/>
                <w:color w:val="auto"/>
              </w:rPr>
              <w:t>34</w:t>
            </w:r>
            <w:r>
              <w:rPr>
                <w:color w:val="auto"/>
              </w:rPr>
              <w:t>%。</w:t>
            </w:r>
            <w:r>
              <w:rPr>
                <w:rFonts w:hint="eastAsia"/>
                <w:color w:val="auto"/>
              </w:rPr>
              <w:t>具体环保投资</w:t>
            </w:r>
            <w:r>
              <w:rPr>
                <w:color w:val="auto"/>
              </w:rPr>
              <w:t>详见</w:t>
            </w:r>
            <w:r>
              <w:rPr>
                <w:rFonts w:hint="eastAsia"/>
                <w:color w:val="auto"/>
              </w:rPr>
              <w:t>下表</w:t>
            </w:r>
            <w:r>
              <w:rPr>
                <w:color w:val="auto"/>
              </w:rPr>
              <w:t>。</w:t>
            </w:r>
          </w:p>
          <w:p>
            <w:pPr>
              <w:pStyle w:val="14"/>
              <w:rPr>
                <w:color w:val="auto"/>
              </w:rPr>
            </w:pPr>
            <w:r>
              <w:rPr>
                <w:color w:val="auto"/>
              </w:rPr>
              <w:t>表2-</w:t>
            </w:r>
            <w:r>
              <w:rPr>
                <w:rFonts w:hint="eastAsia"/>
                <w:color w:val="auto"/>
                <w:lang w:val="en-US" w:eastAsia="zh-CN"/>
              </w:rPr>
              <w:t>15</w:t>
            </w:r>
            <w:r>
              <w:rPr>
                <w:color w:val="auto"/>
              </w:rPr>
              <w:t xml:space="preserve">  </w:t>
            </w:r>
            <w:r>
              <w:rPr>
                <w:rFonts w:hint="eastAsia"/>
                <w:color w:val="auto"/>
              </w:rPr>
              <w:t>改建</w:t>
            </w:r>
            <w:r>
              <w:rPr>
                <w:color w:val="auto"/>
              </w:rPr>
              <w:t>项目环保投资估算一览表</w:t>
            </w:r>
          </w:p>
          <w:tbl>
            <w:tblPr>
              <w:tblStyle w:val="11"/>
              <w:tblW w:w="8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761"/>
              <w:gridCol w:w="4776"/>
              <w:gridCol w:w="1088"/>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tcBorders>
                    <w:tl2br w:val="nil"/>
                    <w:tr2bl w:val="nil"/>
                  </w:tcBorders>
                  <w:vAlign w:val="center"/>
                </w:tcPr>
                <w:p>
                  <w:pPr>
                    <w:pStyle w:val="15"/>
                    <w:rPr>
                      <w:color w:val="auto"/>
                    </w:rPr>
                  </w:pPr>
                  <w:r>
                    <w:rPr>
                      <w:color w:val="auto"/>
                    </w:rPr>
                    <w:t>时期</w:t>
                  </w:r>
                </w:p>
              </w:tc>
              <w:tc>
                <w:tcPr>
                  <w:tcW w:w="761" w:type="dxa"/>
                  <w:tcBorders>
                    <w:tl2br w:val="nil"/>
                    <w:tr2bl w:val="nil"/>
                  </w:tcBorders>
                  <w:vAlign w:val="center"/>
                </w:tcPr>
                <w:p>
                  <w:pPr>
                    <w:pStyle w:val="15"/>
                    <w:rPr>
                      <w:color w:val="auto"/>
                    </w:rPr>
                  </w:pPr>
                  <w:r>
                    <w:rPr>
                      <w:rFonts w:hint="eastAsia"/>
                      <w:color w:val="auto"/>
                    </w:rPr>
                    <w:t>类别</w:t>
                  </w:r>
                </w:p>
              </w:tc>
              <w:tc>
                <w:tcPr>
                  <w:tcW w:w="4776" w:type="dxa"/>
                  <w:tcBorders>
                    <w:tl2br w:val="nil"/>
                    <w:tr2bl w:val="nil"/>
                  </w:tcBorders>
                  <w:vAlign w:val="center"/>
                </w:tcPr>
                <w:p>
                  <w:pPr>
                    <w:pStyle w:val="15"/>
                    <w:rPr>
                      <w:color w:val="auto"/>
                    </w:rPr>
                  </w:pPr>
                  <w:r>
                    <w:rPr>
                      <w:rFonts w:hint="eastAsia"/>
                      <w:color w:val="auto"/>
                    </w:rPr>
                    <w:t>污染治理措施</w:t>
                  </w:r>
                </w:p>
              </w:tc>
              <w:tc>
                <w:tcPr>
                  <w:tcW w:w="1088" w:type="dxa"/>
                  <w:tcBorders>
                    <w:tl2br w:val="nil"/>
                    <w:tr2bl w:val="nil"/>
                  </w:tcBorders>
                  <w:vAlign w:val="center"/>
                </w:tcPr>
                <w:p>
                  <w:pPr>
                    <w:pStyle w:val="15"/>
                    <w:rPr>
                      <w:color w:val="auto"/>
                    </w:rPr>
                  </w:pPr>
                  <w:r>
                    <w:rPr>
                      <w:color w:val="auto"/>
                    </w:rPr>
                    <w:t>环保投资（万元）</w:t>
                  </w:r>
                </w:p>
              </w:tc>
              <w:tc>
                <w:tcPr>
                  <w:tcW w:w="1091" w:type="dxa"/>
                  <w:tcBorders>
                    <w:tl2br w:val="nil"/>
                    <w:tr2bl w:val="nil"/>
                  </w:tcBorders>
                  <w:vAlign w:val="center"/>
                </w:tcPr>
                <w:p>
                  <w:pPr>
                    <w:pStyle w:val="15"/>
                    <w:rPr>
                      <w:color w:val="auto"/>
                    </w:rPr>
                  </w:pPr>
                  <w:r>
                    <w:rPr>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restart"/>
                  <w:tcBorders>
                    <w:tl2br w:val="nil"/>
                    <w:tr2bl w:val="nil"/>
                  </w:tcBorders>
                  <w:vAlign w:val="center"/>
                </w:tcPr>
                <w:p>
                  <w:pPr>
                    <w:pStyle w:val="15"/>
                    <w:rPr>
                      <w:color w:val="auto"/>
                    </w:rPr>
                  </w:pPr>
                  <w:r>
                    <w:rPr>
                      <w:color w:val="auto"/>
                    </w:rPr>
                    <w:t>运营期</w:t>
                  </w:r>
                </w:p>
              </w:tc>
              <w:tc>
                <w:tcPr>
                  <w:tcW w:w="761" w:type="dxa"/>
                  <w:vMerge w:val="restart"/>
                  <w:tcBorders>
                    <w:tl2br w:val="nil"/>
                    <w:tr2bl w:val="nil"/>
                  </w:tcBorders>
                  <w:vAlign w:val="center"/>
                </w:tcPr>
                <w:p>
                  <w:pPr>
                    <w:pStyle w:val="15"/>
                    <w:rPr>
                      <w:color w:val="auto"/>
                    </w:rPr>
                  </w:pPr>
                  <w:r>
                    <w:rPr>
                      <w:color w:val="auto"/>
                    </w:rPr>
                    <w:t>废</w:t>
                  </w:r>
                  <w:r>
                    <w:rPr>
                      <w:rFonts w:hint="eastAsia"/>
                      <w:color w:val="auto"/>
                    </w:rPr>
                    <w:t>水</w:t>
                  </w:r>
                </w:p>
              </w:tc>
              <w:tc>
                <w:tcPr>
                  <w:tcW w:w="4776" w:type="dxa"/>
                  <w:tcBorders>
                    <w:tl2br w:val="nil"/>
                    <w:tr2bl w:val="nil"/>
                  </w:tcBorders>
                  <w:vAlign w:val="center"/>
                </w:tcPr>
                <w:p>
                  <w:pPr>
                    <w:pStyle w:val="15"/>
                    <w:rPr>
                      <w:color w:val="auto"/>
                    </w:rPr>
                  </w:pPr>
                  <w:r>
                    <w:rPr>
                      <w:rFonts w:hint="eastAsia"/>
                      <w:color w:val="auto"/>
                    </w:rPr>
                    <w:t>初期雨水收集池1座，容积3150m</w:t>
                  </w:r>
                  <w:r>
                    <w:rPr>
                      <w:rFonts w:hint="eastAsia"/>
                      <w:color w:val="auto"/>
                      <w:vertAlign w:val="superscript"/>
                    </w:rPr>
                    <w:t>3</w:t>
                  </w:r>
                </w:p>
              </w:tc>
              <w:tc>
                <w:tcPr>
                  <w:tcW w:w="1088" w:type="dxa"/>
                  <w:tcBorders>
                    <w:tl2br w:val="nil"/>
                    <w:tr2bl w:val="nil"/>
                  </w:tcBorders>
                  <w:vAlign w:val="center"/>
                </w:tcPr>
                <w:p>
                  <w:pPr>
                    <w:pStyle w:val="15"/>
                    <w:rPr>
                      <w:color w:val="auto"/>
                    </w:rPr>
                  </w:pPr>
                  <w:r>
                    <w:rPr>
                      <w:rFonts w:hint="eastAsia"/>
                      <w:color w:val="auto"/>
                    </w:rPr>
                    <w:t>/</w:t>
                  </w:r>
                </w:p>
              </w:tc>
              <w:tc>
                <w:tcPr>
                  <w:tcW w:w="1091" w:type="dxa"/>
                  <w:tcBorders>
                    <w:tl2br w:val="nil"/>
                    <w:tr2bl w:val="nil"/>
                  </w:tcBorders>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vMerge w:val="continue"/>
                  <w:tcBorders>
                    <w:tl2br w:val="nil"/>
                    <w:tr2bl w:val="nil"/>
                  </w:tcBorders>
                  <w:vAlign w:val="center"/>
                </w:tcPr>
                <w:p>
                  <w:pPr>
                    <w:pStyle w:val="15"/>
                    <w:rPr>
                      <w:color w:val="auto"/>
                    </w:rPr>
                  </w:pPr>
                </w:p>
              </w:tc>
              <w:tc>
                <w:tcPr>
                  <w:tcW w:w="4776" w:type="dxa"/>
                  <w:tcBorders>
                    <w:tl2br w:val="nil"/>
                    <w:tr2bl w:val="nil"/>
                  </w:tcBorders>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事故池</w:t>
                  </w:r>
                  <w:r>
                    <w:rPr>
                      <w:rFonts w:hint="eastAsia"/>
                      <w:color w:val="auto"/>
                    </w:rPr>
                    <w:t>1座，容积</w:t>
                  </w:r>
                  <w:r>
                    <w:rPr>
                      <w:rFonts w:hint="eastAsia"/>
                      <w:color w:val="auto"/>
                      <w:lang w:val="en-US" w:eastAsia="zh-CN"/>
                    </w:rPr>
                    <w:t>50</w:t>
                  </w:r>
                  <w:r>
                    <w:rPr>
                      <w:rFonts w:hint="eastAsia"/>
                      <w:color w:val="auto"/>
                    </w:rPr>
                    <w:t>0m</w:t>
                  </w:r>
                  <w:r>
                    <w:rPr>
                      <w:rFonts w:hint="eastAsia"/>
                      <w:color w:val="auto"/>
                      <w:vertAlign w:val="superscript"/>
                    </w:rPr>
                    <w:t>3</w:t>
                  </w:r>
                </w:p>
              </w:tc>
              <w:tc>
                <w:tcPr>
                  <w:tcW w:w="1088" w:type="dxa"/>
                  <w:tcBorders>
                    <w:tl2br w:val="nil"/>
                    <w:tr2bl w:val="nil"/>
                  </w:tcBorders>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c>
                <w:tcPr>
                  <w:tcW w:w="1091" w:type="dxa"/>
                  <w:tcBorders>
                    <w:tl2br w:val="nil"/>
                    <w:tr2bl w:val="nil"/>
                  </w:tcBorders>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vMerge w:val="continue"/>
                  <w:tcBorders>
                    <w:tl2br w:val="nil"/>
                    <w:tr2bl w:val="nil"/>
                  </w:tcBorders>
                  <w:vAlign w:val="center"/>
                </w:tcPr>
                <w:p>
                  <w:pPr>
                    <w:pStyle w:val="15"/>
                    <w:rPr>
                      <w:color w:val="auto"/>
                    </w:rPr>
                  </w:pPr>
                </w:p>
              </w:tc>
              <w:tc>
                <w:tcPr>
                  <w:tcW w:w="4776" w:type="dxa"/>
                  <w:tcBorders>
                    <w:tl2br w:val="nil"/>
                    <w:tr2bl w:val="nil"/>
                  </w:tcBorders>
                  <w:vAlign w:val="center"/>
                </w:tcPr>
                <w:p>
                  <w:pPr>
                    <w:pStyle w:val="15"/>
                    <w:rPr>
                      <w:color w:val="auto"/>
                    </w:rPr>
                  </w:pPr>
                  <w:r>
                    <w:rPr>
                      <w:rFonts w:hint="eastAsia"/>
                      <w:color w:val="auto"/>
                    </w:rPr>
                    <w:t>化粪池1座，容积</w:t>
                  </w:r>
                  <w:r>
                    <w:rPr>
                      <w:rFonts w:hint="eastAsia"/>
                      <w:color w:val="auto"/>
                      <w:lang w:val="en-US" w:eastAsia="zh-CN"/>
                    </w:rPr>
                    <w:t>45</w:t>
                  </w:r>
                  <w:r>
                    <w:rPr>
                      <w:rFonts w:hint="eastAsia"/>
                      <w:color w:val="auto"/>
                    </w:rPr>
                    <w:t>m</w:t>
                  </w:r>
                  <w:r>
                    <w:rPr>
                      <w:rFonts w:hint="eastAsia"/>
                      <w:color w:val="auto"/>
                      <w:vertAlign w:val="superscript"/>
                    </w:rPr>
                    <w:t>3</w:t>
                  </w:r>
                  <w:r>
                    <w:rPr>
                      <w:rFonts w:hint="eastAsia"/>
                      <w:color w:val="auto"/>
                    </w:rPr>
                    <w:t>。</w:t>
                  </w:r>
                </w:p>
              </w:tc>
              <w:tc>
                <w:tcPr>
                  <w:tcW w:w="1088" w:type="dxa"/>
                  <w:tcBorders>
                    <w:tl2br w:val="nil"/>
                    <w:tr2bl w:val="nil"/>
                  </w:tcBorders>
                  <w:vAlign w:val="center"/>
                </w:tcPr>
                <w:p>
                  <w:pPr>
                    <w:pStyle w:val="15"/>
                    <w:rPr>
                      <w:color w:val="auto"/>
                    </w:rPr>
                  </w:pPr>
                  <w:r>
                    <w:rPr>
                      <w:rFonts w:hint="eastAsia"/>
                      <w:color w:val="auto"/>
                    </w:rPr>
                    <w:t>/</w:t>
                  </w:r>
                </w:p>
              </w:tc>
              <w:tc>
                <w:tcPr>
                  <w:tcW w:w="1091" w:type="dxa"/>
                  <w:tcBorders>
                    <w:tl2br w:val="nil"/>
                    <w:tr2bl w:val="nil"/>
                  </w:tcBorders>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vMerge w:val="continue"/>
                  <w:tcBorders>
                    <w:tl2br w:val="nil"/>
                    <w:tr2bl w:val="nil"/>
                  </w:tcBorders>
                  <w:vAlign w:val="center"/>
                </w:tcPr>
                <w:p>
                  <w:pPr>
                    <w:pStyle w:val="15"/>
                    <w:rPr>
                      <w:color w:val="auto"/>
                    </w:rPr>
                  </w:pPr>
                </w:p>
              </w:tc>
              <w:tc>
                <w:tcPr>
                  <w:tcW w:w="4776" w:type="dxa"/>
                  <w:tcBorders>
                    <w:tl2br w:val="nil"/>
                    <w:tr2bl w:val="nil"/>
                  </w:tcBorders>
                  <w:vAlign w:val="center"/>
                </w:tcPr>
                <w:p>
                  <w:pPr>
                    <w:pStyle w:val="15"/>
                    <w:rPr>
                      <w:color w:val="auto"/>
                    </w:rPr>
                  </w:pPr>
                  <w:r>
                    <w:rPr>
                      <w:rFonts w:hint="eastAsia"/>
                      <w:color w:val="auto"/>
                    </w:rPr>
                    <w:t>一体化污水处理设施1座，处理能力10m</w:t>
                  </w:r>
                  <w:r>
                    <w:rPr>
                      <w:rFonts w:hint="eastAsia"/>
                      <w:color w:val="auto"/>
                      <w:vertAlign w:val="superscript"/>
                    </w:rPr>
                    <w:t>3</w:t>
                  </w:r>
                  <w:r>
                    <w:rPr>
                      <w:rFonts w:hint="eastAsia"/>
                      <w:color w:val="auto"/>
                    </w:rPr>
                    <w:t>/d，处理工艺为A/O+MBR膜生物反应工艺</w:t>
                  </w:r>
                </w:p>
              </w:tc>
              <w:tc>
                <w:tcPr>
                  <w:tcW w:w="1088" w:type="dxa"/>
                  <w:tcBorders>
                    <w:tl2br w:val="nil"/>
                    <w:tr2bl w:val="nil"/>
                  </w:tcBorders>
                  <w:vAlign w:val="center"/>
                </w:tcPr>
                <w:p>
                  <w:pPr>
                    <w:pStyle w:val="15"/>
                    <w:rPr>
                      <w:color w:val="auto"/>
                    </w:rPr>
                  </w:pPr>
                  <w:r>
                    <w:rPr>
                      <w:rFonts w:hint="eastAsia"/>
                      <w:color w:val="auto"/>
                    </w:rPr>
                    <w:t>/</w:t>
                  </w:r>
                </w:p>
              </w:tc>
              <w:tc>
                <w:tcPr>
                  <w:tcW w:w="1091" w:type="dxa"/>
                  <w:tcBorders>
                    <w:tl2br w:val="nil"/>
                    <w:tr2bl w:val="nil"/>
                  </w:tcBorders>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vMerge w:val="continue"/>
                  <w:tcBorders>
                    <w:tl2br w:val="nil"/>
                    <w:tr2bl w:val="nil"/>
                  </w:tcBorders>
                  <w:vAlign w:val="center"/>
                </w:tcPr>
                <w:p>
                  <w:pPr>
                    <w:pStyle w:val="15"/>
                    <w:rPr>
                      <w:color w:val="auto"/>
                    </w:rPr>
                  </w:pPr>
                </w:p>
              </w:tc>
              <w:tc>
                <w:tcPr>
                  <w:tcW w:w="4776" w:type="dxa"/>
                  <w:tcBorders>
                    <w:tl2br w:val="nil"/>
                    <w:tr2bl w:val="nil"/>
                  </w:tcBorders>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一体化初期雨水处理设施</w:t>
                  </w:r>
                  <w:r>
                    <w:rPr>
                      <w:rFonts w:hint="eastAsia"/>
                      <w:color w:val="auto"/>
                    </w:rPr>
                    <w:t>1座，处理能力</w:t>
                  </w:r>
                  <w:r>
                    <w:rPr>
                      <w:rFonts w:hint="eastAsia"/>
                      <w:color w:val="auto"/>
                      <w:lang w:val="en-US" w:eastAsia="zh-CN"/>
                    </w:rPr>
                    <w:t>40</w:t>
                  </w:r>
                  <w:r>
                    <w:rPr>
                      <w:rFonts w:hint="eastAsia"/>
                      <w:color w:val="auto"/>
                    </w:rPr>
                    <w:t>m</w:t>
                  </w:r>
                  <w:r>
                    <w:rPr>
                      <w:rFonts w:hint="eastAsia"/>
                      <w:color w:val="auto"/>
                      <w:vertAlign w:val="superscript"/>
                    </w:rPr>
                    <w:t>3</w:t>
                  </w:r>
                  <w:r>
                    <w:rPr>
                      <w:rFonts w:hint="eastAsia"/>
                      <w:color w:val="auto"/>
                    </w:rPr>
                    <w:t>/</w:t>
                  </w:r>
                  <w:r>
                    <w:rPr>
                      <w:rFonts w:hint="eastAsia"/>
                      <w:color w:val="auto"/>
                      <w:lang w:val="en-US" w:eastAsia="zh-CN"/>
                    </w:rPr>
                    <w:t>h</w:t>
                  </w:r>
                  <w:r>
                    <w:rPr>
                      <w:rFonts w:hint="eastAsia"/>
                      <w:color w:val="auto"/>
                    </w:rPr>
                    <w:t>，处理工艺格栅+收集池+除氟反应+除磷反应+絮凝反应+斜管沉淀+清水池</w:t>
                  </w:r>
                  <w:r>
                    <w:rPr>
                      <w:rFonts w:hint="eastAsia"/>
                      <w:color w:val="auto"/>
                      <w:lang w:eastAsia="zh-CN"/>
                    </w:rPr>
                    <w:t>。</w:t>
                  </w:r>
                </w:p>
              </w:tc>
              <w:tc>
                <w:tcPr>
                  <w:tcW w:w="1088" w:type="dxa"/>
                  <w:tcBorders>
                    <w:tl2br w:val="nil"/>
                    <w:tr2bl w:val="nil"/>
                  </w:tcBorders>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c>
                <w:tcPr>
                  <w:tcW w:w="1091" w:type="dxa"/>
                  <w:tcBorders>
                    <w:tl2br w:val="nil"/>
                    <w:tr2bl w:val="nil"/>
                  </w:tcBorders>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vMerge w:val="continue"/>
                  <w:tcBorders>
                    <w:tl2br w:val="nil"/>
                    <w:tr2bl w:val="nil"/>
                  </w:tcBorders>
                  <w:vAlign w:val="center"/>
                </w:tcPr>
                <w:p>
                  <w:pPr>
                    <w:pStyle w:val="15"/>
                    <w:rPr>
                      <w:color w:val="auto"/>
                    </w:rPr>
                  </w:pPr>
                </w:p>
              </w:tc>
              <w:tc>
                <w:tcPr>
                  <w:tcW w:w="4776" w:type="dxa"/>
                  <w:tcBorders>
                    <w:tl2br w:val="nil"/>
                    <w:tr2bl w:val="nil"/>
                  </w:tcBorders>
                  <w:vAlign w:val="center"/>
                </w:tcPr>
                <w:p>
                  <w:pPr>
                    <w:pStyle w:val="15"/>
                    <w:rPr>
                      <w:color w:val="auto"/>
                    </w:rPr>
                  </w:pPr>
                  <w:r>
                    <w:rPr>
                      <w:rFonts w:hint="eastAsia"/>
                      <w:color w:val="auto"/>
                    </w:rPr>
                    <w:t>新建渗滤液收集池1座，容积2m</w:t>
                  </w:r>
                  <w:r>
                    <w:rPr>
                      <w:rFonts w:hint="eastAsia"/>
                      <w:color w:val="auto"/>
                      <w:vertAlign w:val="superscript"/>
                    </w:rPr>
                    <w:t>3</w:t>
                  </w:r>
                </w:p>
              </w:tc>
              <w:tc>
                <w:tcPr>
                  <w:tcW w:w="1088" w:type="dxa"/>
                  <w:tcBorders>
                    <w:tl2br w:val="nil"/>
                    <w:tr2bl w:val="nil"/>
                  </w:tcBorders>
                  <w:vAlign w:val="center"/>
                </w:tcPr>
                <w:p>
                  <w:pPr>
                    <w:pStyle w:val="15"/>
                    <w:rPr>
                      <w:color w:val="auto"/>
                    </w:rPr>
                  </w:pPr>
                  <w:r>
                    <w:rPr>
                      <w:rFonts w:hint="eastAsia"/>
                      <w:color w:val="auto"/>
                    </w:rPr>
                    <w:t>2</w:t>
                  </w:r>
                </w:p>
              </w:tc>
              <w:tc>
                <w:tcPr>
                  <w:tcW w:w="1091" w:type="dxa"/>
                  <w:tcBorders>
                    <w:tl2br w:val="nil"/>
                    <w:tr2bl w:val="nil"/>
                  </w:tcBorders>
                  <w:vAlign w:val="center"/>
                </w:tcPr>
                <w:p>
                  <w:pPr>
                    <w:pStyle w:val="15"/>
                    <w:rPr>
                      <w:color w:val="auto"/>
                    </w:rPr>
                  </w:pPr>
                  <w:r>
                    <w:rPr>
                      <w:rFonts w:hint="eastAsia"/>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vMerge w:val="restart"/>
                  <w:tcBorders>
                    <w:tl2br w:val="nil"/>
                    <w:tr2bl w:val="nil"/>
                  </w:tcBorders>
                  <w:vAlign w:val="center"/>
                </w:tcPr>
                <w:p>
                  <w:pPr>
                    <w:pStyle w:val="15"/>
                    <w:rPr>
                      <w:color w:val="auto"/>
                    </w:rPr>
                  </w:pPr>
                  <w:r>
                    <w:rPr>
                      <w:color w:val="auto"/>
                    </w:rPr>
                    <w:t>废</w:t>
                  </w:r>
                  <w:r>
                    <w:rPr>
                      <w:rFonts w:hint="eastAsia"/>
                      <w:color w:val="auto"/>
                    </w:rPr>
                    <w:t>气</w:t>
                  </w:r>
                </w:p>
              </w:tc>
              <w:tc>
                <w:tcPr>
                  <w:tcW w:w="4776" w:type="dxa"/>
                  <w:tcBorders>
                    <w:tl2br w:val="nil"/>
                    <w:tr2bl w:val="nil"/>
                  </w:tcBorders>
                  <w:vAlign w:val="center"/>
                </w:tcPr>
                <w:p>
                  <w:pPr>
                    <w:pStyle w:val="15"/>
                    <w:rPr>
                      <w:color w:val="auto"/>
                    </w:rPr>
                  </w:pPr>
                  <w:r>
                    <w:rPr>
                      <w:rFonts w:hint="eastAsia"/>
                      <w:color w:val="auto"/>
                    </w:rPr>
                    <w:t>布袋除尘器1套</w:t>
                  </w:r>
                  <w:r>
                    <w:rPr>
                      <w:rFonts w:hint="eastAsia"/>
                      <w:color w:val="auto"/>
                      <w:lang w:eastAsia="zh-CN"/>
                    </w:rPr>
                    <w:t>，</w:t>
                  </w:r>
                  <w:r>
                    <w:rPr>
                      <w:rFonts w:hint="eastAsia"/>
                      <w:color w:val="auto"/>
                    </w:rPr>
                    <w:t>20m高排气筒（DA010）1根。</w:t>
                  </w:r>
                </w:p>
              </w:tc>
              <w:tc>
                <w:tcPr>
                  <w:tcW w:w="1088" w:type="dxa"/>
                  <w:tcBorders>
                    <w:tl2br w:val="nil"/>
                    <w:tr2bl w:val="nil"/>
                  </w:tcBorders>
                  <w:vAlign w:val="center"/>
                </w:tcPr>
                <w:p>
                  <w:pPr>
                    <w:pStyle w:val="15"/>
                    <w:rPr>
                      <w:color w:val="auto"/>
                    </w:rPr>
                  </w:pPr>
                  <w:r>
                    <w:rPr>
                      <w:rFonts w:hint="eastAsia"/>
                      <w:color w:val="auto"/>
                    </w:rPr>
                    <w:t>/</w:t>
                  </w:r>
                </w:p>
              </w:tc>
              <w:tc>
                <w:tcPr>
                  <w:tcW w:w="1091" w:type="dxa"/>
                  <w:vMerge w:val="restart"/>
                  <w:tcBorders>
                    <w:tl2br w:val="nil"/>
                    <w:tr2bl w:val="nil"/>
                  </w:tcBorders>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vMerge w:val="continue"/>
                  <w:tcBorders>
                    <w:tl2br w:val="nil"/>
                    <w:tr2bl w:val="nil"/>
                  </w:tcBorders>
                  <w:vAlign w:val="center"/>
                </w:tcPr>
                <w:p>
                  <w:pPr>
                    <w:pStyle w:val="15"/>
                    <w:rPr>
                      <w:color w:val="auto"/>
                    </w:rPr>
                  </w:pPr>
                </w:p>
              </w:tc>
              <w:tc>
                <w:tcPr>
                  <w:tcW w:w="4776" w:type="dxa"/>
                  <w:tcBorders>
                    <w:tl2br w:val="nil"/>
                    <w:tr2bl w:val="nil"/>
                  </w:tcBorders>
                  <w:vAlign w:val="center"/>
                </w:tcPr>
                <w:p>
                  <w:pPr>
                    <w:pStyle w:val="15"/>
                    <w:rPr>
                      <w:rFonts w:hint="eastAsia" w:eastAsia="宋体"/>
                      <w:color w:val="auto"/>
                      <w:lang w:eastAsia="zh-CN"/>
                    </w:rPr>
                  </w:pPr>
                  <w:r>
                    <w:rPr>
                      <w:rFonts w:hint="eastAsia"/>
                      <w:color w:val="auto"/>
                    </w:rPr>
                    <w:t>旋风除尘器+水膜脱硫除尘</w:t>
                  </w:r>
                  <w:r>
                    <w:rPr>
                      <w:rFonts w:hint="eastAsia"/>
                      <w:color w:val="auto"/>
                      <w:lang w:val="en-US" w:eastAsia="zh-CN"/>
                    </w:rPr>
                    <w:t>设施</w:t>
                  </w:r>
                  <w:r>
                    <w:rPr>
                      <w:rFonts w:hint="eastAsia"/>
                      <w:color w:val="auto"/>
                    </w:rPr>
                    <w:t>1套</w:t>
                  </w:r>
                  <w:r>
                    <w:rPr>
                      <w:rFonts w:hint="eastAsia"/>
                      <w:color w:val="auto"/>
                      <w:lang w:eastAsia="zh-CN"/>
                    </w:rPr>
                    <w:t>，</w:t>
                  </w:r>
                  <w:r>
                    <w:rPr>
                      <w:rFonts w:hint="eastAsia"/>
                      <w:color w:val="auto"/>
                    </w:rPr>
                    <w:t>35m高排气筒（DA002）1根</w:t>
                  </w:r>
                  <w:r>
                    <w:rPr>
                      <w:rFonts w:hint="eastAsia"/>
                      <w:color w:val="auto"/>
                      <w:lang w:eastAsia="zh-CN"/>
                    </w:rPr>
                    <w:t>。</w:t>
                  </w:r>
                </w:p>
              </w:tc>
              <w:tc>
                <w:tcPr>
                  <w:tcW w:w="1088" w:type="dxa"/>
                  <w:tcBorders>
                    <w:tl2br w:val="nil"/>
                    <w:tr2bl w:val="nil"/>
                  </w:tcBorders>
                  <w:vAlign w:val="center"/>
                </w:tcPr>
                <w:p>
                  <w:pPr>
                    <w:pStyle w:val="15"/>
                    <w:rPr>
                      <w:rFonts w:hint="eastAsia"/>
                      <w:color w:val="auto"/>
                    </w:rPr>
                  </w:pPr>
                  <w:r>
                    <w:rPr>
                      <w:rFonts w:hint="eastAsia"/>
                      <w:color w:val="auto"/>
                    </w:rPr>
                    <w:t>/</w:t>
                  </w:r>
                </w:p>
              </w:tc>
              <w:tc>
                <w:tcPr>
                  <w:tcW w:w="1091" w:type="dxa"/>
                  <w:vMerge w:val="continue"/>
                  <w:tcBorders>
                    <w:tl2br w:val="nil"/>
                    <w:tr2bl w:val="nil"/>
                  </w:tcBorders>
                  <w:vAlign w:val="center"/>
                </w:tcPr>
                <w:p>
                  <w:pPr>
                    <w:pStyle w:val="15"/>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vMerge w:val="continue"/>
                  <w:tcBorders>
                    <w:tl2br w:val="nil"/>
                    <w:tr2bl w:val="nil"/>
                  </w:tcBorders>
                  <w:vAlign w:val="center"/>
                </w:tcPr>
                <w:p>
                  <w:pPr>
                    <w:pStyle w:val="15"/>
                    <w:rPr>
                      <w:color w:val="auto"/>
                    </w:rPr>
                  </w:pPr>
                </w:p>
              </w:tc>
              <w:tc>
                <w:tcPr>
                  <w:tcW w:w="4776" w:type="dxa"/>
                  <w:tcBorders>
                    <w:tl2br w:val="nil"/>
                    <w:tr2bl w:val="nil"/>
                  </w:tcBorders>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旋风除尘器+重力沉降室+</w:t>
                  </w:r>
                  <w:r>
                    <w:rPr>
                      <w:rFonts w:hint="eastAsia"/>
                      <w:color w:val="auto"/>
                      <w:lang w:eastAsia="zh-CN"/>
                    </w:rPr>
                    <w:t>水膜脱硫除尘</w:t>
                  </w:r>
                  <w:r>
                    <w:rPr>
                      <w:rFonts w:hint="eastAsia"/>
                      <w:color w:val="auto"/>
                      <w:lang w:val="en-US" w:eastAsia="zh-CN"/>
                    </w:rPr>
                    <w:t>装置</w:t>
                  </w:r>
                  <w:r>
                    <w:rPr>
                      <w:rFonts w:hint="eastAsia"/>
                      <w:color w:val="auto"/>
                    </w:rPr>
                    <w:t>1套</w:t>
                  </w:r>
                  <w:r>
                    <w:rPr>
                      <w:rFonts w:hint="eastAsia"/>
                      <w:color w:val="auto"/>
                      <w:lang w:val="en-US" w:eastAsia="zh-CN"/>
                    </w:rPr>
                    <w:t>，</w:t>
                  </w:r>
                  <w:r>
                    <w:rPr>
                      <w:rFonts w:hint="eastAsia"/>
                      <w:color w:val="auto"/>
                    </w:rPr>
                    <w:t>15m高排气筒（DA009）1根</w:t>
                  </w:r>
                </w:p>
              </w:tc>
              <w:tc>
                <w:tcPr>
                  <w:tcW w:w="1088" w:type="dxa"/>
                  <w:tcBorders>
                    <w:tl2br w:val="nil"/>
                    <w:tr2bl w:val="nil"/>
                  </w:tcBorders>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c>
                <w:tcPr>
                  <w:tcW w:w="1091" w:type="dxa"/>
                  <w:vMerge w:val="continue"/>
                  <w:tcBorders>
                    <w:tl2br w:val="nil"/>
                    <w:tr2bl w:val="nil"/>
                  </w:tcBorders>
                  <w:vAlign w:val="center"/>
                </w:tcPr>
                <w:p>
                  <w:pPr>
                    <w:pStyle w:val="15"/>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vMerge w:val="continue"/>
                  <w:tcBorders>
                    <w:tl2br w:val="nil"/>
                    <w:tr2bl w:val="nil"/>
                  </w:tcBorders>
                  <w:vAlign w:val="center"/>
                </w:tcPr>
                <w:p>
                  <w:pPr>
                    <w:pStyle w:val="15"/>
                    <w:rPr>
                      <w:color w:val="auto"/>
                    </w:rPr>
                  </w:pPr>
                </w:p>
              </w:tc>
              <w:tc>
                <w:tcPr>
                  <w:tcW w:w="4776" w:type="dxa"/>
                  <w:tcBorders>
                    <w:tl2br w:val="nil"/>
                    <w:tr2bl w:val="nil"/>
                  </w:tcBorders>
                  <w:vAlign w:val="center"/>
                </w:tcPr>
                <w:p>
                  <w:pPr>
                    <w:pStyle w:val="15"/>
                    <w:rPr>
                      <w:rFonts w:hint="default" w:eastAsia="宋体"/>
                      <w:color w:val="auto"/>
                      <w:lang w:val="en-US" w:eastAsia="zh-CN"/>
                    </w:rPr>
                  </w:pPr>
                  <w:r>
                    <w:rPr>
                      <w:rFonts w:hint="eastAsia"/>
                      <w:color w:val="auto"/>
                    </w:rPr>
                    <w:t>DA009</w:t>
                  </w:r>
                  <w:r>
                    <w:rPr>
                      <w:rFonts w:hint="eastAsia"/>
                      <w:color w:val="auto"/>
                      <w:lang w:eastAsia="zh-CN"/>
                    </w:rPr>
                    <w:t>、</w:t>
                  </w:r>
                  <w:r>
                    <w:rPr>
                      <w:rFonts w:hint="eastAsia"/>
                      <w:color w:val="auto"/>
                    </w:rPr>
                    <w:t>DA010</w:t>
                  </w:r>
                  <w:r>
                    <w:rPr>
                      <w:rFonts w:hint="eastAsia"/>
                      <w:color w:val="auto"/>
                      <w:lang w:val="en-US" w:eastAsia="zh-CN"/>
                    </w:rPr>
                    <w:t>排气筒颗粒物自动在线监测设备各1套</w:t>
                  </w:r>
                </w:p>
              </w:tc>
              <w:tc>
                <w:tcPr>
                  <w:tcW w:w="1088" w:type="dxa"/>
                  <w:tcBorders>
                    <w:tl2br w:val="nil"/>
                    <w:tr2bl w:val="nil"/>
                  </w:tcBorders>
                  <w:vAlign w:val="center"/>
                </w:tcPr>
                <w:p>
                  <w:pPr>
                    <w:pStyle w:val="15"/>
                    <w:rPr>
                      <w:color w:val="auto"/>
                    </w:rPr>
                  </w:pPr>
                  <w:r>
                    <w:rPr>
                      <w:rFonts w:hint="eastAsia"/>
                      <w:color w:val="auto"/>
                    </w:rPr>
                    <w:t>/</w:t>
                  </w:r>
                </w:p>
              </w:tc>
              <w:tc>
                <w:tcPr>
                  <w:tcW w:w="1091" w:type="dxa"/>
                  <w:vMerge w:val="continue"/>
                  <w:tcBorders>
                    <w:tl2br w:val="nil"/>
                    <w:tr2bl w:val="nil"/>
                  </w:tcBorders>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tcBorders>
                    <w:tl2br w:val="nil"/>
                    <w:tr2bl w:val="nil"/>
                  </w:tcBorders>
                  <w:vAlign w:val="center"/>
                </w:tcPr>
                <w:p>
                  <w:pPr>
                    <w:pStyle w:val="15"/>
                    <w:rPr>
                      <w:color w:val="auto"/>
                    </w:rPr>
                  </w:pPr>
                  <w:r>
                    <w:rPr>
                      <w:rFonts w:hint="eastAsia"/>
                      <w:color w:val="auto"/>
                    </w:rPr>
                    <w:t>噪声</w:t>
                  </w:r>
                </w:p>
              </w:tc>
              <w:tc>
                <w:tcPr>
                  <w:tcW w:w="4776" w:type="dxa"/>
                  <w:tcBorders>
                    <w:tl2br w:val="nil"/>
                    <w:tr2bl w:val="nil"/>
                  </w:tcBorders>
                  <w:vAlign w:val="center"/>
                </w:tcPr>
                <w:p>
                  <w:pPr>
                    <w:pStyle w:val="15"/>
                    <w:rPr>
                      <w:color w:val="auto"/>
                    </w:rPr>
                  </w:pPr>
                  <w:r>
                    <w:rPr>
                      <w:rFonts w:hint="eastAsia"/>
                      <w:color w:val="auto"/>
                    </w:rPr>
                    <w:t>隔声建筑物、减震</w:t>
                  </w:r>
                </w:p>
              </w:tc>
              <w:tc>
                <w:tcPr>
                  <w:tcW w:w="1088" w:type="dxa"/>
                  <w:tcBorders>
                    <w:tl2br w:val="nil"/>
                    <w:tr2bl w:val="nil"/>
                  </w:tcBorders>
                  <w:vAlign w:val="center"/>
                </w:tcPr>
                <w:p>
                  <w:pPr>
                    <w:pStyle w:val="15"/>
                    <w:rPr>
                      <w:color w:val="auto"/>
                    </w:rPr>
                  </w:pPr>
                  <w:r>
                    <w:rPr>
                      <w:rFonts w:hint="eastAsia"/>
                      <w:color w:val="auto"/>
                    </w:rPr>
                    <w:t>/</w:t>
                  </w:r>
                </w:p>
              </w:tc>
              <w:tc>
                <w:tcPr>
                  <w:tcW w:w="1091" w:type="dxa"/>
                  <w:vMerge w:val="continue"/>
                  <w:tcBorders>
                    <w:tl2br w:val="nil"/>
                    <w:tr2bl w:val="nil"/>
                  </w:tcBorders>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vMerge w:val="restart"/>
                  <w:tcBorders>
                    <w:tl2br w:val="nil"/>
                    <w:tr2bl w:val="nil"/>
                  </w:tcBorders>
                  <w:vAlign w:val="center"/>
                </w:tcPr>
                <w:p>
                  <w:pPr>
                    <w:pStyle w:val="15"/>
                    <w:rPr>
                      <w:color w:val="auto"/>
                    </w:rPr>
                  </w:pPr>
                  <w:r>
                    <w:rPr>
                      <w:color w:val="auto"/>
                    </w:rPr>
                    <w:t>固体废物</w:t>
                  </w:r>
                </w:p>
              </w:tc>
              <w:tc>
                <w:tcPr>
                  <w:tcW w:w="4776" w:type="dxa"/>
                  <w:tcBorders>
                    <w:tl2br w:val="nil"/>
                    <w:tr2bl w:val="nil"/>
                  </w:tcBorders>
                  <w:vAlign w:val="center"/>
                </w:tcPr>
                <w:p>
                  <w:pPr>
                    <w:pStyle w:val="15"/>
                    <w:rPr>
                      <w:rFonts w:hint="default" w:eastAsia="宋体"/>
                      <w:color w:val="auto"/>
                      <w:lang w:val="en-US" w:eastAsia="zh-CN"/>
                    </w:rPr>
                  </w:pPr>
                  <w:r>
                    <w:rPr>
                      <w:rFonts w:hint="eastAsia"/>
                      <w:color w:val="auto"/>
                    </w:rPr>
                    <w:t>危废暂存间共2m</w:t>
                  </w:r>
                  <w:r>
                    <w:rPr>
                      <w:rFonts w:hint="eastAsia"/>
                      <w:color w:val="auto"/>
                      <w:vertAlign w:val="superscript"/>
                    </w:rPr>
                    <w:t>2</w:t>
                  </w:r>
                  <w:r>
                    <w:rPr>
                      <w:rFonts w:hint="eastAsia"/>
                      <w:color w:val="auto"/>
                    </w:rPr>
                    <w:t>，暂存项目区实验过程产生的废酸、废碱</w:t>
                  </w:r>
                  <w:r>
                    <w:rPr>
                      <w:rFonts w:hint="eastAsia"/>
                      <w:color w:val="auto"/>
                      <w:lang w:val="en-US" w:eastAsia="zh-CN"/>
                    </w:rPr>
                    <w:t>等危废</w:t>
                  </w:r>
                </w:p>
              </w:tc>
              <w:tc>
                <w:tcPr>
                  <w:tcW w:w="1088" w:type="dxa"/>
                  <w:tcBorders>
                    <w:tl2br w:val="nil"/>
                    <w:tr2bl w:val="nil"/>
                  </w:tcBorders>
                  <w:vAlign w:val="center"/>
                </w:tcPr>
                <w:p>
                  <w:pPr>
                    <w:pStyle w:val="15"/>
                    <w:rPr>
                      <w:color w:val="auto"/>
                    </w:rPr>
                  </w:pPr>
                  <w:r>
                    <w:rPr>
                      <w:rFonts w:hint="eastAsia"/>
                      <w:color w:val="auto"/>
                    </w:rPr>
                    <w:t>/</w:t>
                  </w:r>
                </w:p>
              </w:tc>
              <w:tc>
                <w:tcPr>
                  <w:tcW w:w="1091" w:type="dxa"/>
                  <w:vMerge w:val="continue"/>
                  <w:tcBorders>
                    <w:tl2br w:val="nil"/>
                    <w:tr2bl w:val="nil"/>
                  </w:tcBorders>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vMerge w:val="continue"/>
                  <w:tcBorders>
                    <w:tl2br w:val="nil"/>
                    <w:tr2bl w:val="nil"/>
                  </w:tcBorders>
                  <w:vAlign w:val="center"/>
                </w:tcPr>
                <w:p>
                  <w:pPr>
                    <w:pStyle w:val="15"/>
                    <w:rPr>
                      <w:color w:val="auto"/>
                    </w:rPr>
                  </w:pPr>
                </w:p>
              </w:tc>
              <w:tc>
                <w:tcPr>
                  <w:tcW w:w="4776" w:type="dxa"/>
                  <w:tcBorders>
                    <w:tl2br w:val="nil"/>
                    <w:tr2bl w:val="nil"/>
                  </w:tcBorders>
                  <w:vAlign w:val="center"/>
                </w:tcPr>
                <w:p>
                  <w:pPr>
                    <w:pStyle w:val="15"/>
                    <w:rPr>
                      <w:rFonts w:hint="default" w:eastAsia="宋体"/>
                      <w:color w:val="auto"/>
                      <w:lang w:val="en-US" w:eastAsia="zh-CN"/>
                    </w:rPr>
                  </w:pPr>
                  <w:r>
                    <w:rPr>
                      <w:rFonts w:hint="eastAsia"/>
                      <w:color w:val="auto"/>
                    </w:rPr>
                    <w:t>危废暂存间共2m</w:t>
                  </w:r>
                  <w:r>
                    <w:rPr>
                      <w:rFonts w:hint="eastAsia"/>
                      <w:color w:val="auto"/>
                      <w:vertAlign w:val="superscript"/>
                    </w:rPr>
                    <w:t>2</w:t>
                  </w:r>
                  <w:r>
                    <w:rPr>
                      <w:rFonts w:hint="eastAsia"/>
                      <w:color w:val="auto"/>
                    </w:rPr>
                    <w:t>，暂存项目区废矿物油</w:t>
                  </w:r>
                  <w:r>
                    <w:rPr>
                      <w:rFonts w:hint="eastAsia"/>
                      <w:color w:val="auto"/>
                      <w:lang w:val="en-US" w:eastAsia="zh-CN"/>
                    </w:rPr>
                    <w:t>等危废</w:t>
                  </w:r>
                </w:p>
              </w:tc>
              <w:tc>
                <w:tcPr>
                  <w:tcW w:w="1088" w:type="dxa"/>
                  <w:tcBorders>
                    <w:tl2br w:val="nil"/>
                    <w:tr2bl w:val="nil"/>
                  </w:tcBorders>
                  <w:vAlign w:val="center"/>
                </w:tcPr>
                <w:p>
                  <w:pPr>
                    <w:pStyle w:val="15"/>
                    <w:rPr>
                      <w:color w:val="auto"/>
                    </w:rPr>
                  </w:pPr>
                  <w:r>
                    <w:rPr>
                      <w:rFonts w:hint="eastAsia"/>
                      <w:color w:val="auto"/>
                    </w:rPr>
                    <w:t>/</w:t>
                  </w:r>
                </w:p>
              </w:tc>
              <w:tc>
                <w:tcPr>
                  <w:tcW w:w="1091" w:type="dxa"/>
                  <w:vMerge w:val="continue"/>
                  <w:tcBorders>
                    <w:tl2br w:val="nil"/>
                    <w:tr2bl w:val="nil"/>
                  </w:tcBorders>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vMerge w:val="continue"/>
                  <w:tcBorders>
                    <w:tl2br w:val="nil"/>
                    <w:tr2bl w:val="nil"/>
                  </w:tcBorders>
                  <w:vAlign w:val="center"/>
                </w:tcPr>
                <w:p>
                  <w:pPr>
                    <w:pStyle w:val="15"/>
                    <w:rPr>
                      <w:color w:val="auto"/>
                    </w:rPr>
                  </w:pPr>
                </w:p>
              </w:tc>
              <w:tc>
                <w:tcPr>
                  <w:tcW w:w="761" w:type="dxa"/>
                  <w:tcBorders>
                    <w:tl2br w:val="nil"/>
                    <w:tr2bl w:val="nil"/>
                  </w:tcBorders>
                  <w:vAlign w:val="center"/>
                </w:tcPr>
                <w:p>
                  <w:pPr>
                    <w:pStyle w:val="15"/>
                    <w:rPr>
                      <w:color w:val="auto"/>
                    </w:rPr>
                  </w:pPr>
                  <w:r>
                    <w:rPr>
                      <w:rFonts w:hint="eastAsia"/>
                      <w:color w:val="auto"/>
                    </w:rPr>
                    <w:t>原料堆场防渗工程</w:t>
                  </w:r>
                </w:p>
              </w:tc>
              <w:tc>
                <w:tcPr>
                  <w:tcW w:w="4776" w:type="dxa"/>
                  <w:tcBorders>
                    <w:tl2br w:val="nil"/>
                    <w:tr2bl w:val="nil"/>
                  </w:tcBorders>
                  <w:vAlign w:val="center"/>
                </w:tcPr>
                <w:p>
                  <w:pPr>
                    <w:pStyle w:val="15"/>
                    <w:rPr>
                      <w:color w:val="auto"/>
                    </w:rPr>
                  </w:pPr>
                  <w:r>
                    <w:rPr>
                      <w:rFonts w:hint="eastAsia"/>
                      <w:color w:val="auto"/>
                    </w:rPr>
                    <w:t>参照《一般工业固体废物贮存和填埋污染控制标准》（GB18599-2020），中水除杂废渣、磷石膏、黄磷渣、富钙镁磷矿原料临时储存区需按照该标准中I类场要求进行建设，硫酸亚铁除杂废渣原料临时储存区需按照该标准中II类场要求进行建设</w:t>
                  </w:r>
                </w:p>
              </w:tc>
              <w:tc>
                <w:tcPr>
                  <w:tcW w:w="1088" w:type="dxa"/>
                  <w:tcBorders>
                    <w:tl2br w:val="nil"/>
                    <w:tr2bl w:val="nil"/>
                  </w:tcBorders>
                  <w:vAlign w:val="center"/>
                </w:tcPr>
                <w:p>
                  <w:pPr>
                    <w:pStyle w:val="15"/>
                    <w:rPr>
                      <w:color w:val="auto"/>
                    </w:rPr>
                  </w:pPr>
                  <w:r>
                    <w:rPr>
                      <w:rFonts w:hint="eastAsia"/>
                      <w:color w:val="auto"/>
                    </w:rPr>
                    <w:t>15</w:t>
                  </w:r>
                </w:p>
              </w:tc>
              <w:tc>
                <w:tcPr>
                  <w:tcW w:w="1091" w:type="dxa"/>
                  <w:tcBorders>
                    <w:tl2br w:val="nil"/>
                    <w:tr2bl w:val="nil"/>
                  </w:tcBorders>
                  <w:vAlign w:val="center"/>
                </w:tcPr>
                <w:p>
                  <w:pPr>
                    <w:pStyle w:val="15"/>
                    <w:rPr>
                      <w:color w:val="auto"/>
                    </w:rPr>
                  </w:pPr>
                  <w:r>
                    <w:rPr>
                      <w:rFonts w:hint="eastAsia"/>
                      <w:color w:val="auto"/>
                    </w:rPr>
                    <w:t>新增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22" w:type="dxa"/>
                  <w:gridSpan w:val="2"/>
                  <w:tcBorders>
                    <w:tl2br w:val="nil"/>
                    <w:tr2bl w:val="nil"/>
                  </w:tcBorders>
                  <w:vAlign w:val="center"/>
                </w:tcPr>
                <w:p>
                  <w:pPr>
                    <w:pStyle w:val="15"/>
                    <w:rPr>
                      <w:color w:val="auto"/>
                    </w:rPr>
                  </w:pPr>
                  <w:r>
                    <w:rPr>
                      <w:rFonts w:hint="eastAsia"/>
                      <w:color w:val="auto"/>
                    </w:rPr>
                    <w:t>绿  化</w:t>
                  </w:r>
                </w:p>
              </w:tc>
              <w:tc>
                <w:tcPr>
                  <w:tcW w:w="4776" w:type="dxa"/>
                  <w:tcBorders>
                    <w:tl2br w:val="nil"/>
                    <w:tr2bl w:val="nil"/>
                  </w:tcBorders>
                  <w:vAlign w:val="center"/>
                </w:tcPr>
                <w:p>
                  <w:pPr>
                    <w:pStyle w:val="15"/>
                    <w:rPr>
                      <w:color w:val="auto"/>
                    </w:rPr>
                  </w:pPr>
                  <w:r>
                    <w:rPr>
                      <w:color w:val="auto"/>
                    </w:rPr>
                    <w:t>绿化面积</w:t>
                  </w:r>
                  <w:r>
                    <w:rPr>
                      <w:rFonts w:hint="eastAsia"/>
                      <w:color w:val="auto"/>
                    </w:rPr>
                    <w:t>约30000</w:t>
                  </w:r>
                  <w:r>
                    <w:rPr>
                      <w:color w:val="auto"/>
                    </w:rPr>
                    <w:t>m</w:t>
                  </w:r>
                  <w:r>
                    <w:rPr>
                      <w:color w:val="auto"/>
                      <w:vertAlign w:val="superscript"/>
                    </w:rPr>
                    <w:t>2</w:t>
                  </w:r>
                </w:p>
              </w:tc>
              <w:tc>
                <w:tcPr>
                  <w:tcW w:w="1088" w:type="dxa"/>
                  <w:tcBorders>
                    <w:tl2br w:val="nil"/>
                    <w:tr2bl w:val="nil"/>
                  </w:tcBorders>
                  <w:vAlign w:val="center"/>
                </w:tcPr>
                <w:p>
                  <w:pPr>
                    <w:pStyle w:val="15"/>
                    <w:rPr>
                      <w:color w:val="auto"/>
                    </w:rPr>
                  </w:pPr>
                  <w:r>
                    <w:rPr>
                      <w:rFonts w:hint="eastAsia"/>
                      <w:color w:val="auto"/>
                    </w:rPr>
                    <w:t>/</w:t>
                  </w:r>
                </w:p>
              </w:tc>
              <w:tc>
                <w:tcPr>
                  <w:tcW w:w="1091" w:type="dxa"/>
                  <w:tcBorders>
                    <w:tl2br w:val="nil"/>
                    <w:tr2bl w:val="nil"/>
                  </w:tcBorders>
                  <w:vAlign w:val="center"/>
                </w:tcPr>
                <w:p>
                  <w:pPr>
                    <w:pStyle w:val="15"/>
                    <w:rPr>
                      <w:color w:val="auto"/>
                    </w:rPr>
                  </w:pPr>
                  <w:r>
                    <w:rPr>
                      <w:rFonts w:hint="eastAsia"/>
                      <w:color w:val="auto"/>
                    </w:rPr>
                    <w:t>依托原有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61" w:type="dxa"/>
                  <w:tcBorders>
                    <w:tl2br w:val="nil"/>
                    <w:tr2bl w:val="nil"/>
                  </w:tcBorders>
                  <w:vAlign w:val="center"/>
                </w:tcPr>
                <w:p>
                  <w:pPr>
                    <w:pStyle w:val="15"/>
                    <w:rPr>
                      <w:color w:val="auto"/>
                    </w:rPr>
                  </w:pPr>
                  <w:r>
                    <w:rPr>
                      <w:color w:val="auto"/>
                    </w:rPr>
                    <w:t>合计</w:t>
                  </w:r>
                </w:p>
              </w:tc>
              <w:tc>
                <w:tcPr>
                  <w:tcW w:w="761" w:type="dxa"/>
                  <w:tcBorders>
                    <w:tl2br w:val="nil"/>
                    <w:tr2bl w:val="nil"/>
                  </w:tcBorders>
                  <w:vAlign w:val="center"/>
                </w:tcPr>
                <w:p>
                  <w:pPr>
                    <w:pStyle w:val="15"/>
                    <w:rPr>
                      <w:color w:val="auto"/>
                    </w:rPr>
                  </w:pPr>
                  <w:r>
                    <w:rPr>
                      <w:color w:val="auto"/>
                    </w:rPr>
                    <w:t>-</w:t>
                  </w:r>
                </w:p>
              </w:tc>
              <w:tc>
                <w:tcPr>
                  <w:tcW w:w="4776" w:type="dxa"/>
                  <w:tcBorders>
                    <w:tl2br w:val="nil"/>
                    <w:tr2bl w:val="nil"/>
                  </w:tcBorders>
                  <w:vAlign w:val="center"/>
                </w:tcPr>
                <w:p>
                  <w:pPr>
                    <w:pStyle w:val="15"/>
                    <w:rPr>
                      <w:color w:val="auto"/>
                    </w:rPr>
                  </w:pPr>
                  <w:r>
                    <w:rPr>
                      <w:color w:val="auto"/>
                    </w:rPr>
                    <w:t>-</w:t>
                  </w:r>
                </w:p>
              </w:tc>
              <w:tc>
                <w:tcPr>
                  <w:tcW w:w="1088" w:type="dxa"/>
                  <w:tcBorders>
                    <w:tl2br w:val="nil"/>
                    <w:tr2bl w:val="nil"/>
                  </w:tcBorders>
                  <w:vAlign w:val="center"/>
                </w:tcPr>
                <w:p>
                  <w:pPr>
                    <w:pStyle w:val="15"/>
                    <w:rPr>
                      <w:color w:val="auto"/>
                    </w:rPr>
                  </w:pPr>
                  <w:r>
                    <w:rPr>
                      <w:rFonts w:hint="eastAsia"/>
                      <w:color w:val="auto"/>
                    </w:rPr>
                    <w:t>17</w:t>
                  </w:r>
                </w:p>
              </w:tc>
              <w:tc>
                <w:tcPr>
                  <w:tcW w:w="1091" w:type="dxa"/>
                  <w:tcBorders>
                    <w:tl2br w:val="nil"/>
                    <w:tr2bl w:val="nil"/>
                  </w:tcBorders>
                  <w:vAlign w:val="center"/>
                </w:tcPr>
                <w:p>
                  <w:pPr>
                    <w:pStyle w:val="15"/>
                    <w:rPr>
                      <w:color w:val="auto"/>
                    </w:rPr>
                  </w:pPr>
                  <w:r>
                    <w:rPr>
                      <w:color w:val="auto"/>
                    </w:rPr>
                    <w:t>-</w:t>
                  </w:r>
                </w:p>
              </w:tc>
            </w:tr>
          </w:tbl>
          <w:p>
            <w:pPr>
              <w:ind w:firstLine="48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jc w:val="center"/>
        </w:trPr>
        <w:tc>
          <w:tcPr>
            <w:tcW w:w="454" w:type="dxa"/>
            <w:vAlign w:val="center"/>
          </w:tcPr>
          <w:p>
            <w:pPr>
              <w:spacing w:line="240" w:lineRule="auto"/>
              <w:ind w:firstLine="0" w:firstLineChars="0"/>
              <w:jc w:val="center"/>
              <w:rPr>
                <w:color w:val="auto"/>
              </w:rPr>
            </w:pPr>
            <w:r>
              <w:rPr>
                <w:color w:val="auto"/>
              </w:rPr>
              <w:t>工艺</w:t>
            </w:r>
          </w:p>
          <w:p>
            <w:pPr>
              <w:spacing w:line="240" w:lineRule="auto"/>
              <w:ind w:firstLine="0" w:firstLineChars="0"/>
              <w:jc w:val="center"/>
              <w:rPr>
                <w:color w:val="auto"/>
              </w:rPr>
            </w:pPr>
            <w:r>
              <w:rPr>
                <w:color w:val="auto"/>
              </w:rPr>
              <w:t>流程</w:t>
            </w:r>
          </w:p>
          <w:p>
            <w:pPr>
              <w:spacing w:line="240" w:lineRule="auto"/>
              <w:ind w:firstLine="0" w:firstLineChars="0"/>
              <w:jc w:val="center"/>
              <w:rPr>
                <w:color w:val="auto"/>
              </w:rPr>
            </w:pPr>
            <w:r>
              <w:rPr>
                <w:color w:val="auto"/>
              </w:rPr>
              <w:t>和产</w:t>
            </w:r>
          </w:p>
          <w:p>
            <w:pPr>
              <w:spacing w:line="240" w:lineRule="auto"/>
              <w:ind w:firstLine="0" w:firstLineChars="0"/>
              <w:jc w:val="center"/>
              <w:rPr>
                <w:color w:val="auto"/>
              </w:rPr>
            </w:pPr>
            <w:r>
              <w:rPr>
                <w:color w:val="auto"/>
              </w:rPr>
              <w:t>排污</w:t>
            </w:r>
          </w:p>
          <w:p>
            <w:pPr>
              <w:spacing w:line="240" w:lineRule="auto"/>
              <w:ind w:firstLine="0" w:firstLineChars="0"/>
              <w:jc w:val="center"/>
              <w:rPr>
                <w:color w:val="auto"/>
              </w:rPr>
            </w:pPr>
            <w:r>
              <w:rPr>
                <w:color w:val="auto"/>
              </w:rPr>
              <w:t>环节</w:t>
            </w:r>
          </w:p>
        </w:tc>
        <w:tc>
          <w:tcPr>
            <w:tcW w:w="8606" w:type="dxa"/>
          </w:tcPr>
          <w:p>
            <w:pPr>
              <w:ind w:firstLine="0" w:firstLineChars="0"/>
              <w:rPr>
                <w:color w:val="auto"/>
              </w:rPr>
            </w:pPr>
            <w:r>
              <w:rPr>
                <w:color w:val="auto"/>
              </w:rPr>
              <w:t>一、施工期</w:t>
            </w:r>
          </w:p>
          <w:p>
            <w:pPr>
              <w:ind w:firstLine="480"/>
              <w:rPr>
                <w:color w:val="auto"/>
              </w:rPr>
            </w:pPr>
            <w:r>
              <w:rPr>
                <w:rFonts w:hint="eastAsia"/>
                <w:color w:val="auto"/>
              </w:rPr>
              <w:t>1.施工期</w:t>
            </w:r>
            <w:r>
              <w:rPr>
                <w:color w:val="auto"/>
              </w:rPr>
              <w:t>工艺流程</w:t>
            </w:r>
          </w:p>
          <w:p>
            <w:pPr>
              <w:ind w:firstLine="480"/>
              <w:rPr>
                <w:color w:val="auto"/>
              </w:rPr>
            </w:pPr>
            <w:r>
              <w:rPr>
                <w:rFonts w:hint="eastAsia"/>
                <w:color w:val="auto"/>
              </w:rPr>
              <w:t>本项目利用已有建筑进行改建，主要将现有工程原料堆场中的一部分改建为一般固废原料仓库，工程施工内容主要为场地清理、基础施工、主体建筑施工、竣工验收，产生污染主要有施工扬尘、噪声、建筑垃圾及施工人员生活污水等，施工人员不在项目区食宿，依托项目区现有卫生间及清洁设施，不另行设置。项目施工期工艺流程及产污节点如下图。</w:t>
            </w:r>
          </w:p>
          <w:p>
            <w:pPr>
              <w:ind w:firstLine="0" w:firstLineChars="0"/>
              <w:jc w:val="center"/>
              <w:rPr>
                <w:b/>
                <w:bCs/>
                <w:color w:val="auto"/>
              </w:rPr>
            </w:pPr>
            <w:r>
              <w:rPr>
                <w:rFonts w:hint="eastAsia"/>
                <w:b/>
                <w:bCs/>
                <w:color w:val="auto"/>
              </w:rPr>
              <w:object>
                <v:shape id="_x0000_i1026" o:spt="75" type="#_x0000_t75" style="height:127.15pt;width:326.1pt;" o:ole="t" filled="f" o:preferrelative="t" stroked="t" coordsize="21600,21600">
                  <v:path/>
                  <v:fill on="f" focussize="0,0"/>
                  <v:stroke weight="0.5pt" color="#000000"/>
                  <v:imagedata r:id="rId19" o:title=""/>
                  <o:lock v:ext="edit" aspectratio="f"/>
                  <w10:wrap type="none"/>
                  <w10:anchorlock/>
                </v:shape>
                <o:OLEObject Type="Embed" ProgID="Visio.Drawing.11" ShapeID="_x0000_i1026" DrawAspect="Content" ObjectID="_1468075726" r:id="rId18">
                  <o:LockedField>false</o:LockedField>
                </o:OLEObject>
              </w:object>
            </w:r>
          </w:p>
          <w:p>
            <w:pPr>
              <w:ind w:firstLine="0" w:firstLineChars="0"/>
              <w:jc w:val="center"/>
              <w:rPr>
                <w:b/>
                <w:bCs/>
                <w:color w:val="auto"/>
              </w:rPr>
            </w:pPr>
            <w:r>
              <w:rPr>
                <w:rFonts w:hint="eastAsia"/>
                <w:b/>
                <w:bCs/>
                <w:color w:val="auto"/>
              </w:rPr>
              <w:t>图2-</w:t>
            </w:r>
            <w:r>
              <w:rPr>
                <w:rFonts w:hint="eastAsia"/>
                <w:b/>
                <w:bCs/>
                <w:color w:val="auto"/>
                <w:lang w:val="en-US" w:eastAsia="zh-CN"/>
              </w:rPr>
              <w:t>3</w:t>
            </w:r>
            <w:r>
              <w:rPr>
                <w:rFonts w:hint="eastAsia"/>
                <w:b/>
                <w:bCs/>
                <w:color w:val="auto"/>
              </w:rPr>
              <w:t xml:space="preserve">   项目施工期工艺流程及产污节点图</w:t>
            </w:r>
          </w:p>
          <w:p>
            <w:pPr>
              <w:ind w:firstLine="0" w:firstLineChars="0"/>
              <w:rPr>
                <w:color w:val="auto"/>
              </w:rPr>
            </w:pPr>
            <w:r>
              <w:rPr>
                <w:rFonts w:hint="eastAsia"/>
                <w:color w:val="auto"/>
              </w:rPr>
              <w:t>二、</w:t>
            </w:r>
            <w:r>
              <w:rPr>
                <w:color w:val="auto"/>
              </w:rPr>
              <w:t>运营期</w:t>
            </w:r>
            <w:r>
              <w:rPr>
                <w:rFonts w:hint="eastAsia"/>
                <w:color w:val="auto"/>
              </w:rPr>
              <w:t>工艺流程</w:t>
            </w:r>
          </w:p>
          <w:p>
            <w:pPr>
              <w:ind w:firstLine="480"/>
              <w:rPr>
                <w:color w:val="auto"/>
              </w:rPr>
            </w:pPr>
            <w:r>
              <w:rPr>
                <w:color w:val="auto"/>
              </w:rPr>
              <w:t>根据复合肥料产品的不同配方要求，外购原料进行配比，并通过造粒、烘干、冷却、包装等制成复合肥产品。生产工艺流程</w:t>
            </w:r>
            <w:r>
              <w:rPr>
                <w:rFonts w:hint="eastAsia"/>
                <w:color w:val="auto"/>
              </w:rPr>
              <w:t>及产污节点</w:t>
            </w:r>
            <w:r>
              <w:rPr>
                <w:color w:val="auto"/>
              </w:rPr>
              <w:t>见</w:t>
            </w:r>
            <w:r>
              <w:rPr>
                <w:rFonts w:hint="eastAsia"/>
                <w:color w:val="auto"/>
                <w:lang w:val="en-US" w:eastAsia="zh-CN"/>
              </w:rPr>
              <w:t>下图</w:t>
            </w:r>
            <w:r>
              <w:rPr>
                <w:color w:val="auto"/>
              </w:rPr>
              <w:t>。</w:t>
            </w:r>
          </w:p>
          <w:p>
            <w:pPr>
              <w:ind w:firstLine="0" w:firstLineChars="0"/>
              <w:jc w:val="center"/>
              <w:rPr>
                <w:color w:val="auto"/>
              </w:rPr>
            </w:pPr>
            <w:r>
              <w:rPr>
                <w:rFonts w:hint="eastAsia"/>
                <w:color w:val="auto"/>
              </w:rPr>
              <w:object>
                <v:shape id="_x0000_i1027" o:spt="75" type="#_x0000_t75" style="height:404.45pt;width:353.7pt;" o:ole="t" filled="f" o:preferrelative="t" stroked="f" coordsize="21600,21600">
                  <v:path/>
                  <v:fill on="f" focussize="0,0"/>
                  <v:stroke on="f"/>
                  <v:imagedata r:id="rId21" o:title=""/>
                  <o:lock v:ext="edit" aspectratio="f"/>
                  <w10:wrap type="none"/>
                  <w10:anchorlock/>
                </v:shape>
                <o:OLEObject Type="Embed" ProgID="Visio.Drawing.11" ShapeID="_x0000_i1027" DrawAspect="Content" ObjectID="_1468075727" r:id="rId20">
                  <o:LockedField>false</o:LockedField>
                </o:OLEObject>
              </w:object>
            </w:r>
          </w:p>
          <w:p>
            <w:pPr>
              <w:ind w:firstLine="0" w:firstLineChars="0"/>
              <w:jc w:val="center"/>
              <w:rPr>
                <w:color w:val="auto"/>
              </w:rPr>
            </w:pPr>
            <w:r>
              <w:rPr>
                <w:rFonts w:hint="eastAsia"/>
                <w:b/>
                <w:bCs/>
                <w:color w:val="auto"/>
              </w:rPr>
              <w:t>图2-</w:t>
            </w:r>
            <w:r>
              <w:rPr>
                <w:rFonts w:hint="eastAsia"/>
                <w:b/>
                <w:bCs/>
                <w:color w:val="auto"/>
                <w:lang w:val="en-US" w:eastAsia="zh-CN"/>
              </w:rPr>
              <w:t>4</w:t>
            </w:r>
            <w:r>
              <w:rPr>
                <w:rFonts w:hint="eastAsia"/>
                <w:b/>
                <w:bCs/>
                <w:color w:val="auto"/>
              </w:rPr>
              <w:t xml:space="preserve">  复合肥生产工艺流程及产污节点图</w:t>
            </w:r>
          </w:p>
          <w:p>
            <w:pPr>
              <w:ind w:firstLine="482"/>
              <w:rPr>
                <w:b/>
                <w:bCs/>
                <w:color w:val="auto"/>
              </w:rPr>
            </w:pPr>
            <w:r>
              <w:rPr>
                <w:rFonts w:hint="eastAsia"/>
                <w:b/>
                <w:bCs/>
                <w:color w:val="auto"/>
              </w:rPr>
              <w:t>生产工艺流程简述：</w:t>
            </w:r>
          </w:p>
          <w:p>
            <w:pPr>
              <w:ind w:firstLine="480"/>
              <w:rPr>
                <w:color w:val="auto"/>
              </w:rPr>
            </w:pPr>
            <w:r>
              <w:rPr>
                <w:rFonts w:hint="eastAsia"/>
                <w:color w:val="auto"/>
              </w:rPr>
              <w:t>1）计量</w:t>
            </w:r>
          </w:p>
          <w:p>
            <w:pPr>
              <w:ind w:firstLine="480"/>
              <w:rPr>
                <w:rFonts w:hint="eastAsia"/>
                <w:color w:val="auto"/>
              </w:rPr>
            </w:pPr>
            <w:r>
              <w:rPr>
                <w:rFonts w:hint="eastAsia"/>
                <w:color w:val="auto"/>
              </w:rPr>
              <w:t>人工</w:t>
            </w:r>
            <w:r>
              <w:rPr>
                <w:rFonts w:hint="eastAsia"/>
                <w:color w:val="auto"/>
                <w:lang w:val="en-US" w:eastAsia="zh-CN"/>
              </w:rPr>
              <w:t>使用铲车</w:t>
            </w:r>
            <w:r>
              <w:rPr>
                <w:rFonts w:hint="eastAsia"/>
                <w:color w:val="auto"/>
              </w:rPr>
              <w:t>将原料运送至配料仓，根据不同的产品配方利用电子称将原料分别进行计量配比。</w:t>
            </w:r>
          </w:p>
          <w:p>
            <w:pPr>
              <w:ind w:firstLine="480"/>
              <w:rPr>
                <w:color w:val="auto"/>
              </w:rPr>
            </w:pPr>
            <w:r>
              <w:rPr>
                <w:rFonts w:hint="eastAsia"/>
                <w:color w:val="auto"/>
              </w:rPr>
              <w:t>该过程产生的污染物为：粉尘。</w:t>
            </w:r>
          </w:p>
          <w:p>
            <w:pPr>
              <w:ind w:firstLine="480"/>
              <w:rPr>
                <w:color w:val="auto"/>
              </w:rPr>
            </w:pPr>
            <w:r>
              <w:rPr>
                <w:rFonts w:hint="eastAsia"/>
                <w:color w:val="auto"/>
              </w:rPr>
              <w:t>2）投料</w:t>
            </w:r>
          </w:p>
          <w:p>
            <w:pPr>
              <w:ind w:firstLine="480"/>
              <w:rPr>
                <w:color w:val="auto"/>
              </w:rPr>
            </w:pPr>
            <w:r>
              <w:rPr>
                <w:rFonts w:hint="eastAsia"/>
                <w:color w:val="auto"/>
              </w:rPr>
              <w:t>通过人工</w:t>
            </w:r>
            <w:r>
              <w:rPr>
                <w:rFonts w:hint="eastAsia"/>
                <w:color w:val="auto"/>
                <w:lang w:val="en-US" w:eastAsia="zh-CN"/>
              </w:rPr>
              <w:t>使用铲车</w:t>
            </w:r>
            <w:r>
              <w:rPr>
                <w:rFonts w:hint="eastAsia"/>
                <w:color w:val="auto"/>
              </w:rPr>
              <w:t>将计量好的原料投入破碎机，投料过程会产生粉尘，投料工位设置集气设施，投料粉尘在负压状态下进入布袋除尘装置处理。</w:t>
            </w:r>
          </w:p>
          <w:p>
            <w:pPr>
              <w:ind w:firstLine="480"/>
              <w:rPr>
                <w:color w:val="auto"/>
              </w:rPr>
            </w:pPr>
            <w:r>
              <w:rPr>
                <w:rFonts w:hint="eastAsia"/>
                <w:color w:val="auto"/>
              </w:rPr>
              <w:t>该过程产生的污染物为：投料粉尘。</w:t>
            </w:r>
          </w:p>
          <w:p>
            <w:pPr>
              <w:ind w:firstLine="480"/>
              <w:rPr>
                <w:color w:val="auto"/>
              </w:rPr>
            </w:pPr>
            <w:r>
              <w:rPr>
                <w:rFonts w:hint="eastAsia"/>
                <w:color w:val="auto"/>
              </w:rPr>
              <w:t>3）破碎、筛分</w:t>
            </w:r>
          </w:p>
          <w:p>
            <w:pPr>
              <w:ind w:firstLine="480"/>
              <w:rPr>
                <w:color w:val="auto"/>
              </w:rPr>
            </w:pPr>
            <w:r>
              <w:rPr>
                <w:rFonts w:hint="eastAsia"/>
                <w:color w:val="auto"/>
              </w:rPr>
              <w:t>将计量好的原料和经筛分的粗料输送入破碎机进行破碎，破碎好后输送至筛分机进行筛分混合，破碎、筛分过程会产生粉尘，破碎机、筛分机均设置为密闭设备，破碎、筛分粉尘在负压状态下进入布袋除尘装置处理。</w:t>
            </w:r>
          </w:p>
          <w:p>
            <w:pPr>
              <w:ind w:firstLine="480"/>
              <w:rPr>
                <w:color w:val="auto"/>
              </w:rPr>
            </w:pPr>
            <w:r>
              <w:rPr>
                <w:rFonts w:hint="eastAsia"/>
                <w:color w:val="auto"/>
              </w:rPr>
              <w:t>该过程产生的污染物为：破碎粉尘、设备噪声。</w:t>
            </w:r>
          </w:p>
          <w:p>
            <w:pPr>
              <w:ind w:firstLine="480"/>
              <w:rPr>
                <w:color w:val="auto"/>
              </w:rPr>
            </w:pPr>
            <w:r>
              <w:rPr>
                <w:rFonts w:hint="eastAsia"/>
                <w:color w:val="auto"/>
              </w:rPr>
              <w:t>4）造粒</w:t>
            </w:r>
          </w:p>
          <w:p>
            <w:pPr>
              <w:ind w:firstLine="480"/>
              <w:rPr>
                <w:rFonts w:hint="default"/>
                <w:color w:val="auto"/>
                <w:lang w:val="en-US" w:eastAsia="zh-CN"/>
              </w:rPr>
            </w:pPr>
            <w:r>
              <w:rPr>
                <w:rFonts w:hint="eastAsia"/>
                <w:color w:val="auto"/>
              </w:rPr>
              <w:t>将混和均匀的物料通过皮带输送入</w:t>
            </w:r>
            <w:r>
              <w:rPr>
                <w:rFonts w:hint="eastAsia"/>
                <w:color w:val="auto"/>
                <w:lang w:val="en-US" w:eastAsia="zh-CN"/>
              </w:rPr>
              <w:t>滚筒</w:t>
            </w:r>
            <w:r>
              <w:rPr>
                <w:rFonts w:hint="eastAsia"/>
                <w:color w:val="auto"/>
              </w:rPr>
              <w:t>造粒机进行</w:t>
            </w:r>
            <w:r>
              <w:rPr>
                <w:rFonts w:hint="eastAsia"/>
                <w:color w:val="auto"/>
                <w:lang w:val="en-US" w:eastAsia="zh-CN"/>
              </w:rPr>
              <w:t>团粒湿法造粒</w:t>
            </w:r>
            <w:r>
              <w:rPr>
                <w:rFonts w:hint="eastAsia"/>
                <w:color w:val="auto"/>
              </w:rPr>
              <w:t>，通过一定量的水或蒸汽，使基础肥料在筒体内调湿后充分反应，在一定的液相条件下，借助筒体的旋转运动，使物料粒子间产生挤压力团聚成球。</w:t>
            </w:r>
            <w:r>
              <w:rPr>
                <w:rFonts w:hint="eastAsia"/>
                <w:color w:val="auto"/>
                <w:lang w:val="en-US" w:eastAsia="zh-CN"/>
              </w:rPr>
              <w:t>根据建设单位提供资料，造粒过程需补充少量水分，现有项目补水量约0.15~0.18m</w:t>
            </w:r>
            <w:r>
              <w:rPr>
                <w:rFonts w:hint="eastAsia"/>
                <w:color w:val="auto"/>
                <w:vertAlign w:val="superscript"/>
                <w:lang w:val="en-US" w:eastAsia="zh-CN"/>
              </w:rPr>
              <w:t>3</w:t>
            </w:r>
            <w:r>
              <w:rPr>
                <w:rFonts w:hint="eastAsia"/>
                <w:color w:val="auto"/>
                <w:lang w:val="en-US" w:eastAsia="zh-CN"/>
              </w:rPr>
              <w:t xml:space="preserve"> /t产品，改建项目调整原料结构后，由于拟作为原料使用的一般固废（含磷废渣）有一定的含水率，故改建后补水量降为约0.09~0.1m</w:t>
            </w:r>
            <w:r>
              <w:rPr>
                <w:rFonts w:hint="eastAsia"/>
                <w:color w:val="auto"/>
                <w:vertAlign w:val="superscript"/>
                <w:lang w:val="en-US" w:eastAsia="zh-CN"/>
              </w:rPr>
              <w:t>3</w:t>
            </w:r>
            <w:r>
              <w:rPr>
                <w:rFonts w:hint="eastAsia"/>
                <w:color w:val="auto"/>
                <w:lang w:val="en-US" w:eastAsia="zh-CN"/>
              </w:rPr>
              <w:t xml:space="preserve"> /t产品。</w:t>
            </w:r>
          </w:p>
          <w:p>
            <w:pPr>
              <w:ind w:firstLine="480"/>
              <w:rPr>
                <w:color w:val="auto"/>
              </w:rPr>
            </w:pPr>
            <w:r>
              <w:rPr>
                <w:rFonts w:hint="eastAsia"/>
                <w:color w:val="auto"/>
              </w:rPr>
              <w:t>该过程产生的污染物为：造粒粉尘、设备噪声。粉尘在负压状态下输送入</w:t>
            </w:r>
            <w:r>
              <w:rPr>
                <w:rFonts w:hint="eastAsia"/>
                <w:color w:val="auto"/>
                <w:lang w:val="en-US" w:eastAsia="zh-CN"/>
              </w:rPr>
              <w:t>布袋除尘器</w:t>
            </w:r>
            <w:r>
              <w:rPr>
                <w:rFonts w:hint="eastAsia"/>
                <w:color w:val="auto"/>
              </w:rPr>
              <w:t>处理。</w:t>
            </w:r>
          </w:p>
          <w:p>
            <w:pPr>
              <w:ind w:firstLine="480"/>
              <w:rPr>
                <w:color w:val="auto"/>
              </w:rPr>
            </w:pPr>
            <w:r>
              <w:rPr>
                <w:rFonts w:hint="eastAsia"/>
                <w:color w:val="auto"/>
              </w:rPr>
              <w:t>5）烘干</w:t>
            </w:r>
          </w:p>
          <w:p>
            <w:pPr>
              <w:ind w:firstLine="480"/>
              <w:rPr>
                <w:color w:val="auto"/>
              </w:rPr>
            </w:pPr>
            <w:r>
              <w:rPr>
                <w:rFonts w:hint="eastAsia"/>
                <w:color w:val="auto"/>
              </w:rPr>
              <w:t>粒料落至烘干机与来自热风炉的热气进行并流干燥（烘干机内热气温度约400℃~90℃），除去大量的水份，达到产品要求以下游离水</w:t>
            </w:r>
            <w:r>
              <w:rPr>
                <w:rFonts w:hint="eastAsia"/>
                <w:color w:val="auto"/>
                <w:lang w:eastAsia="zh-CN"/>
              </w:rPr>
              <w:t>（</w:t>
            </w:r>
            <w:r>
              <w:rPr>
                <w:rFonts w:hint="eastAsia"/>
                <w:color w:val="auto"/>
                <w:lang w:val="en-US" w:eastAsia="zh-CN"/>
              </w:rPr>
              <w:t>含水率</w:t>
            </w:r>
            <w:r>
              <w:rPr>
                <w:rFonts w:hint="eastAsia"/>
                <w:color w:val="auto"/>
                <w:lang w:eastAsia="zh-CN"/>
              </w:rPr>
              <w:t>）</w:t>
            </w:r>
            <w:r>
              <w:rPr>
                <w:rFonts w:hint="eastAsia"/>
                <w:color w:val="auto"/>
              </w:rPr>
              <w:t>，烘干粉尘在负压状态下经风机引至旋风除尘器+重力沉降室</w:t>
            </w:r>
            <w:r>
              <w:rPr>
                <w:rFonts w:hint="eastAsia"/>
                <w:color w:val="auto"/>
                <w:lang w:val="en-US" w:eastAsia="zh-CN"/>
              </w:rPr>
              <w:t>+水膜脱硫除尘</w:t>
            </w:r>
            <w:r>
              <w:rPr>
                <w:rFonts w:hint="eastAsia"/>
                <w:color w:val="auto"/>
              </w:rPr>
              <w:t>进行处理。</w:t>
            </w:r>
          </w:p>
          <w:p>
            <w:pPr>
              <w:ind w:firstLine="480"/>
              <w:rPr>
                <w:color w:val="auto"/>
              </w:rPr>
            </w:pPr>
            <w:r>
              <w:rPr>
                <w:rFonts w:hint="eastAsia"/>
                <w:color w:val="auto"/>
              </w:rPr>
              <w:t>该过程产生的污染物为：粉尘、设备噪声。</w:t>
            </w:r>
          </w:p>
          <w:p>
            <w:pPr>
              <w:ind w:firstLine="480"/>
              <w:rPr>
                <w:color w:val="auto"/>
              </w:rPr>
            </w:pPr>
            <w:r>
              <w:rPr>
                <w:rFonts w:hint="eastAsia"/>
                <w:color w:val="auto"/>
              </w:rPr>
              <w:t>6）冷却</w:t>
            </w:r>
          </w:p>
          <w:p>
            <w:pPr>
              <w:ind w:firstLine="480"/>
              <w:rPr>
                <w:color w:val="auto"/>
              </w:rPr>
            </w:pPr>
            <w:r>
              <w:rPr>
                <w:rFonts w:hint="eastAsia"/>
                <w:color w:val="auto"/>
              </w:rPr>
              <w:t>干燥的半成品经干燥皮带送入冷却机，与空气进行并流冷却。该过程产生的粉尘在负压状态下进入布袋除尘装置处理。</w:t>
            </w:r>
          </w:p>
          <w:p>
            <w:pPr>
              <w:ind w:firstLine="480"/>
              <w:rPr>
                <w:color w:val="auto"/>
              </w:rPr>
            </w:pPr>
            <w:r>
              <w:rPr>
                <w:rFonts w:hint="eastAsia"/>
                <w:color w:val="auto"/>
              </w:rPr>
              <w:t>该过程产生的污染物为：粉尘、设备噪声。</w:t>
            </w:r>
          </w:p>
          <w:p>
            <w:pPr>
              <w:ind w:firstLine="480"/>
              <w:rPr>
                <w:color w:val="auto"/>
              </w:rPr>
            </w:pPr>
            <w:r>
              <w:rPr>
                <w:rFonts w:hint="eastAsia"/>
                <w:color w:val="auto"/>
              </w:rPr>
              <w:t>7）筛分</w:t>
            </w:r>
          </w:p>
          <w:p>
            <w:pPr>
              <w:ind w:firstLine="480"/>
              <w:rPr>
                <w:color w:val="auto"/>
              </w:rPr>
            </w:pPr>
            <w:r>
              <w:rPr>
                <w:rFonts w:hint="eastAsia"/>
                <w:color w:val="auto"/>
              </w:rPr>
              <w:t>冷却后经提升机送入振动筛进行筛分；</w:t>
            </w:r>
            <w:r>
              <w:rPr>
                <w:rFonts w:hint="eastAsia"/>
                <w:color w:val="auto"/>
                <w:lang w:val="en-US" w:eastAsia="zh-CN"/>
              </w:rPr>
              <w:t>筛上粗颗粒返回至破碎机破碎后重新造粒，筛下细颗粒经包膜处理后即可包装入库</w:t>
            </w:r>
            <w:r>
              <w:rPr>
                <w:rFonts w:hint="eastAsia"/>
                <w:color w:val="auto"/>
              </w:rPr>
              <w:t>。</w:t>
            </w:r>
          </w:p>
          <w:p>
            <w:pPr>
              <w:ind w:firstLine="480"/>
              <w:rPr>
                <w:color w:val="auto"/>
              </w:rPr>
            </w:pPr>
            <w:r>
              <w:rPr>
                <w:rFonts w:hint="eastAsia"/>
                <w:color w:val="auto"/>
              </w:rPr>
              <w:t>该过程产生的污染物为：筛分粉尘、设备噪声。</w:t>
            </w:r>
          </w:p>
          <w:p>
            <w:pPr>
              <w:ind w:firstLine="480"/>
              <w:rPr>
                <w:rFonts w:hint="eastAsia" w:eastAsia="宋体"/>
                <w:color w:val="auto"/>
                <w:lang w:eastAsia="zh-CN"/>
              </w:rPr>
            </w:pPr>
            <w:r>
              <w:rPr>
                <w:rFonts w:hint="eastAsia"/>
                <w:color w:val="auto"/>
              </w:rPr>
              <w:t>8）包</w:t>
            </w:r>
            <w:r>
              <w:rPr>
                <w:rFonts w:hint="eastAsia"/>
                <w:color w:val="auto"/>
                <w:lang w:val="en-US" w:eastAsia="zh-CN"/>
              </w:rPr>
              <w:t>膜</w:t>
            </w:r>
          </w:p>
          <w:p>
            <w:pPr>
              <w:ind w:firstLine="480"/>
              <w:rPr>
                <w:rFonts w:hint="eastAsia"/>
                <w:color w:val="auto"/>
              </w:rPr>
            </w:pPr>
            <w:r>
              <w:rPr>
                <w:rFonts w:hint="eastAsia"/>
                <w:color w:val="auto"/>
                <w:lang w:val="en-US" w:eastAsia="zh-CN"/>
              </w:rPr>
              <w:t>包膜的目的主要是增加肥料的缓释性以及提高复合肥表面光亮度，有利于后续施肥过程，包膜工序在包膜机内完成。包膜过程主要为物理混合过程、无化学反应发生。</w:t>
            </w:r>
          </w:p>
          <w:p>
            <w:pPr>
              <w:ind w:firstLine="480"/>
              <w:rPr>
                <w:color w:val="auto"/>
              </w:rPr>
            </w:pPr>
            <w:r>
              <w:rPr>
                <w:rFonts w:hint="eastAsia"/>
                <w:color w:val="auto"/>
                <w:lang w:val="en-US" w:eastAsia="zh-CN"/>
              </w:rPr>
              <w:t>9</w:t>
            </w:r>
            <w:r>
              <w:rPr>
                <w:rFonts w:hint="eastAsia"/>
                <w:color w:val="auto"/>
              </w:rPr>
              <w:t>）包装</w:t>
            </w:r>
          </w:p>
          <w:p>
            <w:pPr>
              <w:ind w:firstLine="480"/>
              <w:rPr>
                <w:color w:val="auto"/>
              </w:rPr>
            </w:pPr>
            <w:r>
              <w:rPr>
                <w:rFonts w:hint="eastAsia"/>
                <w:color w:val="auto"/>
              </w:rPr>
              <w:t>抛光完成的成品经皮带输送机输送到包装机，经包装机计量后，按规格为每袋40kg的编织袋进行包装。</w:t>
            </w:r>
          </w:p>
          <w:p>
            <w:pPr>
              <w:ind w:firstLine="480"/>
              <w:rPr>
                <w:color w:val="auto"/>
              </w:rPr>
            </w:pPr>
            <w:r>
              <w:rPr>
                <w:rFonts w:hint="eastAsia"/>
                <w:color w:val="auto"/>
              </w:rPr>
              <w:t>该过程产生的污染物为：设备噪声。</w:t>
            </w:r>
          </w:p>
          <w:p>
            <w:pPr>
              <w:ind w:firstLine="480"/>
              <w:rPr>
                <w:color w:val="auto"/>
              </w:rPr>
            </w:pPr>
            <w:r>
              <w:rPr>
                <w:rFonts w:hint="eastAsia"/>
                <w:color w:val="auto"/>
                <w:lang w:val="en-US" w:eastAsia="zh-CN"/>
              </w:rPr>
              <w:t>10</w:t>
            </w:r>
            <w:r>
              <w:rPr>
                <w:rFonts w:hint="eastAsia"/>
                <w:color w:val="auto"/>
              </w:rPr>
              <w:t>）入库</w:t>
            </w:r>
          </w:p>
          <w:p>
            <w:pPr>
              <w:ind w:firstLine="480"/>
              <w:rPr>
                <w:color w:val="auto"/>
              </w:rPr>
            </w:pPr>
            <w:r>
              <w:rPr>
                <w:rFonts w:hint="eastAsia"/>
                <w:color w:val="auto"/>
              </w:rPr>
              <w:t>经包装的复混肥产品即可运送入成品堆放区储存，即可外售。</w:t>
            </w:r>
          </w:p>
          <w:p>
            <w:pPr>
              <w:ind w:firstLine="482"/>
              <w:rPr>
                <w:rFonts w:hint="default" w:eastAsia="宋体"/>
                <w:b/>
                <w:bCs/>
                <w:color w:val="auto"/>
                <w:lang w:val="en-US" w:eastAsia="zh-CN"/>
              </w:rPr>
            </w:pPr>
            <w:r>
              <w:rPr>
                <w:rFonts w:hint="eastAsia"/>
                <w:b/>
                <w:bCs/>
                <w:color w:val="auto"/>
                <w:lang w:val="en-US" w:eastAsia="zh-CN"/>
              </w:rPr>
              <w:t>检验环节简述：</w:t>
            </w:r>
          </w:p>
          <w:p>
            <w:pPr>
              <w:ind w:firstLine="482"/>
              <w:rPr>
                <w:rFonts w:hint="default" w:eastAsia="宋体"/>
                <w:b w:val="0"/>
                <w:bCs w:val="0"/>
                <w:color w:val="auto"/>
                <w:lang w:val="en-US" w:eastAsia="zh-CN"/>
              </w:rPr>
            </w:pPr>
            <w:r>
              <w:rPr>
                <w:rFonts w:hint="eastAsia"/>
                <w:b w:val="0"/>
                <w:bCs w:val="0"/>
                <w:color w:val="auto"/>
                <w:lang w:val="en-US" w:eastAsia="zh-CN"/>
              </w:rPr>
              <w:t>项目在筛分后进行包膜前对产品进行抽检，主要检测项目为总氮、有效磷、水溶磷、氧化钾、水分、粒度等指标是否符合产品质量标准要求。该过程产生的废酸、废碱统一收集暂存于危废暂存间，并委托云南大地丰源环保有限公司清运处置。</w:t>
            </w:r>
          </w:p>
          <w:p>
            <w:pPr>
              <w:ind w:firstLine="482"/>
              <w:rPr>
                <w:b/>
                <w:bCs/>
                <w:color w:val="auto"/>
              </w:rPr>
            </w:pPr>
            <w:r>
              <w:rPr>
                <w:rFonts w:hint="eastAsia"/>
                <w:b/>
                <w:bCs/>
                <w:color w:val="auto"/>
              </w:rPr>
              <w:t>废气处理工序简述：</w:t>
            </w:r>
          </w:p>
          <w:p>
            <w:pPr>
              <w:ind w:firstLine="480"/>
              <w:rPr>
                <w:color w:val="auto"/>
              </w:rPr>
            </w:pPr>
            <w:r>
              <w:rPr>
                <w:rFonts w:hint="eastAsia"/>
                <w:color w:val="auto"/>
              </w:rPr>
              <w:t>1）烘干机含尘气体通过旋风除尘器除去大部分粉尘，然后进入</w:t>
            </w:r>
            <w:r>
              <w:rPr>
                <w:rFonts w:hint="eastAsia"/>
                <w:color w:val="auto"/>
                <w:lang w:val="en-US" w:eastAsia="zh-CN"/>
              </w:rPr>
              <w:t>重力</w:t>
            </w:r>
            <w:r>
              <w:rPr>
                <w:rFonts w:hint="eastAsia"/>
                <w:color w:val="auto"/>
              </w:rPr>
              <w:t>沉降室进一步沉降粉尘，再经过烘干尾气风机送入</w:t>
            </w:r>
            <w:r>
              <w:rPr>
                <w:rFonts w:hint="eastAsia"/>
                <w:color w:val="auto"/>
                <w:lang w:eastAsia="zh-CN"/>
              </w:rPr>
              <w:t>水膜脱硫除尘器</w:t>
            </w:r>
            <w:r>
              <w:rPr>
                <w:rFonts w:hint="eastAsia"/>
                <w:color w:val="auto"/>
              </w:rPr>
              <w:t>，利用粉尘洗涤循环泵供给的循环液充分洗涤，处理达标后由15m高排气筒（DA009）排放。</w:t>
            </w:r>
          </w:p>
          <w:p>
            <w:pPr>
              <w:ind w:firstLine="480"/>
              <w:rPr>
                <w:rFonts w:hint="eastAsia"/>
                <w:color w:val="auto"/>
              </w:rPr>
            </w:pPr>
            <w:r>
              <w:rPr>
                <w:rFonts w:hint="eastAsia"/>
                <w:color w:val="auto"/>
              </w:rPr>
              <w:t>2）破碎、筛分、冷却及各料口收尘来的含尘气体，经风机等设备引至布袋除尘器进行除尘，处理达标后由20m高排气筒（DA010）排放。</w:t>
            </w:r>
          </w:p>
          <w:p>
            <w:pPr>
              <w:ind w:firstLine="480"/>
              <w:rPr>
                <w:rFonts w:hint="default" w:eastAsia="宋体"/>
                <w:color w:val="auto"/>
                <w:lang w:val="en-US" w:eastAsia="zh-CN"/>
              </w:rPr>
            </w:pPr>
            <w:r>
              <w:rPr>
                <w:rFonts w:hint="eastAsia"/>
                <w:color w:val="auto"/>
                <w:lang w:val="en-US" w:eastAsia="zh-CN"/>
              </w:rPr>
              <w:t>3）生物质锅炉尾气经旋风除尘+水膜脱硫除尘处理后由35</w:t>
            </w:r>
            <w:r>
              <w:rPr>
                <w:rFonts w:hint="eastAsia"/>
                <w:color w:val="auto"/>
              </w:rPr>
              <w:t>m高排气筒（DA0</w:t>
            </w:r>
            <w:r>
              <w:rPr>
                <w:rFonts w:hint="eastAsia"/>
                <w:color w:val="auto"/>
                <w:lang w:val="en-US" w:eastAsia="zh-CN"/>
              </w:rPr>
              <w:t>02</w:t>
            </w:r>
            <w:r>
              <w:rPr>
                <w:rFonts w:hint="eastAsia"/>
                <w:color w:val="auto"/>
              </w:rPr>
              <w:t>）排放。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jc w:val="center"/>
        </w:trPr>
        <w:tc>
          <w:tcPr>
            <w:tcW w:w="454" w:type="dxa"/>
            <w:vAlign w:val="center"/>
          </w:tcPr>
          <w:p>
            <w:pPr>
              <w:spacing w:line="240" w:lineRule="auto"/>
              <w:ind w:firstLine="0" w:firstLineChars="0"/>
              <w:jc w:val="center"/>
              <w:rPr>
                <w:color w:val="auto"/>
              </w:rPr>
            </w:pPr>
            <w:r>
              <w:rPr>
                <w:color w:val="auto"/>
              </w:rPr>
              <w:t>与项</w:t>
            </w:r>
          </w:p>
          <w:p>
            <w:pPr>
              <w:spacing w:line="240" w:lineRule="auto"/>
              <w:ind w:firstLine="0" w:firstLineChars="0"/>
              <w:jc w:val="center"/>
              <w:rPr>
                <w:color w:val="auto"/>
              </w:rPr>
            </w:pPr>
            <w:r>
              <w:rPr>
                <w:color w:val="auto"/>
              </w:rPr>
              <w:t>目有</w:t>
            </w:r>
          </w:p>
          <w:p>
            <w:pPr>
              <w:spacing w:line="240" w:lineRule="auto"/>
              <w:ind w:firstLine="0" w:firstLineChars="0"/>
              <w:jc w:val="center"/>
              <w:rPr>
                <w:color w:val="auto"/>
              </w:rPr>
            </w:pPr>
            <w:r>
              <w:rPr>
                <w:color w:val="auto"/>
              </w:rPr>
              <w:t>关的</w:t>
            </w:r>
          </w:p>
          <w:p>
            <w:pPr>
              <w:spacing w:line="240" w:lineRule="auto"/>
              <w:ind w:firstLine="0" w:firstLineChars="0"/>
              <w:jc w:val="center"/>
              <w:rPr>
                <w:color w:val="auto"/>
              </w:rPr>
            </w:pPr>
            <w:r>
              <w:rPr>
                <w:color w:val="auto"/>
              </w:rPr>
              <w:t>原有</w:t>
            </w:r>
          </w:p>
          <w:p>
            <w:pPr>
              <w:spacing w:line="240" w:lineRule="auto"/>
              <w:ind w:firstLine="0" w:firstLineChars="0"/>
              <w:jc w:val="center"/>
              <w:rPr>
                <w:color w:val="auto"/>
              </w:rPr>
            </w:pPr>
            <w:r>
              <w:rPr>
                <w:color w:val="auto"/>
              </w:rPr>
              <w:t>环境</w:t>
            </w:r>
          </w:p>
          <w:p>
            <w:pPr>
              <w:spacing w:line="240" w:lineRule="auto"/>
              <w:ind w:firstLine="0" w:firstLineChars="0"/>
              <w:jc w:val="center"/>
              <w:rPr>
                <w:color w:val="auto"/>
              </w:rPr>
            </w:pPr>
            <w:r>
              <w:rPr>
                <w:color w:val="auto"/>
              </w:rPr>
              <w:t>污染</w:t>
            </w:r>
          </w:p>
          <w:p>
            <w:pPr>
              <w:spacing w:line="240" w:lineRule="auto"/>
              <w:ind w:firstLine="0" w:firstLineChars="0"/>
              <w:jc w:val="center"/>
              <w:rPr>
                <w:color w:val="auto"/>
              </w:rPr>
            </w:pPr>
            <w:r>
              <w:rPr>
                <w:color w:val="auto"/>
              </w:rPr>
              <w:t>问题</w:t>
            </w:r>
          </w:p>
        </w:tc>
        <w:tc>
          <w:tcPr>
            <w:tcW w:w="8606" w:type="dxa"/>
          </w:tcPr>
          <w:p>
            <w:pPr>
              <w:ind w:firstLine="0" w:firstLineChars="0"/>
              <w:rPr>
                <w:color w:val="auto"/>
              </w:rPr>
            </w:pPr>
            <w:r>
              <w:rPr>
                <w:rFonts w:hint="eastAsia"/>
                <w:color w:val="auto"/>
              </w:rPr>
              <w:t>一、原有项目</w:t>
            </w:r>
            <w:r>
              <w:rPr>
                <w:color w:val="auto"/>
              </w:rPr>
              <w:t>环保手续履行</w:t>
            </w:r>
            <w:r>
              <w:rPr>
                <w:rFonts w:hint="eastAsia"/>
                <w:color w:val="auto"/>
              </w:rPr>
              <w:t>情况</w:t>
            </w:r>
          </w:p>
          <w:p>
            <w:pPr>
              <w:ind w:firstLine="480"/>
              <w:rPr>
                <w:color w:val="auto"/>
              </w:rPr>
            </w:pPr>
            <w:r>
              <w:rPr>
                <w:rFonts w:hint="eastAsia"/>
                <w:color w:val="auto"/>
              </w:rPr>
              <w:t>原有项目主要环保手续履行情况详见下表。</w:t>
            </w:r>
          </w:p>
          <w:p>
            <w:pPr>
              <w:pStyle w:val="14"/>
              <w:rPr>
                <w:color w:val="auto"/>
              </w:rPr>
            </w:pPr>
            <w:r>
              <w:rPr>
                <w:color w:val="auto"/>
              </w:rPr>
              <w:t>表2-</w:t>
            </w:r>
            <w:r>
              <w:rPr>
                <w:rFonts w:hint="eastAsia"/>
                <w:color w:val="auto"/>
                <w:lang w:val="en-US" w:eastAsia="zh-CN"/>
              </w:rPr>
              <w:t>16</w:t>
            </w:r>
            <w:r>
              <w:rPr>
                <w:color w:val="auto"/>
              </w:rPr>
              <w:t xml:space="preserve"> </w:t>
            </w:r>
            <w:r>
              <w:rPr>
                <w:rFonts w:hint="eastAsia"/>
                <w:color w:val="auto"/>
              </w:rPr>
              <w:t xml:space="preserve">  </w:t>
            </w:r>
            <w:r>
              <w:rPr>
                <w:color w:val="auto"/>
              </w:rPr>
              <w:t>现有工程环保手续履行情况一览表</w:t>
            </w:r>
          </w:p>
          <w:tbl>
            <w:tblPr>
              <w:tblStyle w:val="11"/>
              <w:tblW w:w="83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814"/>
              <w:gridCol w:w="1888"/>
              <w:gridCol w:w="1450"/>
              <w:gridCol w:w="1663"/>
              <w:gridCol w:w="1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3" w:type="dxa"/>
                  <w:vAlign w:val="center"/>
                </w:tcPr>
                <w:p>
                  <w:pPr>
                    <w:pStyle w:val="15"/>
                    <w:wordWrap w:val="0"/>
                    <w:jc w:val="center"/>
                    <w:rPr>
                      <w:color w:val="auto"/>
                    </w:rPr>
                  </w:pPr>
                  <w:r>
                    <w:rPr>
                      <w:rFonts w:hint="eastAsia"/>
                      <w:color w:val="auto"/>
                    </w:rPr>
                    <w:t>序号</w:t>
                  </w:r>
                </w:p>
              </w:tc>
              <w:tc>
                <w:tcPr>
                  <w:tcW w:w="1814" w:type="dxa"/>
                  <w:vAlign w:val="center"/>
                </w:tcPr>
                <w:p>
                  <w:pPr>
                    <w:pStyle w:val="15"/>
                    <w:wordWrap w:val="0"/>
                    <w:jc w:val="center"/>
                    <w:rPr>
                      <w:color w:val="auto"/>
                    </w:rPr>
                  </w:pPr>
                  <w:r>
                    <w:rPr>
                      <w:color w:val="auto"/>
                    </w:rPr>
                    <w:t>项目名称</w:t>
                  </w:r>
                </w:p>
              </w:tc>
              <w:tc>
                <w:tcPr>
                  <w:tcW w:w="1888" w:type="dxa"/>
                  <w:vAlign w:val="center"/>
                </w:tcPr>
                <w:p>
                  <w:pPr>
                    <w:pStyle w:val="15"/>
                    <w:wordWrap w:val="0"/>
                    <w:jc w:val="center"/>
                    <w:rPr>
                      <w:rFonts w:hint="default" w:eastAsia="宋体"/>
                      <w:color w:val="auto"/>
                      <w:lang w:val="en-US" w:eastAsia="zh-CN"/>
                    </w:rPr>
                  </w:pPr>
                  <w:r>
                    <w:rPr>
                      <w:rFonts w:hint="eastAsia"/>
                      <w:color w:val="auto"/>
                      <w:lang w:val="en-US" w:eastAsia="zh-CN"/>
                    </w:rPr>
                    <w:t>产品方案</w:t>
                  </w:r>
                </w:p>
              </w:tc>
              <w:tc>
                <w:tcPr>
                  <w:tcW w:w="1450" w:type="dxa"/>
                  <w:vAlign w:val="center"/>
                </w:tcPr>
                <w:p>
                  <w:pPr>
                    <w:pStyle w:val="15"/>
                    <w:wordWrap w:val="0"/>
                    <w:jc w:val="center"/>
                    <w:rPr>
                      <w:color w:val="auto"/>
                    </w:rPr>
                  </w:pPr>
                  <w:r>
                    <w:rPr>
                      <w:color w:val="auto"/>
                    </w:rPr>
                    <w:t>环评</w:t>
                  </w:r>
                  <w:r>
                    <w:rPr>
                      <w:rFonts w:hint="eastAsia"/>
                      <w:color w:val="auto"/>
                    </w:rPr>
                    <w:t>批复</w:t>
                  </w:r>
                  <w:r>
                    <w:rPr>
                      <w:color w:val="auto"/>
                    </w:rPr>
                    <w:t>情况</w:t>
                  </w:r>
                </w:p>
              </w:tc>
              <w:tc>
                <w:tcPr>
                  <w:tcW w:w="1663" w:type="dxa"/>
                  <w:vAlign w:val="center"/>
                </w:tcPr>
                <w:p>
                  <w:pPr>
                    <w:pStyle w:val="15"/>
                    <w:wordWrap w:val="0"/>
                    <w:jc w:val="center"/>
                    <w:rPr>
                      <w:color w:val="auto"/>
                    </w:rPr>
                  </w:pPr>
                  <w:r>
                    <w:rPr>
                      <w:color w:val="auto"/>
                    </w:rPr>
                    <w:t>环保验收情况</w:t>
                  </w:r>
                </w:p>
              </w:tc>
              <w:tc>
                <w:tcPr>
                  <w:tcW w:w="1019" w:type="dxa"/>
                  <w:vAlign w:val="center"/>
                </w:tcPr>
                <w:p>
                  <w:pPr>
                    <w:pStyle w:val="15"/>
                    <w:wordWrap w:val="0"/>
                    <w:jc w:val="center"/>
                    <w:rPr>
                      <w:color w:val="auto"/>
                    </w:rPr>
                  </w:pPr>
                  <w:r>
                    <w:rPr>
                      <w:color w:val="auto"/>
                    </w:rPr>
                    <w:t>排污许可证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3" w:type="dxa"/>
                  <w:vAlign w:val="center"/>
                </w:tcPr>
                <w:p>
                  <w:pPr>
                    <w:pStyle w:val="15"/>
                    <w:wordWrap w:val="0"/>
                    <w:jc w:val="center"/>
                    <w:rPr>
                      <w:color w:val="auto"/>
                    </w:rPr>
                  </w:pPr>
                  <w:r>
                    <w:rPr>
                      <w:rFonts w:hint="eastAsia"/>
                      <w:color w:val="auto"/>
                    </w:rPr>
                    <w:t>1</w:t>
                  </w:r>
                </w:p>
              </w:tc>
              <w:tc>
                <w:tcPr>
                  <w:tcW w:w="1814" w:type="dxa"/>
                  <w:vAlign w:val="center"/>
                </w:tcPr>
                <w:p>
                  <w:pPr>
                    <w:pStyle w:val="15"/>
                    <w:wordWrap w:val="0"/>
                    <w:jc w:val="center"/>
                    <w:rPr>
                      <w:color w:val="auto"/>
                    </w:rPr>
                  </w:pPr>
                  <w:r>
                    <w:rPr>
                      <w:color w:val="auto"/>
                    </w:rPr>
                    <w:t>年产五万吨复合肥车间</w:t>
                  </w:r>
                </w:p>
              </w:tc>
              <w:tc>
                <w:tcPr>
                  <w:tcW w:w="1888" w:type="dxa"/>
                  <w:vAlign w:val="center"/>
                </w:tcPr>
                <w:p>
                  <w:pPr>
                    <w:pStyle w:val="15"/>
                    <w:wordWrap w:val="0"/>
                    <w:jc w:val="center"/>
                    <w:rPr>
                      <w:rFonts w:hint="eastAsia" w:eastAsia="宋体"/>
                      <w:color w:val="auto"/>
                      <w:lang w:eastAsia="zh-CN"/>
                    </w:rPr>
                  </w:pPr>
                  <w:r>
                    <w:rPr>
                      <w:color w:val="auto"/>
                    </w:rPr>
                    <w:t>年产复合肥</w:t>
                  </w:r>
                  <w:r>
                    <w:rPr>
                      <w:rFonts w:hint="eastAsia"/>
                      <w:color w:val="auto"/>
                      <w:lang w:val="en-US" w:eastAsia="zh-CN"/>
                    </w:rPr>
                    <w:t>5</w:t>
                  </w:r>
                  <w:r>
                    <w:rPr>
                      <w:color w:val="auto"/>
                    </w:rPr>
                    <w:t>万</w:t>
                  </w:r>
                  <w:r>
                    <w:rPr>
                      <w:rFonts w:hint="eastAsia"/>
                      <w:color w:val="auto"/>
                      <w:lang w:val="en-US" w:eastAsia="zh-CN"/>
                    </w:rPr>
                    <w:t>t。</w:t>
                  </w:r>
                </w:p>
              </w:tc>
              <w:tc>
                <w:tcPr>
                  <w:tcW w:w="1450" w:type="dxa"/>
                  <w:vAlign w:val="center"/>
                </w:tcPr>
                <w:p>
                  <w:pPr>
                    <w:pStyle w:val="15"/>
                    <w:wordWrap w:val="0"/>
                    <w:jc w:val="center"/>
                    <w:rPr>
                      <w:color w:val="auto"/>
                    </w:rPr>
                  </w:pPr>
                  <w:r>
                    <w:rPr>
                      <w:rFonts w:hint="eastAsia"/>
                      <w:color w:val="auto"/>
                    </w:rPr>
                    <w:t>昆环保[2000]自字263号</w:t>
                  </w:r>
                </w:p>
              </w:tc>
              <w:tc>
                <w:tcPr>
                  <w:tcW w:w="1663" w:type="dxa"/>
                  <w:vAlign w:val="center"/>
                </w:tcPr>
                <w:p>
                  <w:pPr>
                    <w:pStyle w:val="15"/>
                    <w:wordWrap w:val="0"/>
                    <w:jc w:val="center"/>
                    <w:rPr>
                      <w:color w:val="auto"/>
                    </w:rPr>
                  </w:pPr>
                  <w:r>
                    <w:rPr>
                      <w:rFonts w:hint="eastAsia"/>
                      <w:color w:val="auto"/>
                    </w:rPr>
                    <w:t>2010年1月通过竣工环保验收</w:t>
                  </w:r>
                </w:p>
              </w:tc>
              <w:tc>
                <w:tcPr>
                  <w:tcW w:w="1019" w:type="dxa"/>
                  <w:vMerge w:val="restart"/>
                  <w:vAlign w:val="center"/>
                </w:tcPr>
                <w:p>
                  <w:pPr>
                    <w:pStyle w:val="15"/>
                    <w:wordWrap w:val="0"/>
                    <w:jc w:val="center"/>
                    <w:rPr>
                      <w:rFonts w:hint="default" w:eastAsia="宋体"/>
                      <w:color w:val="auto"/>
                      <w:lang w:val="en-US" w:eastAsia="zh-CN"/>
                    </w:rPr>
                  </w:pPr>
                  <w:r>
                    <w:rPr>
                      <w:rFonts w:hint="eastAsia"/>
                      <w:color w:val="auto"/>
                      <w:lang w:val="en-US" w:eastAsia="zh-CN"/>
                    </w:rPr>
                    <w:t>建设单位于2019年10月12日首次取得排污许可证。</w:t>
                  </w:r>
                  <w:r>
                    <w:rPr>
                      <w:color w:val="auto"/>
                    </w:rPr>
                    <w:t>已申领排污许可证，证书编号</w:t>
                  </w:r>
                  <w:r>
                    <w:rPr>
                      <w:rFonts w:hint="eastAsia"/>
                      <w:color w:val="auto"/>
                    </w:rPr>
                    <w:t>915301227571672913001Q</w:t>
                  </w:r>
                  <w:r>
                    <w:rPr>
                      <w:rFonts w:hint="eastAsia"/>
                      <w:color w:val="auto"/>
                      <w:lang w:eastAsia="zh-CN"/>
                    </w:rPr>
                    <w:t>。</w:t>
                  </w:r>
                  <w:r>
                    <w:rPr>
                      <w:rFonts w:hint="eastAsia"/>
                      <w:color w:val="auto"/>
                      <w:lang w:val="en-US" w:eastAsia="zh-CN"/>
                    </w:rPr>
                    <w:t>2022年6月30日对排污许可证申请了变更。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3" w:type="dxa"/>
                  <w:vAlign w:val="center"/>
                </w:tcPr>
                <w:p>
                  <w:pPr>
                    <w:pStyle w:val="15"/>
                    <w:wordWrap w:val="0"/>
                    <w:jc w:val="center"/>
                    <w:rPr>
                      <w:color w:val="auto"/>
                    </w:rPr>
                  </w:pPr>
                  <w:r>
                    <w:rPr>
                      <w:rFonts w:hint="eastAsia"/>
                      <w:color w:val="auto"/>
                    </w:rPr>
                    <w:t>2</w:t>
                  </w:r>
                </w:p>
              </w:tc>
              <w:tc>
                <w:tcPr>
                  <w:tcW w:w="1814" w:type="dxa"/>
                  <w:vAlign w:val="center"/>
                </w:tcPr>
                <w:p>
                  <w:pPr>
                    <w:pStyle w:val="15"/>
                    <w:wordWrap w:val="0"/>
                    <w:jc w:val="center"/>
                    <w:rPr>
                      <w:color w:val="auto"/>
                    </w:rPr>
                  </w:pPr>
                  <w:r>
                    <w:rPr>
                      <w:color w:val="auto"/>
                    </w:rPr>
                    <w:t>20万吨过磷酸钙</w:t>
                  </w:r>
                  <w:r>
                    <w:rPr>
                      <w:rFonts w:hint="eastAsia"/>
                      <w:color w:val="auto"/>
                    </w:rPr>
                    <w:t>/年</w:t>
                  </w:r>
                  <w:r>
                    <w:rPr>
                      <w:color w:val="auto"/>
                    </w:rPr>
                    <w:t>改扩建项目</w:t>
                  </w:r>
                  <w:r>
                    <w:rPr>
                      <w:rFonts w:hint="eastAsia"/>
                      <w:color w:val="auto"/>
                    </w:rPr>
                    <w:t>环境影响报告表</w:t>
                  </w:r>
                </w:p>
              </w:tc>
              <w:tc>
                <w:tcPr>
                  <w:tcW w:w="1888" w:type="dxa"/>
                  <w:vAlign w:val="center"/>
                </w:tcPr>
                <w:p>
                  <w:pPr>
                    <w:pStyle w:val="15"/>
                    <w:wordWrap w:val="0"/>
                    <w:jc w:val="center"/>
                    <w:rPr>
                      <w:rFonts w:hint="default" w:eastAsia="宋体"/>
                      <w:color w:val="auto"/>
                      <w:lang w:val="en-US" w:eastAsia="zh-CN"/>
                    </w:rPr>
                  </w:pPr>
                  <w:r>
                    <w:rPr>
                      <w:color w:val="auto"/>
                    </w:rPr>
                    <w:t>年产</w:t>
                  </w:r>
                  <w:r>
                    <w:rPr>
                      <w:rFonts w:hint="eastAsia"/>
                      <w:color w:val="auto"/>
                      <w:lang w:val="en-US" w:eastAsia="zh-CN"/>
                    </w:rPr>
                    <w:t>普通</w:t>
                  </w:r>
                  <w:r>
                    <w:rPr>
                      <w:color w:val="auto"/>
                    </w:rPr>
                    <w:t>过磷酸钙</w:t>
                  </w:r>
                  <w:r>
                    <w:rPr>
                      <w:rFonts w:hint="eastAsia"/>
                      <w:color w:val="auto"/>
                      <w:lang w:val="en-US" w:eastAsia="zh-CN"/>
                    </w:rPr>
                    <w:t>20万t。</w:t>
                  </w:r>
                </w:p>
              </w:tc>
              <w:tc>
                <w:tcPr>
                  <w:tcW w:w="1450" w:type="dxa"/>
                  <w:vAlign w:val="center"/>
                </w:tcPr>
                <w:p>
                  <w:pPr>
                    <w:pStyle w:val="15"/>
                    <w:wordWrap w:val="0"/>
                    <w:jc w:val="center"/>
                    <w:rPr>
                      <w:color w:val="auto"/>
                    </w:rPr>
                  </w:pPr>
                  <w:r>
                    <w:rPr>
                      <w:rFonts w:hint="eastAsia"/>
                      <w:color w:val="auto"/>
                    </w:rPr>
                    <w:t>晋环保复字</w:t>
                  </w:r>
                </w:p>
                <w:p>
                  <w:pPr>
                    <w:pStyle w:val="15"/>
                    <w:wordWrap w:val="0"/>
                    <w:jc w:val="center"/>
                    <w:rPr>
                      <w:color w:val="auto"/>
                    </w:rPr>
                  </w:pPr>
                  <w:r>
                    <w:rPr>
                      <w:rFonts w:hint="eastAsia"/>
                      <w:color w:val="auto"/>
                    </w:rPr>
                    <w:t>[2004] 46号</w:t>
                  </w:r>
                </w:p>
              </w:tc>
              <w:tc>
                <w:tcPr>
                  <w:tcW w:w="1663" w:type="dxa"/>
                  <w:vAlign w:val="center"/>
                </w:tcPr>
                <w:p>
                  <w:pPr>
                    <w:pStyle w:val="15"/>
                    <w:wordWrap w:val="0"/>
                    <w:jc w:val="center"/>
                    <w:rPr>
                      <w:color w:val="auto"/>
                    </w:rPr>
                  </w:pPr>
                  <w:r>
                    <w:rPr>
                      <w:rFonts w:hint="eastAsia"/>
                      <w:color w:val="auto"/>
                    </w:rPr>
                    <w:t>2005年4月通过竣工环保验收</w:t>
                  </w:r>
                </w:p>
              </w:tc>
              <w:tc>
                <w:tcPr>
                  <w:tcW w:w="1019" w:type="dxa"/>
                  <w:vMerge w:val="continue"/>
                  <w:vAlign w:val="center"/>
                </w:tcPr>
                <w:p>
                  <w:pPr>
                    <w:pStyle w:val="15"/>
                    <w:wordWrap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3" w:type="dxa"/>
                  <w:vAlign w:val="center"/>
                </w:tcPr>
                <w:p>
                  <w:pPr>
                    <w:pStyle w:val="15"/>
                    <w:wordWrap w:val="0"/>
                    <w:jc w:val="center"/>
                    <w:rPr>
                      <w:color w:val="auto"/>
                    </w:rPr>
                  </w:pPr>
                  <w:r>
                    <w:rPr>
                      <w:rFonts w:hint="eastAsia"/>
                      <w:color w:val="auto"/>
                    </w:rPr>
                    <w:t>3</w:t>
                  </w:r>
                </w:p>
              </w:tc>
              <w:tc>
                <w:tcPr>
                  <w:tcW w:w="1814" w:type="dxa"/>
                  <w:vAlign w:val="center"/>
                </w:tcPr>
                <w:p>
                  <w:pPr>
                    <w:pStyle w:val="15"/>
                    <w:wordWrap w:val="0"/>
                    <w:jc w:val="center"/>
                    <w:rPr>
                      <w:color w:val="auto"/>
                    </w:rPr>
                  </w:pPr>
                  <w:r>
                    <w:rPr>
                      <w:color w:val="auto"/>
                    </w:rPr>
                    <w:t>20万吨过磷酸钙</w:t>
                  </w:r>
                  <w:r>
                    <w:rPr>
                      <w:rFonts w:hint="eastAsia"/>
                      <w:color w:val="auto"/>
                    </w:rPr>
                    <w:t>/年</w:t>
                  </w:r>
                  <w:r>
                    <w:rPr>
                      <w:color w:val="auto"/>
                    </w:rPr>
                    <w:t>改扩建项目</w:t>
                  </w:r>
                  <w:r>
                    <w:rPr>
                      <w:rFonts w:hint="eastAsia"/>
                      <w:color w:val="auto"/>
                    </w:rPr>
                    <w:t>环境影响后评价</w:t>
                  </w:r>
                </w:p>
              </w:tc>
              <w:tc>
                <w:tcPr>
                  <w:tcW w:w="1888" w:type="dxa"/>
                  <w:vAlign w:val="center"/>
                </w:tcPr>
                <w:p>
                  <w:pPr>
                    <w:pStyle w:val="15"/>
                    <w:wordWrap w:val="0"/>
                    <w:jc w:val="center"/>
                    <w:rPr>
                      <w:rFonts w:hint="eastAsia" w:eastAsia="宋体"/>
                      <w:color w:val="auto"/>
                      <w:lang w:val="en-US" w:eastAsia="zh-CN"/>
                    </w:rPr>
                  </w:pPr>
                  <w:r>
                    <w:rPr>
                      <w:color w:val="auto"/>
                    </w:rPr>
                    <w:t>年产过磷酸钙</w:t>
                  </w:r>
                  <w:r>
                    <w:rPr>
                      <w:rFonts w:hint="eastAsia"/>
                      <w:color w:val="auto"/>
                      <w:lang w:val="en-US" w:eastAsia="zh-CN"/>
                    </w:rPr>
                    <w:t>20万t变更为年产普通过磷酸钙10万t、重过磷酸钙10万t。</w:t>
                  </w:r>
                </w:p>
              </w:tc>
              <w:tc>
                <w:tcPr>
                  <w:tcW w:w="1450" w:type="dxa"/>
                  <w:vAlign w:val="center"/>
                </w:tcPr>
                <w:p>
                  <w:pPr>
                    <w:pStyle w:val="15"/>
                    <w:wordWrap w:val="0"/>
                    <w:jc w:val="center"/>
                    <w:rPr>
                      <w:color w:val="auto"/>
                    </w:rPr>
                  </w:pPr>
                  <w:r>
                    <w:rPr>
                      <w:rFonts w:hint="eastAsia"/>
                      <w:color w:val="auto"/>
                    </w:rPr>
                    <w:t>晋环保复字</w:t>
                  </w:r>
                </w:p>
                <w:p>
                  <w:pPr>
                    <w:pStyle w:val="15"/>
                    <w:wordWrap w:val="0"/>
                    <w:jc w:val="center"/>
                    <w:rPr>
                      <w:color w:val="auto"/>
                    </w:rPr>
                  </w:pPr>
                  <w:r>
                    <w:rPr>
                      <w:rFonts w:hint="eastAsia"/>
                      <w:color w:val="auto"/>
                    </w:rPr>
                    <w:t>[2009] 87号</w:t>
                  </w:r>
                </w:p>
              </w:tc>
              <w:tc>
                <w:tcPr>
                  <w:tcW w:w="1663" w:type="dxa"/>
                  <w:vAlign w:val="center"/>
                </w:tcPr>
                <w:p>
                  <w:pPr>
                    <w:pStyle w:val="15"/>
                    <w:wordWrap w:val="0"/>
                    <w:jc w:val="center"/>
                    <w:rPr>
                      <w:color w:val="auto"/>
                    </w:rPr>
                  </w:pPr>
                  <w:r>
                    <w:rPr>
                      <w:rFonts w:hint="eastAsia"/>
                      <w:color w:val="auto"/>
                    </w:rPr>
                    <w:t>2009年11月通过竣工环保验收</w:t>
                  </w:r>
                </w:p>
              </w:tc>
              <w:tc>
                <w:tcPr>
                  <w:tcW w:w="1019" w:type="dxa"/>
                  <w:vMerge w:val="continue"/>
                  <w:vAlign w:val="center"/>
                </w:tcPr>
                <w:p>
                  <w:pPr>
                    <w:pStyle w:val="15"/>
                    <w:wordWrap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3" w:type="dxa"/>
                  <w:vAlign w:val="center"/>
                </w:tcPr>
                <w:p>
                  <w:pPr>
                    <w:pStyle w:val="15"/>
                    <w:wordWrap w:val="0"/>
                    <w:jc w:val="center"/>
                    <w:rPr>
                      <w:color w:val="auto"/>
                    </w:rPr>
                  </w:pPr>
                  <w:r>
                    <w:rPr>
                      <w:rFonts w:hint="eastAsia"/>
                      <w:color w:val="auto"/>
                    </w:rPr>
                    <w:t>4</w:t>
                  </w:r>
                </w:p>
              </w:tc>
              <w:tc>
                <w:tcPr>
                  <w:tcW w:w="1814" w:type="dxa"/>
                  <w:vAlign w:val="center"/>
                </w:tcPr>
                <w:p>
                  <w:pPr>
                    <w:pStyle w:val="15"/>
                    <w:wordWrap w:val="0"/>
                    <w:jc w:val="center"/>
                    <w:rPr>
                      <w:color w:val="auto"/>
                    </w:rPr>
                  </w:pPr>
                  <w:r>
                    <w:rPr>
                      <w:rFonts w:hint="eastAsia"/>
                      <w:color w:val="auto"/>
                    </w:rPr>
                    <w:t>锅炉技术改造项目</w:t>
                  </w:r>
                </w:p>
              </w:tc>
              <w:tc>
                <w:tcPr>
                  <w:tcW w:w="1888" w:type="dxa"/>
                  <w:vAlign w:val="center"/>
                </w:tcPr>
                <w:p>
                  <w:pPr>
                    <w:pStyle w:val="15"/>
                    <w:wordWrap w:val="0"/>
                    <w:jc w:val="center"/>
                    <w:rPr>
                      <w:rFonts w:hint="default" w:eastAsia="宋体"/>
                      <w:color w:val="auto"/>
                      <w:lang w:val="en-US" w:eastAsia="zh-CN"/>
                    </w:rPr>
                  </w:pPr>
                  <w:r>
                    <w:rPr>
                      <w:rFonts w:hint="eastAsia"/>
                      <w:color w:val="auto"/>
                      <w:lang w:val="en-US" w:eastAsia="zh-CN"/>
                    </w:rPr>
                    <w:t>水蒸汽4t/h。</w:t>
                  </w:r>
                </w:p>
              </w:tc>
              <w:tc>
                <w:tcPr>
                  <w:tcW w:w="1450" w:type="dxa"/>
                  <w:vAlign w:val="center"/>
                </w:tcPr>
                <w:p>
                  <w:pPr>
                    <w:pStyle w:val="15"/>
                    <w:wordWrap w:val="0"/>
                    <w:jc w:val="center"/>
                    <w:rPr>
                      <w:color w:val="auto"/>
                    </w:rPr>
                  </w:pPr>
                  <w:r>
                    <w:rPr>
                      <w:rFonts w:hint="eastAsia"/>
                      <w:color w:val="auto"/>
                    </w:rPr>
                    <w:t>晋环保复字</w:t>
                  </w:r>
                </w:p>
                <w:p>
                  <w:pPr>
                    <w:pStyle w:val="15"/>
                    <w:wordWrap w:val="0"/>
                    <w:jc w:val="center"/>
                    <w:rPr>
                      <w:color w:val="auto"/>
                    </w:rPr>
                  </w:pPr>
                  <w:r>
                    <w:rPr>
                      <w:rFonts w:hint="eastAsia"/>
                      <w:color w:val="auto"/>
                    </w:rPr>
                    <w:t>[2016] 79号</w:t>
                  </w:r>
                </w:p>
              </w:tc>
              <w:tc>
                <w:tcPr>
                  <w:tcW w:w="1663" w:type="dxa"/>
                  <w:vAlign w:val="center"/>
                </w:tcPr>
                <w:p>
                  <w:pPr>
                    <w:pStyle w:val="15"/>
                    <w:wordWrap w:val="0"/>
                    <w:jc w:val="center"/>
                    <w:rPr>
                      <w:color w:val="auto"/>
                    </w:rPr>
                  </w:pPr>
                  <w:r>
                    <w:rPr>
                      <w:rFonts w:hint="eastAsia"/>
                      <w:color w:val="auto"/>
                    </w:rPr>
                    <w:t>2017年6月通过竣工环保验收</w:t>
                  </w:r>
                </w:p>
              </w:tc>
              <w:tc>
                <w:tcPr>
                  <w:tcW w:w="1019" w:type="dxa"/>
                  <w:vMerge w:val="continue"/>
                  <w:vAlign w:val="center"/>
                </w:tcPr>
                <w:p>
                  <w:pPr>
                    <w:pStyle w:val="15"/>
                    <w:wordWrap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3" w:type="dxa"/>
                  <w:vAlign w:val="center"/>
                </w:tcPr>
                <w:p>
                  <w:pPr>
                    <w:pStyle w:val="15"/>
                    <w:wordWrap w:val="0"/>
                    <w:jc w:val="center"/>
                    <w:rPr>
                      <w:color w:val="auto"/>
                    </w:rPr>
                  </w:pPr>
                  <w:r>
                    <w:rPr>
                      <w:rFonts w:hint="eastAsia"/>
                      <w:color w:val="auto"/>
                    </w:rPr>
                    <w:t>5</w:t>
                  </w:r>
                </w:p>
              </w:tc>
              <w:tc>
                <w:tcPr>
                  <w:tcW w:w="1814" w:type="dxa"/>
                  <w:vAlign w:val="center"/>
                </w:tcPr>
                <w:p>
                  <w:pPr>
                    <w:pStyle w:val="15"/>
                    <w:wordWrap w:val="0"/>
                    <w:jc w:val="center"/>
                    <w:rPr>
                      <w:color w:val="auto"/>
                    </w:rPr>
                  </w:pPr>
                  <w:r>
                    <w:rPr>
                      <w:rFonts w:hint="eastAsia"/>
                      <w:color w:val="auto"/>
                    </w:rPr>
                    <w:t>有机肥料生产线建设项目</w:t>
                  </w:r>
                </w:p>
              </w:tc>
              <w:tc>
                <w:tcPr>
                  <w:tcW w:w="1888" w:type="dxa"/>
                  <w:vAlign w:val="center"/>
                </w:tcPr>
                <w:p>
                  <w:pPr>
                    <w:pStyle w:val="15"/>
                    <w:wordWrap w:val="0"/>
                    <w:jc w:val="center"/>
                    <w:rPr>
                      <w:rFonts w:hint="default" w:eastAsia="宋体"/>
                      <w:color w:val="auto"/>
                      <w:lang w:val="en-US" w:eastAsia="zh-CN"/>
                    </w:rPr>
                  </w:pPr>
                  <w:r>
                    <w:rPr>
                      <w:rFonts w:hint="eastAsia"/>
                      <w:color w:val="auto"/>
                      <w:lang w:val="en-US" w:eastAsia="zh-CN"/>
                    </w:rPr>
                    <w:t>减少复合肥产量2万t/a，增加粒状有机肥产量2万t/a。</w:t>
                  </w:r>
                </w:p>
              </w:tc>
              <w:tc>
                <w:tcPr>
                  <w:tcW w:w="1450" w:type="dxa"/>
                  <w:vAlign w:val="center"/>
                </w:tcPr>
                <w:p>
                  <w:pPr>
                    <w:pStyle w:val="15"/>
                    <w:wordWrap w:val="0"/>
                    <w:jc w:val="center"/>
                    <w:rPr>
                      <w:color w:val="auto"/>
                    </w:rPr>
                  </w:pPr>
                  <w:r>
                    <w:rPr>
                      <w:rFonts w:hint="eastAsia"/>
                      <w:color w:val="auto"/>
                    </w:rPr>
                    <w:t>晋环保复</w:t>
                  </w:r>
                </w:p>
                <w:p>
                  <w:pPr>
                    <w:pStyle w:val="15"/>
                    <w:wordWrap w:val="0"/>
                    <w:jc w:val="center"/>
                    <w:rPr>
                      <w:color w:val="auto"/>
                    </w:rPr>
                  </w:pPr>
                  <w:r>
                    <w:rPr>
                      <w:rFonts w:hint="eastAsia"/>
                      <w:color w:val="auto"/>
                    </w:rPr>
                    <w:t>[20</w:t>
                  </w:r>
                  <w:r>
                    <w:rPr>
                      <w:color w:val="auto"/>
                    </w:rPr>
                    <w:t>19</w:t>
                  </w:r>
                  <w:r>
                    <w:rPr>
                      <w:rFonts w:hint="eastAsia"/>
                      <w:color w:val="auto"/>
                    </w:rPr>
                    <w:t>] 53号</w:t>
                  </w:r>
                </w:p>
              </w:tc>
              <w:tc>
                <w:tcPr>
                  <w:tcW w:w="1663" w:type="dxa"/>
                  <w:vAlign w:val="center"/>
                </w:tcPr>
                <w:p>
                  <w:pPr>
                    <w:pStyle w:val="15"/>
                    <w:wordWrap w:val="0"/>
                    <w:jc w:val="center"/>
                    <w:rPr>
                      <w:color w:val="auto"/>
                    </w:rPr>
                  </w:pPr>
                  <w:r>
                    <w:rPr>
                      <w:color w:val="auto"/>
                    </w:rPr>
                    <w:t>2020</w:t>
                  </w:r>
                  <w:r>
                    <w:rPr>
                      <w:rFonts w:hint="eastAsia"/>
                      <w:color w:val="auto"/>
                    </w:rPr>
                    <w:t>年</w:t>
                  </w:r>
                  <w:r>
                    <w:rPr>
                      <w:color w:val="auto"/>
                    </w:rPr>
                    <w:t>4</w:t>
                  </w:r>
                  <w:r>
                    <w:rPr>
                      <w:rFonts w:hint="eastAsia"/>
                      <w:color w:val="auto"/>
                    </w:rPr>
                    <w:t>月通过竣工环保验收</w:t>
                  </w:r>
                </w:p>
              </w:tc>
              <w:tc>
                <w:tcPr>
                  <w:tcW w:w="1019" w:type="dxa"/>
                  <w:vMerge w:val="continue"/>
                  <w:vAlign w:val="center"/>
                </w:tcPr>
                <w:p>
                  <w:pPr>
                    <w:pStyle w:val="15"/>
                    <w:wordWrap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3" w:type="dxa"/>
                  <w:vAlign w:val="center"/>
                </w:tcPr>
                <w:p>
                  <w:pPr>
                    <w:pStyle w:val="15"/>
                    <w:wordWrap w:val="0"/>
                    <w:jc w:val="center"/>
                    <w:rPr>
                      <w:color w:val="auto"/>
                    </w:rPr>
                  </w:pPr>
                  <w:r>
                    <w:rPr>
                      <w:rFonts w:hint="eastAsia"/>
                      <w:color w:val="auto"/>
                    </w:rPr>
                    <w:t>6</w:t>
                  </w:r>
                </w:p>
              </w:tc>
              <w:tc>
                <w:tcPr>
                  <w:tcW w:w="1814" w:type="dxa"/>
                  <w:vAlign w:val="center"/>
                </w:tcPr>
                <w:p>
                  <w:pPr>
                    <w:pStyle w:val="15"/>
                    <w:wordWrap w:val="0"/>
                    <w:jc w:val="center"/>
                    <w:rPr>
                      <w:color w:val="auto"/>
                    </w:rPr>
                  </w:pPr>
                  <w:r>
                    <w:rPr>
                      <w:rFonts w:hint="eastAsia"/>
                      <w:color w:val="auto"/>
                    </w:rPr>
                    <w:t>水溶肥（固态、液态）办证产品生产设施改造项目</w:t>
                  </w:r>
                </w:p>
              </w:tc>
              <w:tc>
                <w:tcPr>
                  <w:tcW w:w="1888" w:type="dxa"/>
                  <w:vAlign w:val="center"/>
                </w:tcPr>
                <w:p>
                  <w:pPr>
                    <w:pStyle w:val="15"/>
                    <w:wordWrap w:val="0"/>
                    <w:jc w:val="center"/>
                    <w:rPr>
                      <w:rFonts w:hint="default" w:eastAsia="宋体"/>
                      <w:color w:val="auto"/>
                      <w:lang w:val="en-US" w:eastAsia="zh-CN"/>
                    </w:rPr>
                  </w:pPr>
                  <w:r>
                    <w:rPr>
                      <w:rFonts w:hint="eastAsia"/>
                      <w:color w:val="auto"/>
                      <w:lang w:val="en-US" w:eastAsia="zh-CN"/>
                    </w:rPr>
                    <w:t>年产固态水溶肥5000t、液态水溶肥5000t。</w:t>
                  </w:r>
                </w:p>
              </w:tc>
              <w:tc>
                <w:tcPr>
                  <w:tcW w:w="1450" w:type="dxa"/>
                  <w:vAlign w:val="center"/>
                </w:tcPr>
                <w:p>
                  <w:pPr>
                    <w:pStyle w:val="15"/>
                    <w:wordWrap w:val="0"/>
                    <w:jc w:val="center"/>
                    <w:rPr>
                      <w:color w:val="auto"/>
                    </w:rPr>
                  </w:pPr>
                  <w:r>
                    <w:rPr>
                      <w:rFonts w:hint="eastAsia"/>
                      <w:color w:val="auto"/>
                    </w:rPr>
                    <w:t>晋环保复</w:t>
                  </w:r>
                </w:p>
                <w:p>
                  <w:pPr>
                    <w:pStyle w:val="15"/>
                    <w:wordWrap w:val="0"/>
                    <w:jc w:val="center"/>
                    <w:rPr>
                      <w:color w:val="auto"/>
                    </w:rPr>
                  </w:pPr>
                  <w:r>
                    <w:rPr>
                      <w:rFonts w:hint="eastAsia"/>
                      <w:color w:val="auto"/>
                    </w:rPr>
                    <w:t>〔</w:t>
                  </w:r>
                  <w:r>
                    <w:rPr>
                      <w:color w:val="auto"/>
                    </w:rPr>
                    <w:t>2020</w:t>
                  </w:r>
                  <w:r>
                    <w:rPr>
                      <w:rFonts w:hint="eastAsia"/>
                      <w:color w:val="auto"/>
                    </w:rPr>
                    <w:t>〕</w:t>
                  </w:r>
                  <w:r>
                    <w:rPr>
                      <w:color w:val="auto"/>
                    </w:rPr>
                    <w:t>24</w:t>
                  </w:r>
                  <w:r>
                    <w:rPr>
                      <w:rFonts w:hint="eastAsia"/>
                      <w:color w:val="auto"/>
                    </w:rPr>
                    <w:t>号</w:t>
                  </w:r>
                </w:p>
              </w:tc>
              <w:tc>
                <w:tcPr>
                  <w:tcW w:w="1663" w:type="dxa"/>
                  <w:vAlign w:val="center"/>
                </w:tcPr>
                <w:p>
                  <w:pPr>
                    <w:pStyle w:val="15"/>
                    <w:wordWrap w:val="0"/>
                    <w:jc w:val="center"/>
                    <w:rPr>
                      <w:color w:val="auto"/>
                    </w:rPr>
                  </w:pPr>
                  <w:r>
                    <w:rPr>
                      <w:color w:val="auto"/>
                    </w:rPr>
                    <w:t>2020</w:t>
                  </w:r>
                  <w:r>
                    <w:rPr>
                      <w:rFonts w:hint="eastAsia"/>
                      <w:color w:val="auto"/>
                    </w:rPr>
                    <w:t>年12月通过竣工环保验收</w:t>
                  </w:r>
                </w:p>
              </w:tc>
              <w:tc>
                <w:tcPr>
                  <w:tcW w:w="1019" w:type="dxa"/>
                  <w:vMerge w:val="continue"/>
                  <w:vAlign w:val="center"/>
                </w:tcPr>
                <w:p>
                  <w:pPr>
                    <w:pStyle w:val="15"/>
                    <w:wordWrap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3" w:type="dxa"/>
                  <w:vAlign w:val="center"/>
                </w:tcPr>
                <w:p>
                  <w:pPr>
                    <w:pStyle w:val="15"/>
                    <w:wordWrap w:val="0"/>
                    <w:jc w:val="center"/>
                    <w:rPr>
                      <w:color w:val="auto"/>
                    </w:rPr>
                  </w:pPr>
                  <w:r>
                    <w:rPr>
                      <w:rFonts w:hint="eastAsia"/>
                      <w:color w:val="auto"/>
                    </w:rPr>
                    <w:t>7</w:t>
                  </w:r>
                </w:p>
              </w:tc>
              <w:tc>
                <w:tcPr>
                  <w:tcW w:w="1814" w:type="dxa"/>
                  <w:vAlign w:val="center"/>
                </w:tcPr>
                <w:p>
                  <w:pPr>
                    <w:pStyle w:val="15"/>
                    <w:wordWrap w:val="0"/>
                    <w:jc w:val="center"/>
                    <w:rPr>
                      <w:color w:val="auto"/>
                    </w:rPr>
                  </w:pPr>
                  <w:r>
                    <w:rPr>
                      <w:rFonts w:hint="eastAsia"/>
                      <w:color w:val="auto"/>
                    </w:rPr>
                    <w:t>复合肥返料处理设施项目</w:t>
                  </w:r>
                </w:p>
              </w:tc>
              <w:tc>
                <w:tcPr>
                  <w:tcW w:w="1888" w:type="dxa"/>
                  <w:vAlign w:val="center"/>
                </w:tcPr>
                <w:p>
                  <w:pPr>
                    <w:pStyle w:val="15"/>
                    <w:wordWrap w:val="0"/>
                    <w:jc w:val="center"/>
                    <w:rPr>
                      <w:rFonts w:hint="default" w:eastAsia="宋体"/>
                      <w:color w:val="auto"/>
                      <w:lang w:val="en-US" w:eastAsia="zh-CN"/>
                    </w:rPr>
                  </w:pPr>
                  <w:r>
                    <w:rPr>
                      <w:rFonts w:hint="eastAsia"/>
                      <w:color w:val="auto"/>
                      <w:lang w:val="en-US" w:eastAsia="zh-CN"/>
                    </w:rPr>
                    <w:t>产量复合肥1万t/a。</w:t>
                  </w:r>
                </w:p>
              </w:tc>
              <w:tc>
                <w:tcPr>
                  <w:tcW w:w="1450" w:type="dxa"/>
                  <w:vAlign w:val="center"/>
                </w:tcPr>
                <w:p>
                  <w:pPr>
                    <w:pStyle w:val="15"/>
                    <w:wordWrap w:val="0"/>
                    <w:jc w:val="center"/>
                    <w:rPr>
                      <w:color w:val="auto"/>
                    </w:rPr>
                  </w:pPr>
                  <w:r>
                    <w:rPr>
                      <w:rFonts w:hint="eastAsia"/>
                      <w:color w:val="auto"/>
                    </w:rPr>
                    <w:t>晋环保复</w:t>
                  </w:r>
                </w:p>
                <w:p>
                  <w:pPr>
                    <w:pStyle w:val="15"/>
                    <w:wordWrap w:val="0"/>
                    <w:jc w:val="center"/>
                    <w:rPr>
                      <w:color w:val="auto"/>
                    </w:rPr>
                  </w:pPr>
                  <w:r>
                    <w:rPr>
                      <w:rFonts w:hint="eastAsia"/>
                      <w:color w:val="auto"/>
                    </w:rPr>
                    <w:t>〔</w:t>
                  </w:r>
                  <w:r>
                    <w:rPr>
                      <w:color w:val="auto"/>
                    </w:rPr>
                    <w:t>2020</w:t>
                  </w:r>
                  <w:r>
                    <w:rPr>
                      <w:rFonts w:hint="eastAsia"/>
                      <w:color w:val="auto"/>
                    </w:rPr>
                    <w:t>〕</w:t>
                  </w:r>
                  <w:r>
                    <w:rPr>
                      <w:color w:val="auto"/>
                    </w:rPr>
                    <w:t>2</w:t>
                  </w:r>
                  <w:r>
                    <w:rPr>
                      <w:rFonts w:hint="eastAsia"/>
                      <w:color w:val="auto"/>
                    </w:rPr>
                    <w:t>6号</w:t>
                  </w:r>
                </w:p>
              </w:tc>
              <w:tc>
                <w:tcPr>
                  <w:tcW w:w="1663" w:type="dxa"/>
                  <w:vAlign w:val="center"/>
                </w:tcPr>
                <w:p>
                  <w:pPr>
                    <w:pStyle w:val="15"/>
                    <w:wordWrap w:val="0"/>
                    <w:jc w:val="center"/>
                    <w:rPr>
                      <w:color w:val="auto"/>
                    </w:rPr>
                  </w:pPr>
                  <w:r>
                    <w:rPr>
                      <w:color w:val="auto"/>
                    </w:rPr>
                    <w:t>2020</w:t>
                  </w:r>
                  <w:r>
                    <w:rPr>
                      <w:rFonts w:hint="eastAsia"/>
                      <w:color w:val="auto"/>
                    </w:rPr>
                    <w:t>年12月通过竣工环保验收</w:t>
                  </w:r>
                </w:p>
              </w:tc>
              <w:tc>
                <w:tcPr>
                  <w:tcW w:w="1019" w:type="dxa"/>
                  <w:vMerge w:val="continue"/>
                  <w:vAlign w:val="center"/>
                </w:tcPr>
                <w:p>
                  <w:pPr>
                    <w:pStyle w:val="15"/>
                    <w:wordWrap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3" w:type="dxa"/>
                  <w:vAlign w:val="center"/>
                </w:tcPr>
                <w:p>
                  <w:pPr>
                    <w:pStyle w:val="15"/>
                    <w:wordWrap w:val="0"/>
                    <w:jc w:val="center"/>
                    <w:rPr>
                      <w:color w:val="auto"/>
                    </w:rPr>
                  </w:pPr>
                  <w:r>
                    <w:rPr>
                      <w:rFonts w:hint="eastAsia"/>
                      <w:color w:val="auto"/>
                    </w:rPr>
                    <w:t>8</w:t>
                  </w:r>
                </w:p>
              </w:tc>
              <w:tc>
                <w:tcPr>
                  <w:tcW w:w="1814" w:type="dxa"/>
                  <w:vAlign w:val="center"/>
                </w:tcPr>
                <w:p>
                  <w:pPr>
                    <w:pStyle w:val="15"/>
                    <w:wordWrap w:val="0"/>
                    <w:jc w:val="center"/>
                    <w:rPr>
                      <w:color w:val="auto"/>
                    </w:rPr>
                  </w:pPr>
                  <w:r>
                    <w:rPr>
                      <w:rFonts w:hint="eastAsia"/>
                      <w:color w:val="auto"/>
                    </w:rPr>
                    <w:t>水溶肥（固态、液态）办证产品生产设施复合肥返料处理设施提质增效改造项目</w:t>
                  </w:r>
                </w:p>
              </w:tc>
              <w:tc>
                <w:tcPr>
                  <w:tcW w:w="1888" w:type="dxa"/>
                  <w:vAlign w:val="center"/>
                </w:tcPr>
                <w:p>
                  <w:pPr>
                    <w:pStyle w:val="15"/>
                    <w:wordWrap w:val="0"/>
                    <w:jc w:val="center"/>
                    <w:rPr>
                      <w:rFonts w:hint="default" w:eastAsia="宋体"/>
                      <w:color w:val="auto"/>
                      <w:lang w:val="en-US" w:eastAsia="zh-CN"/>
                    </w:rPr>
                  </w:pPr>
                  <w:r>
                    <w:rPr>
                      <w:rFonts w:hint="eastAsia"/>
                      <w:color w:val="auto"/>
                      <w:lang w:val="en-US" w:eastAsia="zh-CN"/>
                    </w:rPr>
                    <w:t>新增复合肥4万t/a、固态水溶肥4.5万t/a、液态水溶肥2.5万t/a。</w:t>
                  </w:r>
                </w:p>
              </w:tc>
              <w:tc>
                <w:tcPr>
                  <w:tcW w:w="1450" w:type="dxa"/>
                  <w:vAlign w:val="center"/>
                </w:tcPr>
                <w:p>
                  <w:pPr>
                    <w:pStyle w:val="15"/>
                    <w:wordWrap w:val="0"/>
                    <w:jc w:val="center"/>
                    <w:rPr>
                      <w:color w:val="auto"/>
                    </w:rPr>
                  </w:pPr>
                  <w:r>
                    <w:rPr>
                      <w:rFonts w:hint="eastAsia"/>
                      <w:color w:val="auto"/>
                    </w:rPr>
                    <w:t>昆生环晋复</w:t>
                  </w:r>
                </w:p>
                <w:p>
                  <w:pPr>
                    <w:pStyle w:val="15"/>
                    <w:wordWrap w:val="0"/>
                    <w:jc w:val="center"/>
                    <w:rPr>
                      <w:color w:val="auto"/>
                    </w:rPr>
                  </w:pPr>
                  <w:r>
                    <w:rPr>
                      <w:rFonts w:hint="eastAsia"/>
                      <w:color w:val="auto"/>
                    </w:rPr>
                    <w:t>〔</w:t>
                  </w:r>
                  <w:r>
                    <w:rPr>
                      <w:color w:val="auto"/>
                    </w:rPr>
                    <w:t>202</w:t>
                  </w:r>
                  <w:r>
                    <w:rPr>
                      <w:rFonts w:hint="eastAsia"/>
                      <w:color w:val="auto"/>
                    </w:rPr>
                    <w:t>3〕9号</w:t>
                  </w:r>
                </w:p>
              </w:tc>
              <w:tc>
                <w:tcPr>
                  <w:tcW w:w="1663" w:type="dxa"/>
                  <w:vAlign w:val="center"/>
                </w:tcPr>
                <w:p>
                  <w:pPr>
                    <w:pStyle w:val="15"/>
                    <w:wordWrap w:val="0"/>
                    <w:jc w:val="center"/>
                    <w:rPr>
                      <w:rFonts w:hint="default" w:eastAsia="宋体"/>
                      <w:color w:val="auto"/>
                      <w:lang w:val="en-US" w:eastAsia="zh-CN"/>
                    </w:rPr>
                  </w:pPr>
                  <w:r>
                    <w:rPr>
                      <w:rFonts w:hint="eastAsia"/>
                      <w:color w:val="auto"/>
                      <w:lang w:val="en-US" w:eastAsia="zh-CN"/>
                    </w:rPr>
                    <w:t>目前项目正在建设中</w:t>
                  </w:r>
                </w:p>
              </w:tc>
              <w:tc>
                <w:tcPr>
                  <w:tcW w:w="1019" w:type="dxa"/>
                  <w:vAlign w:val="center"/>
                </w:tcPr>
                <w:p>
                  <w:pPr>
                    <w:pStyle w:val="15"/>
                    <w:wordWrap w:val="0"/>
                    <w:jc w:val="center"/>
                    <w:rPr>
                      <w:color w:val="auto"/>
                    </w:rPr>
                  </w:pPr>
                  <w:r>
                    <w:rPr>
                      <w:rFonts w:hint="eastAsia"/>
                      <w:color w:val="auto"/>
                      <w:lang w:val="en-US" w:eastAsia="zh-CN"/>
                    </w:rPr>
                    <w:t>目前申请</w:t>
                  </w:r>
                  <w:r>
                    <w:rPr>
                      <w:rFonts w:hint="eastAsia"/>
                      <w:color w:val="auto"/>
                    </w:rPr>
                    <w:t>变更中</w:t>
                  </w:r>
                </w:p>
              </w:tc>
            </w:tr>
          </w:tbl>
          <w:p>
            <w:pPr>
              <w:ind w:firstLine="480"/>
              <w:rPr>
                <w:color w:val="auto"/>
              </w:rPr>
            </w:pPr>
            <w:r>
              <w:rPr>
                <w:rFonts w:hint="eastAsia"/>
                <w:color w:val="auto"/>
              </w:rPr>
              <w:t>本次改建主要</w:t>
            </w:r>
            <w:r>
              <w:rPr>
                <w:color w:val="auto"/>
              </w:rPr>
              <w:t>依托现有3万吨/年复合肥装置</w:t>
            </w:r>
            <w:r>
              <w:rPr>
                <w:rFonts w:hint="eastAsia"/>
                <w:color w:val="auto"/>
              </w:rPr>
              <w:t>、复合肥返料处理设施</w:t>
            </w:r>
            <w:r>
              <w:rPr>
                <w:color w:val="auto"/>
              </w:rPr>
              <w:t>，实施一般固废（含磷废渣）综合利用，</w:t>
            </w:r>
            <w:r>
              <w:rPr>
                <w:rFonts w:hint="eastAsia"/>
                <w:color w:val="auto"/>
              </w:rPr>
              <w:t>所利用一般固废</w:t>
            </w:r>
            <w:r>
              <w:rPr>
                <w:color w:val="auto"/>
              </w:rPr>
              <w:t>主要为铵法硫酸亚铁除杂废渣、铵法压滤洗涤废水处理废渣（来源为云南云天化股份有限公司内部）等。</w:t>
            </w:r>
          </w:p>
          <w:p>
            <w:pPr>
              <w:ind w:firstLine="0" w:firstLineChars="0"/>
              <w:rPr>
                <w:color w:val="auto"/>
              </w:rPr>
            </w:pPr>
            <w:r>
              <w:rPr>
                <w:rFonts w:hint="eastAsia"/>
                <w:color w:val="auto"/>
              </w:rPr>
              <w:t>二、现有工程污染物实际排放情况</w:t>
            </w:r>
          </w:p>
          <w:p>
            <w:pPr>
              <w:ind w:firstLine="480"/>
              <w:rPr>
                <w:color w:val="auto"/>
              </w:rPr>
            </w:pPr>
            <w:r>
              <w:rPr>
                <w:rFonts w:hint="eastAsia"/>
                <w:color w:val="auto"/>
              </w:rPr>
              <w:t>1、</w:t>
            </w:r>
            <w:r>
              <w:rPr>
                <w:color w:val="auto"/>
              </w:rPr>
              <w:t>废气</w:t>
            </w:r>
          </w:p>
          <w:p>
            <w:pPr>
              <w:ind w:firstLine="480"/>
              <w:rPr>
                <w:rFonts w:hint="default" w:eastAsia="宋体"/>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有组织废气</w:t>
            </w:r>
          </w:p>
          <w:p>
            <w:pPr>
              <w:ind w:firstLine="480"/>
              <w:rPr>
                <w:rFonts w:hint="default" w:eastAsia="宋体"/>
                <w:color w:val="auto"/>
                <w:lang w:val="en-US" w:eastAsia="zh-CN"/>
              </w:rPr>
            </w:pPr>
            <w:r>
              <w:rPr>
                <w:rFonts w:hint="eastAsia"/>
                <w:color w:val="auto"/>
                <w:lang w:val="en-US" w:eastAsia="zh-CN"/>
              </w:rPr>
              <w:t>1）有组织废气产排情况</w:t>
            </w:r>
          </w:p>
          <w:p>
            <w:pPr>
              <w:ind w:firstLine="480"/>
              <w:rPr>
                <w:color w:val="auto"/>
              </w:rPr>
            </w:pPr>
            <w:r>
              <w:rPr>
                <w:color w:val="auto"/>
              </w:rPr>
              <w:t>现有项目许可的废气治理和排放情况见下表。</w:t>
            </w: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tc>
      </w:tr>
    </w:tbl>
    <w:p>
      <w:pPr>
        <w:ind w:firstLine="720"/>
        <w:jc w:val="center"/>
        <w:rPr>
          <w:rFonts w:eastAsia="黑体"/>
          <w:snapToGrid w:val="0"/>
          <w:color w:val="auto"/>
          <w:sz w:val="36"/>
          <w:szCs w:val="36"/>
        </w:rPr>
        <w:sectPr>
          <w:pgSz w:w="11906" w:h="16838"/>
          <w:pgMar w:top="1701" w:right="1531" w:bottom="1701" w:left="1531" w:header="851" w:footer="851" w:gutter="0"/>
          <w:cols w:space="720" w:num="1"/>
          <w:docGrid w:linePitch="312" w:charSpace="0"/>
        </w:sectPr>
      </w:pPr>
    </w:p>
    <w:p>
      <w:pPr>
        <w:pStyle w:val="14"/>
        <w:rPr>
          <w:color w:val="auto"/>
        </w:rPr>
      </w:pPr>
      <w:r>
        <w:rPr>
          <w:rFonts w:hint="eastAsia"/>
          <w:color w:val="auto"/>
        </w:rPr>
        <w:t>表2-</w:t>
      </w:r>
      <w:r>
        <w:rPr>
          <w:rFonts w:hint="eastAsia"/>
          <w:color w:val="auto"/>
          <w:lang w:val="en-US" w:eastAsia="zh-CN"/>
        </w:rPr>
        <w:t>17</w:t>
      </w:r>
      <w:r>
        <w:rPr>
          <w:rFonts w:hint="eastAsia"/>
          <w:color w:val="auto"/>
        </w:rPr>
        <w:t xml:space="preserve">  现有项目许可的废气排放情况一览表</w:t>
      </w:r>
    </w:p>
    <w:tbl>
      <w:tblPr>
        <w:tblStyle w:val="11"/>
        <w:tblW w:w="139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925"/>
        <w:gridCol w:w="1288"/>
        <w:gridCol w:w="1402"/>
        <w:gridCol w:w="1950"/>
        <w:gridCol w:w="1512"/>
        <w:gridCol w:w="1313"/>
        <w:gridCol w:w="1387"/>
        <w:gridCol w:w="1225"/>
        <w:gridCol w:w="2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892" w:type="dxa"/>
            <w:vAlign w:val="center"/>
          </w:tcPr>
          <w:p>
            <w:pPr>
              <w:pStyle w:val="15"/>
              <w:rPr>
                <w:color w:val="auto"/>
              </w:rPr>
            </w:pPr>
            <w:r>
              <w:rPr>
                <w:rFonts w:hint="eastAsia"/>
                <w:color w:val="auto"/>
              </w:rPr>
              <w:t>排放源</w:t>
            </w:r>
          </w:p>
        </w:tc>
        <w:tc>
          <w:tcPr>
            <w:tcW w:w="925" w:type="dxa"/>
            <w:vAlign w:val="center"/>
          </w:tcPr>
          <w:p>
            <w:pPr>
              <w:pStyle w:val="15"/>
              <w:rPr>
                <w:color w:val="auto"/>
              </w:rPr>
            </w:pPr>
            <w:r>
              <w:rPr>
                <w:rFonts w:hint="eastAsia"/>
                <w:color w:val="auto"/>
              </w:rPr>
              <w:t>高度（m）</w:t>
            </w:r>
          </w:p>
        </w:tc>
        <w:tc>
          <w:tcPr>
            <w:tcW w:w="1288" w:type="dxa"/>
            <w:vAlign w:val="center"/>
          </w:tcPr>
          <w:p>
            <w:pPr>
              <w:pStyle w:val="15"/>
              <w:rPr>
                <w:rFonts w:hint="default" w:eastAsia="宋体"/>
                <w:color w:val="auto"/>
                <w:lang w:val="en-US" w:eastAsia="zh-CN"/>
              </w:rPr>
            </w:pPr>
            <w:r>
              <w:rPr>
                <w:rFonts w:hint="eastAsia"/>
                <w:color w:val="auto"/>
                <w:lang w:val="en-US" w:eastAsia="zh-CN"/>
              </w:rPr>
              <w:t>排放口类型</w:t>
            </w:r>
          </w:p>
        </w:tc>
        <w:tc>
          <w:tcPr>
            <w:tcW w:w="1402" w:type="dxa"/>
            <w:vAlign w:val="center"/>
          </w:tcPr>
          <w:p>
            <w:pPr>
              <w:pStyle w:val="15"/>
              <w:rPr>
                <w:color w:val="auto"/>
              </w:rPr>
            </w:pPr>
            <w:r>
              <w:rPr>
                <w:rFonts w:hint="eastAsia"/>
                <w:color w:val="auto"/>
              </w:rPr>
              <w:t>产生工序</w:t>
            </w:r>
          </w:p>
        </w:tc>
        <w:tc>
          <w:tcPr>
            <w:tcW w:w="1950" w:type="dxa"/>
            <w:vAlign w:val="center"/>
          </w:tcPr>
          <w:p>
            <w:pPr>
              <w:pStyle w:val="15"/>
              <w:rPr>
                <w:color w:val="auto"/>
              </w:rPr>
            </w:pPr>
            <w:r>
              <w:rPr>
                <w:rFonts w:hint="eastAsia"/>
                <w:color w:val="auto"/>
              </w:rPr>
              <w:t>治理措施</w:t>
            </w:r>
          </w:p>
        </w:tc>
        <w:tc>
          <w:tcPr>
            <w:tcW w:w="1512" w:type="dxa"/>
            <w:vAlign w:val="center"/>
          </w:tcPr>
          <w:p>
            <w:pPr>
              <w:pStyle w:val="15"/>
              <w:rPr>
                <w:color w:val="auto"/>
              </w:rPr>
            </w:pPr>
            <w:r>
              <w:rPr>
                <w:rFonts w:hint="eastAsia"/>
                <w:color w:val="auto"/>
              </w:rPr>
              <w:t>污染因子</w:t>
            </w:r>
          </w:p>
        </w:tc>
        <w:tc>
          <w:tcPr>
            <w:tcW w:w="1313" w:type="dxa"/>
            <w:vAlign w:val="center"/>
          </w:tcPr>
          <w:p>
            <w:pPr>
              <w:pStyle w:val="15"/>
              <w:rPr>
                <w:color w:val="auto"/>
              </w:rPr>
            </w:pPr>
            <w:r>
              <w:rPr>
                <w:rFonts w:hint="eastAsia"/>
                <w:color w:val="auto"/>
              </w:rPr>
              <w:t>许可排放浓度（mg/m</w:t>
            </w:r>
            <w:r>
              <w:rPr>
                <w:rFonts w:hint="eastAsia"/>
                <w:color w:val="auto"/>
                <w:vertAlign w:val="superscript"/>
              </w:rPr>
              <w:t>3</w:t>
            </w:r>
            <w:r>
              <w:rPr>
                <w:rFonts w:hint="eastAsia"/>
                <w:color w:val="auto"/>
              </w:rPr>
              <w:t>）</w:t>
            </w:r>
          </w:p>
        </w:tc>
        <w:tc>
          <w:tcPr>
            <w:tcW w:w="1387" w:type="dxa"/>
            <w:vAlign w:val="center"/>
          </w:tcPr>
          <w:p>
            <w:pPr>
              <w:pStyle w:val="15"/>
              <w:rPr>
                <w:color w:val="auto"/>
              </w:rPr>
            </w:pPr>
            <w:r>
              <w:rPr>
                <w:rFonts w:hint="eastAsia"/>
                <w:color w:val="auto"/>
              </w:rPr>
              <w:t>许可排放速率（kg/h）</w:t>
            </w:r>
          </w:p>
        </w:tc>
        <w:tc>
          <w:tcPr>
            <w:tcW w:w="1225" w:type="dxa"/>
            <w:vAlign w:val="center"/>
          </w:tcPr>
          <w:p>
            <w:pPr>
              <w:pStyle w:val="15"/>
              <w:rPr>
                <w:color w:val="auto"/>
              </w:rPr>
            </w:pPr>
            <w:r>
              <w:rPr>
                <w:rFonts w:hint="eastAsia"/>
                <w:color w:val="auto"/>
              </w:rPr>
              <w:t>许可排放量（t/a）</w:t>
            </w:r>
          </w:p>
        </w:tc>
        <w:tc>
          <w:tcPr>
            <w:tcW w:w="2077" w:type="dxa"/>
            <w:vAlign w:val="center"/>
          </w:tcPr>
          <w:p>
            <w:pPr>
              <w:pStyle w:val="15"/>
              <w:rPr>
                <w:color w:val="auto"/>
              </w:rPr>
            </w:pPr>
            <w:r>
              <w:rPr>
                <w:rFonts w:hint="eastAsia"/>
                <w:color w:val="auto"/>
              </w:rPr>
              <w:t>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jc w:val="center"/>
        </w:trPr>
        <w:tc>
          <w:tcPr>
            <w:tcW w:w="892" w:type="dxa"/>
            <w:vAlign w:val="center"/>
          </w:tcPr>
          <w:p>
            <w:pPr>
              <w:pStyle w:val="15"/>
              <w:rPr>
                <w:color w:val="auto"/>
              </w:rPr>
            </w:pPr>
            <w:r>
              <w:rPr>
                <w:rFonts w:hint="eastAsia"/>
                <w:color w:val="auto"/>
              </w:rPr>
              <w:t>DA001</w:t>
            </w:r>
          </w:p>
        </w:tc>
        <w:tc>
          <w:tcPr>
            <w:tcW w:w="925" w:type="dxa"/>
            <w:vAlign w:val="center"/>
          </w:tcPr>
          <w:p>
            <w:pPr>
              <w:pStyle w:val="15"/>
              <w:rPr>
                <w:color w:val="auto"/>
              </w:rPr>
            </w:pPr>
            <w:r>
              <w:rPr>
                <w:rFonts w:hint="eastAsia"/>
                <w:color w:val="auto"/>
              </w:rPr>
              <w:t>15</w:t>
            </w:r>
          </w:p>
        </w:tc>
        <w:tc>
          <w:tcPr>
            <w:tcW w:w="1288" w:type="dxa"/>
            <w:vAlign w:val="center"/>
          </w:tcPr>
          <w:p>
            <w:pPr>
              <w:pStyle w:val="15"/>
              <w:rPr>
                <w:rFonts w:hint="default" w:eastAsia="宋体"/>
                <w:color w:val="auto"/>
                <w:lang w:val="en-US" w:eastAsia="zh-CN"/>
              </w:rPr>
            </w:pPr>
            <w:r>
              <w:rPr>
                <w:rFonts w:hint="eastAsia"/>
                <w:color w:val="auto"/>
                <w:lang w:val="en-US" w:eastAsia="zh-CN"/>
              </w:rPr>
              <w:t>一般排放口</w:t>
            </w:r>
          </w:p>
        </w:tc>
        <w:tc>
          <w:tcPr>
            <w:tcW w:w="1402" w:type="dxa"/>
            <w:vAlign w:val="center"/>
          </w:tcPr>
          <w:p>
            <w:pPr>
              <w:pStyle w:val="15"/>
              <w:rPr>
                <w:color w:val="auto"/>
              </w:rPr>
            </w:pPr>
            <w:r>
              <w:rPr>
                <w:rFonts w:hint="eastAsia"/>
                <w:color w:val="auto"/>
              </w:rPr>
              <w:t>1#磨机</w:t>
            </w:r>
          </w:p>
        </w:tc>
        <w:tc>
          <w:tcPr>
            <w:tcW w:w="1950" w:type="dxa"/>
            <w:vAlign w:val="center"/>
          </w:tcPr>
          <w:p>
            <w:pPr>
              <w:pStyle w:val="15"/>
              <w:rPr>
                <w:color w:val="auto"/>
              </w:rPr>
            </w:pPr>
            <w:r>
              <w:rPr>
                <w:rFonts w:hint="eastAsia"/>
                <w:color w:val="auto"/>
              </w:rPr>
              <w:t>袋式除尘器</w:t>
            </w:r>
          </w:p>
        </w:tc>
        <w:tc>
          <w:tcPr>
            <w:tcW w:w="1512" w:type="dxa"/>
            <w:vAlign w:val="center"/>
          </w:tcPr>
          <w:p>
            <w:pPr>
              <w:pStyle w:val="15"/>
              <w:rPr>
                <w:color w:val="auto"/>
              </w:rPr>
            </w:pPr>
            <w:r>
              <w:rPr>
                <w:rFonts w:hint="eastAsia"/>
                <w:color w:val="auto"/>
              </w:rPr>
              <w:t>颗粒物</w:t>
            </w:r>
          </w:p>
        </w:tc>
        <w:tc>
          <w:tcPr>
            <w:tcW w:w="1313" w:type="dxa"/>
            <w:vAlign w:val="center"/>
          </w:tcPr>
          <w:p>
            <w:pPr>
              <w:pStyle w:val="15"/>
              <w:rPr>
                <w:color w:val="auto"/>
              </w:rPr>
            </w:pPr>
            <w:r>
              <w:rPr>
                <w:rFonts w:hint="eastAsia"/>
                <w:color w:val="auto"/>
              </w:rPr>
              <w:t>120</w:t>
            </w:r>
          </w:p>
        </w:tc>
        <w:tc>
          <w:tcPr>
            <w:tcW w:w="1387" w:type="dxa"/>
            <w:vAlign w:val="center"/>
          </w:tcPr>
          <w:p>
            <w:pPr>
              <w:pStyle w:val="15"/>
              <w:rPr>
                <w:color w:val="auto"/>
              </w:rPr>
            </w:pPr>
            <w:r>
              <w:rPr>
                <w:rFonts w:hint="eastAsia"/>
                <w:color w:val="auto"/>
              </w:rPr>
              <w:t>3.5</w:t>
            </w:r>
          </w:p>
        </w:tc>
        <w:tc>
          <w:tcPr>
            <w:tcW w:w="1225" w:type="dxa"/>
            <w:vAlign w:val="center"/>
          </w:tcPr>
          <w:p>
            <w:pPr>
              <w:pStyle w:val="15"/>
              <w:rPr>
                <w:color w:val="auto"/>
              </w:rPr>
            </w:pPr>
            <w:r>
              <w:rPr>
                <w:rFonts w:hint="eastAsia"/>
                <w:color w:val="auto"/>
              </w:rPr>
              <w:t>/</w:t>
            </w:r>
          </w:p>
        </w:tc>
        <w:tc>
          <w:tcPr>
            <w:tcW w:w="2077" w:type="dxa"/>
            <w:vAlign w:val="center"/>
          </w:tcPr>
          <w:p>
            <w:pPr>
              <w:pStyle w:val="15"/>
              <w:rPr>
                <w:color w:val="auto"/>
              </w:rPr>
            </w:pPr>
            <w:r>
              <w:rPr>
                <w:rFonts w:hint="eastAsia"/>
                <w:color w:val="auto"/>
              </w:rPr>
              <w:t>过磷酸钙生产线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892" w:type="dxa"/>
            <w:vMerge w:val="restart"/>
            <w:vAlign w:val="center"/>
          </w:tcPr>
          <w:p>
            <w:pPr>
              <w:pStyle w:val="15"/>
              <w:rPr>
                <w:color w:val="auto"/>
              </w:rPr>
            </w:pPr>
            <w:r>
              <w:rPr>
                <w:rFonts w:hint="eastAsia"/>
                <w:color w:val="auto"/>
              </w:rPr>
              <w:t>DA002</w:t>
            </w:r>
          </w:p>
        </w:tc>
        <w:tc>
          <w:tcPr>
            <w:tcW w:w="925" w:type="dxa"/>
            <w:vMerge w:val="restart"/>
            <w:vAlign w:val="center"/>
          </w:tcPr>
          <w:p>
            <w:pPr>
              <w:pStyle w:val="15"/>
              <w:rPr>
                <w:color w:val="auto"/>
              </w:rPr>
            </w:pPr>
            <w:r>
              <w:rPr>
                <w:rFonts w:hint="eastAsia"/>
                <w:color w:val="auto"/>
              </w:rPr>
              <w:t>35</w:t>
            </w:r>
          </w:p>
        </w:tc>
        <w:tc>
          <w:tcPr>
            <w:tcW w:w="1288" w:type="dxa"/>
            <w:vMerge w:val="restart"/>
            <w:vAlign w:val="center"/>
          </w:tcPr>
          <w:p>
            <w:pPr>
              <w:pStyle w:val="15"/>
              <w:rPr>
                <w:rFonts w:hint="eastAsia"/>
                <w:color w:val="auto"/>
              </w:rPr>
            </w:pPr>
            <w:r>
              <w:rPr>
                <w:rFonts w:hint="eastAsia"/>
                <w:color w:val="auto"/>
                <w:lang w:val="en-US" w:eastAsia="zh-CN"/>
              </w:rPr>
              <w:t>一般排放口</w:t>
            </w:r>
          </w:p>
        </w:tc>
        <w:tc>
          <w:tcPr>
            <w:tcW w:w="1402" w:type="dxa"/>
            <w:vMerge w:val="restart"/>
            <w:vAlign w:val="center"/>
          </w:tcPr>
          <w:p>
            <w:pPr>
              <w:pStyle w:val="15"/>
              <w:rPr>
                <w:color w:val="auto"/>
              </w:rPr>
            </w:pPr>
            <w:r>
              <w:rPr>
                <w:rFonts w:hint="eastAsia"/>
                <w:color w:val="auto"/>
              </w:rPr>
              <w:t>生物质锅炉</w:t>
            </w:r>
          </w:p>
        </w:tc>
        <w:tc>
          <w:tcPr>
            <w:tcW w:w="1950" w:type="dxa"/>
            <w:vMerge w:val="restart"/>
            <w:vAlign w:val="center"/>
          </w:tcPr>
          <w:p>
            <w:pPr>
              <w:pStyle w:val="15"/>
              <w:rPr>
                <w:color w:val="auto"/>
              </w:rPr>
            </w:pPr>
            <w:r>
              <w:rPr>
                <w:rFonts w:hint="eastAsia"/>
                <w:color w:val="auto"/>
              </w:rPr>
              <w:t>旋风除尘器+水膜脱硫除尘</w:t>
            </w:r>
          </w:p>
        </w:tc>
        <w:tc>
          <w:tcPr>
            <w:tcW w:w="1512" w:type="dxa"/>
            <w:vAlign w:val="center"/>
          </w:tcPr>
          <w:p>
            <w:pPr>
              <w:pStyle w:val="15"/>
              <w:rPr>
                <w:color w:val="auto"/>
              </w:rPr>
            </w:pPr>
            <w:r>
              <w:rPr>
                <w:rFonts w:hint="eastAsia"/>
                <w:color w:val="auto"/>
              </w:rPr>
              <w:t>烟气黑度</w:t>
            </w:r>
          </w:p>
        </w:tc>
        <w:tc>
          <w:tcPr>
            <w:tcW w:w="1313" w:type="dxa"/>
            <w:vAlign w:val="center"/>
          </w:tcPr>
          <w:p>
            <w:pPr>
              <w:pStyle w:val="15"/>
              <w:rPr>
                <w:color w:val="auto"/>
              </w:rPr>
            </w:pPr>
            <w:r>
              <w:rPr>
                <w:rFonts w:hint="eastAsia"/>
                <w:color w:val="auto"/>
              </w:rPr>
              <w:t>1级</w:t>
            </w:r>
          </w:p>
        </w:tc>
        <w:tc>
          <w:tcPr>
            <w:tcW w:w="1387" w:type="dxa"/>
            <w:vAlign w:val="center"/>
          </w:tcPr>
          <w:p>
            <w:pPr>
              <w:pStyle w:val="15"/>
              <w:rPr>
                <w:color w:val="auto"/>
              </w:rPr>
            </w:pPr>
            <w:r>
              <w:rPr>
                <w:rFonts w:hint="eastAsia"/>
                <w:color w:val="auto"/>
              </w:rPr>
              <w:t>/</w:t>
            </w:r>
          </w:p>
        </w:tc>
        <w:tc>
          <w:tcPr>
            <w:tcW w:w="1225" w:type="dxa"/>
            <w:vAlign w:val="center"/>
          </w:tcPr>
          <w:p>
            <w:pPr>
              <w:pStyle w:val="15"/>
              <w:rPr>
                <w:color w:val="auto"/>
              </w:rPr>
            </w:pPr>
            <w:r>
              <w:rPr>
                <w:rFonts w:hint="eastAsia"/>
                <w:color w:val="auto"/>
              </w:rPr>
              <w:t>/</w:t>
            </w:r>
          </w:p>
        </w:tc>
        <w:tc>
          <w:tcPr>
            <w:tcW w:w="2077" w:type="dxa"/>
            <w:vMerge w:val="restart"/>
            <w:vAlign w:val="center"/>
          </w:tcPr>
          <w:p>
            <w:pPr>
              <w:pStyle w:val="15"/>
              <w:rPr>
                <w:color w:val="auto"/>
              </w:rPr>
            </w:pPr>
            <w:r>
              <w:rPr>
                <w:rFonts w:hint="eastAsia"/>
                <w:color w:val="auto"/>
                <w:lang w:val="en-US" w:eastAsia="zh-CN"/>
              </w:rPr>
              <w:t>复合肥</w:t>
            </w:r>
            <w:r>
              <w:rPr>
                <w:rFonts w:hint="eastAsia"/>
                <w:color w:val="auto"/>
              </w:rPr>
              <w:t>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92" w:type="dxa"/>
            <w:vMerge w:val="continue"/>
            <w:vAlign w:val="center"/>
          </w:tcPr>
          <w:p>
            <w:pPr>
              <w:pStyle w:val="15"/>
              <w:rPr>
                <w:color w:val="auto"/>
              </w:rPr>
            </w:pPr>
          </w:p>
        </w:tc>
        <w:tc>
          <w:tcPr>
            <w:tcW w:w="925" w:type="dxa"/>
            <w:vMerge w:val="continue"/>
            <w:vAlign w:val="center"/>
          </w:tcPr>
          <w:p>
            <w:pPr>
              <w:pStyle w:val="15"/>
              <w:rPr>
                <w:color w:val="auto"/>
              </w:rPr>
            </w:pPr>
          </w:p>
        </w:tc>
        <w:tc>
          <w:tcPr>
            <w:tcW w:w="1288" w:type="dxa"/>
            <w:vMerge w:val="continue"/>
            <w:vAlign w:val="center"/>
          </w:tcPr>
          <w:p>
            <w:pPr>
              <w:pStyle w:val="15"/>
              <w:rPr>
                <w:color w:val="auto"/>
              </w:rPr>
            </w:pPr>
          </w:p>
        </w:tc>
        <w:tc>
          <w:tcPr>
            <w:tcW w:w="1402" w:type="dxa"/>
            <w:vMerge w:val="continue"/>
            <w:vAlign w:val="center"/>
          </w:tcPr>
          <w:p>
            <w:pPr>
              <w:pStyle w:val="15"/>
              <w:rPr>
                <w:color w:val="auto"/>
              </w:rPr>
            </w:pPr>
          </w:p>
        </w:tc>
        <w:tc>
          <w:tcPr>
            <w:tcW w:w="1950" w:type="dxa"/>
            <w:vMerge w:val="continue"/>
            <w:vAlign w:val="center"/>
          </w:tcPr>
          <w:p>
            <w:pPr>
              <w:pStyle w:val="15"/>
              <w:rPr>
                <w:color w:val="auto"/>
              </w:rPr>
            </w:pPr>
          </w:p>
        </w:tc>
        <w:tc>
          <w:tcPr>
            <w:tcW w:w="1512" w:type="dxa"/>
            <w:vAlign w:val="center"/>
          </w:tcPr>
          <w:p>
            <w:pPr>
              <w:pStyle w:val="15"/>
              <w:rPr>
                <w:color w:val="auto"/>
              </w:rPr>
            </w:pPr>
            <w:r>
              <w:rPr>
                <w:rFonts w:hint="eastAsia"/>
                <w:color w:val="auto"/>
              </w:rPr>
              <w:t>汞及其化合物</w:t>
            </w:r>
          </w:p>
        </w:tc>
        <w:tc>
          <w:tcPr>
            <w:tcW w:w="1313" w:type="dxa"/>
            <w:vAlign w:val="center"/>
          </w:tcPr>
          <w:p>
            <w:pPr>
              <w:pStyle w:val="15"/>
              <w:rPr>
                <w:color w:val="auto"/>
              </w:rPr>
            </w:pPr>
            <w:r>
              <w:rPr>
                <w:rFonts w:hint="eastAsia"/>
                <w:color w:val="auto"/>
              </w:rPr>
              <w:t>0.05</w:t>
            </w:r>
          </w:p>
        </w:tc>
        <w:tc>
          <w:tcPr>
            <w:tcW w:w="1387" w:type="dxa"/>
            <w:vAlign w:val="center"/>
          </w:tcPr>
          <w:p>
            <w:pPr>
              <w:pStyle w:val="15"/>
              <w:rPr>
                <w:color w:val="auto"/>
              </w:rPr>
            </w:pPr>
            <w:r>
              <w:rPr>
                <w:rFonts w:hint="eastAsia"/>
                <w:color w:val="auto"/>
              </w:rPr>
              <w:t>/</w:t>
            </w:r>
          </w:p>
        </w:tc>
        <w:tc>
          <w:tcPr>
            <w:tcW w:w="1225" w:type="dxa"/>
            <w:vAlign w:val="center"/>
          </w:tcPr>
          <w:p>
            <w:pPr>
              <w:pStyle w:val="15"/>
              <w:rPr>
                <w:color w:val="auto"/>
              </w:rPr>
            </w:pPr>
            <w:r>
              <w:rPr>
                <w:rFonts w:hint="eastAsia"/>
                <w:color w:val="auto"/>
              </w:rPr>
              <w:t>/</w:t>
            </w:r>
          </w:p>
        </w:tc>
        <w:tc>
          <w:tcPr>
            <w:tcW w:w="2077"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92" w:type="dxa"/>
            <w:vMerge w:val="continue"/>
            <w:vAlign w:val="center"/>
          </w:tcPr>
          <w:p>
            <w:pPr>
              <w:pStyle w:val="15"/>
              <w:rPr>
                <w:color w:val="auto"/>
              </w:rPr>
            </w:pPr>
          </w:p>
        </w:tc>
        <w:tc>
          <w:tcPr>
            <w:tcW w:w="925" w:type="dxa"/>
            <w:vMerge w:val="continue"/>
            <w:vAlign w:val="center"/>
          </w:tcPr>
          <w:p>
            <w:pPr>
              <w:pStyle w:val="15"/>
              <w:rPr>
                <w:color w:val="auto"/>
              </w:rPr>
            </w:pPr>
          </w:p>
        </w:tc>
        <w:tc>
          <w:tcPr>
            <w:tcW w:w="1288" w:type="dxa"/>
            <w:vMerge w:val="continue"/>
            <w:vAlign w:val="center"/>
          </w:tcPr>
          <w:p>
            <w:pPr>
              <w:pStyle w:val="15"/>
              <w:rPr>
                <w:color w:val="auto"/>
              </w:rPr>
            </w:pPr>
          </w:p>
        </w:tc>
        <w:tc>
          <w:tcPr>
            <w:tcW w:w="1402" w:type="dxa"/>
            <w:vMerge w:val="continue"/>
            <w:vAlign w:val="center"/>
          </w:tcPr>
          <w:p>
            <w:pPr>
              <w:pStyle w:val="15"/>
              <w:rPr>
                <w:color w:val="auto"/>
              </w:rPr>
            </w:pPr>
          </w:p>
        </w:tc>
        <w:tc>
          <w:tcPr>
            <w:tcW w:w="1950" w:type="dxa"/>
            <w:vMerge w:val="continue"/>
            <w:vAlign w:val="center"/>
          </w:tcPr>
          <w:p>
            <w:pPr>
              <w:pStyle w:val="15"/>
              <w:rPr>
                <w:color w:val="auto"/>
              </w:rPr>
            </w:pPr>
          </w:p>
        </w:tc>
        <w:tc>
          <w:tcPr>
            <w:tcW w:w="1512" w:type="dxa"/>
            <w:vAlign w:val="center"/>
          </w:tcPr>
          <w:p>
            <w:pPr>
              <w:pStyle w:val="15"/>
              <w:rPr>
                <w:color w:val="auto"/>
              </w:rPr>
            </w:pPr>
            <w:r>
              <w:rPr>
                <w:rFonts w:hint="eastAsia"/>
                <w:color w:val="auto"/>
              </w:rPr>
              <w:t>颗粒物</w:t>
            </w:r>
          </w:p>
        </w:tc>
        <w:tc>
          <w:tcPr>
            <w:tcW w:w="1313" w:type="dxa"/>
            <w:vAlign w:val="center"/>
          </w:tcPr>
          <w:p>
            <w:pPr>
              <w:pStyle w:val="15"/>
              <w:rPr>
                <w:color w:val="auto"/>
              </w:rPr>
            </w:pPr>
            <w:r>
              <w:rPr>
                <w:rFonts w:hint="eastAsia"/>
                <w:color w:val="auto"/>
              </w:rPr>
              <w:t>50</w:t>
            </w:r>
          </w:p>
        </w:tc>
        <w:tc>
          <w:tcPr>
            <w:tcW w:w="1387" w:type="dxa"/>
            <w:vAlign w:val="center"/>
          </w:tcPr>
          <w:p>
            <w:pPr>
              <w:pStyle w:val="15"/>
              <w:rPr>
                <w:color w:val="auto"/>
              </w:rPr>
            </w:pPr>
            <w:r>
              <w:rPr>
                <w:rFonts w:hint="eastAsia"/>
                <w:color w:val="auto"/>
              </w:rPr>
              <w:t>/</w:t>
            </w:r>
          </w:p>
        </w:tc>
        <w:tc>
          <w:tcPr>
            <w:tcW w:w="1225" w:type="dxa"/>
            <w:vAlign w:val="center"/>
          </w:tcPr>
          <w:p>
            <w:pPr>
              <w:pStyle w:val="15"/>
              <w:rPr>
                <w:color w:val="auto"/>
              </w:rPr>
            </w:pPr>
            <w:r>
              <w:rPr>
                <w:rFonts w:hint="eastAsia"/>
                <w:color w:val="auto"/>
              </w:rPr>
              <w:t>/</w:t>
            </w:r>
          </w:p>
        </w:tc>
        <w:tc>
          <w:tcPr>
            <w:tcW w:w="2077"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 w:hRule="atLeast"/>
          <w:jc w:val="center"/>
        </w:trPr>
        <w:tc>
          <w:tcPr>
            <w:tcW w:w="892" w:type="dxa"/>
            <w:vMerge w:val="continue"/>
            <w:vAlign w:val="center"/>
          </w:tcPr>
          <w:p>
            <w:pPr>
              <w:pStyle w:val="15"/>
              <w:rPr>
                <w:color w:val="auto"/>
              </w:rPr>
            </w:pPr>
          </w:p>
        </w:tc>
        <w:tc>
          <w:tcPr>
            <w:tcW w:w="925" w:type="dxa"/>
            <w:vMerge w:val="continue"/>
            <w:vAlign w:val="center"/>
          </w:tcPr>
          <w:p>
            <w:pPr>
              <w:pStyle w:val="15"/>
              <w:rPr>
                <w:color w:val="auto"/>
              </w:rPr>
            </w:pPr>
          </w:p>
        </w:tc>
        <w:tc>
          <w:tcPr>
            <w:tcW w:w="1288" w:type="dxa"/>
            <w:vMerge w:val="continue"/>
            <w:vAlign w:val="center"/>
          </w:tcPr>
          <w:p>
            <w:pPr>
              <w:pStyle w:val="15"/>
              <w:rPr>
                <w:color w:val="auto"/>
              </w:rPr>
            </w:pPr>
          </w:p>
        </w:tc>
        <w:tc>
          <w:tcPr>
            <w:tcW w:w="1402" w:type="dxa"/>
            <w:vMerge w:val="continue"/>
            <w:vAlign w:val="center"/>
          </w:tcPr>
          <w:p>
            <w:pPr>
              <w:pStyle w:val="15"/>
              <w:rPr>
                <w:color w:val="auto"/>
              </w:rPr>
            </w:pPr>
          </w:p>
        </w:tc>
        <w:tc>
          <w:tcPr>
            <w:tcW w:w="1950" w:type="dxa"/>
            <w:vMerge w:val="continue"/>
            <w:vAlign w:val="center"/>
          </w:tcPr>
          <w:p>
            <w:pPr>
              <w:pStyle w:val="15"/>
              <w:rPr>
                <w:color w:val="auto"/>
              </w:rPr>
            </w:pPr>
          </w:p>
        </w:tc>
        <w:tc>
          <w:tcPr>
            <w:tcW w:w="1512" w:type="dxa"/>
            <w:vAlign w:val="center"/>
          </w:tcPr>
          <w:p>
            <w:pPr>
              <w:pStyle w:val="15"/>
              <w:rPr>
                <w:color w:val="auto"/>
              </w:rPr>
            </w:pPr>
            <w:r>
              <w:rPr>
                <w:rFonts w:hint="eastAsia"/>
                <w:color w:val="auto"/>
              </w:rPr>
              <w:t>SO</w:t>
            </w:r>
            <w:r>
              <w:rPr>
                <w:rFonts w:hint="eastAsia"/>
                <w:color w:val="auto"/>
                <w:vertAlign w:val="subscript"/>
              </w:rPr>
              <w:t>2</w:t>
            </w:r>
          </w:p>
        </w:tc>
        <w:tc>
          <w:tcPr>
            <w:tcW w:w="1313" w:type="dxa"/>
            <w:vAlign w:val="center"/>
          </w:tcPr>
          <w:p>
            <w:pPr>
              <w:pStyle w:val="15"/>
              <w:rPr>
                <w:color w:val="auto"/>
              </w:rPr>
            </w:pPr>
            <w:r>
              <w:rPr>
                <w:rFonts w:hint="eastAsia"/>
                <w:color w:val="auto"/>
              </w:rPr>
              <w:t>300</w:t>
            </w:r>
          </w:p>
        </w:tc>
        <w:tc>
          <w:tcPr>
            <w:tcW w:w="1387" w:type="dxa"/>
            <w:vAlign w:val="center"/>
          </w:tcPr>
          <w:p>
            <w:pPr>
              <w:pStyle w:val="15"/>
              <w:rPr>
                <w:color w:val="auto"/>
              </w:rPr>
            </w:pPr>
            <w:r>
              <w:rPr>
                <w:rFonts w:hint="eastAsia"/>
                <w:color w:val="auto"/>
              </w:rPr>
              <w:t>/</w:t>
            </w:r>
          </w:p>
        </w:tc>
        <w:tc>
          <w:tcPr>
            <w:tcW w:w="1225" w:type="dxa"/>
            <w:vAlign w:val="center"/>
          </w:tcPr>
          <w:p>
            <w:pPr>
              <w:pStyle w:val="15"/>
              <w:rPr>
                <w:color w:val="auto"/>
              </w:rPr>
            </w:pPr>
            <w:r>
              <w:rPr>
                <w:rFonts w:hint="eastAsia"/>
                <w:color w:val="auto"/>
              </w:rPr>
              <w:t>/</w:t>
            </w:r>
          </w:p>
        </w:tc>
        <w:tc>
          <w:tcPr>
            <w:tcW w:w="2077"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892" w:type="dxa"/>
            <w:vMerge w:val="continue"/>
            <w:vAlign w:val="center"/>
          </w:tcPr>
          <w:p>
            <w:pPr>
              <w:pStyle w:val="15"/>
              <w:rPr>
                <w:color w:val="auto"/>
              </w:rPr>
            </w:pPr>
          </w:p>
        </w:tc>
        <w:tc>
          <w:tcPr>
            <w:tcW w:w="925" w:type="dxa"/>
            <w:vMerge w:val="continue"/>
            <w:vAlign w:val="center"/>
          </w:tcPr>
          <w:p>
            <w:pPr>
              <w:pStyle w:val="15"/>
              <w:rPr>
                <w:color w:val="auto"/>
              </w:rPr>
            </w:pPr>
          </w:p>
        </w:tc>
        <w:tc>
          <w:tcPr>
            <w:tcW w:w="1288" w:type="dxa"/>
            <w:vMerge w:val="continue"/>
            <w:vAlign w:val="center"/>
          </w:tcPr>
          <w:p>
            <w:pPr>
              <w:pStyle w:val="15"/>
              <w:rPr>
                <w:color w:val="auto"/>
              </w:rPr>
            </w:pPr>
          </w:p>
        </w:tc>
        <w:tc>
          <w:tcPr>
            <w:tcW w:w="1402" w:type="dxa"/>
            <w:vMerge w:val="continue"/>
            <w:vAlign w:val="center"/>
          </w:tcPr>
          <w:p>
            <w:pPr>
              <w:pStyle w:val="15"/>
              <w:rPr>
                <w:color w:val="auto"/>
              </w:rPr>
            </w:pPr>
          </w:p>
        </w:tc>
        <w:tc>
          <w:tcPr>
            <w:tcW w:w="1950" w:type="dxa"/>
            <w:vMerge w:val="continue"/>
            <w:vAlign w:val="center"/>
          </w:tcPr>
          <w:p>
            <w:pPr>
              <w:pStyle w:val="15"/>
              <w:rPr>
                <w:color w:val="auto"/>
              </w:rPr>
            </w:pPr>
          </w:p>
        </w:tc>
        <w:tc>
          <w:tcPr>
            <w:tcW w:w="1512" w:type="dxa"/>
            <w:vAlign w:val="center"/>
          </w:tcPr>
          <w:p>
            <w:pPr>
              <w:pStyle w:val="15"/>
              <w:rPr>
                <w:color w:val="auto"/>
              </w:rPr>
            </w:pPr>
            <w:r>
              <w:rPr>
                <w:rFonts w:hint="eastAsia"/>
                <w:color w:val="auto"/>
              </w:rPr>
              <w:t>NO</w:t>
            </w:r>
            <w:r>
              <w:rPr>
                <w:rFonts w:hint="eastAsia"/>
                <w:color w:val="auto"/>
                <w:vertAlign w:val="subscript"/>
              </w:rPr>
              <w:t>x</w:t>
            </w:r>
          </w:p>
        </w:tc>
        <w:tc>
          <w:tcPr>
            <w:tcW w:w="1313" w:type="dxa"/>
            <w:vAlign w:val="center"/>
          </w:tcPr>
          <w:p>
            <w:pPr>
              <w:pStyle w:val="15"/>
              <w:rPr>
                <w:color w:val="auto"/>
              </w:rPr>
            </w:pPr>
            <w:r>
              <w:rPr>
                <w:rFonts w:hint="eastAsia"/>
                <w:color w:val="auto"/>
              </w:rPr>
              <w:t>300</w:t>
            </w:r>
          </w:p>
        </w:tc>
        <w:tc>
          <w:tcPr>
            <w:tcW w:w="1387" w:type="dxa"/>
            <w:vAlign w:val="center"/>
          </w:tcPr>
          <w:p>
            <w:pPr>
              <w:pStyle w:val="15"/>
              <w:rPr>
                <w:color w:val="auto"/>
              </w:rPr>
            </w:pPr>
            <w:r>
              <w:rPr>
                <w:rFonts w:hint="eastAsia"/>
                <w:color w:val="auto"/>
              </w:rPr>
              <w:t>/</w:t>
            </w:r>
          </w:p>
        </w:tc>
        <w:tc>
          <w:tcPr>
            <w:tcW w:w="1225" w:type="dxa"/>
            <w:vAlign w:val="center"/>
          </w:tcPr>
          <w:p>
            <w:pPr>
              <w:pStyle w:val="15"/>
              <w:rPr>
                <w:color w:val="auto"/>
              </w:rPr>
            </w:pPr>
            <w:r>
              <w:rPr>
                <w:rFonts w:hint="eastAsia"/>
                <w:color w:val="auto"/>
              </w:rPr>
              <w:t>/</w:t>
            </w:r>
          </w:p>
        </w:tc>
        <w:tc>
          <w:tcPr>
            <w:tcW w:w="2077"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vAlign w:val="center"/>
          </w:tcPr>
          <w:p>
            <w:pPr>
              <w:pStyle w:val="15"/>
              <w:rPr>
                <w:color w:val="auto"/>
              </w:rPr>
            </w:pPr>
            <w:r>
              <w:rPr>
                <w:rFonts w:hint="eastAsia"/>
                <w:color w:val="auto"/>
              </w:rPr>
              <w:t>DA003</w:t>
            </w:r>
          </w:p>
        </w:tc>
        <w:tc>
          <w:tcPr>
            <w:tcW w:w="925" w:type="dxa"/>
            <w:vAlign w:val="center"/>
          </w:tcPr>
          <w:p>
            <w:pPr>
              <w:pStyle w:val="15"/>
              <w:rPr>
                <w:color w:val="auto"/>
              </w:rPr>
            </w:pPr>
            <w:r>
              <w:rPr>
                <w:rFonts w:hint="eastAsia"/>
                <w:color w:val="auto"/>
              </w:rPr>
              <w:t>15</w:t>
            </w:r>
          </w:p>
        </w:tc>
        <w:tc>
          <w:tcPr>
            <w:tcW w:w="1288" w:type="dxa"/>
            <w:vAlign w:val="center"/>
          </w:tcPr>
          <w:p>
            <w:pPr>
              <w:pStyle w:val="15"/>
              <w:rPr>
                <w:rFonts w:hint="eastAsia"/>
                <w:color w:val="auto"/>
              </w:rPr>
            </w:pPr>
            <w:r>
              <w:rPr>
                <w:rFonts w:hint="eastAsia"/>
                <w:color w:val="auto"/>
                <w:lang w:val="en-US" w:eastAsia="zh-CN"/>
              </w:rPr>
              <w:t>一般排放口</w:t>
            </w:r>
          </w:p>
        </w:tc>
        <w:tc>
          <w:tcPr>
            <w:tcW w:w="1402" w:type="dxa"/>
            <w:vAlign w:val="center"/>
          </w:tcPr>
          <w:p>
            <w:pPr>
              <w:pStyle w:val="15"/>
              <w:rPr>
                <w:color w:val="auto"/>
              </w:rPr>
            </w:pPr>
            <w:r>
              <w:rPr>
                <w:rFonts w:hint="eastAsia"/>
                <w:color w:val="auto"/>
              </w:rPr>
              <w:t>2#磨机</w:t>
            </w:r>
          </w:p>
        </w:tc>
        <w:tc>
          <w:tcPr>
            <w:tcW w:w="1950" w:type="dxa"/>
            <w:vAlign w:val="center"/>
          </w:tcPr>
          <w:p>
            <w:pPr>
              <w:pStyle w:val="15"/>
              <w:rPr>
                <w:color w:val="auto"/>
              </w:rPr>
            </w:pPr>
            <w:r>
              <w:rPr>
                <w:rFonts w:hint="eastAsia"/>
                <w:color w:val="auto"/>
              </w:rPr>
              <w:t>袋式除尘器</w:t>
            </w:r>
          </w:p>
        </w:tc>
        <w:tc>
          <w:tcPr>
            <w:tcW w:w="1512" w:type="dxa"/>
            <w:vAlign w:val="center"/>
          </w:tcPr>
          <w:p>
            <w:pPr>
              <w:pStyle w:val="15"/>
              <w:rPr>
                <w:color w:val="auto"/>
              </w:rPr>
            </w:pPr>
            <w:r>
              <w:rPr>
                <w:rFonts w:hint="eastAsia"/>
                <w:color w:val="auto"/>
              </w:rPr>
              <w:t>颗粒物</w:t>
            </w:r>
          </w:p>
        </w:tc>
        <w:tc>
          <w:tcPr>
            <w:tcW w:w="1313" w:type="dxa"/>
            <w:vAlign w:val="center"/>
          </w:tcPr>
          <w:p>
            <w:pPr>
              <w:pStyle w:val="15"/>
              <w:rPr>
                <w:color w:val="auto"/>
              </w:rPr>
            </w:pPr>
            <w:r>
              <w:rPr>
                <w:rFonts w:hint="eastAsia"/>
                <w:color w:val="auto"/>
              </w:rPr>
              <w:t>120</w:t>
            </w:r>
          </w:p>
        </w:tc>
        <w:tc>
          <w:tcPr>
            <w:tcW w:w="1387" w:type="dxa"/>
            <w:vAlign w:val="center"/>
          </w:tcPr>
          <w:p>
            <w:pPr>
              <w:pStyle w:val="15"/>
              <w:rPr>
                <w:color w:val="auto"/>
              </w:rPr>
            </w:pPr>
            <w:r>
              <w:rPr>
                <w:rFonts w:hint="eastAsia"/>
                <w:color w:val="auto"/>
              </w:rPr>
              <w:t>3.5</w:t>
            </w:r>
          </w:p>
        </w:tc>
        <w:tc>
          <w:tcPr>
            <w:tcW w:w="1225" w:type="dxa"/>
            <w:vAlign w:val="center"/>
          </w:tcPr>
          <w:p>
            <w:pPr>
              <w:pStyle w:val="15"/>
              <w:rPr>
                <w:color w:val="auto"/>
              </w:rPr>
            </w:pPr>
            <w:r>
              <w:rPr>
                <w:rFonts w:hint="eastAsia"/>
                <w:color w:val="auto"/>
              </w:rPr>
              <w:t>/</w:t>
            </w:r>
          </w:p>
        </w:tc>
        <w:tc>
          <w:tcPr>
            <w:tcW w:w="2077" w:type="dxa"/>
            <w:vAlign w:val="center"/>
          </w:tcPr>
          <w:p>
            <w:pPr>
              <w:pStyle w:val="15"/>
              <w:rPr>
                <w:color w:val="auto"/>
              </w:rPr>
            </w:pPr>
            <w:r>
              <w:rPr>
                <w:rFonts w:hint="eastAsia"/>
                <w:color w:val="auto"/>
              </w:rPr>
              <w:t>过磷酸钙生产线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892" w:type="dxa"/>
            <w:vMerge w:val="restart"/>
            <w:vAlign w:val="center"/>
          </w:tcPr>
          <w:p>
            <w:pPr>
              <w:pStyle w:val="15"/>
              <w:rPr>
                <w:color w:val="auto"/>
              </w:rPr>
            </w:pPr>
            <w:r>
              <w:rPr>
                <w:rFonts w:hint="eastAsia"/>
                <w:color w:val="auto"/>
              </w:rPr>
              <w:t>DA005</w:t>
            </w:r>
          </w:p>
        </w:tc>
        <w:tc>
          <w:tcPr>
            <w:tcW w:w="925" w:type="dxa"/>
            <w:vMerge w:val="restart"/>
            <w:vAlign w:val="center"/>
          </w:tcPr>
          <w:p>
            <w:pPr>
              <w:pStyle w:val="15"/>
              <w:rPr>
                <w:color w:val="auto"/>
              </w:rPr>
            </w:pPr>
            <w:r>
              <w:rPr>
                <w:rFonts w:hint="eastAsia"/>
                <w:color w:val="auto"/>
              </w:rPr>
              <w:t>15</w:t>
            </w:r>
          </w:p>
        </w:tc>
        <w:tc>
          <w:tcPr>
            <w:tcW w:w="1288" w:type="dxa"/>
            <w:vMerge w:val="restart"/>
            <w:vAlign w:val="center"/>
          </w:tcPr>
          <w:p>
            <w:pPr>
              <w:pStyle w:val="15"/>
              <w:rPr>
                <w:rFonts w:hint="default" w:eastAsia="宋体"/>
                <w:color w:val="auto"/>
                <w:lang w:val="en-US" w:eastAsia="zh-CN"/>
              </w:rPr>
            </w:pPr>
            <w:r>
              <w:rPr>
                <w:rFonts w:hint="eastAsia"/>
                <w:color w:val="auto"/>
                <w:lang w:val="en-US" w:eastAsia="zh-CN"/>
              </w:rPr>
              <w:t>主要排放口</w:t>
            </w:r>
          </w:p>
        </w:tc>
        <w:tc>
          <w:tcPr>
            <w:tcW w:w="1402" w:type="dxa"/>
            <w:vMerge w:val="restart"/>
            <w:vAlign w:val="center"/>
          </w:tcPr>
          <w:p>
            <w:pPr>
              <w:pStyle w:val="15"/>
              <w:rPr>
                <w:color w:val="auto"/>
              </w:rPr>
            </w:pPr>
            <w:r>
              <w:rPr>
                <w:rFonts w:hint="eastAsia"/>
                <w:color w:val="auto"/>
              </w:rPr>
              <w:t>1#磨机烘干炉</w:t>
            </w:r>
          </w:p>
        </w:tc>
        <w:tc>
          <w:tcPr>
            <w:tcW w:w="1950" w:type="dxa"/>
            <w:vMerge w:val="restart"/>
            <w:vAlign w:val="center"/>
          </w:tcPr>
          <w:p>
            <w:pPr>
              <w:pStyle w:val="15"/>
              <w:rPr>
                <w:color w:val="auto"/>
              </w:rPr>
            </w:pPr>
            <w:r>
              <w:rPr>
                <w:rFonts w:hint="eastAsia"/>
                <w:color w:val="auto"/>
              </w:rPr>
              <w:t>旋风除尘器+水膜脱硫除尘</w:t>
            </w:r>
          </w:p>
        </w:tc>
        <w:tc>
          <w:tcPr>
            <w:tcW w:w="1512" w:type="dxa"/>
            <w:vAlign w:val="center"/>
          </w:tcPr>
          <w:p>
            <w:pPr>
              <w:pStyle w:val="15"/>
              <w:rPr>
                <w:color w:val="auto"/>
              </w:rPr>
            </w:pPr>
            <w:r>
              <w:rPr>
                <w:rFonts w:hint="eastAsia"/>
                <w:color w:val="auto"/>
              </w:rPr>
              <w:t>颗粒物</w:t>
            </w:r>
          </w:p>
        </w:tc>
        <w:tc>
          <w:tcPr>
            <w:tcW w:w="1313" w:type="dxa"/>
            <w:vAlign w:val="center"/>
          </w:tcPr>
          <w:p>
            <w:pPr>
              <w:pStyle w:val="15"/>
              <w:rPr>
                <w:color w:val="auto"/>
              </w:rPr>
            </w:pPr>
            <w:r>
              <w:rPr>
                <w:rFonts w:hint="eastAsia"/>
                <w:color w:val="auto"/>
              </w:rPr>
              <w:t>120</w:t>
            </w:r>
          </w:p>
        </w:tc>
        <w:tc>
          <w:tcPr>
            <w:tcW w:w="1387" w:type="dxa"/>
            <w:vAlign w:val="center"/>
          </w:tcPr>
          <w:p>
            <w:pPr>
              <w:pStyle w:val="15"/>
              <w:rPr>
                <w:color w:val="auto"/>
              </w:rPr>
            </w:pPr>
            <w:r>
              <w:rPr>
                <w:rFonts w:hint="eastAsia"/>
                <w:color w:val="auto"/>
              </w:rPr>
              <w:t>3.5</w:t>
            </w:r>
          </w:p>
        </w:tc>
        <w:tc>
          <w:tcPr>
            <w:tcW w:w="1225" w:type="dxa"/>
            <w:vAlign w:val="center"/>
          </w:tcPr>
          <w:p>
            <w:pPr>
              <w:pStyle w:val="15"/>
              <w:rPr>
                <w:color w:val="auto"/>
              </w:rPr>
            </w:pPr>
            <w:r>
              <w:rPr>
                <w:rFonts w:hint="eastAsia"/>
                <w:color w:val="auto"/>
              </w:rPr>
              <w:t>5.78</w:t>
            </w:r>
          </w:p>
        </w:tc>
        <w:tc>
          <w:tcPr>
            <w:tcW w:w="2077" w:type="dxa"/>
            <w:vMerge w:val="restart"/>
            <w:vAlign w:val="center"/>
          </w:tcPr>
          <w:p>
            <w:pPr>
              <w:pStyle w:val="15"/>
              <w:rPr>
                <w:color w:val="auto"/>
              </w:rPr>
            </w:pPr>
            <w:r>
              <w:rPr>
                <w:rFonts w:hint="eastAsia"/>
                <w:color w:val="auto"/>
              </w:rPr>
              <w:t>过磷酸钙生产线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 w:hRule="atLeast"/>
          <w:jc w:val="center"/>
        </w:trPr>
        <w:tc>
          <w:tcPr>
            <w:tcW w:w="892" w:type="dxa"/>
            <w:vMerge w:val="continue"/>
            <w:vAlign w:val="center"/>
          </w:tcPr>
          <w:p>
            <w:pPr>
              <w:pStyle w:val="15"/>
              <w:rPr>
                <w:color w:val="auto"/>
              </w:rPr>
            </w:pPr>
          </w:p>
        </w:tc>
        <w:tc>
          <w:tcPr>
            <w:tcW w:w="925" w:type="dxa"/>
            <w:vMerge w:val="continue"/>
            <w:vAlign w:val="center"/>
          </w:tcPr>
          <w:p>
            <w:pPr>
              <w:pStyle w:val="15"/>
              <w:rPr>
                <w:color w:val="auto"/>
              </w:rPr>
            </w:pPr>
          </w:p>
        </w:tc>
        <w:tc>
          <w:tcPr>
            <w:tcW w:w="1288" w:type="dxa"/>
            <w:vMerge w:val="continue"/>
            <w:vAlign w:val="center"/>
          </w:tcPr>
          <w:p>
            <w:pPr>
              <w:pStyle w:val="15"/>
              <w:rPr>
                <w:color w:val="auto"/>
              </w:rPr>
            </w:pPr>
          </w:p>
        </w:tc>
        <w:tc>
          <w:tcPr>
            <w:tcW w:w="1402" w:type="dxa"/>
            <w:vMerge w:val="continue"/>
            <w:vAlign w:val="center"/>
          </w:tcPr>
          <w:p>
            <w:pPr>
              <w:pStyle w:val="15"/>
              <w:rPr>
                <w:color w:val="auto"/>
              </w:rPr>
            </w:pPr>
          </w:p>
        </w:tc>
        <w:tc>
          <w:tcPr>
            <w:tcW w:w="1950" w:type="dxa"/>
            <w:vMerge w:val="continue"/>
            <w:vAlign w:val="center"/>
          </w:tcPr>
          <w:p>
            <w:pPr>
              <w:pStyle w:val="15"/>
              <w:rPr>
                <w:color w:val="auto"/>
              </w:rPr>
            </w:pPr>
          </w:p>
        </w:tc>
        <w:tc>
          <w:tcPr>
            <w:tcW w:w="1512" w:type="dxa"/>
            <w:vAlign w:val="center"/>
          </w:tcPr>
          <w:p>
            <w:pPr>
              <w:pStyle w:val="15"/>
              <w:rPr>
                <w:color w:val="auto"/>
              </w:rPr>
            </w:pPr>
            <w:r>
              <w:rPr>
                <w:rFonts w:hint="eastAsia"/>
                <w:color w:val="auto"/>
              </w:rPr>
              <w:t>SO</w:t>
            </w:r>
            <w:r>
              <w:rPr>
                <w:rFonts w:hint="eastAsia"/>
                <w:color w:val="auto"/>
                <w:vertAlign w:val="subscript"/>
              </w:rPr>
              <w:t>2</w:t>
            </w:r>
          </w:p>
        </w:tc>
        <w:tc>
          <w:tcPr>
            <w:tcW w:w="1313" w:type="dxa"/>
            <w:vAlign w:val="center"/>
          </w:tcPr>
          <w:p>
            <w:pPr>
              <w:pStyle w:val="15"/>
              <w:rPr>
                <w:color w:val="auto"/>
              </w:rPr>
            </w:pPr>
            <w:r>
              <w:rPr>
                <w:rFonts w:hint="eastAsia"/>
                <w:color w:val="auto"/>
              </w:rPr>
              <w:t>550</w:t>
            </w:r>
          </w:p>
        </w:tc>
        <w:tc>
          <w:tcPr>
            <w:tcW w:w="1387" w:type="dxa"/>
            <w:vAlign w:val="center"/>
          </w:tcPr>
          <w:p>
            <w:pPr>
              <w:pStyle w:val="15"/>
              <w:rPr>
                <w:color w:val="auto"/>
              </w:rPr>
            </w:pPr>
            <w:r>
              <w:rPr>
                <w:rFonts w:hint="eastAsia"/>
                <w:color w:val="auto"/>
              </w:rPr>
              <w:t>2.6</w:t>
            </w:r>
          </w:p>
        </w:tc>
        <w:tc>
          <w:tcPr>
            <w:tcW w:w="1225" w:type="dxa"/>
            <w:vAlign w:val="center"/>
          </w:tcPr>
          <w:p>
            <w:pPr>
              <w:pStyle w:val="15"/>
              <w:rPr>
                <w:color w:val="auto"/>
              </w:rPr>
            </w:pPr>
            <w:r>
              <w:rPr>
                <w:rFonts w:hint="eastAsia"/>
                <w:color w:val="auto"/>
              </w:rPr>
              <w:t>2.15</w:t>
            </w:r>
          </w:p>
        </w:tc>
        <w:tc>
          <w:tcPr>
            <w:tcW w:w="2077"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892" w:type="dxa"/>
            <w:vMerge w:val="continue"/>
            <w:vAlign w:val="center"/>
          </w:tcPr>
          <w:p>
            <w:pPr>
              <w:pStyle w:val="15"/>
              <w:rPr>
                <w:color w:val="auto"/>
              </w:rPr>
            </w:pPr>
          </w:p>
        </w:tc>
        <w:tc>
          <w:tcPr>
            <w:tcW w:w="925" w:type="dxa"/>
            <w:vMerge w:val="continue"/>
            <w:vAlign w:val="center"/>
          </w:tcPr>
          <w:p>
            <w:pPr>
              <w:pStyle w:val="15"/>
              <w:rPr>
                <w:color w:val="auto"/>
              </w:rPr>
            </w:pPr>
          </w:p>
        </w:tc>
        <w:tc>
          <w:tcPr>
            <w:tcW w:w="1288" w:type="dxa"/>
            <w:vMerge w:val="continue"/>
            <w:vAlign w:val="center"/>
          </w:tcPr>
          <w:p>
            <w:pPr>
              <w:pStyle w:val="15"/>
              <w:rPr>
                <w:color w:val="auto"/>
              </w:rPr>
            </w:pPr>
          </w:p>
        </w:tc>
        <w:tc>
          <w:tcPr>
            <w:tcW w:w="1402" w:type="dxa"/>
            <w:vMerge w:val="continue"/>
            <w:vAlign w:val="center"/>
          </w:tcPr>
          <w:p>
            <w:pPr>
              <w:pStyle w:val="15"/>
              <w:rPr>
                <w:color w:val="auto"/>
              </w:rPr>
            </w:pPr>
          </w:p>
        </w:tc>
        <w:tc>
          <w:tcPr>
            <w:tcW w:w="1950" w:type="dxa"/>
            <w:vMerge w:val="continue"/>
            <w:vAlign w:val="center"/>
          </w:tcPr>
          <w:p>
            <w:pPr>
              <w:pStyle w:val="15"/>
              <w:rPr>
                <w:color w:val="auto"/>
              </w:rPr>
            </w:pPr>
          </w:p>
        </w:tc>
        <w:tc>
          <w:tcPr>
            <w:tcW w:w="1512" w:type="dxa"/>
            <w:vAlign w:val="center"/>
          </w:tcPr>
          <w:p>
            <w:pPr>
              <w:pStyle w:val="15"/>
              <w:rPr>
                <w:color w:val="auto"/>
              </w:rPr>
            </w:pPr>
            <w:r>
              <w:rPr>
                <w:rFonts w:hint="eastAsia"/>
                <w:color w:val="auto"/>
              </w:rPr>
              <w:t>NO</w:t>
            </w:r>
            <w:r>
              <w:rPr>
                <w:rFonts w:hint="eastAsia"/>
                <w:color w:val="auto"/>
                <w:vertAlign w:val="subscript"/>
              </w:rPr>
              <w:t>x</w:t>
            </w:r>
          </w:p>
        </w:tc>
        <w:tc>
          <w:tcPr>
            <w:tcW w:w="1313" w:type="dxa"/>
            <w:vAlign w:val="center"/>
          </w:tcPr>
          <w:p>
            <w:pPr>
              <w:pStyle w:val="15"/>
              <w:rPr>
                <w:color w:val="auto"/>
              </w:rPr>
            </w:pPr>
            <w:r>
              <w:rPr>
                <w:rFonts w:hint="eastAsia"/>
                <w:color w:val="auto"/>
              </w:rPr>
              <w:t>240</w:t>
            </w:r>
          </w:p>
        </w:tc>
        <w:tc>
          <w:tcPr>
            <w:tcW w:w="1387" w:type="dxa"/>
            <w:vAlign w:val="center"/>
          </w:tcPr>
          <w:p>
            <w:pPr>
              <w:pStyle w:val="15"/>
              <w:rPr>
                <w:color w:val="auto"/>
              </w:rPr>
            </w:pPr>
            <w:r>
              <w:rPr>
                <w:rFonts w:hint="eastAsia"/>
                <w:color w:val="auto"/>
              </w:rPr>
              <w:t>0.77</w:t>
            </w:r>
          </w:p>
        </w:tc>
        <w:tc>
          <w:tcPr>
            <w:tcW w:w="1225" w:type="dxa"/>
            <w:vAlign w:val="center"/>
          </w:tcPr>
          <w:p>
            <w:pPr>
              <w:pStyle w:val="15"/>
              <w:rPr>
                <w:color w:val="auto"/>
              </w:rPr>
            </w:pPr>
            <w:r>
              <w:rPr>
                <w:rFonts w:hint="eastAsia"/>
                <w:color w:val="auto"/>
              </w:rPr>
              <w:t>30.41</w:t>
            </w:r>
          </w:p>
        </w:tc>
        <w:tc>
          <w:tcPr>
            <w:tcW w:w="2077"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892" w:type="dxa"/>
            <w:vMerge w:val="restart"/>
            <w:vAlign w:val="center"/>
          </w:tcPr>
          <w:p>
            <w:pPr>
              <w:pStyle w:val="15"/>
              <w:rPr>
                <w:color w:val="auto"/>
              </w:rPr>
            </w:pPr>
            <w:r>
              <w:rPr>
                <w:rFonts w:hint="eastAsia"/>
                <w:color w:val="auto"/>
              </w:rPr>
              <w:t>DA006</w:t>
            </w:r>
          </w:p>
        </w:tc>
        <w:tc>
          <w:tcPr>
            <w:tcW w:w="925" w:type="dxa"/>
            <w:vMerge w:val="restart"/>
            <w:vAlign w:val="center"/>
          </w:tcPr>
          <w:p>
            <w:pPr>
              <w:pStyle w:val="15"/>
              <w:rPr>
                <w:color w:val="auto"/>
              </w:rPr>
            </w:pPr>
            <w:r>
              <w:rPr>
                <w:rFonts w:hint="eastAsia"/>
                <w:color w:val="auto"/>
              </w:rPr>
              <w:t>15</w:t>
            </w:r>
          </w:p>
        </w:tc>
        <w:tc>
          <w:tcPr>
            <w:tcW w:w="1288" w:type="dxa"/>
            <w:vMerge w:val="restart"/>
            <w:vAlign w:val="center"/>
          </w:tcPr>
          <w:p>
            <w:pPr>
              <w:pStyle w:val="15"/>
              <w:rPr>
                <w:rFonts w:hint="eastAsia"/>
                <w:color w:val="auto"/>
              </w:rPr>
            </w:pPr>
            <w:r>
              <w:rPr>
                <w:rFonts w:hint="eastAsia"/>
                <w:color w:val="auto"/>
                <w:lang w:val="en-US" w:eastAsia="zh-CN"/>
              </w:rPr>
              <w:t>主要排放口</w:t>
            </w:r>
          </w:p>
        </w:tc>
        <w:tc>
          <w:tcPr>
            <w:tcW w:w="1402" w:type="dxa"/>
            <w:vMerge w:val="restart"/>
            <w:vAlign w:val="center"/>
          </w:tcPr>
          <w:p>
            <w:pPr>
              <w:pStyle w:val="15"/>
              <w:rPr>
                <w:color w:val="auto"/>
              </w:rPr>
            </w:pPr>
            <w:r>
              <w:rPr>
                <w:rFonts w:hint="eastAsia"/>
                <w:color w:val="auto"/>
              </w:rPr>
              <w:t>2#磨机烘干炉</w:t>
            </w:r>
          </w:p>
        </w:tc>
        <w:tc>
          <w:tcPr>
            <w:tcW w:w="1950" w:type="dxa"/>
            <w:vMerge w:val="restart"/>
            <w:vAlign w:val="center"/>
          </w:tcPr>
          <w:p>
            <w:pPr>
              <w:pStyle w:val="15"/>
              <w:rPr>
                <w:color w:val="auto"/>
              </w:rPr>
            </w:pPr>
            <w:r>
              <w:rPr>
                <w:rFonts w:hint="eastAsia"/>
                <w:color w:val="auto"/>
              </w:rPr>
              <w:t>旋风除尘器+水膜脱硫除尘器</w:t>
            </w:r>
          </w:p>
        </w:tc>
        <w:tc>
          <w:tcPr>
            <w:tcW w:w="1512" w:type="dxa"/>
            <w:vAlign w:val="center"/>
          </w:tcPr>
          <w:p>
            <w:pPr>
              <w:pStyle w:val="15"/>
              <w:rPr>
                <w:color w:val="auto"/>
              </w:rPr>
            </w:pPr>
            <w:r>
              <w:rPr>
                <w:rFonts w:hint="eastAsia"/>
                <w:color w:val="auto"/>
              </w:rPr>
              <w:t>颗粒物</w:t>
            </w:r>
          </w:p>
        </w:tc>
        <w:tc>
          <w:tcPr>
            <w:tcW w:w="1313" w:type="dxa"/>
            <w:vAlign w:val="center"/>
          </w:tcPr>
          <w:p>
            <w:pPr>
              <w:pStyle w:val="15"/>
              <w:rPr>
                <w:color w:val="auto"/>
              </w:rPr>
            </w:pPr>
            <w:r>
              <w:rPr>
                <w:rFonts w:hint="eastAsia"/>
                <w:color w:val="auto"/>
              </w:rPr>
              <w:t>120</w:t>
            </w:r>
          </w:p>
        </w:tc>
        <w:tc>
          <w:tcPr>
            <w:tcW w:w="1387" w:type="dxa"/>
            <w:vAlign w:val="center"/>
          </w:tcPr>
          <w:p>
            <w:pPr>
              <w:pStyle w:val="15"/>
              <w:rPr>
                <w:color w:val="auto"/>
              </w:rPr>
            </w:pPr>
            <w:r>
              <w:rPr>
                <w:rFonts w:hint="eastAsia"/>
                <w:color w:val="auto"/>
              </w:rPr>
              <w:t>3.5</w:t>
            </w:r>
          </w:p>
        </w:tc>
        <w:tc>
          <w:tcPr>
            <w:tcW w:w="1225" w:type="dxa"/>
            <w:vAlign w:val="center"/>
          </w:tcPr>
          <w:p>
            <w:pPr>
              <w:pStyle w:val="15"/>
              <w:rPr>
                <w:color w:val="auto"/>
              </w:rPr>
            </w:pPr>
            <w:r>
              <w:rPr>
                <w:rFonts w:hint="eastAsia"/>
                <w:color w:val="auto"/>
              </w:rPr>
              <w:t>5.62</w:t>
            </w:r>
          </w:p>
        </w:tc>
        <w:tc>
          <w:tcPr>
            <w:tcW w:w="2077" w:type="dxa"/>
            <w:vMerge w:val="restart"/>
            <w:vAlign w:val="center"/>
          </w:tcPr>
          <w:p>
            <w:pPr>
              <w:pStyle w:val="15"/>
              <w:rPr>
                <w:color w:val="auto"/>
              </w:rPr>
            </w:pPr>
            <w:r>
              <w:rPr>
                <w:rFonts w:hint="eastAsia"/>
                <w:color w:val="auto"/>
              </w:rPr>
              <w:t>过磷酸钙生产线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892" w:type="dxa"/>
            <w:vMerge w:val="continue"/>
            <w:vAlign w:val="center"/>
          </w:tcPr>
          <w:p>
            <w:pPr>
              <w:pStyle w:val="15"/>
              <w:rPr>
                <w:color w:val="auto"/>
              </w:rPr>
            </w:pPr>
          </w:p>
        </w:tc>
        <w:tc>
          <w:tcPr>
            <w:tcW w:w="925" w:type="dxa"/>
            <w:vMerge w:val="continue"/>
            <w:vAlign w:val="center"/>
          </w:tcPr>
          <w:p>
            <w:pPr>
              <w:pStyle w:val="15"/>
              <w:rPr>
                <w:color w:val="auto"/>
              </w:rPr>
            </w:pPr>
          </w:p>
        </w:tc>
        <w:tc>
          <w:tcPr>
            <w:tcW w:w="1288" w:type="dxa"/>
            <w:vMerge w:val="continue"/>
            <w:vAlign w:val="center"/>
          </w:tcPr>
          <w:p>
            <w:pPr>
              <w:pStyle w:val="15"/>
              <w:rPr>
                <w:color w:val="auto"/>
              </w:rPr>
            </w:pPr>
          </w:p>
        </w:tc>
        <w:tc>
          <w:tcPr>
            <w:tcW w:w="1402" w:type="dxa"/>
            <w:vMerge w:val="continue"/>
            <w:vAlign w:val="center"/>
          </w:tcPr>
          <w:p>
            <w:pPr>
              <w:pStyle w:val="15"/>
              <w:rPr>
                <w:color w:val="auto"/>
              </w:rPr>
            </w:pPr>
          </w:p>
        </w:tc>
        <w:tc>
          <w:tcPr>
            <w:tcW w:w="1950" w:type="dxa"/>
            <w:vMerge w:val="continue"/>
            <w:vAlign w:val="center"/>
          </w:tcPr>
          <w:p>
            <w:pPr>
              <w:pStyle w:val="15"/>
              <w:rPr>
                <w:color w:val="auto"/>
              </w:rPr>
            </w:pPr>
          </w:p>
        </w:tc>
        <w:tc>
          <w:tcPr>
            <w:tcW w:w="1512" w:type="dxa"/>
            <w:vAlign w:val="center"/>
          </w:tcPr>
          <w:p>
            <w:pPr>
              <w:pStyle w:val="15"/>
              <w:rPr>
                <w:color w:val="auto"/>
              </w:rPr>
            </w:pPr>
            <w:r>
              <w:rPr>
                <w:rFonts w:hint="eastAsia"/>
                <w:color w:val="auto"/>
              </w:rPr>
              <w:t>SO</w:t>
            </w:r>
            <w:r>
              <w:rPr>
                <w:rFonts w:hint="eastAsia"/>
                <w:color w:val="auto"/>
                <w:vertAlign w:val="subscript"/>
              </w:rPr>
              <w:t>2</w:t>
            </w:r>
          </w:p>
        </w:tc>
        <w:tc>
          <w:tcPr>
            <w:tcW w:w="1313" w:type="dxa"/>
            <w:vAlign w:val="center"/>
          </w:tcPr>
          <w:p>
            <w:pPr>
              <w:pStyle w:val="15"/>
              <w:rPr>
                <w:color w:val="auto"/>
              </w:rPr>
            </w:pPr>
            <w:r>
              <w:rPr>
                <w:rFonts w:hint="eastAsia"/>
                <w:color w:val="auto"/>
              </w:rPr>
              <w:t>550</w:t>
            </w:r>
          </w:p>
        </w:tc>
        <w:tc>
          <w:tcPr>
            <w:tcW w:w="1387" w:type="dxa"/>
            <w:vAlign w:val="center"/>
          </w:tcPr>
          <w:p>
            <w:pPr>
              <w:pStyle w:val="15"/>
              <w:rPr>
                <w:color w:val="auto"/>
              </w:rPr>
            </w:pPr>
            <w:r>
              <w:rPr>
                <w:rFonts w:hint="eastAsia"/>
                <w:color w:val="auto"/>
              </w:rPr>
              <w:t>2.6</w:t>
            </w:r>
          </w:p>
        </w:tc>
        <w:tc>
          <w:tcPr>
            <w:tcW w:w="1225" w:type="dxa"/>
            <w:vAlign w:val="center"/>
          </w:tcPr>
          <w:p>
            <w:pPr>
              <w:pStyle w:val="15"/>
              <w:rPr>
                <w:color w:val="auto"/>
              </w:rPr>
            </w:pPr>
            <w:r>
              <w:rPr>
                <w:rFonts w:hint="eastAsia"/>
                <w:color w:val="auto"/>
              </w:rPr>
              <w:t>2.07</w:t>
            </w:r>
          </w:p>
        </w:tc>
        <w:tc>
          <w:tcPr>
            <w:tcW w:w="2077"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892" w:type="dxa"/>
            <w:vMerge w:val="continue"/>
            <w:vAlign w:val="center"/>
          </w:tcPr>
          <w:p>
            <w:pPr>
              <w:pStyle w:val="15"/>
              <w:rPr>
                <w:color w:val="auto"/>
              </w:rPr>
            </w:pPr>
          </w:p>
        </w:tc>
        <w:tc>
          <w:tcPr>
            <w:tcW w:w="925" w:type="dxa"/>
            <w:vMerge w:val="continue"/>
            <w:vAlign w:val="center"/>
          </w:tcPr>
          <w:p>
            <w:pPr>
              <w:pStyle w:val="15"/>
              <w:rPr>
                <w:color w:val="auto"/>
              </w:rPr>
            </w:pPr>
          </w:p>
        </w:tc>
        <w:tc>
          <w:tcPr>
            <w:tcW w:w="1288" w:type="dxa"/>
            <w:vMerge w:val="continue"/>
            <w:vAlign w:val="center"/>
          </w:tcPr>
          <w:p>
            <w:pPr>
              <w:pStyle w:val="15"/>
              <w:rPr>
                <w:color w:val="auto"/>
              </w:rPr>
            </w:pPr>
          </w:p>
        </w:tc>
        <w:tc>
          <w:tcPr>
            <w:tcW w:w="1402" w:type="dxa"/>
            <w:vMerge w:val="continue"/>
            <w:vAlign w:val="center"/>
          </w:tcPr>
          <w:p>
            <w:pPr>
              <w:pStyle w:val="15"/>
              <w:rPr>
                <w:color w:val="auto"/>
              </w:rPr>
            </w:pPr>
          </w:p>
        </w:tc>
        <w:tc>
          <w:tcPr>
            <w:tcW w:w="1950" w:type="dxa"/>
            <w:vMerge w:val="continue"/>
            <w:vAlign w:val="center"/>
          </w:tcPr>
          <w:p>
            <w:pPr>
              <w:pStyle w:val="15"/>
              <w:rPr>
                <w:color w:val="auto"/>
              </w:rPr>
            </w:pPr>
          </w:p>
        </w:tc>
        <w:tc>
          <w:tcPr>
            <w:tcW w:w="1512" w:type="dxa"/>
            <w:vAlign w:val="center"/>
          </w:tcPr>
          <w:p>
            <w:pPr>
              <w:pStyle w:val="15"/>
              <w:rPr>
                <w:color w:val="auto"/>
              </w:rPr>
            </w:pPr>
            <w:r>
              <w:rPr>
                <w:rFonts w:hint="eastAsia"/>
                <w:color w:val="auto"/>
              </w:rPr>
              <w:t>NO</w:t>
            </w:r>
            <w:r>
              <w:rPr>
                <w:rFonts w:hint="eastAsia"/>
                <w:color w:val="auto"/>
                <w:vertAlign w:val="subscript"/>
              </w:rPr>
              <w:t>x</w:t>
            </w:r>
          </w:p>
        </w:tc>
        <w:tc>
          <w:tcPr>
            <w:tcW w:w="1313" w:type="dxa"/>
            <w:vAlign w:val="center"/>
          </w:tcPr>
          <w:p>
            <w:pPr>
              <w:pStyle w:val="15"/>
              <w:rPr>
                <w:color w:val="auto"/>
              </w:rPr>
            </w:pPr>
            <w:r>
              <w:rPr>
                <w:rFonts w:hint="eastAsia"/>
                <w:color w:val="auto"/>
              </w:rPr>
              <w:t>240</w:t>
            </w:r>
          </w:p>
        </w:tc>
        <w:tc>
          <w:tcPr>
            <w:tcW w:w="1387" w:type="dxa"/>
            <w:vAlign w:val="center"/>
          </w:tcPr>
          <w:p>
            <w:pPr>
              <w:pStyle w:val="15"/>
              <w:rPr>
                <w:color w:val="auto"/>
              </w:rPr>
            </w:pPr>
            <w:r>
              <w:rPr>
                <w:rFonts w:hint="eastAsia"/>
                <w:color w:val="auto"/>
              </w:rPr>
              <w:t>0.77</w:t>
            </w:r>
          </w:p>
        </w:tc>
        <w:tc>
          <w:tcPr>
            <w:tcW w:w="1225" w:type="dxa"/>
            <w:vAlign w:val="center"/>
          </w:tcPr>
          <w:p>
            <w:pPr>
              <w:pStyle w:val="15"/>
              <w:rPr>
                <w:color w:val="auto"/>
              </w:rPr>
            </w:pPr>
            <w:r>
              <w:rPr>
                <w:rFonts w:hint="eastAsia"/>
                <w:color w:val="auto"/>
              </w:rPr>
              <w:t>36.12</w:t>
            </w:r>
          </w:p>
        </w:tc>
        <w:tc>
          <w:tcPr>
            <w:tcW w:w="2077"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vAlign w:val="center"/>
          </w:tcPr>
          <w:p>
            <w:pPr>
              <w:pStyle w:val="15"/>
              <w:rPr>
                <w:color w:val="auto"/>
              </w:rPr>
            </w:pPr>
            <w:r>
              <w:rPr>
                <w:rFonts w:hint="eastAsia"/>
                <w:color w:val="auto"/>
              </w:rPr>
              <w:t>DA007</w:t>
            </w:r>
          </w:p>
        </w:tc>
        <w:tc>
          <w:tcPr>
            <w:tcW w:w="925" w:type="dxa"/>
            <w:vAlign w:val="center"/>
          </w:tcPr>
          <w:p>
            <w:pPr>
              <w:pStyle w:val="15"/>
              <w:rPr>
                <w:color w:val="auto"/>
              </w:rPr>
            </w:pPr>
            <w:r>
              <w:rPr>
                <w:rFonts w:hint="eastAsia"/>
                <w:color w:val="auto"/>
              </w:rPr>
              <w:t>15</w:t>
            </w:r>
          </w:p>
        </w:tc>
        <w:tc>
          <w:tcPr>
            <w:tcW w:w="1288" w:type="dxa"/>
            <w:vAlign w:val="center"/>
          </w:tcPr>
          <w:p>
            <w:pPr>
              <w:pStyle w:val="15"/>
              <w:rPr>
                <w:rFonts w:hint="eastAsia"/>
                <w:color w:val="auto"/>
              </w:rPr>
            </w:pPr>
            <w:r>
              <w:rPr>
                <w:rFonts w:hint="eastAsia"/>
                <w:color w:val="auto"/>
                <w:lang w:val="en-US" w:eastAsia="zh-CN"/>
              </w:rPr>
              <w:t>一般排放口</w:t>
            </w:r>
          </w:p>
        </w:tc>
        <w:tc>
          <w:tcPr>
            <w:tcW w:w="1402" w:type="dxa"/>
            <w:vAlign w:val="center"/>
          </w:tcPr>
          <w:p>
            <w:pPr>
              <w:pStyle w:val="15"/>
              <w:rPr>
                <w:color w:val="auto"/>
              </w:rPr>
            </w:pPr>
            <w:r>
              <w:rPr>
                <w:rFonts w:hint="eastAsia"/>
                <w:color w:val="auto"/>
              </w:rPr>
              <w:t>造粒装置冷却机</w:t>
            </w:r>
          </w:p>
        </w:tc>
        <w:tc>
          <w:tcPr>
            <w:tcW w:w="1950" w:type="dxa"/>
            <w:vAlign w:val="center"/>
          </w:tcPr>
          <w:p>
            <w:pPr>
              <w:pStyle w:val="15"/>
              <w:rPr>
                <w:color w:val="auto"/>
              </w:rPr>
            </w:pPr>
            <w:r>
              <w:rPr>
                <w:rFonts w:hint="eastAsia"/>
                <w:color w:val="auto"/>
              </w:rPr>
              <w:t>旋风除尘器+袋式除尘器</w:t>
            </w:r>
          </w:p>
        </w:tc>
        <w:tc>
          <w:tcPr>
            <w:tcW w:w="1512" w:type="dxa"/>
            <w:vAlign w:val="center"/>
          </w:tcPr>
          <w:p>
            <w:pPr>
              <w:pStyle w:val="15"/>
              <w:rPr>
                <w:color w:val="auto"/>
              </w:rPr>
            </w:pPr>
            <w:r>
              <w:rPr>
                <w:rFonts w:hint="eastAsia"/>
                <w:color w:val="auto"/>
              </w:rPr>
              <w:t>颗粒物</w:t>
            </w:r>
          </w:p>
        </w:tc>
        <w:tc>
          <w:tcPr>
            <w:tcW w:w="1313" w:type="dxa"/>
            <w:vAlign w:val="center"/>
          </w:tcPr>
          <w:p>
            <w:pPr>
              <w:pStyle w:val="15"/>
              <w:rPr>
                <w:color w:val="auto"/>
              </w:rPr>
            </w:pPr>
            <w:r>
              <w:rPr>
                <w:rFonts w:hint="eastAsia"/>
                <w:color w:val="auto"/>
              </w:rPr>
              <w:t>120</w:t>
            </w:r>
          </w:p>
        </w:tc>
        <w:tc>
          <w:tcPr>
            <w:tcW w:w="1387" w:type="dxa"/>
            <w:vAlign w:val="center"/>
          </w:tcPr>
          <w:p>
            <w:pPr>
              <w:pStyle w:val="15"/>
              <w:rPr>
                <w:color w:val="auto"/>
              </w:rPr>
            </w:pPr>
            <w:r>
              <w:rPr>
                <w:rFonts w:hint="eastAsia"/>
                <w:color w:val="auto"/>
              </w:rPr>
              <w:t>3.5</w:t>
            </w:r>
          </w:p>
        </w:tc>
        <w:tc>
          <w:tcPr>
            <w:tcW w:w="1225" w:type="dxa"/>
            <w:vAlign w:val="center"/>
          </w:tcPr>
          <w:p>
            <w:pPr>
              <w:pStyle w:val="15"/>
              <w:rPr>
                <w:color w:val="auto"/>
              </w:rPr>
            </w:pPr>
            <w:r>
              <w:rPr>
                <w:rFonts w:hint="eastAsia"/>
                <w:color w:val="auto"/>
              </w:rPr>
              <w:t>/</w:t>
            </w:r>
          </w:p>
        </w:tc>
        <w:tc>
          <w:tcPr>
            <w:tcW w:w="2077" w:type="dxa"/>
            <w:vAlign w:val="center"/>
          </w:tcPr>
          <w:p>
            <w:pPr>
              <w:pStyle w:val="15"/>
              <w:rPr>
                <w:color w:val="auto"/>
              </w:rPr>
            </w:pPr>
            <w:r>
              <w:rPr>
                <w:rFonts w:hint="eastAsia"/>
                <w:color w:val="auto"/>
              </w:rPr>
              <w:t>过磷酸钙、粒状有机肥生产线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vMerge w:val="restart"/>
            <w:vAlign w:val="center"/>
          </w:tcPr>
          <w:p>
            <w:pPr>
              <w:pStyle w:val="15"/>
              <w:rPr>
                <w:color w:val="auto"/>
              </w:rPr>
            </w:pPr>
            <w:r>
              <w:rPr>
                <w:rFonts w:hint="eastAsia"/>
                <w:color w:val="auto"/>
              </w:rPr>
              <w:t>DA008</w:t>
            </w:r>
          </w:p>
        </w:tc>
        <w:tc>
          <w:tcPr>
            <w:tcW w:w="925" w:type="dxa"/>
            <w:vMerge w:val="restart"/>
            <w:vAlign w:val="center"/>
          </w:tcPr>
          <w:p>
            <w:pPr>
              <w:pStyle w:val="15"/>
              <w:rPr>
                <w:color w:val="auto"/>
              </w:rPr>
            </w:pPr>
            <w:r>
              <w:rPr>
                <w:rFonts w:hint="eastAsia"/>
                <w:color w:val="auto"/>
              </w:rPr>
              <w:t>42</w:t>
            </w:r>
          </w:p>
        </w:tc>
        <w:tc>
          <w:tcPr>
            <w:tcW w:w="1288" w:type="dxa"/>
            <w:vMerge w:val="restart"/>
            <w:vAlign w:val="center"/>
          </w:tcPr>
          <w:p>
            <w:pPr>
              <w:pStyle w:val="15"/>
              <w:rPr>
                <w:rFonts w:hint="eastAsia"/>
                <w:color w:val="auto"/>
              </w:rPr>
            </w:pPr>
            <w:r>
              <w:rPr>
                <w:rFonts w:hint="eastAsia"/>
                <w:color w:val="auto"/>
                <w:lang w:val="en-US" w:eastAsia="zh-CN"/>
              </w:rPr>
              <w:t>主要排放口</w:t>
            </w:r>
          </w:p>
        </w:tc>
        <w:tc>
          <w:tcPr>
            <w:tcW w:w="1402" w:type="dxa"/>
            <w:vMerge w:val="restart"/>
            <w:vAlign w:val="center"/>
          </w:tcPr>
          <w:p>
            <w:pPr>
              <w:pStyle w:val="15"/>
              <w:rPr>
                <w:color w:val="auto"/>
              </w:rPr>
            </w:pPr>
            <w:r>
              <w:rPr>
                <w:rFonts w:hint="eastAsia"/>
                <w:color w:val="auto"/>
              </w:rPr>
              <w:t>普钙系统尾气</w:t>
            </w:r>
          </w:p>
        </w:tc>
        <w:tc>
          <w:tcPr>
            <w:tcW w:w="1950" w:type="dxa"/>
            <w:vMerge w:val="restart"/>
            <w:vAlign w:val="center"/>
          </w:tcPr>
          <w:p>
            <w:pPr>
              <w:pStyle w:val="15"/>
              <w:rPr>
                <w:rFonts w:hint="default" w:eastAsia="宋体"/>
                <w:color w:val="auto"/>
                <w:lang w:val="en-US" w:eastAsia="zh-CN"/>
              </w:rPr>
            </w:pPr>
            <w:r>
              <w:rPr>
                <w:rFonts w:hint="eastAsia"/>
                <w:color w:val="auto"/>
              </w:rPr>
              <w:t>四塔串联洗涤脱氟</w:t>
            </w:r>
            <w:r>
              <w:rPr>
                <w:rFonts w:hint="eastAsia"/>
                <w:color w:val="auto"/>
                <w:lang w:val="en-US" w:eastAsia="zh-CN"/>
              </w:rPr>
              <w:t>+除雾</w:t>
            </w:r>
          </w:p>
        </w:tc>
        <w:tc>
          <w:tcPr>
            <w:tcW w:w="1512" w:type="dxa"/>
            <w:vAlign w:val="center"/>
          </w:tcPr>
          <w:p>
            <w:pPr>
              <w:pStyle w:val="15"/>
              <w:rPr>
                <w:color w:val="auto"/>
              </w:rPr>
            </w:pPr>
            <w:r>
              <w:rPr>
                <w:rFonts w:hint="eastAsia"/>
                <w:color w:val="auto"/>
              </w:rPr>
              <w:t>氟化物</w:t>
            </w:r>
          </w:p>
        </w:tc>
        <w:tc>
          <w:tcPr>
            <w:tcW w:w="1313" w:type="dxa"/>
            <w:vAlign w:val="center"/>
          </w:tcPr>
          <w:p>
            <w:pPr>
              <w:pStyle w:val="15"/>
              <w:rPr>
                <w:color w:val="auto"/>
              </w:rPr>
            </w:pPr>
            <w:r>
              <w:rPr>
                <w:rFonts w:hint="eastAsia"/>
                <w:color w:val="auto"/>
              </w:rPr>
              <w:t>90</w:t>
            </w:r>
          </w:p>
        </w:tc>
        <w:tc>
          <w:tcPr>
            <w:tcW w:w="1387" w:type="dxa"/>
            <w:vAlign w:val="center"/>
          </w:tcPr>
          <w:p>
            <w:pPr>
              <w:pStyle w:val="15"/>
              <w:rPr>
                <w:color w:val="auto"/>
              </w:rPr>
            </w:pPr>
            <w:r>
              <w:rPr>
                <w:rFonts w:hint="eastAsia"/>
                <w:color w:val="auto"/>
              </w:rPr>
              <w:t>1.1</w:t>
            </w:r>
          </w:p>
        </w:tc>
        <w:tc>
          <w:tcPr>
            <w:tcW w:w="1225" w:type="dxa"/>
            <w:vAlign w:val="center"/>
          </w:tcPr>
          <w:p>
            <w:pPr>
              <w:pStyle w:val="15"/>
              <w:rPr>
                <w:color w:val="auto"/>
              </w:rPr>
            </w:pPr>
            <w:r>
              <w:rPr>
                <w:rFonts w:hint="eastAsia"/>
                <w:color w:val="auto"/>
              </w:rPr>
              <w:t>3.4</w:t>
            </w:r>
          </w:p>
        </w:tc>
        <w:tc>
          <w:tcPr>
            <w:tcW w:w="2077" w:type="dxa"/>
            <w:vMerge w:val="restart"/>
            <w:vAlign w:val="center"/>
          </w:tcPr>
          <w:p>
            <w:pPr>
              <w:pStyle w:val="15"/>
              <w:rPr>
                <w:color w:val="auto"/>
              </w:rPr>
            </w:pPr>
            <w:r>
              <w:rPr>
                <w:rFonts w:hint="eastAsia"/>
                <w:color w:val="auto"/>
              </w:rPr>
              <w:t>过磷酸钙生产线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92" w:type="dxa"/>
            <w:vMerge w:val="continue"/>
            <w:vAlign w:val="center"/>
          </w:tcPr>
          <w:p>
            <w:pPr>
              <w:pStyle w:val="15"/>
              <w:rPr>
                <w:color w:val="auto"/>
              </w:rPr>
            </w:pPr>
          </w:p>
        </w:tc>
        <w:tc>
          <w:tcPr>
            <w:tcW w:w="925" w:type="dxa"/>
            <w:vMerge w:val="continue"/>
            <w:vAlign w:val="center"/>
          </w:tcPr>
          <w:p>
            <w:pPr>
              <w:pStyle w:val="15"/>
              <w:rPr>
                <w:color w:val="auto"/>
              </w:rPr>
            </w:pPr>
          </w:p>
        </w:tc>
        <w:tc>
          <w:tcPr>
            <w:tcW w:w="1288" w:type="dxa"/>
            <w:vMerge w:val="continue"/>
            <w:vAlign w:val="center"/>
          </w:tcPr>
          <w:p>
            <w:pPr>
              <w:pStyle w:val="15"/>
              <w:rPr>
                <w:color w:val="auto"/>
              </w:rPr>
            </w:pPr>
          </w:p>
        </w:tc>
        <w:tc>
          <w:tcPr>
            <w:tcW w:w="1402" w:type="dxa"/>
            <w:vMerge w:val="continue"/>
            <w:vAlign w:val="center"/>
          </w:tcPr>
          <w:p>
            <w:pPr>
              <w:pStyle w:val="15"/>
              <w:rPr>
                <w:color w:val="auto"/>
              </w:rPr>
            </w:pPr>
          </w:p>
        </w:tc>
        <w:tc>
          <w:tcPr>
            <w:tcW w:w="1950" w:type="dxa"/>
            <w:vMerge w:val="continue"/>
            <w:vAlign w:val="center"/>
          </w:tcPr>
          <w:p>
            <w:pPr>
              <w:pStyle w:val="15"/>
              <w:rPr>
                <w:color w:val="auto"/>
              </w:rPr>
            </w:pPr>
          </w:p>
        </w:tc>
        <w:tc>
          <w:tcPr>
            <w:tcW w:w="1512" w:type="dxa"/>
            <w:vAlign w:val="center"/>
          </w:tcPr>
          <w:p>
            <w:pPr>
              <w:pStyle w:val="15"/>
              <w:rPr>
                <w:color w:val="auto"/>
              </w:rPr>
            </w:pPr>
            <w:r>
              <w:rPr>
                <w:rFonts w:hint="eastAsia"/>
                <w:color w:val="auto"/>
              </w:rPr>
              <w:t>硫酸雾</w:t>
            </w:r>
          </w:p>
        </w:tc>
        <w:tc>
          <w:tcPr>
            <w:tcW w:w="1313" w:type="dxa"/>
            <w:vAlign w:val="center"/>
          </w:tcPr>
          <w:p>
            <w:pPr>
              <w:pStyle w:val="15"/>
              <w:rPr>
                <w:color w:val="auto"/>
              </w:rPr>
            </w:pPr>
            <w:r>
              <w:rPr>
                <w:rFonts w:hint="eastAsia"/>
                <w:color w:val="auto"/>
              </w:rPr>
              <w:t>45</w:t>
            </w:r>
          </w:p>
        </w:tc>
        <w:tc>
          <w:tcPr>
            <w:tcW w:w="1387" w:type="dxa"/>
            <w:vAlign w:val="center"/>
          </w:tcPr>
          <w:p>
            <w:pPr>
              <w:pStyle w:val="15"/>
              <w:rPr>
                <w:color w:val="auto"/>
              </w:rPr>
            </w:pPr>
            <w:r>
              <w:rPr>
                <w:rFonts w:hint="eastAsia"/>
                <w:color w:val="auto"/>
              </w:rPr>
              <w:t>16.6</w:t>
            </w:r>
          </w:p>
        </w:tc>
        <w:tc>
          <w:tcPr>
            <w:tcW w:w="1225" w:type="dxa"/>
            <w:vAlign w:val="center"/>
          </w:tcPr>
          <w:p>
            <w:pPr>
              <w:pStyle w:val="15"/>
              <w:rPr>
                <w:color w:val="auto"/>
              </w:rPr>
            </w:pPr>
            <w:r>
              <w:rPr>
                <w:rFonts w:hint="eastAsia"/>
                <w:color w:val="auto"/>
              </w:rPr>
              <w:t>/</w:t>
            </w:r>
          </w:p>
        </w:tc>
        <w:tc>
          <w:tcPr>
            <w:tcW w:w="2077"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892" w:type="dxa"/>
            <w:vMerge w:val="restart"/>
            <w:vAlign w:val="center"/>
          </w:tcPr>
          <w:p>
            <w:pPr>
              <w:pStyle w:val="15"/>
              <w:rPr>
                <w:color w:val="auto"/>
              </w:rPr>
            </w:pPr>
            <w:r>
              <w:rPr>
                <w:rFonts w:hint="eastAsia"/>
                <w:color w:val="auto"/>
              </w:rPr>
              <w:t>DA009</w:t>
            </w:r>
          </w:p>
        </w:tc>
        <w:tc>
          <w:tcPr>
            <w:tcW w:w="925" w:type="dxa"/>
            <w:vMerge w:val="restart"/>
            <w:vAlign w:val="center"/>
          </w:tcPr>
          <w:p>
            <w:pPr>
              <w:pStyle w:val="15"/>
              <w:rPr>
                <w:color w:val="auto"/>
              </w:rPr>
            </w:pPr>
            <w:r>
              <w:rPr>
                <w:rFonts w:hint="eastAsia"/>
                <w:color w:val="auto"/>
              </w:rPr>
              <w:t>15</w:t>
            </w:r>
          </w:p>
        </w:tc>
        <w:tc>
          <w:tcPr>
            <w:tcW w:w="1288" w:type="dxa"/>
            <w:vMerge w:val="restart"/>
            <w:vAlign w:val="center"/>
          </w:tcPr>
          <w:p>
            <w:pPr>
              <w:pStyle w:val="15"/>
              <w:rPr>
                <w:rFonts w:hint="eastAsia"/>
                <w:color w:val="auto"/>
              </w:rPr>
            </w:pPr>
            <w:r>
              <w:rPr>
                <w:rFonts w:hint="eastAsia"/>
                <w:color w:val="auto"/>
                <w:lang w:val="en-US" w:eastAsia="zh-CN"/>
              </w:rPr>
              <w:t>主要排放口</w:t>
            </w:r>
          </w:p>
        </w:tc>
        <w:tc>
          <w:tcPr>
            <w:tcW w:w="1402" w:type="dxa"/>
            <w:vMerge w:val="restart"/>
            <w:vAlign w:val="center"/>
          </w:tcPr>
          <w:p>
            <w:pPr>
              <w:pStyle w:val="15"/>
              <w:rPr>
                <w:color w:val="auto"/>
              </w:rPr>
            </w:pPr>
            <w:r>
              <w:rPr>
                <w:rFonts w:hint="eastAsia"/>
                <w:color w:val="auto"/>
              </w:rPr>
              <w:t>造粒烘干尾气</w:t>
            </w:r>
          </w:p>
        </w:tc>
        <w:tc>
          <w:tcPr>
            <w:tcW w:w="1950" w:type="dxa"/>
            <w:vMerge w:val="restart"/>
            <w:vAlign w:val="center"/>
          </w:tcPr>
          <w:p>
            <w:pPr>
              <w:pStyle w:val="15"/>
              <w:rPr>
                <w:color w:val="auto"/>
              </w:rPr>
            </w:pPr>
            <w:r>
              <w:rPr>
                <w:rFonts w:hint="eastAsia"/>
                <w:color w:val="auto"/>
              </w:rPr>
              <w:t>旋风除尘+重力沉降+</w:t>
            </w:r>
            <w:r>
              <w:rPr>
                <w:rFonts w:hint="eastAsia"/>
                <w:color w:val="auto"/>
                <w:lang w:val="en-US" w:eastAsia="zh-CN"/>
              </w:rPr>
              <w:t>水膜脱硫除尘</w:t>
            </w:r>
          </w:p>
        </w:tc>
        <w:tc>
          <w:tcPr>
            <w:tcW w:w="1512" w:type="dxa"/>
            <w:vAlign w:val="center"/>
          </w:tcPr>
          <w:p>
            <w:pPr>
              <w:pStyle w:val="15"/>
              <w:rPr>
                <w:color w:val="auto"/>
              </w:rPr>
            </w:pPr>
            <w:r>
              <w:rPr>
                <w:rFonts w:hint="eastAsia"/>
                <w:color w:val="auto"/>
              </w:rPr>
              <w:t>颗粒物</w:t>
            </w:r>
          </w:p>
        </w:tc>
        <w:tc>
          <w:tcPr>
            <w:tcW w:w="1313" w:type="dxa"/>
            <w:vAlign w:val="center"/>
          </w:tcPr>
          <w:p>
            <w:pPr>
              <w:pStyle w:val="15"/>
              <w:rPr>
                <w:color w:val="auto"/>
              </w:rPr>
            </w:pPr>
            <w:r>
              <w:rPr>
                <w:rFonts w:hint="eastAsia"/>
                <w:color w:val="auto"/>
              </w:rPr>
              <w:t>200</w:t>
            </w:r>
          </w:p>
        </w:tc>
        <w:tc>
          <w:tcPr>
            <w:tcW w:w="1387" w:type="dxa"/>
            <w:vAlign w:val="center"/>
          </w:tcPr>
          <w:p>
            <w:pPr>
              <w:pStyle w:val="15"/>
              <w:rPr>
                <w:color w:val="auto"/>
              </w:rPr>
            </w:pPr>
            <w:r>
              <w:rPr>
                <w:rFonts w:hint="eastAsia"/>
                <w:color w:val="auto"/>
              </w:rPr>
              <w:t>3.5</w:t>
            </w:r>
          </w:p>
        </w:tc>
        <w:tc>
          <w:tcPr>
            <w:tcW w:w="1225" w:type="dxa"/>
            <w:vAlign w:val="center"/>
          </w:tcPr>
          <w:p>
            <w:pPr>
              <w:pStyle w:val="15"/>
              <w:rPr>
                <w:color w:val="auto"/>
              </w:rPr>
            </w:pPr>
            <w:r>
              <w:rPr>
                <w:rFonts w:hint="eastAsia"/>
                <w:color w:val="auto"/>
              </w:rPr>
              <w:t>10.45</w:t>
            </w:r>
          </w:p>
        </w:tc>
        <w:tc>
          <w:tcPr>
            <w:tcW w:w="2077" w:type="dxa"/>
            <w:vMerge w:val="restart"/>
            <w:vAlign w:val="center"/>
          </w:tcPr>
          <w:p>
            <w:pPr>
              <w:pStyle w:val="15"/>
              <w:rPr>
                <w:color w:val="auto"/>
              </w:rPr>
            </w:pPr>
            <w:r>
              <w:rPr>
                <w:rFonts w:hint="eastAsia"/>
                <w:color w:val="auto"/>
                <w:lang w:val="en-US" w:eastAsia="zh-CN"/>
              </w:rPr>
              <w:t>复合肥</w:t>
            </w:r>
            <w:r>
              <w:rPr>
                <w:rFonts w:hint="eastAsia"/>
                <w:color w:val="auto"/>
              </w:rPr>
              <w:t>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vMerge w:val="continue"/>
            <w:vAlign w:val="center"/>
          </w:tcPr>
          <w:p>
            <w:pPr>
              <w:pStyle w:val="15"/>
              <w:rPr>
                <w:color w:val="auto"/>
              </w:rPr>
            </w:pPr>
          </w:p>
        </w:tc>
        <w:tc>
          <w:tcPr>
            <w:tcW w:w="925" w:type="dxa"/>
            <w:vMerge w:val="continue"/>
            <w:vAlign w:val="center"/>
          </w:tcPr>
          <w:p>
            <w:pPr>
              <w:pStyle w:val="15"/>
              <w:rPr>
                <w:color w:val="auto"/>
              </w:rPr>
            </w:pPr>
          </w:p>
        </w:tc>
        <w:tc>
          <w:tcPr>
            <w:tcW w:w="1288" w:type="dxa"/>
            <w:vMerge w:val="continue"/>
            <w:vAlign w:val="center"/>
          </w:tcPr>
          <w:p>
            <w:pPr>
              <w:pStyle w:val="15"/>
              <w:rPr>
                <w:color w:val="auto"/>
              </w:rPr>
            </w:pPr>
          </w:p>
        </w:tc>
        <w:tc>
          <w:tcPr>
            <w:tcW w:w="1402" w:type="dxa"/>
            <w:vMerge w:val="continue"/>
            <w:vAlign w:val="center"/>
          </w:tcPr>
          <w:p>
            <w:pPr>
              <w:pStyle w:val="15"/>
              <w:rPr>
                <w:color w:val="auto"/>
              </w:rPr>
            </w:pPr>
          </w:p>
        </w:tc>
        <w:tc>
          <w:tcPr>
            <w:tcW w:w="1950" w:type="dxa"/>
            <w:vMerge w:val="continue"/>
            <w:vAlign w:val="center"/>
          </w:tcPr>
          <w:p>
            <w:pPr>
              <w:pStyle w:val="15"/>
              <w:rPr>
                <w:color w:val="auto"/>
              </w:rPr>
            </w:pPr>
          </w:p>
        </w:tc>
        <w:tc>
          <w:tcPr>
            <w:tcW w:w="1512" w:type="dxa"/>
            <w:vAlign w:val="center"/>
          </w:tcPr>
          <w:p>
            <w:pPr>
              <w:pStyle w:val="15"/>
              <w:rPr>
                <w:color w:val="auto"/>
              </w:rPr>
            </w:pPr>
            <w:r>
              <w:rPr>
                <w:rFonts w:hint="eastAsia"/>
                <w:color w:val="auto"/>
              </w:rPr>
              <w:t>SO</w:t>
            </w:r>
            <w:r>
              <w:rPr>
                <w:rFonts w:hint="eastAsia"/>
                <w:color w:val="auto"/>
                <w:vertAlign w:val="subscript"/>
              </w:rPr>
              <w:t>2</w:t>
            </w:r>
          </w:p>
        </w:tc>
        <w:tc>
          <w:tcPr>
            <w:tcW w:w="1313" w:type="dxa"/>
            <w:vAlign w:val="center"/>
          </w:tcPr>
          <w:p>
            <w:pPr>
              <w:pStyle w:val="15"/>
              <w:rPr>
                <w:color w:val="auto"/>
              </w:rPr>
            </w:pPr>
            <w:r>
              <w:rPr>
                <w:rFonts w:hint="eastAsia"/>
                <w:color w:val="auto"/>
              </w:rPr>
              <w:t>850</w:t>
            </w:r>
          </w:p>
        </w:tc>
        <w:tc>
          <w:tcPr>
            <w:tcW w:w="1387" w:type="dxa"/>
            <w:vAlign w:val="center"/>
          </w:tcPr>
          <w:p>
            <w:pPr>
              <w:pStyle w:val="15"/>
              <w:rPr>
                <w:color w:val="auto"/>
              </w:rPr>
            </w:pPr>
            <w:r>
              <w:rPr>
                <w:rFonts w:hint="eastAsia"/>
                <w:color w:val="auto"/>
              </w:rPr>
              <w:t>2.6</w:t>
            </w:r>
          </w:p>
        </w:tc>
        <w:tc>
          <w:tcPr>
            <w:tcW w:w="1225" w:type="dxa"/>
            <w:vAlign w:val="center"/>
          </w:tcPr>
          <w:p>
            <w:pPr>
              <w:pStyle w:val="15"/>
              <w:rPr>
                <w:color w:val="auto"/>
              </w:rPr>
            </w:pPr>
            <w:r>
              <w:rPr>
                <w:rFonts w:hint="eastAsia"/>
                <w:color w:val="auto"/>
              </w:rPr>
              <w:t>6.69</w:t>
            </w:r>
          </w:p>
        </w:tc>
        <w:tc>
          <w:tcPr>
            <w:tcW w:w="2077"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vMerge w:val="continue"/>
            <w:vAlign w:val="center"/>
          </w:tcPr>
          <w:p>
            <w:pPr>
              <w:pStyle w:val="15"/>
              <w:rPr>
                <w:color w:val="auto"/>
              </w:rPr>
            </w:pPr>
          </w:p>
        </w:tc>
        <w:tc>
          <w:tcPr>
            <w:tcW w:w="925" w:type="dxa"/>
            <w:vMerge w:val="continue"/>
            <w:vAlign w:val="center"/>
          </w:tcPr>
          <w:p>
            <w:pPr>
              <w:pStyle w:val="15"/>
              <w:rPr>
                <w:color w:val="auto"/>
              </w:rPr>
            </w:pPr>
          </w:p>
        </w:tc>
        <w:tc>
          <w:tcPr>
            <w:tcW w:w="1288" w:type="dxa"/>
            <w:vMerge w:val="continue"/>
            <w:vAlign w:val="center"/>
          </w:tcPr>
          <w:p>
            <w:pPr>
              <w:pStyle w:val="15"/>
              <w:rPr>
                <w:color w:val="auto"/>
              </w:rPr>
            </w:pPr>
          </w:p>
        </w:tc>
        <w:tc>
          <w:tcPr>
            <w:tcW w:w="1402" w:type="dxa"/>
            <w:vMerge w:val="continue"/>
            <w:vAlign w:val="center"/>
          </w:tcPr>
          <w:p>
            <w:pPr>
              <w:pStyle w:val="15"/>
              <w:rPr>
                <w:color w:val="auto"/>
              </w:rPr>
            </w:pPr>
          </w:p>
        </w:tc>
        <w:tc>
          <w:tcPr>
            <w:tcW w:w="1950" w:type="dxa"/>
            <w:vMerge w:val="continue"/>
            <w:vAlign w:val="center"/>
          </w:tcPr>
          <w:p>
            <w:pPr>
              <w:pStyle w:val="15"/>
              <w:rPr>
                <w:color w:val="auto"/>
              </w:rPr>
            </w:pPr>
          </w:p>
        </w:tc>
        <w:tc>
          <w:tcPr>
            <w:tcW w:w="1512" w:type="dxa"/>
            <w:vAlign w:val="center"/>
          </w:tcPr>
          <w:p>
            <w:pPr>
              <w:pStyle w:val="15"/>
              <w:rPr>
                <w:color w:val="auto"/>
              </w:rPr>
            </w:pPr>
            <w:r>
              <w:rPr>
                <w:rFonts w:hint="eastAsia"/>
                <w:color w:val="auto"/>
              </w:rPr>
              <w:t>NO</w:t>
            </w:r>
            <w:r>
              <w:rPr>
                <w:rFonts w:hint="eastAsia"/>
                <w:color w:val="auto"/>
                <w:vertAlign w:val="subscript"/>
              </w:rPr>
              <w:t>x</w:t>
            </w:r>
          </w:p>
        </w:tc>
        <w:tc>
          <w:tcPr>
            <w:tcW w:w="1313" w:type="dxa"/>
            <w:vAlign w:val="center"/>
          </w:tcPr>
          <w:p>
            <w:pPr>
              <w:pStyle w:val="15"/>
              <w:rPr>
                <w:color w:val="auto"/>
              </w:rPr>
            </w:pPr>
            <w:r>
              <w:rPr>
                <w:rFonts w:hint="eastAsia"/>
                <w:color w:val="auto"/>
              </w:rPr>
              <w:t>240</w:t>
            </w:r>
          </w:p>
        </w:tc>
        <w:tc>
          <w:tcPr>
            <w:tcW w:w="1387" w:type="dxa"/>
            <w:vAlign w:val="center"/>
          </w:tcPr>
          <w:p>
            <w:pPr>
              <w:pStyle w:val="15"/>
              <w:rPr>
                <w:color w:val="auto"/>
              </w:rPr>
            </w:pPr>
            <w:r>
              <w:rPr>
                <w:rFonts w:hint="eastAsia"/>
                <w:color w:val="auto"/>
              </w:rPr>
              <w:t>0.77</w:t>
            </w:r>
          </w:p>
        </w:tc>
        <w:tc>
          <w:tcPr>
            <w:tcW w:w="1225" w:type="dxa"/>
            <w:vAlign w:val="center"/>
          </w:tcPr>
          <w:p>
            <w:pPr>
              <w:pStyle w:val="15"/>
              <w:rPr>
                <w:color w:val="auto"/>
              </w:rPr>
            </w:pPr>
            <w:r>
              <w:rPr>
                <w:rFonts w:hint="eastAsia"/>
                <w:color w:val="auto"/>
              </w:rPr>
              <w:t>20.91</w:t>
            </w:r>
          </w:p>
        </w:tc>
        <w:tc>
          <w:tcPr>
            <w:tcW w:w="2077"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vAlign w:val="center"/>
          </w:tcPr>
          <w:p>
            <w:pPr>
              <w:pStyle w:val="15"/>
              <w:rPr>
                <w:color w:val="auto"/>
              </w:rPr>
            </w:pPr>
            <w:r>
              <w:rPr>
                <w:rFonts w:hint="eastAsia"/>
                <w:color w:val="auto"/>
              </w:rPr>
              <w:t>DA010</w:t>
            </w:r>
          </w:p>
        </w:tc>
        <w:tc>
          <w:tcPr>
            <w:tcW w:w="925" w:type="dxa"/>
            <w:vAlign w:val="center"/>
          </w:tcPr>
          <w:p>
            <w:pPr>
              <w:pStyle w:val="15"/>
              <w:rPr>
                <w:color w:val="auto"/>
              </w:rPr>
            </w:pPr>
            <w:r>
              <w:rPr>
                <w:rFonts w:hint="eastAsia"/>
                <w:color w:val="auto"/>
              </w:rPr>
              <w:t>20</w:t>
            </w:r>
          </w:p>
        </w:tc>
        <w:tc>
          <w:tcPr>
            <w:tcW w:w="1288" w:type="dxa"/>
            <w:vAlign w:val="center"/>
          </w:tcPr>
          <w:p>
            <w:pPr>
              <w:pStyle w:val="15"/>
              <w:rPr>
                <w:rFonts w:hint="eastAsia"/>
                <w:color w:val="auto"/>
              </w:rPr>
            </w:pPr>
            <w:r>
              <w:rPr>
                <w:rFonts w:hint="eastAsia"/>
                <w:color w:val="auto"/>
                <w:lang w:val="en-US" w:eastAsia="zh-CN"/>
              </w:rPr>
              <w:t>主要排放口</w:t>
            </w:r>
          </w:p>
        </w:tc>
        <w:tc>
          <w:tcPr>
            <w:tcW w:w="1402" w:type="dxa"/>
            <w:vAlign w:val="center"/>
          </w:tcPr>
          <w:p>
            <w:pPr>
              <w:pStyle w:val="15"/>
              <w:rPr>
                <w:color w:val="auto"/>
              </w:rPr>
            </w:pPr>
            <w:r>
              <w:rPr>
                <w:rFonts w:hint="eastAsia"/>
                <w:color w:val="auto"/>
              </w:rPr>
              <w:t>复合肥</w:t>
            </w:r>
          </w:p>
        </w:tc>
        <w:tc>
          <w:tcPr>
            <w:tcW w:w="1950" w:type="dxa"/>
            <w:vAlign w:val="center"/>
          </w:tcPr>
          <w:p>
            <w:pPr>
              <w:pStyle w:val="15"/>
              <w:rPr>
                <w:color w:val="auto"/>
              </w:rPr>
            </w:pPr>
            <w:r>
              <w:rPr>
                <w:rFonts w:hint="eastAsia"/>
                <w:color w:val="auto"/>
              </w:rPr>
              <w:t>袋式除尘器</w:t>
            </w:r>
          </w:p>
        </w:tc>
        <w:tc>
          <w:tcPr>
            <w:tcW w:w="1512" w:type="dxa"/>
            <w:vAlign w:val="center"/>
          </w:tcPr>
          <w:p>
            <w:pPr>
              <w:pStyle w:val="15"/>
              <w:rPr>
                <w:color w:val="auto"/>
              </w:rPr>
            </w:pPr>
            <w:r>
              <w:rPr>
                <w:rFonts w:hint="eastAsia"/>
                <w:color w:val="auto"/>
              </w:rPr>
              <w:t>颗粒物</w:t>
            </w:r>
          </w:p>
        </w:tc>
        <w:tc>
          <w:tcPr>
            <w:tcW w:w="1313" w:type="dxa"/>
            <w:vAlign w:val="center"/>
          </w:tcPr>
          <w:p>
            <w:pPr>
              <w:pStyle w:val="15"/>
              <w:rPr>
                <w:color w:val="auto"/>
              </w:rPr>
            </w:pPr>
            <w:r>
              <w:rPr>
                <w:rFonts w:hint="eastAsia"/>
                <w:color w:val="auto"/>
              </w:rPr>
              <w:t>120</w:t>
            </w:r>
          </w:p>
        </w:tc>
        <w:tc>
          <w:tcPr>
            <w:tcW w:w="1387" w:type="dxa"/>
            <w:vAlign w:val="center"/>
          </w:tcPr>
          <w:p>
            <w:pPr>
              <w:pStyle w:val="15"/>
              <w:rPr>
                <w:color w:val="auto"/>
              </w:rPr>
            </w:pPr>
            <w:r>
              <w:rPr>
                <w:rFonts w:hint="eastAsia"/>
                <w:color w:val="auto"/>
              </w:rPr>
              <w:t>5.9</w:t>
            </w:r>
          </w:p>
        </w:tc>
        <w:tc>
          <w:tcPr>
            <w:tcW w:w="1225" w:type="dxa"/>
            <w:vAlign w:val="center"/>
          </w:tcPr>
          <w:p>
            <w:pPr>
              <w:pStyle w:val="15"/>
              <w:rPr>
                <w:color w:val="auto"/>
              </w:rPr>
            </w:pPr>
            <w:r>
              <w:rPr>
                <w:rFonts w:hint="eastAsia"/>
                <w:color w:val="auto"/>
              </w:rPr>
              <w:t>0.12</w:t>
            </w:r>
          </w:p>
        </w:tc>
        <w:tc>
          <w:tcPr>
            <w:tcW w:w="2077" w:type="dxa"/>
            <w:vAlign w:val="center"/>
          </w:tcPr>
          <w:p>
            <w:pPr>
              <w:pStyle w:val="15"/>
              <w:rPr>
                <w:color w:val="auto"/>
              </w:rPr>
            </w:pPr>
            <w:r>
              <w:rPr>
                <w:rFonts w:hint="eastAsia"/>
                <w:color w:val="auto"/>
              </w:rPr>
              <w:t>复合肥返料生产线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92" w:type="dxa"/>
            <w:vAlign w:val="center"/>
          </w:tcPr>
          <w:p>
            <w:pPr>
              <w:pStyle w:val="15"/>
              <w:rPr>
                <w:color w:val="auto"/>
              </w:rPr>
            </w:pPr>
            <w:r>
              <w:rPr>
                <w:rFonts w:hint="eastAsia"/>
                <w:color w:val="auto"/>
              </w:rPr>
              <w:t>DA011</w:t>
            </w:r>
          </w:p>
        </w:tc>
        <w:tc>
          <w:tcPr>
            <w:tcW w:w="925" w:type="dxa"/>
            <w:vAlign w:val="center"/>
          </w:tcPr>
          <w:p>
            <w:pPr>
              <w:pStyle w:val="15"/>
              <w:rPr>
                <w:color w:val="auto"/>
              </w:rPr>
            </w:pPr>
            <w:r>
              <w:rPr>
                <w:rFonts w:hint="eastAsia"/>
                <w:color w:val="auto"/>
              </w:rPr>
              <w:t>25</w:t>
            </w:r>
          </w:p>
        </w:tc>
        <w:tc>
          <w:tcPr>
            <w:tcW w:w="1288" w:type="dxa"/>
            <w:vAlign w:val="center"/>
          </w:tcPr>
          <w:p>
            <w:pPr>
              <w:pStyle w:val="15"/>
              <w:rPr>
                <w:rFonts w:hint="eastAsia"/>
                <w:color w:val="auto"/>
              </w:rPr>
            </w:pPr>
            <w:r>
              <w:rPr>
                <w:rFonts w:hint="eastAsia"/>
                <w:color w:val="auto"/>
                <w:lang w:val="en-US" w:eastAsia="zh-CN"/>
              </w:rPr>
              <w:t>一般排放口</w:t>
            </w:r>
          </w:p>
        </w:tc>
        <w:tc>
          <w:tcPr>
            <w:tcW w:w="1402" w:type="dxa"/>
            <w:vAlign w:val="center"/>
          </w:tcPr>
          <w:p>
            <w:pPr>
              <w:pStyle w:val="15"/>
              <w:rPr>
                <w:color w:val="auto"/>
              </w:rPr>
            </w:pPr>
            <w:r>
              <w:rPr>
                <w:rFonts w:hint="eastAsia"/>
                <w:color w:val="auto"/>
              </w:rPr>
              <w:t>水溶肥</w:t>
            </w:r>
          </w:p>
        </w:tc>
        <w:tc>
          <w:tcPr>
            <w:tcW w:w="1950" w:type="dxa"/>
            <w:vAlign w:val="center"/>
          </w:tcPr>
          <w:p>
            <w:pPr>
              <w:pStyle w:val="15"/>
              <w:rPr>
                <w:color w:val="auto"/>
              </w:rPr>
            </w:pPr>
            <w:r>
              <w:rPr>
                <w:rFonts w:hint="eastAsia"/>
                <w:color w:val="auto"/>
              </w:rPr>
              <w:t>袋式除尘器</w:t>
            </w:r>
          </w:p>
        </w:tc>
        <w:tc>
          <w:tcPr>
            <w:tcW w:w="1512" w:type="dxa"/>
            <w:vAlign w:val="center"/>
          </w:tcPr>
          <w:p>
            <w:pPr>
              <w:pStyle w:val="15"/>
              <w:rPr>
                <w:color w:val="auto"/>
              </w:rPr>
            </w:pPr>
            <w:r>
              <w:rPr>
                <w:rFonts w:hint="eastAsia"/>
                <w:color w:val="auto"/>
              </w:rPr>
              <w:t>颗粒物</w:t>
            </w:r>
          </w:p>
        </w:tc>
        <w:tc>
          <w:tcPr>
            <w:tcW w:w="1313" w:type="dxa"/>
            <w:vAlign w:val="center"/>
          </w:tcPr>
          <w:p>
            <w:pPr>
              <w:pStyle w:val="15"/>
              <w:rPr>
                <w:color w:val="auto"/>
              </w:rPr>
            </w:pPr>
            <w:r>
              <w:rPr>
                <w:rFonts w:hint="eastAsia"/>
                <w:color w:val="auto"/>
              </w:rPr>
              <w:t>120</w:t>
            </w:r>
          </w:p>
        </w:tc>
        <w:tc>
          <w:tcPr>
            <w:tcW w:w="1387" w:type="dxa"/>
            <w:vAlign w:val="center"/>
          </w:tcPr>
          <w:p>
            <w:pPr>
              <w:pStyle w:val="15"/>
              <w:rPr>
                <w:color w:val="auto"/>
              </w:rPr>
            </w:pPr>
            <w:r>
              <w:rPr>
                <w:rFonts w:hint="eastAsia"/>
                <w:color w:val="auto"/>
              </w:rPr>
              <w:t>14.45</w:t>
            </w:r>
          </w:p>
        </w:tc>
        <w:tc>
          <w:tcPr>
            <w:tcW w:w="1225" w:type="dxa"/>
            <w:vAlign w:val="center"/>
          </w:tcPr>
          <w:p>
            <w:pPr>
              <w:pStyle w:val="15"/>
              <w:rPr>
                <w:color w:val="auto"/>
              </w:rPr>
            </w:pPr>
            <w:r>
              <w:rPr>
                <w:rFonts w:hint="eastAsia"/>
                <w:color w:val="auto"/>
              </w:rPr>
              <w:t>/</w:t>
            </w:r>
          </w:p>
        </w:tc>
        <w:tc>
          <w:tcPr>
            <w:tcW w:w="2077" w:type="dxa"/>
            <w:vAlign w:val="center"/>
          </w:tcPr>
          <w:p>
            <w:pPr>
              <w:pStyle w:val="15"/>
              <w:rPr>
                <w:color w:val="auto"/>
              </w:rPr>
            </w:pPr>
            <w:r>
              <w:rPr>
                <w:rFonts w:hint="eastAsia"/>
                <w:color w:val="auto"/>
              </w:rPr>
              <w:t>水溶肥生产线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7" w:type="dxa"/>
            <w:gridSpan w:val="5"/>
            <w:vMerge w:val="restart"/>
            <w:vAlign w:val="center"/>
          </w:tcPr>
          <w:p>
            <w:pPr>
              <w:pStyle w:val="15"/>
              <w:rPr>
                <w:color w:val="auto"/>
              </w:rPr>
            </w:pPr>
            <w:r>
              <w:rPr>
                <w:rFonts w:hint="eastAsia"/>
                <w:color w:val="auto"/>
              </w:rPr>
              <w:t>合计</w:t>
            </w:r>
          </w:p>
        </w:tc>
        <w:tc>
          <w:tcPr>
            <w:tcW w:w="4212" w:type="dxa"/>
            <w:gridSpan w:val="3"/>
            <w:vAlign w:val="center"/>
          </w:tcPr>
          <w:p>
            <w:pPr>
              <w:pStyle w:val="15"/>
              <w:rPr>
                <w:color w:val="auto"/>
              </w:rPr>
            </w:pPr>
            <w:r>
              <w:rPr>
                <w:rFonts w:hint="eastAsia"/>
                <w:color w:val="auto"/>
              </w:rPr>
              <w:t>颗粒物</w:t>
            </w:r>
          </w:p>
        </w:tc>
        <w:tc>
          <w:tcPr>
            <w:tcW w:w="3302" w:type="dxa"/>
            <w:gridSpan w:val="2"/>
            <w:vAlign w:val="center"/>
          </w:tcPr>
          <w:p>
            <w:pPr>
              <w:pStyle w:val="15"/>
              <w:rPr>
                <w:color w:val="auto"/>
              </w:rPr>
            </w:pPr>
            <w:r>
              <w:rPr>
                <w:rFonts w:hint="eastAsia"/>
                <w:color w:val="auto"/>
              </w:rPr>
              <w:t>21.97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7" w:type="dxa"/>
            <w:gridSpan w:val="5"/>
            <w:vMerge w:val="continue"/>
            <w:vAlign w:val="center"/>
          </w:tcPr>
          <w:p>
            <w:pPr>
              <w:pStyle w:val="15"/>
              <w:rPr>
                <w:color w:val="auto"/>
              </w:rPr>
            </w:pPr>
          </w:p>
        </w:tc>
        <w:tc>
          <w:tcPr>
            <w:tcW w:w="4212" w:type="dxa"/>
            <w:gridSpan w:val="3"/>
            <w:vAlign w:val="center"/>
          </w:tcPr>
          <w:p>
            <w:pPr>
              <w:pStyle w:val="15"/>
              <w:rPr>
                <w:color w:val="auto"/>
              </w:rPr>
            </w:pPr>
            <w:r>
              <w:rPr>
                <w:rFonts w:hint="eastAsia"/>
                <w:color w:val="auto"/>
              </w:rPr>
              <w:t>SO</w:t>
            </w:r>
            <w:r>
              <w:rPr>
                <w:rFonts w:hint="eastAsia"/>
                <w:color w:val="auto"/>
                <w:vertAlign w:val="subscript"/>
              </w:rPr>
              <w:t>2</w:t>
            </w:r>
          </w:p>
        </w:tc>
        <w:tc>
          <w:tcPr>
            <w:tcW w:w="3302" w:type="dxa"/>
            <w:gridSpan w:val="2"/>
            <w:vAlign w:val="center"/>
          </w:tcPr>
          <w:p>
            <w:pPr>
              <w:pStyle w:val="15"/>
              <w:rPr>
                <w:color w:val="auto"/>
              </w:rPr>
            </w:pPr>
            <w:r>
              <w:rPr>
                <w:rFonts w:hint="eastAsia"/>
                <w:color w:val="auto"/>
              </w:rPr>
              <w:t>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7" w:type="dxa"/>
            <w:gridSpan w:val="5"/>
            <w:vMerge w:val="continue"/>
            <w:vAlign w:val="center"/>
          </w:tcPr>
          <w:p>
            <w:pPr>
              <w:pStyle w:val="15"/>
              <w:rPr>
                <w:color w:val="auto"/>
              </w:rPr>
            </w:pPr>
          </w:p>
        </w:tc>
        <w:tc>
          <w:tcPr>
            <w:tcW w:w="4212" w:type="dxa"/>
            <w:gridSpan w:val="3"/>
            <w:vAlign w:val="center"/>
          </w:tcPr>
          <w:p>
            <w:pPr>
              <w:pStyle w:val="15"/>
              <w:rPr>
                <w:color w:val="auto"/>
              </w:rPr>
            </w:pPr>
            <w:r>
              <w:rPr>
                <w:rFonts w:hint="eastAsia"/>
                <w:color w:val="auto"/>
              </w:rPr>
              <w:t>NO</w:t>
            </w:r>
            <w:r>
              <w:rPr>
                <w:rFonts w:hint="eastAsia"/>
                <w:color w:val="auto"/>
                <w:vertAlign w:val="subscript"/>
              </w:rPr>
              <w:t>x</w:t>
            </w:r>
          </w:p>
        </w:tc>
        <w:tc>
          <w:tcPr>
            <w:tcW w:w="3302" w:type="dxa"/>
            <w:gridSpan w:val="2"/>
            <w:vAlign w:val="center"/>
          </w:tcPr>
          <w:p>
            <w:pPr>
              <w:pStyle w:val="15"/>
              <w:rPr>
                <w:color w:val="auto"/>
              </w:rPr>
            </w:pPr>
            <w:r>
              <w:rPr>
                <w:rFonts w:hint="eastAsia"/>
                <w:color w:val="auto"/>
              </w:rPr>
              <w:t>87.44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457" w:type="dxa"/>
            <w:gridSpan w:val="5"/>
            <w:vMerge w:val="continue"/>
            <w:vAlign w:val="center"/>
          </w:tcPr>
          <w:p>
            <w:pPr>
              <w:pStyle w:val="15"/>
              <w:rPr>
                <w:color w:val="auto"/>
              </w:rPr>
            </w:pPr>
          </w:p>
        </w:tc>
        <w:tc>
          <w:tcPr>
            <w:tcW w:w="4212" w:type="dxa"/>
            <w:gridSpan w:val="3"/>
            <w:vAlign w:val="center"/>
          </w:tcPr>
          <w:p>
            <w:pPr>
              <w:pStyle w:val="15"/>
              <w:rPr>
                <w:color w:val="auto"/>
              </w:rPr>
            </w:pPr>
            <w:r>
              <w:rPr>
                <w:rFonts w:hint="eastAsia"/>
                <w:color w:val="auto"/>
              </w:rPr>
              <w:t>氟化物</w:t>
            </w:r>
          </w:p>
        </w:tc>
        <w:tc>
          <w:tcPr>
            <w:tcW w:w="3302" w:type="dxa"/>
            <w:gridSpan w:val="2"/>
            <w:vAlign w:val="center"/>
          </w:tcPr>
          <w:p>
            <w:pPr>
              <w:pStyle w:val="15"/>
              <w:rPr>
                <w:color w:val="auto"/>
              </w:rPr>
            </w:pPr>
            <w:r>
              <w:rPr>
                <w:rFonts w:hint="eastAsia"/>
                <w:color w:val="auto"/>
              </w:rPr>
              <w:t>3.4</w:t>
            </w:r>
          </w:p>
        </w:tc>
      </w:tr>
    </w:tbl>
    <w:p>
      <w:pPr>
        <w:ind w:firstLine="480"/>
        <w:rPr>
          <w:color w:val="auto"/>
        </w:rPr>
      </w:pPr>
    </w:p>
    <w:p>
      <w:pPr>
        <w:ind w:firstLine="480"/>
        <w:rPr>
          <w:color w:val="auto"/>
        </w:rPr>
        <w:sectPr>
          <w:pgSz w:w="16838" w:h="11906" w:orient="landscape"/>
          <w:pgMar w:top="1531" w:right="1701" w:bottom="1531" w:left="1701" w:header="851" w:footer="851" w:gutter="0"/>
          <w:cols w:space="720" w:num="1"/>
          <w:docGrid w:linePitch="312" w:charSpace="0"/>
        </w:sectPr>
      </w:pPr>
    </w:p>
    <w:tbl>
      <w:tblPr>
        <w:tblStyle w:val="11"/>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8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1" w:hRule="atLeast"/>
        </w:trPr>
        <w:tc>
          <w:tcPr>
            <w:tcW w:w="688" w:type="dxa"/>
          </w:tcPr>
          <w:p>
            <w:pPr>
              <w:ind w:firstLine="480"/>
              <w:rPr>
                <w:color w:val="auto"/>
              </w:rPr>
            </w:pPr>
          </w:p>
        </w:tc>
        <w:tc>
          <w:tcPr>
            <w:tcW w:w="8372" w:type="dxa"/>
          </w:tcPr>
          <w:p>
            <w:pPr>
              <w:ind w:firstLine="480"/>
              <w:rPr>
                <w:rFonts w:hint="default"/>
                <w:color w:val="auto"/>
                <w:lang w:val="en-US" w:eastAsia="zh-CN"/>
              </w:rPr>
            </w:pPr>
            <w:r>
              <w:rPr>
                <w:rFonts w:hint="eastAsia"/>
                <w:color w:val="auto"/>
                <w:lang w:val="en-US" w:eastAsia="zh-CN"/>
              </w:rPr>
              <w:t>根据昆明红海磷肥有限责任公司2023年1月至2023年10月自行监测报告及在线监测系统数据显示，现有项目有组织废气均能实现达标排放。</w:t>
            </w:r>
          </w:p>
          <w:p>
            <w:pPr>
              <w:ind w:firstLine="480"/>
              <w:rPr>
                <w:rFonts w:hint="default" w:eastAsia="宋体"/>
                <w:color w:val="auto"/>
                <w:lang w:val="en-US" w:eastAsia="zh-CN"/>
              </w:rPr>
            </w:pPr>
            <w:r>
              <w:rPr>
                <w:rFonts w:hint="eastAsia"/>
                <w:color w:val="auto"/>
                <w:lang w:val="en-US" w:eastAsia="zh-CN"/>
              </w:rPr>
              <w:t>2）有组织废气排放量</w:t>
            </w:r>
          </w:p>
          <w:p>
            <w:pPr>
              <w:ind w:firstLine="480"/>
              <w:rPr>
                <w:rFonts w:hint="default" w:eastAsia="宋体"/>
                <w:color w:val="auto"/>
                <w:lang w:val="en-US" w:eastAsia="zh-CN"/>
              </w:rPr>
            </w:pPr>
            <w:r>
              <w:rPr>
                <w:rFonts w:hint="eastAsia"/>
                <w:color w:val="auto"/>
              </w:rPr>
              <w:t>根据昆明红海磷肥有限责任公司202</w:t>
            </w:r>
            <w:r>
              <w:rPr>
                <w:rFonts w:hint="eastAsia"/>
                <w:color w:val="auto"/>
                <w:lang w:val="en-US" w:eastAsia="zh-CN"/>
              </w:rPr>
              <w:t>2</w:t>
            </w:r>
            <w:r>
              <w:rPr>
                <w:rFonts w:hint="eastAsia"/>
                <w:color w:val="auto"/>
              </w:rPr>
              <w:t>年</w:t>
            </w:r>
            <w:r>
              <w:rPr>
                <w:rFonts w:hint="eastAsia"/>
                <w:color w:val="auto"/>
                <w:lang w:val="en-US" w:eastAsia="zh-CN"/>
              </w:rPr>
              <w:t>全年</w:t>
            </w:r>
            <w:r>
              <w:rPr>
                <w:rFonts w:hint="eastAsia"/>
                <w:color w:val="auto"/>
              </w:rPr>
              <w:t>自行监测检测报告</w:t>
            </w:r>
            <w:r>
              <w:rPr>
                <w:rFonts w:hint="eastAsia"/>
                <w:color w:val="auto"/>
                <w:lang w:val="en-US" w:eastAsia="zh-CN"/>
              </w:rPr>
              <w:t>统计结果</w:t>
            </w:r>
            <w:r>
              <w:rPr>
                <w:rFonts w:hint="eastAsia"/>
                <w:color w:val="auto"/>
              </w:rPr>
              <w:t>，</w:t>
            </w:r>
            <w:r>
              <w:rPr>
                <w:rFonts w:hint="eastAsia"/>
                <w:color w:val="auto"/>
                <w:lang w:val="en-US" w:eastAsia="zh-CN"/>
              </w:rPr>
              <w:t>现有项目主要排放口有组织废气合计排放量为：</w:t>
            </w:r>
            <w:r>
              <w:rPr>
                <w:rFonts w:hint="eastAsia"/>
                <w:color w:val="auto"/>
              </w:rPr>
              <w:t>颗粒物</w:t>
            </w:r>
            <w:r>
              <w:rPr>
                <w:rFonts w:hint="eastAsia"/>
                <w:color w:val="auto"/>
                <w:lang w:val="en-US" w:eastAsia="zh-CN"/>
              </w:rPr>
              <w:t>11.323</w:t>
            </w:r>
            <w:r>
              <w:rPr>
                <w:rFonts w:hint="eastAsia"/>
                <w:color w:val="auto"/>
              </w:rPr>
              <w:t>t/a、SO</w:t>
            </w:r>
            <w:r>
              <w:rPr>
                <w:rFonts w:hint="eastAsia"/>
                <w:color w:val="auto"/>
                <w:vertAlign w:val="subscript"/>
              </w:rPr>
              <w:t>2</w:t>
            </w:r>
            <w:r>
              <w:rPr>
                <w:rFonts w:hint="eastAsia"/>
                <w:color w:val="auto"/>
                <w:lang w:val="en-US" w:eastAsia="zh-CN"/>
              </w:rPr>
              <w:t>6.792</w:t>
            </w:r>
            <w:r>
              <w:rPr>
                <w:rFonts w:hint="eastAsia"/>
                <w:color w:val="auto"/>
              </w:rPr>
              <w:t>t/a、NOx</w:t>
            </w:r>
            <w:r>
              <w:rPr>
                <w:rFonts w:hint="eastAsia"/>
                <w:color w:val="auto"/>
                <w:lang w:val="en-US" w:eastAsia="zh-CN"/>
              </w:rPr>
              <w:t>4.895</w:t>
            </w:r>
            <w:r>
              <w:rPr>
                <w:rFonts w:hint="eastAsia"/>
                <w:color w:val="auto"/>
              </w:rPr>
              <w:t>t/a</w:t>
            </w:r>
            <w:r>
              <w:rPr>
                <w:rFonts w:hint="eastAsia"/>
                <w:color w:val="auto"/>
                <w:lang w:eastAsia="zh-CN"/>
              </w:rPr>
              <w:t>、</w:t>
            </w:r>
            <w:r>
              <w:rPr>
                <w:rFonts w:hint="eastAsia"/>
                <w:color w:val="auto"/>
                <w:lang w:val="en-US" w:eastAsia="zh-CN"/>
              </w:rPr>
              <w:t>氟化物0.028</w:t>
            </w:r>
            <w:r>
              <w:rPr>
                <w:rFonts w:hint="eastAsia"/>
                <w:color w:val="auto"/>
              </w:rPr>
              <w:t>t/a</w:t>
            </w:r>
            <w:r>
              <w:rPr>
                <w:rFonts w:hint="eastAsia"/>
                <w:color w:val="auto"/>
                <w:lang w:val="en-US" w:eastAsia="zh-CN"/>
              </w:rPr>
              <w:t>。根据对照上表污染物许可排放量可知，项目主要排放口污染物排放量满足总量控制要求。</w:t>
            </w:r>
          </w:p>
          <w:p>
            <w:pPr>
              <w:ind w:firstLine="480"/>
              <w:rPr>
                <w:rFonts w:hint="default" w:eastAsia="宋体"/>
                <w:color w:val="auto"/>
                <w:lang w:val="en-US" w:eastAsia="zh-CN"/>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lang w:val="en-US" w:eastAsia="zh-CN"/>
              </w:rPr>
              <w:t>无组织废气</w:t>
            </w:r>
          </w:p>
          <w:p>
            <w:pPr>
              <w:ind w:firstLine="480"/>
              <w:rPr>
                <w:rFonts w:hint="eastAsia"/>
                <w:color w:val="auto"/>
                <w:lang w:val="en-US" w:eastAsia="zh-CN"/>
              </w:rPr>
            </w:pPr>
            <w:r>
              <w:rPr>
                <w:rFonts w:hint="eastAsia"/>
                <w:color w:val="auto"/>
                <w:lang w:val="en-US" w:eastAsia="zh-CN"/>
              </w:rPr>
              <w:t>根据项目排污许可证，现有项目厂区无组织废气产生及污染治理措施情况如下：</w:t>
            </w:r>
          </w:p>
          <w:p>
            <w:pPr>
              <w:ind w:firstLine="480"/>
              <w:rPr>
                <w:rFonts w:hint="eastAsia"/>
                <w:color w:val="auto"/>
                <w:lang w:val="en-US" w:eastAsia="zh-CN"/>
              </w:rPr>
            </w:pPr>
            <w:r>
              <w:rPr>
                <w:rFonts w:hint="eastAsia"/>
                <w:color w:val="auto"/>
                <w:lang w:val="en-US" w:eastAsia="zh-CN"/>
              </w:rPr>
              <w:t>①复混肥料、复合肥生产过程无组织颗粒物，主要治理措施为生产车间密闭；</w:t>
            </w:r>
          </w:p>
          <w:p>
            <w:pPr>
              <w:ind w:firstLine="480"/>
              <w:rPr>
                <w:rFonts w:hint="eastAsia"/>
                <w:color w:val="auto"/>
                <w:lang w:val="en-US" w:eastAsia="zh-CN"/>
              </w:rPr>
            </w:pPr>
            <w:r>
              <w:rPr>
                <w:rFonts w:hint="eastAsia"/>
                <w:color w:val="auto"/>
                <w:lang w:val="en-US" w:eastAsia="zh-CN"/>
              </w:rPr>
              <w:t>②锅炉燃料堆场、堆渣场无组织颗粒物，主要治理措施为及时覆盖并定期洒水；</w:t>
            </w:r>
          </w:p>
          <w:p>
            <w:pPr>
              <w:ind w:firstLine="480"/>
              <w:rPr>
                <w:rFonts w:hint="default"/>
                <w:color w:val="auto"/>
                <w:lang w:val="en-US" w:eastAsia="zh-CN"/>
              </w:rPr>
            </w:pPr>
            <w:r>
              <w:rPr>
                <w:rFonts w:hint="eastAsia"/>
                <w:color w:val="auto"/>
                <w:lang w:val="en-US" w:eastAsia="zh-CN"/>
              </w:rPr>
              <w:t>③钾肥生产过程无组织颗粒物，主要治理措施为生产车间密闭；</w:t>
            </w:r>
          </w:p>
          <w:p>
            <w:pPr>
              <w:ind w:firstLine="480"/>
              <w:rPr>
                <w:rFonts w:hint="eastAsia"/>
                <w:color w:val="auto"/>
                <w:lang w:val="en-US" w:eastAsia="zh-CN"/>
              </w:rPr>
            </w:pPr>
            <w:r>
              <w:rPr>
                <w:rFonts w:hint="eastAsia"/>
                <w:color w:val="auto"/>
                <w:lang w:val="en-US" w:eastAsia="zh-CN"/>
              </w:rPr>
              <w:t>④磷肥生产过程无组织颗粒物、氟化物、氨，主要治理措施为生产车间密闭、厂区洒水降尘等；</w:t>
            </w:r>
          </w:p>
          <w:p>
            <w:pPr>
              <w:ind w:firstLine="480"/>
              <w:rPr>
                <w:rFonts w:hint="eastAsia"/>
                <w:color w:val="auto"/>
                <w:lang w:val="en-US" w:eastAsia="zh-CN"/>
              </w:rPr>
            </w:pPr>
            <w:r>
              <w:rPr>
                <w:rFonts w:hint="eastAsia"/>
                <w:color w:val="auto"/>
                <w:lang w:val="en-US" w:eastAsia="zh-CN"/>
              </w:rPr>
              <w:t>⑤有机肥、微生物肥料生产过程无组织颗粒物、氨、臭气浓度、硫化氢，主要治理措施为车间通风、遮掩剂喷洒等。</w:t>
            </w:r>
          </w:p>
          <w:p>
            <w:pPr>
              <w:ind w:firstLine="480"/>
              <w:rPr>
                <w:rFonts w:hint="eastAsia"/>
                <w:color w:val="auto"/>
                <w:lang w:val="en-US" w:eastAsia="zh-CN"/>
              </w:rPr>
            </w:pPr>
            <w:r>
              <w:rPr>
                <w:rFonts w:hint="eastAsia"/>
                <w:color w:val="auto"/>
                <w:lang w:val="en-US" w:eastAsia="zh-CN"/>
              </w:rPr>
              <w:t>根据昆明红海磷肥有限责任公司2023年自行监测（7月）检测报告（报告编号:中佰检字〔2023〕-07008），现有项目厂界无组织废气监测结果见下表：</w:t>
            </w:r>
          </w:p>
          <w:p>
            <w:pPr>
              <w:pStyle w:val="14"/>
              <w:rPr>
                <w:color w:val="auto"/>
              </w:rPr>
            </w:pPr>
            <w:r>
              <w:rPr>
                <w:color w:val="auto"/>
              </w:rPr>
              <w:t>表2-</w:t>
            </w:r>
            <w:r>
              <w:rPr>
                <w:rFonts w:hint="eastAsia"/>
                <w:color w:val="auto"/>
                <w:lang w:val="en-US" w:eastAsia="zh-CN"/>
              </w:rPr>
              <w:t>18</w:t>
            </w:r>
            <w:r>
              <w:rPr>
                <w:rFonts w:hint="eastAsia"/>
                <w:color w:val="auto"/>
              </w:rPr>
              <w:t xml:space="preserve"> </w:t>
            </w:r>
            <w:r>
              <w:rPr>
                <w:color w:val="auto"/>
              </w:rPr>
              <w:tab/>
            </w:r>
            <w:r>
              <w:rPr>
                <w:rFonts w:hint="eastAsia"/>
                <w:color w:val="auto"/>
              </w:rPr>
              <w:t>厂界</w:t>
            </w:r>
            <w:r>
              <w:rPr>
                <w:rFonts w:hint="eastAsia"/>
                <w:color w:val="auto"/>
                <w:lang w:val="en-US" w:eastAsia="zh-CN"/>
              </w:rPr>
              <w:t>无组织废气</w:t>
            </w:r>
            <w:r>
              <w:rPr>
                <w:rFonts w:hint="eastAsia"/>
                <w:color w:val="auto"/>
              </w:rPr>
              <w:t>自行监测结果</w:t>
            </w:r>
          </w:p>
          <w:tbl>
            <w:tblPr>
              <w:tblStyle w:val="11"/>
              <w:tblW w:w="8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75"/>
              <w:gridCol w:w="1513"/>
              <w:gridCol w:w="1226"/>
              <w:gridCol w:w="1226"/>
              <w:gridCol w:w="1226"/>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Align w:val="center"/>
                </w:tcPr>
                <w:p>
                  <w:pPr>
                    <w:pStyle w:val="15"/>
                    <w:rPr>
                      <w:color w:val="auto"/>
                    </w:rPr>
                  </w:pPr>
                  <w:r>
                    <w:rPr>
                      <w:rFonts w:hint="eastAsia"/>
                      <w:color w:val="auto"/>
                      <w:lang w:val="en-US" w:eastAsia="zh-CN"/>
                    </w:rPr>
                    <w:t>检测</w:t>
                  </w:r>
                  <w:r>
                    <w:rPr>
                      <w:rFonts w:hint="eastAsia"/>
                      <w:color w:val="auto"/>
                    </w:rPr>
                    <w:t>点位</w:t>
                  </w:r>
                </w:p>
              </w:tc>
              <w:tc>
                <w:tcPr>
                  <w:tcW w:w="2388" w:type="dxa"/>
                  <w:gridSpan w:val="2"/>
                  <w:vAlign w:val="center"/>
                </w:tcPr>
                <w:p>
                  <w:pPr>
                    <w:pStyle w:val="15"/>
                    <w:rPr>
                      <w:color w:val="auto"/>
                    </w:rPr>
                  </w:pPr>
                  <w:r>
                    <w:rPr>
                      <w:rFonts w:hint="eastAsia"/>
                      <w:color w:val="auto"/>
                      <w:lang w:val="en-US" w:eastAsia="zh-CN"/>
                    </w:rPr>
                    <w:t>采样</w:t>
                  </w:r>
                  <w:r>
                    <w:rPr>
                      <w:rFonts w:hint="eastAsia"/>
                      <w:color w:val="auto"/>
                    </w:rPr>
                    <w:t>时间</w:t>
                  </w:r>
                </w:p>
              </w:tc>
              <w:tc>
                <w:tcPr>
                  <w:tcW w:w="1226" w:type="dxa"/>
                  <w:vAlign w:val="center"/>
                </w:tcPr>
                <w:p>
                  <w:pPr>
                    <w:pStyle w:val="15"/>
                    <w:rPr>
                      <w:rFonts w:hint="eastAsia" w:eastAsia="宋体"/>
                      <w:color w:val="auto"/>
                      <w:lang w:val="en-US" w:eastAsia="zh-CN"/>
                    </w:rPr>
                  </w:pPr>
                  <w:r>
                    <w:rPr>
                      <w:rFonts w:hint="eastAsia"/>
                      <w:color w:val="auto"/>
                      <w:lang w:val="en-US" w:eastAsia="zh-CN"/>
                    </w:rPr>
                    <w:t>颗粒物（ug/m</w:t>
                  </w:r>
                  <w:r>
                    <w:rPr>
                      <w:rFonts w:hint="eastAsia"/>
                      <w:color w:val="auto"/>
                      <w:vertAlign w:val="superscript"/>
                      <w:lang w:val="en-US" w:eastAsia="zh-CN"/>
                    </w:rPr>
                    <w:t>3</w:t>
                  </w:r>
                  <w:r>
                    <w:rPr>
                      <w:rFonts w:hint="eastAsia"/>
                      <w:color w:val="auto"/>
                      <w:lang w:val="en-US" w:eastAsia="zh-CN"/>
                    </w:rPr>
                    <w:t>）</w:t>
                  </w:r>
                </w:p>
              </w:tc>
              <w:tc>
                <w:tcPr>
                  <w:tcW w:w="1226" w:type="dxa"/>
                  <w:vAlign w:val="center"/>
                </w:tcPr>
                <w:p>
                  <w:pPr>
                    <w:pStyle w:val="15"/>
                    <w:rPr>
                      <w:rFonts w:hint="eastAsia"/>
                      <w:color w:val="auto"/>
                      <w:lang w:val="en-US" w:eastAsia="zh-CN"/>
                    </w:rPr>
                  </w:pPr>
                  <w:r>
                    <w:rPr>
                      <w:rFonts w:hint="eastAsia"/>
                      <w:color w:val="auto"/>
                      <w:lang w:val="en-US" w:eastAsia="zh-CN"/>
                    </w:rPr>
                    <w:t>氨</w:t>
                  </w:r>
                </w:p>
                <w:p>
                  <w:pPr>
                    <w:pStyle w:val="15"/>
                    <w:rPr>
                      <w:rFonts w:hint="eastAsia" w:eastAsia="宋体"/>
                      <w:color w:val="auto"/>
                      <w:lang w:val="en-US" w:eastAsia="zh-CN"/>
                    </w:rPr>
                  </w:pPr>
                  <w:r>
                    <w:rPr>
                      <w:rFonts w:hint="eastAsia"/>
                      <w:color w:val="auto"/>
                      <w:lang w:val="en-US" w:eastAsia="zh-CN"/>
                    </w:rPr>
                    <w:t>（mg/m</w:t>
                  </w:r>
                  <w:r>
                    <w:rPr>
                      <w:rFonts w:hint="eastAsia"/>
                      <w:color w:val="auto"/>
                      <w:vertAlign w:val="superscript"/>
                      <w:lang w:val="en-US" w:eastAsia="zh-CN"/>
                    </w:rPr>
                    <w:t>3</w:t>
                  </w:r>
                  <w:r>
                    <w:rPr>
                      <w:rFonts w:hint="eastAsia"/>
                      <w:color w:val="auto"/>
                      <w:lang w:val="en-US" w:eastAsia="zh-CN"/>
                    </w:rPr>
                    <w:t>）</w:t>
                  </w:r>
                </w:p>
              </w:tc>
              <w:tc>
                <w:tcPr>
                  <w:tcW w:w="1226" w:type="dxa"/>
                  <w:vAlign w:val="center"/>
                </w:tcPr>
                <w:p>
                  <w:pPr>
                    <w:pStyle w:val="15"/>
                    <w:rPr>
                      <w:rFonts w:hint="eastAsia" w:eastAsia="宋体"/>
                      <w:color w:val="auto"/>
                      <w:lang w:val="en-US" w:eastAsia="zh-CN"/>
                    </w:rPr>
                  </w:pPr>
                  <w:r>
                    <w:rPr>
                      <w:rFonts w:hint="eastAsia"/>
                      <w:color w:val="auto"/>
                      <w:lang w:val="en-US" w:eastAsia="zh-CN"/>
                    </w:rPr>
                    <w:t>氟化物（ug/m</w:t>
                  </w:r>
                  <w:r>
                    <w:rPr>
                      <w:rFonts w:hint="eastAsia"/>
                      <w:color w:val="auto"/>
                      <w:vertAlign w:val="superscript"/>
                      <w:lang w:val="en-US" w:eastAsia="zh-CN"/>
                    </w:rPr>
                    <w:t>3</w:t>
                  </w:r>
                  <w:r>
                    <w:rPr>
                      <w:rFonts w:hint="eastAsia"/>
                      <w:color w:val="auto"/>
                      <w:lang w:val="en-US" w:eastAsia="zh-CN"/>
                    </w:rPr>
                    <w:t>）</w:t>
                  </w:r>
                </w:p>
              </w:tc>
              <w:tc>
                <w:tcPr>
                  <w:tcW w:w="1227" w:type="dxa"/>
                  <w:vAlign w:val="center"/>
                </w:tcPr>
                <w:p>
                  <w:pPr>
                    <w:pStyle w:val="15"/>
                    <w:rPr>
                      <w:rFonts w:hint="eastAsia"/>
                      <w:color w:val="auto"/>
                      <w:lang w:val="en-US" w:eastAsia="zh-CN"/>
                    </w:rPr>
                  </w:pPr>
                  <w:r>
                    <w:rPr>
                      <w:rFonts w:hint="eastAsia"/>
                      <w:color w:val="auto"/>
                      <w:lang w:val="en-US" w:eastAsia="zh-CN"/>
                    </w:rPr>
                    <w:t>硫化氢</w:t>
                  </w:r>
                </w:p>
                <w:p>
                  <w:pPr>
                    <w:pStyle w:val="15"/>
                    <w:rPr>
                      <w:rFonts w:hint="eastAsia"/>
                      <w:color w:val="auto"/>
                      <w:lang w:val="en-US" w:eastAsia="zh-CN"/>
                    </w:rPr>
                  </w:pPr>
                  <w:r>
                    <w:rPr>
                      <w:rFonts w:hint="eastAsia"/>
                      <w:color w:val="auto"/>
                      <w:lang w:val="en-US" w:eastAsia="zh-CN"/>
                    </w:rPr>
                    <w:t>（mg/m</w:t>
                  </w:r>
                  <w:r>
                    <w:rPr>
                      <w:rFonts w:hint="eastAsia"/>
                      <w:color w:val="auto"/>
                      <w:vertAlign w:val="superscript"/>
                      <w:lang w:val="en-US" w:eastAsia="zh-CN"/>
                    </w:rPr>
                    <w:t>3</w:t>
                  </w: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restart"/>
                  <w:vAlign w:val="center"/>
                </w:tcPr>
                <w:p>
                  <w:pPr>
                    <w:pStyle w:val="15"/>
                    <w:rPr>
                      <w:rFonts w:hint="eastAsia" w:eastAsia="宋体"/>
                      <w:color w:val="auto"/>
                      <w:lang w:eastAsia="zh-CN"/>
                    </w:rPr>
                  </w:pPr>
                  <w:r>
                    <w:rPr>
                      <w:rFonts w:hint="eastAsia"/>
                      <w:color w:val="auto"/>
                      <w:lang w:val="en-US" w:eastAsia="zh-CN"/>
                    </w:rPr>
                    <w:t>上风向点位</w:t>
                  </w:r>
                </w:p>
              </w:tc>
              <w:tc>
                <w:tcPr>
                  <w:tcW w:w="875" w:type="dxa"/>
                  <w:vMerge w:val="restart"/>
                  <w:vAlign w:val="center"/>
                </w:tcPr>
                <w:p>
                  <w:pPr>
                    <w:pStyle w:val="15"/>
                    <w:rPr>
                      <w:rFonts w:hint="default" w:eastAsia="宋体"/>
                      <w:color w:val="auto"/>
                      <w:lang w:val="en-US" w:eastAsia="zh-CN"/>
                    </w:rPr>
                  </w:pPr>
                  <w:r>
                    <w:rPr>
                      <w:rFonts w:hint="eastAsia"/>
                      <w:color w:val="auto"/>
                      <w:lang w:val="en-US" w:eastAsia="zh-CN"/>
                    </w:rPr>
                    <w:t>2023.07.14</w:t>
                  </w:r>
                </w:p>
              </w:tc>
              <w:tc>
                <w:tcPr>
                  <w:tcW w:w="1513" w:type="dxa"/>
                  <w:vAlign w:val="center"/>
                </w:tcPr>
                <w:p>
                  <w:pPr>
                    <w:pStyle w:val="15"/>
                    <w:rPr>
                      <w:rFonts w:hint="default" w:eastAsia="宋体"/>
                      <w:color w:val="auto"/>
                      <w:lang w:val="en-US" w:eastAsia="zh-CN"/>
                    </w:rPr>
                  </w:pPr>
                  <w:r>
                    <w:rPr>
                      <w:rFonts w:hint="eastAsia"/>
                      <w:color w:val="auto"/>
                      <w:lang w:val="en-US" w:eastAsia="zh-CN"/>
                    </w:rPr>
                    <w:t>11:00~12:00</w:t>
                  </w:r>
                </w:p>
              </w:tc>
              <w:tc>
                <w:tcPr>
                  <w:tcW w:w="1226" w:type="dxa"/>
                  <w:vAlign w:val="center"/>
                </w:tcPr>
                <w:p>
                  <w:pPr>
                    <w:pStyle w:val="15"/>
                    <w:rPr>
                      <w:rFonts w:hint="default" w:eastAsia="宋体"/>
                      <w:color w:val="auto"/>
                      <w:lang w:val="en-US" w:eastAsia="zh-CN"/>
                    </w:rPr>
                  </w:pPr>
                  <w:r>
                    <w:rPr>
                      <w:rFonts w:hint="eastAsia"/>
                      <w:color w:val="auto"/>
                      <w:lang w:val="en-US" w:eastAsia="zh-CN"/>
                    </w:rPr>
                    <w:t>＜168</w:t>
                  </w:r>
                </w:p>
              </w:tc>
              <w:tc>
                <w:tcPr>
                  <w:tcW w:w="1226" w:type="dxa"/>
                  <w:vAlign w:val="center"/>
                </w:tcPr>
                <w:p>
                  <w:pPr>
                    <w:pStyle w:val="15"/>
                    <w:rPr>
                      <w:rFonts w:hint="default" w:eastAsia="宋体"/>
                      <w:color w:val="auto"/>
                      <w:lang w:val="en-US" w:eastAsia="zh-CN"/>
                    </w:rPr>
                  </w:pPr>
                  <w:r>
                    <w:rPr>
                      <w:rFonts w:hint="eastAsia"/>
                      <w:color w:val="auto"/>
                      <w:lang w:val="en-US" w:eastAsia="zh-CN"/>
                    </w:rPr>
                    <w:t>0.08</w:t>
                  </w:r>
                </w:p>
              </w:tc>
              <w:tc>
                <w:tcPr>
                  <w:tcW w:w="1226" w:type="dxa"/>
                  <w:vAlign w:val="center"/>
                </w:tcPr>
                <w:p>
                  <w:pPr>
                    <w:pStyle w:val="15"/>
                    <w:rPr>
                      <w:rFonts w:hint="default" w:eastAsia="宋体"/>
                      <w:color w:val="auto"/>
                      <w:lang w:val="en-US" w:eastAsia="zh-CN"/>
                    </w:rPr>
                  </w:pPr>
                  <w:r>
                    <w:rPr>
                      <w:rFonts w:hint="eastAsia"/>
                      <w:color w:val="auto"/>
                      <w:lang w:val="en-US" w:eastAsia="zh-CN"/>
                    </w:rPr>
                    <w:t>1.8</w:t>
                  </w:r>
                </w:p>
              </w:tc>
              <w:tc>
                <w:tcPr>
                  <w:tcW w:w="1227" w:type="dxa"/>
                  <w:vAlign w:val="center"/>
                </w:tcPr>
                <w:p>
                  <w:pPr>
                    <w:pStyle w:val="15"/>
                    <w:rPr>
                      <w:rFonts w:hint="default"/>
                      <w:color w:val="auto"/>
                      <w:lang w:val="en-US"/>
                    </w:rPr>
                  </w:pPr>
                  <w:r>
                    <w:rPr>
                      <w:rFonts w:hint="eastAsia"/>
                      <w:color w:val="auto"/>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rFonts w:hint="eastAsia"/>
                      <w:color w:val="auto"/>
                      <w:lang w:val="en-US" w:eastAsia="zh-CN"/>
                    </w:rPr>
                  </w:pPr>
                </w:p>
              </w:tc>
              <w:tc>
                <w:tcPr>
                  <w:tcW w:w="875" w:type="dxa"/>
                  <w:vMerge w:val="continue"/>
                  <w:vAlign w:val="center"/>
                </w:tcPr>
                <w:p>
                  <w:pPr>
                    <w:pStyle w:val="15"/>
                    <w:rPr>
                      <w:color w:val="auto"/>
                    </w:rPr>
                  </w:pPr>
                </w:p>
              </w:tc>
              <w:tc>
                <w:tcPr>
                  <w:tcW w:w="1513" w:type="dxa"/>
                  <w:vAlign w:val="center"/>
                </w:tcPr>
                <w:p>
                  <w:pPr>
                    <w:pStyle w:val="15"/>
                    <w:rPr>
                      <w:color w:val="auto"/>
                    </w:rPr>
                  </w:pPr>
                  <w:r>
                    <w:rPr>
                      <w:rFonts w:hint="eastAsia"/>
                      <w:color w:val="auto"/>
                      <w:lang w:val="en-US" w:eastAsia="zh-CN"/>
                    </w:rPr>
                    <w:t>12:30~13:30</w:t>
                  </w:r>
                </w:p>
              </w:tc>
              <w:tc>
                <w:tcPr>
                  <w:tcW w:w="1226" w:type="dxa"/>
                  <w:vAlign w:val="center"/>
                </w:tcPr>
                <w:p>
                  <w:pPr>
                    <w:pStyle w:val="15"/>
                    <w:rPr>
                      <w:color w:val="auto"/>
                    </w:rPr>
                  </w:pPr>
                  <w:r>
                    <w:rPr>
                      <w:rFonts w:hint="eastAsia"/>
                      <w:color w:val="auto"/>
                      <w:lang w:val="en-US" w:eastAsia="zh-CN"/>
                    </w:rPr>
                    <w:t>＜168</w:t>
                  </w:r>
                </w:p>
              </w:tc>
              <w:tc>
                <w:tcPr>
                  <w:tcW w:w="1226" w:type="dxa"/>
                  <w:vAlign w:val="center"/>
                </w:tcPr>
                <w:p>
                  <w:pPr>
                    <w:pStyle w:val="15"/>
                    <w:rPr>
                      <w:rFonts w:hint="default" w:eastAsia="宋体"/>
                      <w:color w:val="auto"/>
                      <w:lang w:val="en-US" w:eastAsia="zh-CN"/>
                    </w:rPr>
                  </w:pPr>
                  <w:r>
                    <w:rPr>
                      <w:rFonts w:hint="eastAsia"/>
                      <w:color w:val="auto"/>
                      <w:lang w:val="en-US" w:eastAsia="zh-CN"/>
                    </w:rPr>
                    <w:t>0.06</w:t>
                  </w:r>
                </w:p>
              </w:tc>
              <w:tc>
                <w:tcPr>
                  <w:tcW w:w="1226" w:type="dxa"/>
                  <w:vAlign w:val="center"/>
                </w:tcPr>
                <w:p>
                  <w:pPr>
                    <w:pStyle w:val="15"/>
                    <w:rPr>
                      <w:rFonts w:hint="default" w:eastAsia="宋体"/>
                      <w:color w:val="auto"/>
                      <w:lang w:val="en-US" w:eastAsia="zh-CN"/>
                    </w:rPr>
                  </w:pPr>
                  <w:r>
                    <w:rPr>
                      <w:rFonts w:hint="eastAsia"/>
                      <w:color w:val="auto"/>
                      <w:lang w:val="en-US" w:eastAsia="zh-CN"/>
                    </w:rPr>
                    <w:t>1.7</w:t>
                  </w:r>
                </w:p>
              </w:tc>
              <w:tc>
                <w:tcPr>
                  <w:tcW w:w="1227" w:type="dxa"/>
                  <w:vAlign w:val="center"/>
                </w:tcPr>
                <w:p>
                  <w:pPr>
                    <w:pStyle w:val="15"/>
                    <w:rPr>
                      <w:color w:val="auto"/>
                    </w:rPr>
                  </w:pPr>
                  <w:r>
                    <w:rPr>
                      <w:rFonts w:hint="eastAsia"/>
                      <w:color w:val="auto"/>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rFonts w:hint="eastAsia"/>
                      <w:color w:val="auto"/>
                      <w:lang w:val="en-US" w:eastAsia="zh-CN"/>
                    </w:rPr>
                  </w:pPr>
                </w:p>
              </w:tc>
              <w:tc>
                <w:tcPr>
                  <w:tcW w:w="875" w:type="dxa"/>
                  <w:vMerge w:val="continue"/>
                  <w:vAlign w:val="center"/>
                </w:tcPr>
                <w:p>
                  <w:pPr>
                    <w:pStyle w:val="15"/>
                    <w:rPr>
                      <w:color w:val="auto"/>
                    </w:rPr>
                  </w:pPr>
                </w:p>
              </w:tc>
              <w:tc>
                <w:tcPr>
                  <w:tcW w:w="1513" w:type="dxa"/>
                  <w:vAlign w:val="center"/>
                </w:tcPr>
                <w:p>
                  <w:pPr>
                    <w:pStyle w:val="15"/>
                    <w:rPr>
                      <w:color w:val="auto"/>
                    </w:rPr>
                  </w:pPr>
                  <w:r>
                    <w:rPr>
                      <w:rFonts w:hint="eastAsia"/>
                      <w:color w:val="auto"/>
                      <w:lang w:val="en-US" w:eastAsia="zh-CN"/>
                    </w:rPr>
                    <w:t>14:00~15:00</w:t>
                  </w:r>
                </w:p>
              </w:tc>
              <w:tc>
                <w:tcPr>
                  <w:tcW w:w="1226" w:type="dxa"/>
                  <w:vAlign w:val="center"/>
                </w:tcPr>
                <w:p>
                  <w:pPr>
                    <w:pStyle w:val="15"/>
                    <w:rPr>
                      <w:color w:val="auto"/>
                    </w:rPr>
                  </w:pPr>
                  <w:r>
                    <w:rPr>
                      <w:rFonts w:hint="eastAsia"/>
                      <w:color w:val="auto"/>
                      <w:lang w:val="en-US" w:eastAsia="zh-CN"/>
                    </w:rPr>
                    <w:t>＜168</w:t>
                  </w:r>
                </w:p>
              </w:tc>
              <w:tc>
                <w:tcPr>
                  <w:tcW w:w="1226" w:type="dxa"/>
                  <w:vAlign w:val="center"/>
                </w:tcPr>
                <w:p>
                  <w:pPr>
                    <w:pStyle w:val="15"/>
                    <w:rPr>
                      <w:rFonts w:hint="default" w:eastAsia="宋体"/>
                      <w:color w:val="auto"/>
                      <w:lang w:val="en-US" w:eastAsia="zh-CN"/>
                    </w:rPr>
                  </w:pPr>
                  <w:r>
                    <w:rPr>
                      <w:rFonts w:hint="eastAsia"/>
                      <w:color w:val="auto"/>
                      <w:lang w:val="en-US" w:eastAsia="zh-CN"/>
                    </w:rPr>
                    <w:t>0.07</w:t>
                  </w:r>
                </w:p>
              </w:tc>
              <w:tc>
                <w:tcPr>
                  <w:tcW w:w="1226" w:type="dxa"/>
                  <w:vAlign w:val="center"/>
                </w:tcPr>
                <w:p>
                  <w:pPr>
                    <w:pStyle w:val="15"/>
                    <w:rPr>
                      <w:rFonts w:hint="default" w:eastAsia="宋体"/>
                      <w:color w:val="auto"/>
                      <w:lang w:val="en-US" w:eastAsia="zh-CN"/>
                    </w:rPr>
                  </w:pPr>
                  <w:r>
                    <w:rPr>
                      <w:rFonts w:hint="eastAsia"/>
                      <w:color w:val="auto"/>
                      <w:lang w:val="en-US" w:eastAsia="zh-CN"/>
                    </w:rPr>
                    <w:t>1.6</w:t>
                  </w:r>
                </w:p>
              </w:tc>
              <w:tc>
                <w:tcPr>
                  <w:tcW w:w="1227" w:type="dxa"/>
                  <w:vAlign w:val="center"/>
                </w:tcPr>
                <w:p>
                  <w:pPr>
                    <w:pStyle w:val="15"/>
                    <w:rPr>
                      <w:color w:val="auto"/>
                    </w:rPr>
                  </w:pPr>
                  <w:r>
                    <w:rPr>
                      <w:rFonts w:hint="eastAsia"/>
                      <w:color w:val="auto"/>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color w:val="auto"/>
                    </w:rPr>
                  </w:pPr>
                </w:p>
              </w:tc>
              <w:tc>
                <w:tcPr>
                  <w:tcW w:w="875" w:type="dxa"/>
                  <w:vMerge w:val="continue"/>
                  <w:vAlign w:val="center"/>
                </w:tcPr>
                <w:p>
                  <w:pPr>
                    <w:pStyle w:val="15"/>
                    <w:rPr>
                      <w:color w:val="auto"/>
                    </w:rPr>
                  </w:pPr>
                </w:p>
              </w:tc>
              <w:tc>
                <w:tcPr>
                  <w:tcW w:w="1513" w:type="dxa"/>
                  <w:vAlign w:val="center"/>
                </w:tcPr>
                <w:p>
                  <w:pPr>
                    <w:pStyle w:val="15"/>
                    <w:rPr>
                      <w:color w:val="auto"/>
                    </w:rPr>
                  </w:pPr>
                  <w:r>
                    <w:rPr>
                      <w:rFonts w:hint="eastAsia"/>
                      <w:color w:val="auto"/>
                      <w:lang w:val="en-US" w:eastAsia="zh-CN"/>
                    </w:rPr>
                    <w:t>15:30~16:30</w:t>
                  </w:r>
                </w:p>
              </w:tc>
              <w:tc>
                <w:tcPr>
                  <w:tcW w:w="1226" w:type="dxa"/>
                  <w:vAlign w:val="center"/>
                </w:tcPr>
                <w:p>
                  <w:pPr>
                    <w:pStyle w:val="15"/>
                    <w:rPr>
                      <w:color w:val="auto"/>
                    </w:rPr>
                  </w:pPr>
                  <w:r>
                    <w:rPr>
                      <w:rFonts w:hint="eastAsia"/>
                      <w:color w:val="auto"/>
                      <w:lang w:val="en-US" w:eastAsia="zh-CN"/>
                    </w:rPr>
                    <w:t>＜168</w:t>
                  </w:r>
                </w:p>
              </w:tc>
              <w:tc>
                <w:tcPr>
                  <w:tcW w:w="1226" w:type="dxa"/>
                  <w:vAlign w:val="center"/>
                </w:tcPr>
                <w:p>
                  <w:pPr>
                    <w:pStyle w:val="15"/>
                    <w:rPr>
                      <w:color w:val="auto"/>
                    </w:rPr>
                  </w:pPr>
                  <w:r>
                    <w:rPr>
                      <w:rFonts w:hint="eastAsia"/>
                      <w:color w:val="auto"/>
                      <w:lang w:val="en-US" w:eastAsia="zh-CN"/>
                    </w:rPr>
                    <w:t>0.07</w:t>
                  </w:r>
                </w:p>
              </w:tc>
              <w:tc>
                <w:tcPr>
                  <w:tcW w:w="1226" w:type="dxa"/>
                  <w:vAlign w:val="center"/>
                </w:tcPr>
                <w:p>
                  <w:pPr>
                    <w:pStyle w:val="15"/>
                    <w:rPr>
                      <w:rFonts w:hint="default" w:eastAsia="宋体"/>
                      <w:color w:val="auto"/>
                      <w:lang w:val="en-US" w:eastAsia="zh-CN"/>
                    </w:rPr>
                  </w:pPr>
                  <w:r>
                    <w:rPr>
                      <w:rFonts w:hint="eastAsia"/>
                      <w:color w:val="auto"/>
                      <w:lang w:val="en-US" w:eastAsia="zh-CN"/>
                    </w:rPr>
                    <w:t>1.5</w:t>
                  </w:r>
                </w:p>
              </w:tc>
              <w:tc>
                <w:tcPr>
                  <w:tcW w:w="1227" w:type="dxa"/>
                  <w:vAlign w:val="center"/>
                </w:tcPr>
                <w:p>
                  <w:pPr>
                    <w:pStyle w:val="15"/>
                    <w:rPr>
                      <w:color w:val="auto"/>
                    </w:rPr>
                  </w:pPr>
                  <w:r>
                    <w:rPr>
                      <w:rFonts w:hint="eastAsia"/>
                      <w:color w:val="auto"/>
                      <w:lang w:val="en-US" w:eastAsia="zh-CN"/>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restart"/>
                  <w:vAlign w:val="center"/>
                </w:tcPr>
                <w:p>
                  <w:pPr>
                    <w:pStyle w:val="15"/>
                    <w:rPr>
                      <w:rFonts w:hint="default" w:eastAsia="宋体"/>
                      <w:color w:val="auto"/>
                      <w:lang w:val="en-US" w:eastAsia="zh-CN"/>
                    </w:rPr>
                  </w:pPr>
                  <w:r>
                    <w:rPr>
                      <w:rFonts w:hint="eastAsia"/>
                      <w:color w:val="auto"/>
                      <w:lang w:val="en-US" w:eastAsia="zh-CN"/>
                    </w:rPr>
                    <w:t>下风向1#点位</w:t>
                  </w:r>
                </w:p>
              </w:tc>
              <w:tc>
                <w:tcPr>
                  <w:tcW w:w="875" w:type="dxa"/>
                  <w:vMerge w:val="restart"/>
                  <w:vAlign w:val="center"/>
                </w:tcPr>
                <w:p>
                  <w:pPr>
                    <w:pStyle w:val="15"/>
                    <w:rPr>
                      <w:color w:val="auto"/>
                    </w:rPr>
                  </w:pPr>
                  <w:r>
                    <w:rPr>
                      <w:rFonts w:hint="eastAsia"/>
                      <w:color w:val="auto"/>
                      <w:lang w:val="en-US" w:eastAsia="zh-CN"/>
                    </w:rPr>
                    <w:t>2023.07.14</w:t>
                  </w:r>
                </w:p>
              </w:tc>
              <w:tc>
                <w:tcPr>
                  <w:tcW w:w="1513"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11:00~12:00</w:t>
                  </w:r>
                </w:p>
              </w:tc>
              <w:tc>
                <w:tcPr>
                  <w:tcW w:w="1226" w:type="dxa"/>
                  <w:vAlign w:val="center"/>
                </w:tcPr>
                <w:p>
                  <w:pPr>
                    <w:pStyle w:val="15"/>
                    <w:rPr>
                      <w:rFonts w:hint="default" w:eastAsia="宋体"/>
                      <w:color w:val="auto"/>
                      <w:lang w:val="en-US" w:eastAsia="zh-CN"/>
                    </w:rPr>
                  </w:pPr>
                  <w:r>
                    <w:rPr>
                      <w:rFonts w:hint="eastAsia"/>
                      <w:color w:val="auto"/>
                      <w:lang w:val="en-US" w:eastAsia="zh-CN"/>
                    </w:rPr>
                    <w:t>527</w:t>
                  </w:r>
                </w:p>
              </w:tc>
              <w:tc>
                <w:tcPr>
                  <w:tcW w:w="1226" w:type="dxa"/>
                  <w:vAlign w:val="center"/>
                </w:tcPr>
                <w:p>
                  <w:pPr>
                    <w:pStyle w:val="15"/>
                    <w:rPr>
                      <w:rFonts w:hint="default" w:eastAsia="宋体"/>
                      <w:color w:val="auto"/>
                      <w:lang w:val="en-US" w:eastAsia="zh-CN"/>
                    </w:rPr>
                  </w:pPr>
                  <w:r>
                    <w:rPr>
                      <w:rFonts w:hint="eastAsia"/>
                      <w:color w:val="auto"/>
                      <w:lang w:val="en-US" w:eastAsia="zh-CN"/>
                    </w:rPr>
                    <w:t>0.19</w:t>
                  </w:r>
                </w:p>
              </w:tc>
              <w:tc>
                <w:tcPr>
                  <w:tcW w:w="1226" w:type="dxa"/>
                  <w:vAlign w:val="center"/>
                </w:tcPr>
                <w:p>
                  <w:pPr>
                    <w:pStyle w:val="15"/>
                    <w:rPr>
                      <w:rFonts w:hint="default" w:eastAsia="宋体"/>
                      <w:color w:val="auto"/>
                      <w:lang w:val="en-US" w:eastAsia="zh-CN"/>
                    </w:rPr>
                  </w:pPr>
                  <w:r>
                    <w:rPr>
                      <w:rFonts w:hint="eastAsia"/>
                      <w:color w:val="auto"/>
                      <w:lang w:val="en-US" w:eastAsia="zh-CN"/>
                    </w:rPr>
                    <w:t>.7</w:t>
                  </w:r>
                </w:p>
              </w:tc>
              <w:tc>
                <w:tcPr>
                  <w:tcW w:w="1227" w:type="dxa"/>
                  <w:vAlign w:val="center"/>
                </w:tcPr>
                <w:p>
                  <w:pPr>
                    <w:pStyle w:val="15"/>
                    <w:rPr>
                      <w:rFonts w:hint="default" w:eastAsia="宋体"/>
                      <w:color w:val="auto"/>
                      <w:lang w:val="en-US" w:eastAsia="zh-CN"/>
                    </w:rPr>
                  </w:pPr>
                  <w:r>
                    <w:rPr>
                      <w:rFonts w:hint="eastAsia"/>
                      <w:color w:val="auto"/>
                      <w:lang w:val="en-US" w:eastAsia="zh-CN"/>
                    </w:rPr>
                    <w:t>0.040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rFonts w:hint="eastAsia"/>
                      <w:color w:val="auto"/>
                      <w:lang w:val="en-US" w:eastAsia="zh-CN"/>
                    </w:rPr>
                  </w:pPr>
                </w:p>
              </w:tc>
              <w:tc>
                <w:tcPr>
                  <w:tcW w:w="875" w:type="dxa"/>
                  <w:vMerge w:val="continue"/>
                  <w:vAlign w:val="center"/>
                </w:tcPr>
                <w:p>
                  <w:pPr>
                    <w:pStyle w:val="15"/>
                    <w:rPr>
                      <w:color w:val="auto"/>
                    </w:rPr>
                  </w:pPr>
                </w:p>
              </w:tc>
              <w:tc>
                <w:tcPr>
                  <w:tcW w:w="1513"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lang w:val="en-US" w:eastAsia="zh-CN"/>
                    </w:rPr>
                    <w:t>12:30~13:30</w:t>
                  </w:r>
                </w:p>
              </w:tc>
              <w:tc>
                <w:tcPr>
                  <w:tcW w:w="1226" w:type="dxa"/>
                  <w:vAlign w:val="center"/>
                </w:tcPr>
                <w:p>
                  <w:pPr>
                    <w:pStyle w:val="15"/>
                    <w:rPr>
                      <w:rFonts w:hint="default" w:eastAsia="宋体"/>
                      <w:color w:val="auto"/>
                      <w:lang w:val="en-US" w:eastAsia="zh-CN"/>
                    </w:rPr>
                  </w:pPr>
                  <w:r>
                    <w:rPr>
                      <w:rFonts w:hint="eastAsia"/>
                      <w:color w:val="auto"/>
                      <w:lang w:val="en-US" w:eastAsia="zh-CN"/>
                    </w:rPr>
                    <w:t>521</w:t>
                  </w:r>
                </w:p>
              </w:tc>
              <w:tc>
                <w:tcPr>
                  <w:tcW w:w="1226" w:type="dxa"/>
                  <w:vAlign w:val="center"/>
                </w:tcPr>
                <w:p>
                  <w:pPr>
                    <w:pStyle w:val="15"/>
                    <w:rPr>
                      <w:rFonts w:hint="default" w:eastAsia="宋体"/>
                      <w:color w:val="auto"/>
                      <w:lang w:val="en-US" w:eastAsia="zh-CN"/>
                    </w:rPr>
                  </w:pPr>
                  <w:r>
                    <w:rPr>
                      <w:rFonts w:hint="eastAsia"/>
                      <w:color w:val="auto"/>
                      <w:lang w:val="en-US" w:eastAsia="zh-CN"/>
                    </w:rPr>
                    <w:t>0.18</w:t>
                  </w:r>
                </w:p>
              </w:tc>
              <w:tc>
                <w:tcPr>
                  <w:tcW w:w="1226" w:type="dxa"/>
                  <w:vAlign w:val="center"/>
                </w:tcPr>
                <w:p>
                  <w:pPr>
                    <w:pStyle w:val="15"/>
                    <w:rPr>
                      <w:rFonts w:hint="default" w:eastAsia="宋体"/>
                      <w:color w:val="auto"/>
                      <w:lang w:val="en-US" w:eastAsia="zh-CN"/>
                    </w:rPr>
                  </w:pPr>
                  <w:r>
                    <w:rPr>
                      <w:rFonts w:hint="eastAsia"/>
                      <w:color w:val="auto"/>
                      <w:lang w:val="en-US" w:eastAsia="zh-CN"/>
                    </w:rPr>
                    <w:t>2.9</w:t>
                  </w:r>
                </w:p>
              </w:tc>
              <w:tc>
                <w:tcPr>
                  <w:tcW w:w="1227" w:type="dxa"/>
                  <w:vAlign w:val="center"/>
                </w:tcPr>
                <w:p>
                  <w:pPr>
                    <w:pStyle w:val="15"/>
                    <w:rPr>
                      <w:rFonts w:hint="default"/>
                      <w:color w:val="auto"/>
                      <w:lang w:val="en-US"/>
                    </w:rPr>
                  </w:pPr>
                  <w:r>
                    <w:rPr>
                      <w:rFonts w:hint="eastAsia"/>
                      <w:color w:val="auto"/>
                      <w:lang w:val="en-US" w:eastAsia="zh-CN"/>
                    </w:rPr>
                    <w:t>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rFonts w:hint="eastAsia"/>
                      <w:color w:val="auto"/>
                      <w:lang w:val="en-US" w:eastAsia="zh-CN"/>
                    </w:rPr>
                  </w:pPr>
                </w:p>
              </w:tc>
              <w:tc>
                <w:tcPr>
                  <w:tcW w:w="875" w:type="dxa"/>
                  <w:vMerge w:val="continue"/>
                  <w:vAlign w:val="center"/>
                </w:tcPr>
                <w:p>
                  <w:pPr>
                    <w:pStyle w:val="15"/>
                    <w:rPr>
                      <w:color w:val="auto"/>
                    </w:rPr>
                  </w:pPr>
                </w:p>
              </w:tc>
              <w:tc>
                <w:tcPr>
                  <w:tcW w:w="1513"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lang w:val="en-US" w:eastAsia="zh-CN"/>
                    </w:rPr>
                    <w:t>14:00~15:00</w:t>
                  </w:r>
                </w:p>
              </w:tc>
              <w:tc>
                <w:tcPr>
                  <w:tcW w:w="1226" w:type="dxa"/>
                  <w:vAlign w:val="center"/>
                </w:tcPr>
                <w:p>
                  <w:pPr>
                    <w:pStyle w:val="15"/>
                    <w:rPr>
                      <w:rFonts w:hint="default" w:eastAsia="宋体"/>
                      <w:color w:val="auto"/>
                      <w:lang w:val="en-US" w:eastAsia="zh-CN"/>
                    </w:rPr>
                  </w:pPr>
                  <w:r>
                    <w:rPr>
                      <w:rFonts w:hint="eastAsia"/>
                      <w:color w:val="auto"/>
                      <w:lang w:val="en-US" w:eastAsia="zh-CN"/>
                    </w:rPr>
                    <w:t>525</w:t>
                  </w:r>
                </w:p>
              </w:tc>
              <w:tc>
                <w:tcPr>
                  <w:tcW w:w="1226" w:type="dxa"/>
                  <w:vAlign w:val="center"/>
                </w:tcPr>
                <w:p>
                  <w:pPr>
                    <w:pStyle w:val="15"/>
                    <w:rPr>
                      <w:rFonts w:hint="default" w:eastAsia="宋体"/>
                      <w:color w:val="auto"/>
                      <w:lang w:val="en-US" w:eastAsia="zh-CN"/>
                    </w:rPr>
                  </w:pPr>
                  <w:r>
                    <w:rPr>
                      <w:rFonts w:hint="eastAsia"/>
                      <w:color w:val="auto"/>
                      <w:lang w:val="en-US" w:eastAsia="zh-CN"/>
                    </w:rPr>
                    <w:t>0.20</w:t>
                  </w:r>
                </w:p>
              </w:tc>
              <w:tc>
                <w:tcPr>
                  <w:tcW w:w="1226" w:type="dxa"/>
                  <w:vAlign w:val="center"/>
                </w:tcPr>
                <w:p>
                  <w:pPr>
                    <w:pStyle w:val="15"/>
                    <w:rPr>
                      <w:rFonts w:hint="default" w:eastAsia="宋体"/>
                      <w:color w:val="auto"/>
                      <w:lang w:val="en-US" w:eastAsia="zh-CN"/>
                    </w:rPr>
                  </w:pPr>
                  <w:r>
                    <w:rPr>
                      <w:rFonts w:hint="eastAsia"/>
                      <w:color w:val="auto"/>
                      <w:lang w:val="en-US" w:eastAsia="zh-CN"/>
                    </w:rPr>
                    <w:t>2.5</w:t>
                  </w:r>
                </w:p>
              </w:tc>
              <w:tc>
                <w:tcPr>
                  <w:tcW w:w="1227" w:type="dxa"/>
                  <w:vAlign w:val="center"/>
                </w:tcPr>
                <w:p>
                  <w:pPr>
                    <w:pStyle w:val="15"/>
                    <w:rPr>
                      <w:rFonts w:hint="default"/>
                      <w:color w:val="auto"/>
                      <w:lang w:val="en-US"/>
                    </w:rPr>
                  </w:pPr>
                  <w:r>
                    <w:rPr>
                      <w:rFonts w:hint="eastAsia"/>
                      <w:color w:val="auto"/>
                      <w:lang w:val="en-US" w:eastAsia="zh-CN"/>
                    </w:rPr>
                    <w:t>0.031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color w:val="auto"/>
                    </w:rPr>
                  </w:pPr>
                </w:p>
              </w:tc>
              <w:tc>
                <w:tcPr>
                  <w:tcW w:w="875" w:type="dxa"/>
                  <w:vMerge w:val="continue"/>
                  <w:vAlign w:val="center"/>
                </w:tcPr>
                <w:p>
                  <w:pPr>
                    <w:pStyle w:val="15"/>
                    <w:rPr>
                      <w:color w:val="auto"/>
                    </w:rPr>
                  </w:pPr>
                </w:p>
              </w:tc>
              <w:tc>
                <w:tcPr>
                  <w:tcW w:w="1513"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lang w:val="en-US" w:eastAsia="zh-CN"/>
                    </w:rPr>
                    <w:t>15:30~16:30</w:t>
                  </w:r>
                </w:p>
              </w:tc>
              <w:tc>
                <w:tcPr>
                  <w:tcW w:w="1226" w:type="dxa"/>
                  <w:vAlign w:val="center"/>
                </w:tcPr>
                <w:p>
                  <w:pPr>
                    <w:pStyle w:val="15"/>
                    <w:rPr>
                      <w:rFonts w:hint="default" w:eastAsia="宋体"/>
                      <w:color w:val="auto"/>
                      <w:lang w:val="en-US" w:eastAsia="zh-CN"/>
                    </w:rPr>
                  </w:pPr>
                  <w:r>
                    <w:rPr>
                      <w:rFonts w:hint="eastAsia"/>
                      <w:color w:val="auto"/>
                      <w:lang w:val="en-US" w:eastAsia="zh-CN"/>
                    </w:rPr>
                    <w:t>526</w:t>
                  </w:r>
                </w:p>
              </w:tc>
              <w:tc>
                <w:tcPr>
                  <w:tcW w:w="1226" w:type="dxa"/>
                  <w:vAlign w:val="center"/>
                </w:tcPr>
                <w:p>
                  <w:pPr>
                    <w:pStyle w:val="15"/>
                    <w:rPr>
                      <w:rFonts w:hint="default" w:eastAsia="宋体"/>
                      <w:color w:val="auto"/>
                      <w:lang w:val="en-US" w:eastAsia="zh-CN"/>
                    </w:rPr>
                  </w:pPr>
                  <w:r>
                    <w:rPr>
                      <w:rFonts w:hint="eastAsia"/>
                      <w:color w:val="auto"/>
                      <w:lang w:val="en-US" w:eastAsia="zh-CN"/>
                    </w:rPr>
                    <w:t>0.19</w:t>
                  </w:r>
                </w:p>
              </w:tc>
              <w:tc>
                <w:tcPr>
                  <w:tcW w:w="1226" w:type="dxa"/>
                  <w:vAlign w:val="center"/>
                </w:tcPr>
                <w:p>
                  <w:pPr>
                    <w:pStyle w:val="15"/>
                    <w:rPr>
                      <w:rFonts w:hint="default" w:eastAsia="宋体"/>
                      <w:color w:val="auto"/>
                      <w:lang w:val="en-US" w:eastAsia="zh-CN"/>
                    </w:rPr>
                  </w:pPr>
                  <w:r>
                    <w:rPr>
                      <w:rFonts w:hint="eastAsia"/>
                      <w:color w:val="auto"/>
                      <w:lang w:val="en-US" w:eastAsia="zh-CN"/>
                    </w:rPr>
                    <w:t>2.4</w:t>
                  </w:r>
                </w:p>
              </w:tc>
              <w:tc>
                <w:tcPr>
                  <w:tcW w:w="1227" w:type="dxa"/>
                  <w:vAlign w:val="center"/>
                </w:tcPr>
                <w:p>
                  <w:pPr>
                    <w:pStyle w:val="15"/>
                    <w:bidi w:val="0"/>
                    <w:rPr>
                      <w:rFonts w:hint="default"/>
                      <w:color w:val="auto"/>
                      <w:lang w:val="en-US"/>
                    </w:rPr>
                  </w:pPr>
                  <w:r>
                    <w:rPr>
                      <w:rFonts w:hint="eastAsia"/>
                      <w:color w:val="auto"/>
                      <w:lang w:val="en-US" w:eastAsia="zh-CN"/>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restart"/>
                  <w:vAlign w:val="center"/>
                </w:tcPr>
                <w:p>
                  <w:pPr>
                    <w:pStyle w:val="15"/>
                    <w:rPr>
                      <w:color w:val="auto"/>
                    </w:rPr>
                  </w:pPr>
                  <w:r>
                    <w:rPr>
                      <w:rFonts w:hint="eastAsia"/>
                      <w:color w:val="auto"/>
                      <w:lang w:val="en-US" w:eastAsia="zh-CN"/>
                    </w:rPr>
                    <w:t>下风向2#点位</w:t>
                  </w:r>
                </w:p>
              </w:tc>
              <w:tc>
                <w:tcPr>
                  <w:tcW w:w="875" w:type="dxa"/>
                  <w:vMerge w:val="restart"/>
                  <w:vAlign w:val="center"/>
                </w:tcPr>
                <w:p>
                  <w:pPr>
                    <w:pStyle w:val="15"/>
                    <w:rPr>
                      <w:color w:val="auto"/>
                    </w:rPr>
                  </w:pPr>
                  <w:r>
                    <w:rPr>
                      <w:rFonts w:hint="eastAsia"/>
                      <w:color w:val="auto"/>
                      <w:lang w:val="en-US" w:eastAsia="zh-CN"/>
                    </w:rPr>
                    <w:t>2023.07.14</w:t>
                  </w:r>
                </w:p>
              </w:tc>
              <w:tc>
                <w:tcPr>
                  <w:tcW w:w="1513"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11:00~12:00</w:t>
                  </w:r>
                </w:p>
              </w:tc>
              <w:tc>
                <w:tcPr>
                  <w:tcW w:w="1226" w:type="dxa"/>
                  <w:vAlign w:val="center"/>
                </w:tcPr>
                <w:p>
                  <w:pPr>
                    <w:pStyle w:val="15"/>
                    <w:rPr>
                      <w:rFonts w:hint="default" w:eastAsia="宋体"/>
                      <w:color w:val="auto"/>
                      <w:lang w:val="en-US" w:eastAsia="zh-CN"/>
                    </w:rPr>
                  </w:pPr>
                  <w:r>
                    <w:rPr>
                      <w:rFonts w:hint="eastAsia"/>
                      <w:color w:val="auto"/>
                      <w:lang w:val="en-US" w:eastAsia="zh-CN"/>
                    </w:rPr>
                    <w:t>627</w:t>
                  </w:r>
                </w:p>
              </w:tc>
              <w:tc>
                <w:tcPr>
                  <w:tcW w:w="1226" w:type="dxa"/>
                  <w:vAlign w:val="center"/>
                </w:tcPr>
                <w:p>
                  <w:pPr>
                    <w:pStyle w:val="15"/>
                    <w:rPr>
                      <w:rFonts w:hint="default" w:eastAsia="宋体"/>
                      <w:color w:val="auto"/>
                      <w:lang w:val="en-US" w:eastAsia="zh-CN"/>
                    </w:rPr>
                  </w:pPr>
                  <w:r>
                    <w:rPr>
                      <w:rFonts w:hint="eastAsia"/>
                      <w:color w:val="auto"/>
                      <w:lang w:val="en-US" w:eastAsia="zh-CN"/>
                    </w:rPr>
                    <w:t>0.16</w:t>
                  </w:r>
                </w:p>
              </w:tc>
              <w:tc>
                <w:tcPr>
                  <w:tcW w:w="1226" w:type="dxa"/>
                  <w:vAlign w:val="center"/>
                </w:tcPr>
                <w:p>
                  <w:pPr>
                    <w:pStyle w:val="15"/>
                    <w:rPr>
                      <w:rFonts w:hint="default" w:eastAsia="宋体"/>
                      <w:color w:val="auto"/>
                      <w:lang w:val="en-US" w:eastAsia="zh-CN"/>
                    </w:rPr>
                  </w:pPr>
                  <w:r>
                    <w:rPr>
                      <w:rFonts w:hint="eastAsia"/>
                      <w:color w:val="auto"/>
                      <w:lang w:val="en-US" w:eastAsia="zh-CN"/>
                    </w:rPr>
                    <w:t>4.0</w:t>
                  </w:r>
                </w:p>
              </w:tc>
              <w:tc>
                <w:tcPr>
                  <w:tcW w:w="1227" w:type="dxa"/>
                  <w:vAlign w:val="center"/>
                </w:tcPr>
                <w:p>
                  <w:pPr>
                    <w:pStyle w:val="15"/>
                    <w:bidi w:val="0"/>
                    <w:rPr>
                      <w:rFonts w:hint="default"/>
                      <w:color w:val="auto"/>
                      <w:lang w:val="en-US"/>
                    </w:rPr>
                  </w:pPr>
                  <w:r>
                    <w:rPr>
                      <w:rFonts w:hint="eastAsia"/>
                      <w:color w:val="auto"/>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rFonts w:hint="eastAsia"/>
                      <w:color w:val="auto"/>
                      <w:lang w:val="en-US" w:eastAsia="zh-CN"/>
                    </w:rPr>
                  </w:pPr>
                </w:p>
              </w:tc>
              <w:tc>
                <w:tcPr>
                  <w:tcW w:w="875" w:type="dxa"/>
                  <w:vMerge w:val="continue"/>
                  <w:vAlign w:val="center"/>
                </w:tcPr>
                <w:p>
                  <w:pPr>
                    <w:pStyle w:val="15"/>
                    <w:rPr>
                      <w:color w:val="auto"/>
                    </w:rPr>
                  </w:pPr>
                </w:p>
              </w:tc>
              <w:tc>
                <w:tcPr>
                  <w:tcW w:w="1513"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lang w:val="en-US" w:eastAsia="zh-CN"/>
                    </w:rPr>
                    <w:t>12:30~13:30</w:t>
                  </w:r>
                </w:p>
              </w:tc>
              <w:tc>
                <w:tcPr>
                  <w:tcW w:w="1226" w:type="dxa"/>
                  <w:vAlign w:val="center"/>
                </w:tcPr>
                <w:p>
                  <w:pPr>
                    <w:pStyle w:val="15"/>
                    <w:rPr>
                      <w:rFonts w:hint="default" w:eastAsia="宋体"/>
                      <w:color w:val="auto"/>
                      <w:lang w:val="en-US" w:eastAsia="zh-CN"/>
                    </w:rPr>
                  </w:pPr>
                  <w:r>
                    <w:rPr>
                      <w:rFonts w:hint="eastAsia"/>
                      <w:color w:val="auto"/>
                      <w:lang w:val="en-US" w:eastAsia="zh-CN"/>
                    </w:rPr>
                    <w:t>635</w:t>
                  </w:r>
                </w:p>
              </w:tc>
              <w:tc>
                <w:tcPr>
                  <w:tcW w:w="1226" w:type="dxa"/>
                  <w:vAlign w:val="center"/>
                </w:tcPr>
                <w:p>
                  <w:pPr>
                    <w:pStyle w:val="15"/>
                    <w:rPr>
                      <w:rFonts w:hint="default" w:eastAsia="宋体"/>
                      <w:color w:val="auto"/>
                      <w:lang w:val="en-US" w:eastAsia="zh-CN"/>
                    </w:rPr>
                  </w:pPr>
                  <w:r>
                    <w:rPr>
                      <w:rFonts w:hint="eastAsia"/>
                      <w:color w:val="auto"/>
                      <w:lang w:val="en-US" w:eastAsia="zh-CN"/>
                    </w:rPr>
                    <w:t>0.16</w:t>
                  </w:r>
                </w:p>
              </w:tc>
              <w:tc>
                <w:tcPr>
                  <w:tcW w:w="1226" w:type="dxa"/>
                  <w:vAlign w:val="center"/>
                </w:tcPr>
                <w:p>
                  <w:pPr>
                    <w:pStyle w:val="15"/>
                    <w:rPr>
                      <w:rFonts w:hint="default" w:eastAsia="宋体"/>
                      <w:color w:val="auto"/>
                      <w:lang w:val="en-US" w:eastAsia="zh-CN"/>
                    </w:rPr>
                  </w:pPr>
                  <w:r>
                    <w:rPr>
                      <w:rFonts w:hint="eastAsia"/>
                      <w:color w:val="auto"/>
                      <w:lang w:val="en-US" w:eastAsia="zh-CN"/>
                    </w:rPr>
                    <w:t>3.9</w:t>
                  </w:r>
                </w:p>
              </w:tc>
              <w:tc>
                <w:tcPr>
                  <w:tcW w:w="1227" w:type="dxa"/>
                  <w:vAlign w:val="center"/>
                </w:tcPr>
                <w:p>
                  <w:pPr>
                    <w:pStyle w:val="15"/>
                    <w:bidi w:val="0"/>
                    <w:rPr>
                      <w:rFonts w:hint="default"/>
                      <w:color w:val="auto"/>
                      <w:lang w:val="en-US"/>
                    </w:rPr>
                  </w:pPr>
                  <w:r>
                    <w:rPr>
                      <w:rFonts w:hint="eastAsia"/>
                      <w:color w:val="auto"/>
                      <w:lang w:val="en-US" w:eastAsia="zh-CN"/>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rFonts w:hint="eastAsia"/>
                      <w:color w:val="auto"/>
                      <w:lang w:val="en-US" w:eastAsia="zh-CN"/>
                    </w:rPr>
                  </w:pPr>
                </w:p>
              </w:tc>
              <w:tc>
                <w:tcPr>
                  <w:tcW w:w="875" w:type="dxa"/>
                  <w:vMerge w:val="continue"/>
                  <w:vAlign w:val="center"/>
                </w:tcPr>
                <w:p>
                  <w:pPr>
                    <w:pStyle w:val="15"/>
                    <w:rPr>
                      <w:color w:val="auto"/>
                    </w:rPr>
                  </w:pPr>
                </w:p>
              </w:tc>
              <w:tc>
                <w:tcPr>
                  <w:tcW w:w="1513"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lang w:val="en-US" w:eastAsia="zh-CN"/>
                    </w:rPr>
                    <w:t>14:00~15:00</w:t>
                  </w:r>
                </w:p>
              </w:tc>
              <w:tc>
                <w:tcPr>
                  <w:tcW w:w="1226" w:type="dxa"/>
                  <w:vAlign w:val="center"/>
                </w:tcPr>
                <w:p>
                  <w:pPr>
                    <w:pStyle w:val="15"/>
                    <w:rPr>
                      <w:rFonts w:hint="default" w:eastAsia="宋体"/>
                      <w:color w:val="auto"/>
                      <w:lang w:val="en-US" w:eastAsia="zh-CN"/>
                    </w:rPr>
                  </w:pPr>
                  <w:r>
                    <w:rPr>
                      <w:rFonts w:hint="eastAsia"/>
                      <w:color w:val="auto"/>
                      <w:lang w:val="en-US" w:eastAsia="zh-CN"/>
                    </w:rPr>
                    <w:t>630</w:t>
                  </w:r>
                </w:p>
              </w:tc>
              <w:tc>
                <w:tcPr>
                  <w:tcW w:w="1226" w:type="dxa"/>
                  <w:vAlign w:val="center"/>
                </w:tcPr>
                <w:p>
                  <w:pPr>
                    <w:pStyle w:val="15"/>
                    <w:rPr>
                      <w:rFonts w:hint="default" w:eastAsia="宋体"/>
                      <w:color w:val="auto"/>
                      <w:lang w:val="en-US" w:eastAsia="zh-CN"/>
                    </w:rPr>
                  </w:pPr>
                  <w:r>
                    <w:rPr>
                      <w:rFonts w:hint="eastAsia"/>
                      <w:color w:val="auto"/>
                      <w:lang w:val="en-US" w:eastAsia="zh-CN"/>
                    </w:rPr>
                    <w:t>0.17</w:t>
                  </w:r>
                </w:p>
              </w:tc>
              <w:tc>
                <w:tcPr>
                  <w:tcW w:w="1226" w:type="dxa"/>
                  <w:vAlign w:val="center"/>
                </w:tcPr>
                <w:p>
                  <w:pPr>
                    <w:pStyle w:val="15"/>
                    <w:rPr>
                      <w:rFonts w:hint="default" w:eastAsia="宋体"/>
                      <w:color w:val="auto"/>
                      <w:lang w:val="en-US" w:eastAsia="zh-CN"/>
                    </w:rPr>
                  </w:pPr>
                  <w:r>
                    <w:rPr>
                      <w:rFonts w:hint="eastAsia"/>
                      <w:color w:val="auto"/>
                      <w:lang w:val="en-US" w:eastAsia="zh-CN"/>
                    </w:rPr>
                    <w:t>4.2</w:t>
                  </w:r>
                </w:p>
              </w:tc>
              <w:tc>
                <w:tcPr>
                  <w:tcW w:w="1227" w:type="dxa"/>
                  <w:vAlign w:val="center"/>
                </w:tcPr>
                <w:p>
                  <w:pPr>
                    <w:pStyle w:val="15"/>
                    <w:bidi w:val="0"/>
                    <w:rPr>
                      <w:rFonts w:hint="default"/>
                      <w:color w:val="auto"/>
                      <w:lang w:val="en-US"/>
                    </w:rPr>
                  </w:pPr>
                  <w:r>
                    <w:rPr>
                      <w:rFonts w:hint="eastAsia"/>
                      <w:color w:val="auto"/>
                      <w:lang w:val="en-US" w:eastAsia="zh-CN"/>
                    </w:rPr>
                    <w:t>0.017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color w:val="auto"/>
                    </w:rPr>
                  </w:pPr>
                </w:p>
              </w:tc>
              <w:tc>
                <w:tcPr>
                  <w:tcW w:w="875" w:type="dxa"/>
                  <w:vMerge w:val="continue"/>
                  <w:vAlign w:val="center"/>
                </w:tcPr>
                <w:p>
                  <w:pPr>
                    <w:pStyle w:val="15"/>
                    <w:rPr>
                      <w:color w:val="auto"/>
                    </w:rPr>
                  </w:pPr>
                </w:p>
              </w:tc>
              <w:tc>
                <w:tcPr>
                  <w:tcW w:w="1513"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lang w:val="en-US" w:eastAsia="zh-CN"/>
                    </w:rPr>
                    <w:t>15:30~16:30</w:t>
                  </w:r>
                </w:p>
              </w:tc>
              <w:tc>
                <w:tcPr>
                  <w:tcW w:w="1226" w:type="dxa"/>
                  <w:vAlign w:val="center"/>
                </w:tcPr>
                <w:p>
                  <w:pPr>
                    <w:pStyle w:val="15"/>
                    <w:rPr>
                      <w:rFonts w:hint="default" w:eastAsia="宋体"/>
                      <w:color w:val="auto"/>
                      <w:lang w:val="en-US" w:eastAsia="zh-CN"/>
                    </w:rPr>
                  </w:pPr>
                  <w:r>
                    <w:rPr>
                      <w:rFonts w:hint="eastAsia"/>
                      <w:color w:val="auto"/>
                      <w:lang w:val="en-US" w:eastAsia="zh-CN"/>
                    </w:rPr>
                    <w:t>646</w:t>
                  </w:r>
                </w:p>
              </w:tc>
              <w:tc>
                <w:tcPr>
                  <w:tcW w:w="1226" w:type="dxa"/>
                  <w:vAlign w:val="center"/>
                </w:tcPr>
                <w:p>
                  <w:pPr>
                    <w:pStyle w:val="15"/>
                    <w:rPr>
                      <w:rFonts w:hint="default" w:eastAsia="宋体"/>
                      <w:color w:val="auto"/>
                      <w:lang w:val="en-US" w:eastAsia="zh-CN"/>
                    </w:rPr>
                  </w:pPr>
                  <w:r>
                    <w:rPr>
                      <w:rFonts w:hint="eastAsia"/>
                      <w:color w:val="auto"/>
                      <w:lang w:val="en-US" w:eastAsia="zh-CN"/>
                    </w:rPr>
                    <w:t>0.18</w:t>
                  </w:r>
                </w:p>
              </w:tc>
              <w:tc>
                <w:tcPr>
                  <w:tcW w:w="1226" w:type="dxa"/>
                  <w:vAlign w:val="center"/>
                </w:tcPr>
                <w:p>
                  <w:pPr>
                    <w:pStyle w:val="15"/>
                    <w:rPr>
                      <w:rFonts w:hint="default" w:eastAsia="宋体"/>
                      <w:color w:val="auto"/>
                      <w:lang w:val="en-US" w:eastAsia="zh-CN"/>
                    </w:rPr>
                  </w:pPr>
                  <w:r>
                    <w:rPr>
                      <w:rFonts w:hint="eastAsia"/>
                      <w:color w:val="auto"/>
                      <w:lang w:val="en-US" w:eastAsia="zh-CN"/>
                    </w:rPr>
                    <w:t>4.1</w:t>
                  </w:r>
                </w:p>
              </w:tc>
              <w:tc>
                <w:tcPr>
                  <w:tcW w:w="1227" w:type="dxa"/>
                  <w:vAlign w:val="center"/>
                </w:tcPr>
                <w:p>
                  <w:pPr>
                    <w:pStyle w:val="15"/>
                    <w:bidi w:val="0"/>
                    <w:rPr>
                      <w:rFonts w:hint="default"/>
                      <w:color w:val="auto"/>
                      <w:lang w:val="en-US"/>
                    </w:rPr>
                  </w:pPr>
                  <w:r>
                    <w:rPr>
                      <w:rFonts w:hint="eastAsia"/>
                      <w:color w:val="auto"/>
                      <w:lang w:val="en-US" w:eastAsia="zh-CN"/>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restart"/>
                  <w:vAlign w:val="center"/>
                </w:tcPr>
                <w:p>
                  <w:pPr>
                    <w:pStyle w:val="15"/>
                    <w:rPr>
                      <w:color w:val="auto"/>
                    </w:rPr>
                  </w:pPr>
                  <w:r>
                    <w:rPr>
                      <w:rFonts w:hint="eastAsia"/>
                      <w:color w:val="auto"/>
                      <w:lang w:val="en-US" w:eastAsia="zh-CN"/>
                    </w:rPr>
                    <w:t>下风向3#点位</w:t>
                  </w:r>
                </w:p>
              </w:tc>
              <w:tc>
                <w:tcPr>
                  <w:tcW w:w="875" w:type="dxa"/>
                  <w:vMerge w:val="restart"/>
                  <w:vAlign w:val="center"/>
                </w:tcPr>
                <w:p>
                  <w:pPr>
                    <w:pStyle w:val="15"/>
                    <w:rPr>
                      <w:color w:val="auto"/>
                    </w:rPr>
                  </w:pPr>
                  <w:r>
                    <w:rPr>
                      <w:rFonts w:hint="eastAsia"/>
                      <w:color w:val="auto"/>
                      <w:lang w:val="en-US" w:eastAsia="zh-CN"/>
                    </w:rPr>
                    <w:t>2023.07.14</w:t>
                  </w:r>
                </w:p>
              </w:tc>
              <w:tc>
                <w:tcPr>
                  <w:tcW w:w="1513"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11:00~12:00</w:t>
                  </w:r>
                </w:p>
              </w:tc>
              <w:tc>
                <w:tcPr>
                  <w:tcW w:w="1226" w:type="dxa"/>
                  <w:vAlign w:val="center"/>
                </w:tcPr>
                <w:p>
                  <w:pPr>
                    <w:pStyle w:val="15"/>
                    <w:rPr>
                      <w:rFonts w:hint="default" w:eastAsia="宋体"/>
                      <w:color w:val="auto"/>
                      <w:lang w:val="en-US" w:eastAsia="zh-CN"/>
                    </w:rPr>
                  </w:pPr>
                  <w:r>
                    <w:rPr>
                      <w:rFonts w:hint="eastAsia"/>
                      <w:color w:val="auto"/>
                      <w:lang w:val="en-US" w:eastAsia="zh-CN"/>
                    </w:rPr>
                    <w:t>538</w:t>
                  </w:r>
                </w:p>
              </w:tc>
              <w:tc>
                <w:tcPr>
                  <w:tcW w:w="1226" w:type="dxa"/>
                  <w:vAlign w:val="center"/>
                </w:tcPr>
                <w:p>
                  <w:pPr>
                    <w:pStyle w:val="15"/>
                    <w:rPr>
                      <w:rFonts w:hint="default" w:eastAsia="宋体"/>
                      <w:color w:val="auto"/>
                      <w:lang w:val="en-US" w:eastAsia="zh-CN"/>
                    </w:rPr>
                  </w:pPr>
                  <w:r>
                    <w:rPr>
                      <w:rFonts w:hint="eastAsia"/>
                      <w:color w:val="auto"/>
                      <w:lang w:val="en-US" w:eastAsia="zh-CN"/>
                    </w:rPr>
                    <w:t>0.20</w:t>
                  </w:r>
                </w:p>
              </w:tc>
              <w:tc>
                <w:tcPr>
                  <w:tcW w:w="1226" w:type="dxa"/>
                  <w:vAlign w:val="center"/>
                </w:tcPr>
                <w:p>
                  <w:pPr>
                    <w:pStyle w:val="15"/>
                    <w:rPr>
                      <w:rFonts w:hint="default" w:eastAsia="宋体"/>
                      <w:color w:val="auto"/>
                      <w:lang w:val="en-US" w:eastAsia="zh-CN"/>
                    </w:rPr>
                  </w:pPr>
                  <w:r>
                    <w:rPr>
                      <w:rFonts w:hint="eastAsia"/>
                      <w:color w:val="auto"/>
                      <w:lang w:val="en-US" w:eastAsia="zh-CN"/>
                    </w:rPr>
                    <w:t>2.2</w:t>
                  </w:r>
                </w:p>
              </w:tc>
              <w:tc>
                <w:tcPr>
                  <w:tcW w:w="1227" w:type="dxa"/>
                  <w:vAlign w:val="center"/>
                </w:tcPr>
                <w:p>
                  <w:pPr>
                    <w:pStyle w:val="15"/>
                    <w:bidi w:val="0"/>
                    <w:rPr>
                      <w:rFonts w:hint="default"/>
                      <w:color w:val="auto"/>
                      <w:lang w:val="en-US"/>
                    </w:rPr>
                  </w:pPr>
                  <w:r>
                    <w:rPr>
                      <w:rFonts w:hint="eastAsia"/>
                      <w:color w:val="auto"/>
                      <w:lang w:val="en-US" w:eastAsia="zh-CN"/>
                    </w:rPr>
                    <w:t>0.023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rFonts w:hint="eastAsia"/>
                      <w:color w:val="auto"/>
                      <w:lang w:val="en-US" w:eastAsia="zh-CN"/>
                    </w:rPr>
                  </w:pPr>
                </w:p>
              </w:tc>
              <w:tc>
                <w:tcPr>
                  <w:tcW w:w="875" w:type="dxa"/>
                  <w:vMerge w:val="continue"/>
                  <w:vAlign w:val="center"/>
                </w:tcPr>
                <w:p>
                  <w:pPr>
                    <w:pStyle w:val="15"/>
                    <w:rPr>
                      <w:color w:val="auto"/>
                    </w:rPr>
                  </w:pPr>
                </w:p>
              </w:tc>
              <w:tc>
                <w:tcPr>
                  <w:tcW w:w="1513"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lang w:val="en-US" w:eastAsia="zh-CN"/>
                    </w:rPr>
                    <w:t>12:30~13:30</w:t>
                  </w:r>
                </w:p>
              </w:tc>
              <w:tc>
                <w:tcPr>
                  <w:tcW w:w="1226" w:type="dxa"/>
                  <w:vAlign w:val="center"/>
                </w:tcPr>
                <w:p>
                  <w:pPr>
                    <w:pStyle w:val="15"/>
                    <w:rPr>
                      <w:rFonts w:hint="default" w:eastAsia="宋体"/>
                      <w:color w:val="auto"/>
                      <w:lang w:val="en-US" w:eastAsia="zh-CN"/>
                    </w:rPr>
                  </w:pPr>
                  <w:r>
                    <w:rPr>
                      <w:rFonts w:hint="eastAsia"/>
                      <w:color w:val="auto"/>
                      <w:lang w:val="en-US" w:eastAsia="zh-CN"/>
                    </w:rPr>
                    <w:t>541</w:t>
                  </w:r>
                </w:p>
              </w:tc>
              <w:tc>
                <w:tcPr>
                  <w:tcW w:w="1226" w:type="dxa"/>
                  <w:vAlign w:val="center"/>
                </w:tcPr>
                <w:p>
                  <w:pPr>
                    <w:pStyle w:val="15"/>
                    <w:rPr>
                      <w:rFonts w:hint="default" w:eastAsia="宋体"/>
                      <w:color w:val="auto"/>
                      <w:lang w:val="en-US" w:eastAsia="zh-CN"/>
                    </w:rPr>
                  </w:pPr>
                  <w:r>
                    <w:rPr>
                      <w:rFonts w:hint="eastAsia"/>
                      <w:color w:val="auto"/>
                      <w:lang w:val="en-US" w:eastAsia="zh-CN"/>
                    </w:rPr>
                    <w:t>0.20</w:t>
                  </w:r>
                </w:p>
              </w:tc>
              <w:tc>
                <w:tcPr>
                  <w:tcW w:w="1226" w:type="dxa"/>
                  <w:vAlign w:val="center"/>
                </w:tcPr>
                <w:p>
                  <w:pPr>
                    <w:pStyle w:val="15"/>
                    <w:rPr>
                      <w:rFonts w:hint="default" w:eastAsia="宋体"/>
                      <w:color w:val="auto"/>
                      <w:lang w:val="en-US" w:eastAsia="zh-CN"/>
                    </w:rPr>
                  </w:pPr>
                  <w:r>
                    <w:rPr>
                      <w:rFonts w:hint="eastAsia"/>
                      <w:color w:val="auto"/>
                      <w:lang w:val="en-US" w:eastAsia="zh-CN"/>
                    </w:rPr>
                    <w:t>2.1</w:t>
                  </w:r>
                </w:p>
              </w:tc>
              <w:tc>
                <w:tcPr>
                  <w:tcW w:w="1227" w:type="dxa"/>
                  <w:vAlign w:val="center"/>
                </w:tcPr>
                <w:p>
                  <w:pPr>
                    <w:pStyle w:val="15"/>
                    <w:bidi w:val="0"/>
                    <w:rPr>
                      <w:rFonts w:hint="default"/>
                      <w:color w:val="auto"/>
                      <w:lang w:val="en-US"/>
                    </w:rPr>
                  </w:pPr>
                  <w:r>
                    <w:rPr>
                      <w:rFonts w:hint="eastAsia"/>
                      <w:color w:val="auto"/>
                      <w:lang w:val="en-US" w:eastAsia="zh-CN"/>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rFonts w:hint="eastAsia"/>
                      <w:color w:val="auto"/>
                      <w:lang w:val="en-US" w:eastAsia="zh-CN"/>
                    </w:rPr>
                  </w:pPr>
                </w:p>
              </w:tc>
              <w:tc>
                <w:tcPr>
                  <w:tcW w:w="875" w:type="dxa"/>
                  <w:vMerge w:val="continue"/>
                  <w:vAlign w:val="center"/>
                </w:tcPr>
                <w:p>
                  <w:pPr>
                    <w:pStyle w:val="15"/>
                    <w:rPr>
                      <w:color w:val="auto"/>
                    </w:rPr>
                  </w:pPr>
                </w:p>
              </w:tc>
              <w:tc>
                <w:tcPr>
                  <w:tcW w:w="1513"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lang w:val="en-US" w:eastAsia="zh-CN"/>
                    </w:rPr>
                    <w:t>14:00~15:00</w:t>
                  </w:r>
                </w:p>
              </w:tc>
              <w:tc>
                <w:tcPr>
                  <w:tcW w:w="1226" w:type="dxa"/>
                  <w:vAlign w:val="center"/>
                </w:tcPr>
                <w:p>
                  <w:pPr>
                    <w:pStyle w:val="15"/>
                    <w:rPr>
                      <w:rFonts w:hint="default" w:eastAsia="宋体"/>
                      <w:color w:val="auto"/>
                      <w:lang w:val="en-US" w:eastAsia="zh-CN"/>
                    </w:rPr>
                  </w:pPr>
                  <w:r>
                    <w:rPr>
                      <w:rFonts w:hint="eastAsia"/>
                      <w:color w:val="auto"/>
                      <w:lang w:val="en-US" w:eastAsia="zh-CN"/>
                    </w:rPr>
                    <w:t>532</w:t>
                  </w:r>
                </w:p>
              </w:tc>
              <w:tc>
                <w:tcPr>
                  <w:tcW w:w="1226" w:type="dxa"/>
                  <w:vAlign w:val="center"/>
                </w:tcPr>
                <w:p>
                  <w:pPr>
                    <w:pStyle w:val="15"/>
                    <w:rPr>
                      <w:rFonts w:hint="default" w:eastAsia="宋体"/>
                      <w:color w:val="auto"/>
                      <w:lang w:val="en-US" w:eastAsia="zh-CN"/>
                    </w:rPr>
                  </w:pPr>
                  <w:r>
                    <w:rPr>
                      <w:rFonts w:hint="eastAsia"/>
                      <w:color w:val="auto"/>
                      <w:lang w:val="en-US" w:eastAsia="zh-CN"/>
                    </w:rPr>
                    <w:t>0.19</w:t>
                  </w:r>
                </w:p>
              </w:tc>
              <w:tc>
                <w:tcPr>
                  <w:tcW w:w="1226" w:type="dxa"/>
                  <w:vAlign w:val="center"/>
                </w:tcPr>
                <w:p>
                  <w:pPr>
                    <w:pStyle w:val="15"/>
                    <w:rPr>
                      <w:rFonts w:hint="default" w:eastAsia="宋体"/>
                      <w:color w:val="auto"/>
                      <w:lang w:val="en-US" w:eastAsia="zh-CN"/>
                    </w:rPr>
                  </w:pPr>
                  <w:r>
                    <w:rPr>
                      <w:rFonts w:hint="eastAsia"/>
                      <w:color w:val="auto"/>
                      <w:lang w:val="en-US" w:eastAsia="zh-CN"/>
                    </w:rPr>
                    <w:t>2.4</w:t>
                  </w:r>
                </w:p>
              </w:tc>
              <w:tc>
                <w:tcPr>
                  <w:tcW w:w="1227" w:type="dxa"/>
                  <w:vAlign w:val="center"/>
                </w:tcPr>
                <w:p>
                  <w:pPr>
                    <w:pStyle w:val="15"/>
                    <w:bidi w:val="0"/>
                    <w:rPr>
                      <w:rFonts w:hint="default"/>
                      <w:color w:val="auto"/>
                      <w:lang w:val="en-US"/>
                    </w:rPr>
                  </w:pPr>
                  <w:r>
                    <w:rPr>
                      <w:rFonts w:hint="eastAsia"/>
                      <w:color w:val="auto"/>
                      <w:lang w:val="en-US" w:eastAsia="zh-CN"/>
                    </w:rPr>
                    <w:t>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Merge w:val="continue"/>
                  <w:vAlign w:val="center"/>
                </w:tcPr>
                <w:p>
                  <w:pPr>
                    <w:pStyle w:val="15"/>
                    <w:rPr>
                      <w:color w:val="auto"/>
                    </w:rPr>
                  </w:pPr>
                </w:p>
              </w:tc>
              <w:tc>
                <w:tcPr>
                  <w:tcW w:w="875" w:type="dxa"/>
                  <w:vMerge w:val="continue"/>
                  <w:vAlign w:val="center"/>
                </w:tcPr>
                <w:p>
                  <w:pPr>
                    <w:pStyle w:val="15"/>
                    <w:rPr>
                      <w:color w:val="auto"/>
                    </w:rPr>
                  </w:pPr>
                </w:p>
              </w:tc>
              <w:tc>
                <w:tcPr>
                  <w:tcW w:w="1513"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lang w:val="en-US" w:eastAsia="zh-CN"/>
                    </w:rPr>
                    <w:t>15:30~16:30</w:t>
                  </w:r>
                </w:p>
              </w:tc>
              <w:tc>
                <w:tcPr>
                  <w:tcW w:w="1226" w:type="dxa"/>
                  <w:vAlign w:val="center"/>
                </w:tcPr>
                <w:p>
                  <w:pPr>
                    <w:pStyle w:val="15"/>
                    <w:rPr>
                      <w:rFonts w:hint="default" w:eastAsia="宋体"/>
                      <w:color w:val="auto"/>
                      <w:lang w:val="en-US" w:eastAsia="zh-CN"/>
                    </w:rPr>
                  </w:pPr>
                  <w:r>
                    <w:rPr>
                      <w:rFonts w:hint="eastAsia"/>
                      <w:color w:val="auto"/>
                      <w:lang w:val="en-US" w:eastAsia="zh-CN"/>
                    </w:rPr>
                    <w:t>556</w:t>
                  </w:r>
                </w:p>
              </w:tc>
              <w:tc>
                <w:tcPr>
                  <w:tcW w:w="1226" w:type="dxa"/>
                  <w:vAlign w:val="center"/>
                </w:tcPr>
                <w:p>
                  <w:pPr>
                    <w:pStyle w:val="15"/>
                    <w:rPr>
                      <w:rFonts w:hint="default" w:eastAsia="宋体"/>
                      <w:color w:val="auto"/>
                      <w:lang w:val="en-US" w:eastAsia="zh-CN"/>
                    </w:rPr>
                  </w:pPr>
                  <w:r>
                    <w:rPr>
                      <w:rFonts w:hint="eastAsia"/>
                      <w:color w:val="auto"/>
                      <w:lang w:val="en-US" w:eastAsia="zh-CN"/>
                    </w:rPr>
                    <w:t>0.20</w:t>
                  </w:r>
                </w:p>
              </w:tc>
              <w:tc>
                <w:tcPr>
                  <w:tcW w:w="1226" w:type="dxa"/>
                  <w:vAlign w:val="center"/>
                </w:tcPr>
                <w:p>
                  <w:pPr>
                    <w:pStyle w:val="15"/>
                    <w:rPr>
                      <w:rFonts w:hint="default" w:eastAsia="宋体"/>
                      <w:color w:val="auto"/>
                      <w:lang w:val="en-US" w:eastAsia="zh-CN"/>
                    </w:rPr>
                  </w:pPr>
                  <w:r>
                    <w:rPr>
                      <w:rFonts w:hint="eastAsia"/>
                      <w:color w:val="auto"/>
                      <w:lang w:val="en-US" w:eastAsia="zh-CN"/>
                    </w:rPr>
                    <w:t>2.6</w:t>
                  </w:r>
                </w:p>
              </w:tc>
              <w:tc>
                <w:tcPr>
                  <w:tcW w:w="1227" w:type="dxa"/>
                  <w:vAlign w:val="center"/>
                </w:tcPr>
                <w:p>
                  <w:pPr>
                    <w:pStyle w:val="15"/>
                    <w:bidi w:val="0"/>
                    <w:rPr>
                      <w:rFonts w:hint="default"/>
                      <w:color w:val="auto"/>
                      <w:lang w:val="en-US"/>
                    </w:rPr>
                  </w:pPr>
                  <w:r>
                    <w:rPr>
                      <w:rFonts w:hint="eastAsia"/>
                      <w:color w:val="auto"/>
                      <w:lang w:val="en-US" w:eastAsia="zh-CN"/>
                    </w:rPr>
                    <w:t>0.024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3" w:type="dxa"/>
                  <w:vAlign w:val="center"/>
                </w:tcPr>
                <w:p>
                  <w:pPr>
                    <w:pStyle w:val="15"/>
                    <w:rPr>
                      <w:rFonts w:hint="eastAsia" w:eastAsia="宋体"/>
                      <w:color w:val="auto"/>
                      <w:lang w:val="en-US" w:eastAsia="zh-CN"/>
                    </w:rPr>
                  </w:pPr>
                  <w:r>
                    <w:rPr>
                      <w:rFonts w:hint="eastAsia"/>
                      <w:color w:val="auto"/>
                      <w:lang w:val="en-US" w:eastAsia="zh-CN"/>
                    </w:rPr>
                    <w:t>备注</w:t>
                  </w:r>
                </w:p>
              </w:tc>
              <w:tc>
                <w:tcPr>
                  <w:tcW w:w="7293" w:type="dxa"/>
                  <w:gridSpan w:val="6"/>
                  <w:vAlign w:val="center"/>
                </w:tcPr>
                <w:p>
                  <w:pPr>
                    <w:pStyle w:val="15"/>
                    <w:bidi w:val="0"/>
                    <w:jc w:val="left"/>
                    <w:rPr>
                      <w:rFonts w:hint="default"/>
                      <w:color w:val="auto"/>
                      <w:lang w:val="en-US" w:eastAsia="zh-CN"/>
                    </w:rPr>
                  </w:pPr>
                  <w:r>
                    <w:rPr>
                      <w:rFonts w:hint="eastAsia"/>
                      <w:color w:val="auto"/>
                      <w:lang w:val="en-US" w:eastAsia="zh-CN"/>
                    </w:rPr>
                    <w:t>“＜”表示检测结果低于分析方法最低方法检出限或范围。</w:t>
                  </w:r>
                </w:p>
              </w:tc>
            </w:tr>
          </w:tbl>
          <w:p>
            <w:pPr>
              <w:pStyle w:val="14"/>
              <w:rPr>
                <w:color w:val="auto"/>
              </w:rPr>
            </w:pPr>
          </w:p>
          <w:p>
            <w:pPr>
              <w:pStyle w:val="14"/>
              <w:rPr>
                <w:color w:val="auto"/>
              </w:rPr>
            </w:pPr>
            <w:r>
              <w:rPr>
                <w:color w:val="auto"/>
              </w:rPr>
              <w:t>表2-</w:t>
            </w:r>
            <w:r>
              <w:rPr>
                <w:rFonts w:hint="eastAsia"/>
                <w:color w:val="auto"/>
                <w:lang w:val="en-US" w:eastAsia="zh-CN"/>
              </w:rPr>
              <w:t>19</w:t>
            </w:r>
            <w:r>
              <w:rPr>
                <w:rFonts w:hint="eastAsia"/>
                <w:color w:val="auto"/>
              </w:rPr>
              <w:t xml:space="preserve"> </w:t>
            </w:r>
            <w:r>
              <w:rPr>
                <w:color w:val="auto"/>
              </w:rPr>
              <w:tab/>
            </w:r>
            <w:r>
              <w:rPr>
                <w:rFonts w:hint="eastAsia"/>
                <w:color w:val="auto"/>
              </w:rPr>
              <w:t>厂界</w:t>
            </w:r>
            <w:r>
              <w:rPr>
                <w:rFonts w:hint="eastAsia"/>
                <w:color w:val="auto"/>
                <w:lang w:val="en-US" w:eastAsia="zh-CN"/>
              </w:rPr>
              <w:t>无组织臭气浓度</w:t>
            </w:r>
            <w:r>
              <w:rPr>
                <w:rFonts w:hint="eastAsia"/>
                <w:color w:val="auto"/>
              </w:rPr>
              <w:t>自行监测结果</w:t>
            </w:r>
          </w:p>
          <w:tbl>
            <w:tblPr>
              <w:tblStyle w:val="11"/>
              <w:tblW w:w="81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443"/>
              <w:gridCol w:w="1800"/>
              <w:gridCol w:w="3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Align w:val="center"/>
                </w:tcPr>
                <w:p>
                  <w:pPr>
                    <w:pStyle w:val="15"/>
                    <w:rPr>
                      <w:color w:val="auto"/>
                    </w:rPr>
                  </w:pPr>
                  <w:r>
                    <w:rPr>
                      <w:rFonts w:hint="eastAsia"/>
                      <w:color w:val="auto"/>
                      <w:lang w:val="en-US" w:eastAsia="zh-CN"/>
                    </w:rPr>
                    <w:t>检测</w:t>
                  </w:r>
                  <w:r>
                    <w:rPr>
                      <w:rFonts w:hint="eastAsia"/>
                      <w:color w:val="auto"/>
                    </w:rPr>
                    <w:t>点位</w:t>
                  </w:r>
                </w:p>
              </w:tc>
              <w:tc>
                <w:tcPr>
                  <w:tcW w:w="3243" w:type="dxa"/>
                  <w:gridSpan w:val="2"/>
                  <w:vAlign w:val="center"/>
                </w:tcPr>
                <w:p>
                  <w:pPr>
                    <w:pStyle w:val="15"/>
                    <w:rPr>
                      <w:color w:val="auto"/>
                    </w:rPr>
                  </w:pPr>
                  <w:r>
                    <w:rPr>
                      <w:rFonts w:hint="eastAsia"/>
                      <w:color w:val="auto"/>
                      <w:lang w:val="en-US" w:eastAsia="zh-CN"/>
                    </w:rPr>
                    <w:t>采样</w:t>
                  </w:r>
                  <w:r>
                    <w:rPr>
                      <w:rFonts w:hint="eastAsia"/>
                      <w:color w:val="auto"/>
                    </w:rPr>
                    <w:t>时间</w:t>
                  </w:r>
                </w:p>
              </w:tc>
              <w:tc>
                <w:tcPr>
                  <w:tcW w:w="3141" w:type="dxa"/>
                  <w:vAlign w:val="center"/>
                </w:tcPr>
                <w:p>
                  <w:pPr>
                    <w:pStyle w:val="15"/>
                    <w:rPr>
                      <w:rFonts w:hint="eastAsia" w:eastAsia="宋体"/>
                      <w:color w:val="auto"/>
                      <w:lang w:val="en-US" w:eastAsia="zh-CN"/>
                    </w:rPr>
                  </w:pPr>
                  <w:r>
                    <w:rPr>
                      <w:rFonts w:hint="eastAsia"/>
                      <w:color w:val="auto"/>
                      <w:lang w:val="en-US" w:eastAsia="zh-CN"/>
                    </w:rPr>
                    <w:t>臭气浓度（无量纲）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restart"/>
                  <w:vAlign w:val="center"/>
                </w:tcPr>
                <w:p>
                  <w:pPr>
                    <w:pStyle w:val="15"/>
                    <w:rPr>
                      <w:rFonts w:hint="eastAsia" w:eastAsia="宋体"/>
                      <w:color w:val="auto"/>
                      <w:lang w:eastAsia="zh-CN"/>
                    </w:rPr>
                  </w:pPr>
                  <w:r>
                    <w:rPr>
                      <w:rFonts w:hint="eastAsia"/>
                      <w:color w:val="auto"/>
                      <w:lang w:val="en-US" w:eastAsia="zh-CN"/>
                    </w:rPr>
                    <w:t>上风向点位</w:t>
                  </w:r>
                </w:p>
              </w:tc>
              <w:tc>
                <w:tcPr>
                  <w:tcW w:w="1443" w:type="dxa"/>
                  <w:vMerge w:val="restart"/>
                  <w:vAlign w:val="center"/>
                </w:tcPr>
                <w:p>
                  <w:pPr>
                    <w:pStyle w:val="15"/>
                    <w:rPr>
                      <w:rFonts w:hint="default" w:eastAsia="宋体"/>
                      <w:color w:val="auto"/>
                      <w:lang w:val="en-US" w:eastAsia="zh-CN"/>
                    </w:rPr>
                  </w:pPr>
                  <w:r>
                    <w:rPr>
                      <w:rFonts w:hint="eastAsia"/>
                      <w:color w:val="auto"/>
                      <w:lang w:val="en-US" w:eastAsia="zh-CN"/>
                    </w:rPr>
                    <w:t>2023.07.14</w:t>
                  </w:r>
                </w:p>
              </w:tc>
              <w:tc>
                <w:tcPr>
                  <w:tcW w:w="1800" w:type="dxa"/>
                  <w:vAlign w:val="center"/>
                </w:tcPr>
                <w:p>
                  <w:pPr>
                    <w:pStyle w:val="15"/>
                    <w:rPr>
                      <w:rFonts w:hint="default" w:eastAsia="宋体"/>
                      <w:color w:val="auto"/>
                      <w:lang w:val="en-US" w:eastAsia="zh-CN"/>
                    </w:rPr>
                  </w:pPr>
                  <w:r>
                    <w:rPr>
                      <w:rFonts w:hint="eastAsia"/>
                      <w:color w:val="auto"/>
                      <w:lang w:val="en-US" w:eastAsia="zh-CN"/>
                    </w:rPr>
                    <w:t>11:09</w:t>
                  </w:r>
                </w:p>
              </w:tc>
              <w:tc>
                <w:tcPr>
                  <w:tcW w:w="3141" w:type="dxa"/>
                  <w:vAlign w:val="center"/>
                </w:tcPr>
                <w:p>
                  <w:pPr>
                    <w:pStyle w:val="15"/>
                    <w:rPr>
                      <w:rFonts w:hint="default"/>
                      <w:color w:val="auto"/>
                      <w:lang w:val="en-US"/>
                    </w:rPr>
                  </w:pP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rFonts w:hint="eastAsia"/>
                      <w:color w:val="auto"/>
                      <w:lang w:val="en-US" w:eastAsia="zh-CN"/>
                    </w:rPr>
                  </w:pPr>
                </w:p>
              </w:tc>
              <w:tc>
                <w:tcPr>
                  <w:tcW w:w="1443" w:type="dxa"/>
                  <w:vMerge w:val="continue"/>
                  <w:vAlign w:val="center"/>
                </w:tcPr>
                <w:p>
                  <w:pPr>
                    <w:pStyle w:val="15"/>
                    <w:rPr>
                      <w:color w:val="auto"/>
                    </w:rPr>
                  </w:pPr>
                </w:p>
              </w:tc>
              <w:tc>
                <w:tcPr>
                  <w:tcW w:w="1800" w:type="dxa"/>
                  <w:vAlign w:val="center"/>
                </w:tcPr>
                <w:p>
                  <w:pPr>
                    <w:pStyle w:val="15"/>
                    <w:rPr>
                      <w:rFonts w:hint="default" w:eastAsia="宋体"/>
                      <w:color w:val="auto"/>
                      <w:lang w:val="en-US" w:eastAsia="zh-CN"/>
                    </w:rPr>
                  </w:pPr>
                  <w:r>
                    <w:rPr>
                      <w:rFonts w:hint="eastAsia"/>
                      <w:color w:val="auto"/>
                      <w:lang w:val="en-US" w:eastAsia="zh-CN"/>
                    </w:rPr>
                    <w:t>12:37</w:t>
                  </w:r>
                </w:p>
              </w:tc>
              <w:tc>
                <w:tcPr>
                  <w:tcW w:w="3141" w:type="dxa"/>
                  <w:vAlign w:val="center"/>
                </w:tcPr>
                <w:p>
                  <w:pPr>
                    <w:pStyle w:val="15"/>
                    <w:rPr>
                      <w:color w:val="auto"/>
                    </w:rPr>
                  </w:pP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rFonts w:hint="eastAsia"/>
                      <w:color w:val="auto"/>
                      <w:lang w:val="en-US" w:eastAsia="zh-CN"/>
                    </w:rPr>
                  </w:pPr>
                </w:p>
              </w:tc>
              <w:tc>
                <w:tcPr>
                  <w:tcW w:w="1443" w:type="dxa"/>
                  <w:vMerge w:val="continue"/>
                  <w:vAlign w:val="center"/>
                </w:tcPr>
                <w:p>
                  <w:pPr>
                    <w:pStyle w:val="15"/>
                    <w:rPr>
                      <w:color w:val="auto"/>
                    </w:rPr>
                  </w:pPr>
                </w:p>
              </w:tc>
              <w:tc>
                <w:tcPr>
                  <w:tcW w:w="1800" w:type="dxa"/>
                  <w:vAlign w:val="center"/>
                </w:tcPr>
                <w:p>
                  <w:pPr>
                    <w:pStyle w:val="15"/>
                    <w:rPr>
                      <w:rFonts w:hint="default" w:eastAsia="宋体"/>
                      <w:color w:val="auto"/>
                      <w:lang w:val="en-US" w:eastAsia="zh-CN"/>
                    </w:rPr>
                  </w:pPr>
                  <w:r>
                    <w:rPr>
                      <w:rFonts w:hint="eastAsia"/>
                      <w:color w:val="auto"/>
                      <w:lang w:val="en-US" w:eastAsia="zh-CN"/>
                    </w:rPr>
                    <w:t>14:08</w:t>
                  </w:r>
                </w:p>
              </w:tc>
              <w:tc>
                <w:tcPr>
                  <w:tcW w:w="3141" w:type="dxa"/>
                  <w:vAlign w:val="center"/>
                </w:tcPr>
                <w:p>
                  <w:pPr>
                    <w:pStyle w:val="15"/>
                    <w:rPr>
                      <w:color w:val="auto"/>
                    </w:rPr>
                  </w:pP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color w:val="auto"/>
                    </w:rPr>
                  </w:pPr>
                </w:p>
              </w:tc>
              <w:tc>
                <w:tcPr>
                  <w:tcW w:w="1443" w:type="dxa"/>
                  <w:vMerge w:val="continue"/>
                  <w:vAlign w:val="center"/>
                </w:tcPr>
                <w:p>
                  <w:pPr>
                    <w:pStyle w:val="15"/>
                    <w:rPr>
                      <w:color w:val="auto"/>
                    </w:rPr>
                  </w:pPr>
                </w:p>
              </w:tc>
              <w:tc>
                <w:tcPr>
                  <w:tcW w:w="1800" w:type="dxa"/>
                  <w:vAlign w:val="center"/>
                </w:tcPr>
                <w:p>
                  <w:pPr>
                    <w:pStyle w:val="15"/>
                    <w:rPr>
                      <w:rFonts w:hint="default" w:eastAsia="宋体"/>
                      <w:color w:val="auto"/>
                      <w:lang w:val="en-US" w:eastAsia="zh-CN"/>
                    </w:rPr>
                  </w:pPr>
                  <w:r>
                    <w:rPr>
                      <w:rFonts w:hint="eastAsia"/>
                      <w:color w:val="auto"/>
                      <w:lang w:val="en-US" w:eastAsia="zh-CN"/>
                    </w:rPr>
                    <w:t>15:38</w:t>
                  </w:r>
                </w:p>
              </w:tc>
              <w:tc>
                <w:tcPr>
                  <w:tcW w:w="3141" w:type="dxa"/>
                  <w:vAlign w:val="center"/>
                </w:tcPr>
                <w:p>
                  <w:pPr>
                    <w:pStyle w:val="15"/>
                    <w:rPr>
                      <w:color w:val="auto"/>
                    </w:rPr>
                  </w:pPr>
                  <w:r>
                    <w:rPr>
                      <w:rFonts w:hint="eastAsia"/>
                      <w:color w:va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restart"/>
                  <w:vAlign w:val="center"/>
                </w:tcPr>
                <w:p>
                  <w:pPr>
                    <w:pStyle w:val="15"/>
                    <w:rPr>
                      <w:rFonts w:hint="default" w:eastAsia="宋体"/>
                      <w:color w:val="auto"/>
                      <w:lang w:val="en-US" w:eastAsia="zh-CN"/>
                    </w:rPr>
                  </w:pPr>
                  <w:r>
                    <w:rPr>
                      <w:rFonts w:hint="eastAsia"/>
                      <w:color w:val="auto"/>
                      <w:lang w:val="en-US" w:eastAsia="zh-CN"/>
                    </w:rPr>
                    <w:t>下风向1#点位</w:t>
                  </w:r>
                </w:p>
              </w:tc>
              <w:tc>
                <w:tcPr>
                  <w:tcW w:w="1443" w:type="dxa"/>
                  <w:vMerge w:val="restart"/>
                  <w:vAlign w:val="center"/>
                </w:tcPr>
                <w:p>
                  <w:pPr>
                    <w:pStyle w:val="15"/>
                    <w:rPr>
                      <w:color w:val="auto"/>
                    </w:rPr>
                  </w:pPr>
                  <w:r>
                    <w:rPr>
                      <w:rFonts w:hint="eastAsia"/>
                      <w:color w:val="auto"/>
                      <w:lang w:val="en-US" w:eastAsia="zh-CN"/>
                    </w:rPr>
                    <w:t>2023.07.14</w:t>
                  </w: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11:17</w:t>
                  </w:r>
                </w:p>
              </w:tc>
              <w:tc>
                <w:tcPr>
                  <w:tcW w:w="3141" w:type="dxa"/>
                  <w:vAlign w:val="center"/>
                </w:tcPr>
                <w:p>
                  <w:pPr>
                    <w:pStyle w:val="15"/>
                    <w:rPr>
                      <w:rFonts w:hint="default" w:eastAsia="宋体"/>
                      <w:color w:val="auto"/>
                      <w:lang w:val="en-US" w:eastAsia="zh-CN"/>
                    </w:rPr>
                  </w:pPr>
                  <w:r>
                    <w:rPr>
                      <w:rFonts w:hint="eastAsia"/>
                      <w:color w:val="auto"/>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rFonts w:hint="eastAsia"/>
                      <w:color w:val="auto"/>
                      <w:lang w:val="en-US" w:eastAsia="zh-CN"/>
                    </w:rPr>
                  </w:pPr>
                </w:p>
              </w:tc>
              <w:tc>
                <w:tcPr>
                  <w:tcW w:w="1443" w:type="dxa"/>
                  <w:vMerge w:val="continue"/>
                  <w:vAlign w:val="center"/>
                </w:tcPr>
                <w:p>
                  <w:pPr>
                    <w:pStyle w:val="15"/>
                    <w:rPr>
                      <w:color w:val="auto"/>
                    </w:rPr>
                  </w:pP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12:46</w:t>
                  </w:r>
                </w:p>
              </w:tc>
              <w:tc>
                <w:tcPr>
                  <w:tcW w:w="3141" w:type="dxa"/>
                  <w:vAlign w:val="center"/>
                </w:tcPr>
                <w:p>
                  <w:pPr>
                    <w:pStyle w:val="15"/>
                    <w:rPr>
                      <w:rFonts w:hint="default" w:eastAsia="宋体"/>
                      <w:color w:val="auto"/>
                      <w:lang w:val="en-US" w:eastAsia="zh-CN"/>
                    </w:rPr>
                  </w:pPr>
                  <w:r>
                    <w:rPr>
                      <w:rFonts w:hint="eastAsia"/>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rFonts w:hint="eastAsia"/>
                      <w:color w:val="auto"/>
                      <w:lang w:val="en-US" w:eastAsia="zh-CN"/>
                    </w:rPr>
                  </w:pPr>
                </w:p>
              </w:tc>
              <w:tc>
                <w:tcPr>
                  <w:tcW w:w="1443" w:type="dxa"/>
                  <w:vMerge w:val="continue"/>
                  <w:vAlign w:val="center"/>
                </w:tcPr>
                <w:p>
                  <w:pPr>
                    <w:pStyle w:val="15"/>
                    <w:rPr>
                      <w:color w:val="auto"/>
                    </w:rPr>
                  </w:pP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14:16</w:t>
                  </w:r>
                </w:p>
              </w:tc>
              <w:tc>
                <w:tcPr>
                  <w:tcW w:w="3141" w:type="dxa"/>
                  <w:vAlign w:val="center"/>
                </w:tcPr>
                <w:p>
                  <w:pPr>
                    <w:pStyle w:val="15"/>
                    <w:rPr>
                      <w:rFonts w:hint="default" w:eastAsia="宋体"/>
                      <w:color w:val="auto"/>
                      <w:lang w:val="en-US" w:eastAsia="zh-CN"/>
                    </w:rPr>
                  </w:pPr>
                  <w:r>
                    <w:rPr>
                      <w:rFonts w:hint="eastAsia"/>
                      <w:color w:val="auto"/>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color w:val="auto"/>
                    </w:rPr>
                  </w:pPr>
                </w:p>
              </w:tc>
              <w:tc>
                <w:tcPr>
                  <w:tcW w:w="1443" w:type="dxa"/>
                  <w:vMerge w:val="continue"/>
                  <w:vAlign w:val="center"/>
                </w:tcPr>
                <w:p>
                  <w:pPr>
                    <w:pStyle w:val="15"/>
                    <w:rPr>
                      <w:color w:val="auto"/>
                    </w:rPr>
                  </w:pP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15:49</w:t>
                  </w:r>
                </w:p>
              </w:tc>
              <w:tc>
                <w:tcPr>
                  <w:tcW w:w="3141" w:type="dxa"/>
                  <w:vAlign w:val="center"/>
                </w:tcPr>
                <w:p>
                  <w:pPr>
                    <w:pStyle w:val="15"/>
                    <w:rPr>
                      <w:rFonts w:hint="default" w:eastAsia="宋体"/>
                      <w:color w:val="auto"/>
                      <w:lang w:val="en-US" w:eastAsia="zh-CN"/>
                    </w:rPr>
                  </w:pPr>
                  <w:r>
                    <w:rPr>
                      <w:rFonts w:hint="eastAsia"/>
                      <w:color w:val="auto"/>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restart"/>
                  <w:vAlign w:val="center"/>
                </w:tcPr>
                <w:p>
                  <w:pPr>
                    <w:pStyle w:val="15"/>
                    <w:rPr>
                      <w:color w:val="auto"/>
                    </w:rPr>
                  </w:pPr>
                  <w:r>
                    <w:rPr>
                      <w:rFonts w:hint="eastAsia"/>
                      <w:color w:val="auto"/>
                      <w:lang w:val="en-US" w:eastAsia="zh-CN"/>
                    </w:rPr>
                    <w:t>下风向2#点位</w:t>
                  </w:r>
                </w:p>
              </w:tc>
              <w:tc>
                <w:tcPr>
                  <w:tcW w:w="1443" w:type="dxa"/>
                  <w:vMerge w:val="restart"/>
                  <w:vAlign w:val="center"/>
                </w:tcPr>
                <w:p>
                  <w:pPr>
                    <w:pStyle w:val="15"/>
                    <w:rPr>
                      <w:color w:val="auto"/>
                    </w:rPr>
                  </w:pPr>
                  <w:r>
                    <w:rPr>
                      <w:rFonts w:hint="eastAsia"/>
                      <w:color w:val="auto"/>
                      <w:lang w:val="en-US" w:eastAsia="zh-CN"/>
                    </w:rPr>
                    <w:t>2023.07.14</w:t>
                  </w: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11:25</w:t>
                  </w:r>
                </w:p>
              </w:tc>
              <w:tc>
                <w:tcPr>
                  <w:tcW w:w="3141" w:type="dxa"/>
                  <w:vAlign w:val="center"/>
                </w:tcPr>
                <w:p>
                  <w:pPr>
                    <w:pStyle w:val="15"/>
                    <w:rPr>
                      <w:rFonts w:hint="default" w:eastAsia="宋体"/>
                      <w:color w:val="auto"/>
                      <w:lang w:val="en-US" w:eastAsia="zh-CN"/>
                    </w:rPr>
                  </w:pPr>
                  <w:r>
                    <w:rPr>
                      <w:rFonts w:hint="eastAsia"/>
                      <w:color w:val="auto"/>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rFonts w:hint="eastAsia"/>
                      <w:color w:val="auto"/>
                      <w:lang w:val="en-US" w:eastAsia="zh-CN"/>
                    </w:rPr>
                  </w:pPr>
                </w:p>
              </w:tc>
              <w:tc>
                <w:tcPr>
                  <w:tcW w:w="1443" w:type="dxa"/>
                  <w:vMerge w:val="continue"/>
                  <w:vAlign w:val="center"/>
                </w:tcPr>
                <w:p>
                  <w:pPr>
                    <w:pStyle w:val="15"/>
                    <w:rPr>
                      <w:color w:val="auto"/>
                    </w:rPr>
                  </w:pP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12:54</w:t>
                  </w:r>
                </w:p>
              </w:tc>
              <w:tc>
                <w:tcPr>
                  <w:tcW w:w="3141" w:type="dxa"/>
                  <w:vAlign w:val="center"/>
                </w:tcPr>
                <w:p>
                  <w:pPr>
                    <w:pStyle w:val="15"/>
                    <w:rPr>
                      <w:rFonts w:hint="default" w:eastAsia="宋体"/>
                      <w:color w:val="auto"/>
                      <w:lang w:val="en-US" w:eastAsia="zh-CN"/>
                    </w:rPr>
                  </w:pPr>
                  <w:r>
                    <w:rPr>
                      <w:rFonts w:hint="eastAsia"/>
                      <w:color w:val="auto"/>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rFonts w:hint="eastAsia"/>
                      <w:color w:val="auto"/>
                      <w:lang w:val="en-US" w:eastAsia="zh-CN"/>
                    </w:rPr>
                  </w:pPr>
                </w:p>
              </w:tc>
              <w:tc>
                <w:tcPr>
                  <w:tcW w:w="1443" w:type="dxa"/>
                  <w:vMerge w:val="continue"/>
                  <w:vAlign w:val="center"/>
                </w:tcPr>
                <w:p>
                  <w:pPr>
                    <w:pStyle w:val="15"/>
                    <w:rPr>
                      <w:color w:val="auto"/>
                    </w:rPr>
                  </w:pP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14:27</w:t>
                  </w:r>
                </w:p>
              </w:tc>
              <w:tc>
                <w:tcPr>
                  <w:tcW w:w="3141" w:type="dxa"/>
                  <w:vAlign w:val="center"/>
                </w:tcPr>
                <w:p>
                  <w:pPr>
                    <w:pStyle w:val="15"/>
                    <w:rPr>
                      <w:rFonts w:hint="default" w:eastAsia="宋体"/>
                      <w:color w:val="auto"/>
                      <w:lang w:val="en-US" w:eastAsia="zh-CN"/>
                    </w:rPr>
                  </w:pPr>
                  <w:r>
                    <w:rPr>
                      <w:rFonts w:hint="eastAsia"/>
                      <w:color w:val="auto"/>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color w:val="auto"/>
                    </w:rPr>
                  </w:pPr>
                </w:p>
              </w:tc>
              <w:tc>
                <w:tcPr>
                  <w:tcW w:w="1443" w:type="dxa"/>
                  <w:vMerge w:val="continue"/>
                  <w:vAlign w:val="center"/>
                </w:tcPr>
                <w:p>
                  <w:pPr>
                    <w:pStyle w:val="15"/>
                    <w:rPr>
                      <w:color w:val="auto"/>
                    </w:rPr>
                  </w:pP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16:00</w:t>
                  </w:r>
                </w:p>
              </w:tc>
              <w:tc>
                <w:tcPr>
                  <w:tcW w:w="3141" w:type="dxa"/>
                  <w:vAlign w:val="center"/>
                </w:tcPr>
                <w:p>
                  <w:pPr>
                    <w:pStyle w:val="15"/>
                    <w:rPr>
                      <w:rFonts w:hint="default" w:eastAsia="宋体"/>
                      <w:color w:val="auto"/>
                      <w:lang w:val="en-US" w:eastAsia="zh-CN"/>
                    </w:rPr>
                  </w:pPr>
                  <w:r>
                    <w:rPr>
                      <w:rFonts w:hint="eastAsia"/>
                      <w:color w:val="auto"/>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restart"/>
                  <w:vAlign w:val="center"/>
                </w:tcPr>
                <w:p>
                  <w:pPr>
                    <w:pStyle w:val="15"/>
                    <w:rPr>
                      <w:color w:val="auto"/>
                    </w:rPr>
                  </w:pPr>
                  <w:r>
                    <w:rPr>
                      <w:rFonts w:hint="eastAsia"/>
                      <w:color w:val="auto"/>
                      <w:lang w:val="en-US" w:eastAsia="zh-CN"/>
                    </w:rPr>
                    <w:t>下风向3#点位</w:t>
                  </w:r>
                </w:p>
              </w:tc>
              <w:tc>
                <w:tcPr>
                  <w:tcW w:w="1443" w:type="dxa"/>
                  <w:vMerge w:val="restart"/>
                  <w:vAlign w:val="center"/>
                </w:tcPr>
                <w:p>
                  <w:pPr>
                    <w:pStyle w:val="15"/>
                    <w:rPr>
                      <w:color w:val="auto"/>
                    </w:rPr>
                  </w:pPr>
                  <w:r>
                    <w:rPr>
                      <w:rFonts w:hint="eastAsia"/>
                      <w:color w:val="auto"/>
                      <w:lang w:val="en-US" w:eastAsia="zh-CN"/>
                    </w:rPr>
                    <w:t>2023.07.14</w:t>
                  </w: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11:39</w:t>
                  </w:r>
                </w:p>
              </w:tc>
              <w:tc>
                <w:tcPr>
                  <w:tcW w:w="3141" w:type="dxa"/>
                  <w:vAlign w:val="center"/>
                </w:tcPr>
                <w:p>
                  <w:pPr>
                    <w:pStyle w:val="15"/>
                    <w:rPr>
                      <w:rFonts w:hint="default" w:eastAsia="宋体"/>
                      <w:color w:val="auto"/>
                      <w:lang w:val="en-US" w:eastAsia="zh-CN"/>
                    </w:rPr>
                  </w:pPr>
                  <w:r>
                    <w:rPr>
                      <w:rFonts w:hint="eastAsia"/>
                      <w:color w:va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rFonts w:hint="eastAsia"/>
                      <w:color w:val="auto"/>
                      <w:lang w:val="en-US" w:eastAsia="zh-CN"/>
                    </w:rPr>
                  </w:pPr>
                </w:p>
              </w:tc>
              <w:tc>
                <w:tcPr>
                  <w:tcW w:w="1443" w:type="dxa"/>
                  <w:vMerge w:val="continue"/>
                  <w:vAlign w:val="center"/>
                </w:tcPr>
                <w:p>
                  <w:pPr>
                    <w:pStyle w:val="15"/>
                    <w:rPr>
                      <w:color w:val="auto"/>
                    </w:rPr>
                  </w:pP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13:09</w:t>
                  </w:r>
                </w:p>
              </w:tc>
              <w:tc>
                <w:tcPr>
                  <w:tcW w:w="3141" w:type="dxa"/>
                  <w:vAlign w:val="center"/>
                </w:tcPr>
                <w:p>
                  <w:pPr>
                    <w:pStyle w:val="15"/>
                    <w:rPr>
                      <w:rFonts w:hint="default" w:eastAsia="宋体"/>
                      <w:color w:val="auto"/>
                      <w:lang w:val="en-US" w:eastAsia="zh-CN"/>
                    </w:rPr>
                  </w:pPr>
                  <w:r>
                    <w:rPr>
                      <w:rFonts w:hint="eastAsia"/>
                      <w:color w:va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rFonts w:hint="eastAsia"/>
                      <w:color w:val="auto"/>
                      <w:lang w:val="en-US" w:eastAsia="zh-CN"/>
                    </w:rPr>
                  </w:pPr>
                </w:p>
              </w:tc>
              <w:tc>
                <w:tcPr>
                  <w:tcW w:w="1443" w:type="dxa"/>
                  <w:vMerge w:val="continue"/>
                  <w:vAlign w:val="center"/>
                </w:tcPr>
                <w:p>
                  <w:pPr>
                    <w:pStyle w:val="15"/>
                    <w:rPr>
                      <w:color w:val="auto"/>
                    </w:rPr>
                  </w:pP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14:38</w:t>
                  </w:r>
                </w:p>
              </w:tc>
              <w:tc>
                <w:tcPr>
                  <w:tcW w:w="3141" w:type="dxa"/>
                  <w:vAlign w:val="center"/>
                </w:tcPr>
                <w:p>
                  <w:pPr>
                    <w:pStyle w:val="15"/>
                    <w:rPr>
                      <w:rFonts w:hint="default" w:eastAsia="宋体"/>
                      <w:color w:val="auto"/>
                      <w:lang w:val="en-US" w:eastAsia="zh-CN"/>
                    </w:rPr>
                  </w:pPr>
                  <w:r>
                    <w:rPr>
                      <w:rFonts w:hint="eastAsia"/>
                      <w:color w:val="auto"/>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Merge w:val="continue"/>
                  <w:vAlign w:val="center"/>
                </w:tcPr>
                <w:p>
                  <w:pPr>
                    <w:pStyle w:val="15"/>
                    <w:rPr>
                      <w:color w:val="auto"/>
                    </w:rPr>
                  </w:pPr>
                </w:p>
              </w:tc>
              <w:tc>
                <w:tcPr>
                  <w:tcW w:w="1443" w:type="dxa"/>
                  <w:vMerge w:val="continue"/>
                  <w:vAlign w:val="center"/>
                </w:tcPr>
                <w:p>
                  <w:pPr>
                    <w:pStyle w:val="15"/>
                    <w:rPr>
                      <w:color w:val="auto"/>
                    </w:rPr>
                  </w:pPr>
                </w:p>
              </w:tc>
              <w:tc>
                <w:tcPr>
                  <w:tcW w:w="1800" w:type="dxa"/>
                  <w:vAlign w:val="center"/>
                </w:tcPr>
                <w:p>
                  <w:pPr>
                    <w:pStyle w:val="15"/>
                    <w:ind w:firstLine="0" w:firstLineChars="0"/>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16:12</w:t>
                  </w:r>
                </w:p>
              </w:tc>
              <w:tc>
                <w:tcPr>
                  <w:tcW w:w="3141" w:type="dxa"/>
                  <w:vAlign w:val="center"/>
                </w:tcPr>
                <w:p>
                  <w:pPr>
                    <w:pStyle w:val="15"/>
                    <w:rPr>
                      <w:rFonts w:hint="default" w:eastAsia="宋体"/>
                      <w:color w:val="auto"/>
                      <w:lang w:val="en-US" w:eastAsia="zh-CN"/>
                    </w:rPr>
                  </w:pPr>
                  <w:r>
                    <w:rPr>
                      <w:rFonts w:hint="eastAsia"/>
                      <w:color w:val="auto"/>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9"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备注</w:t>
                  </w:r>
                </w:p>
              </w:tc>
              <w:tc>
                <w:tcPr>
                  <w:tcW w:w="6384" w:type="dxa"/>
                  <w:gridSpan w:val="3"/>
                  <w:vAlign w:val="center"/>
                </w:tcPr>
                <w:p>
                  <w:pPr>
                    <w:pStyle w:val="15"/>
                    <w:bidi w:val="0"/>
                    <w:ind w:firstLine="0" w:firstLineChars="0"/>
                    <w:jc w:val="left"/>
                    <w:rPr>
                      <w:rFonts w:hint="default" w:ascii="Times New Roman" w:hAnsi="Times New Roman" w:eastAsia="宋体" w:cs="Times New Roman"/>
                      <w:color w:val="auto"/>
                      <w:kern w:val="2"/>
                      <w:sz w:val="21"/>
                      <w:szCs w:val="21"/>
                      <w:lang w:val="en-US" w:eastAsia="zh-CN" w:bidi="ar-SA"/>
                    </w:rPr>
                  </w:pPr>
                  <w:r>
                    <w:rPr>
                      <w:rFonts w:hint="eastAsia"/>
                      <w:color w:val="auto"/>
                      <w:lang w:val="en-US" w:eastAsia="zh-CN"/>
                    </w:rPr>
                    <w:t>“＜”表示检测结果低于分析方法最低方法检出限或范围。</w:t>
                  </w:r>
                </w:p>
              </w:tc>
            </w:tr>
          </w:tbl>
          <w:p>
            <w:pPr>
              <w:ind w:firstLine="480"/>
              <w:rPr>
                <w:rFonts w:hint="eastAsia"/>
                <w:color w:val="auto"/>
                <w:lang w:val="en-US" w:eastAsia="zh-CN"/>
              </w:rPr>
            </w:pPr>
            <w:r>
              <w:rPr>
                <w:rFonts w:hint="eastAsia"/>
                <w:color w:val="auto"/>
                <w:lang w:val="en-US" w:eastAsia="zh-CN"/>
              </w:rPr>
              <w:t>根据以上检测结果可知，现有项目厂界无组织颗粒物、氟化物排放浓度均满足《大气污染物综合排放标准》（GB16297-1996）表2无组织排放监控浓度限值，即：颗粒物1.0mg/m</w:t>
            </w:r>
            <w:r>
              <w:rPr>
                <w:rFonts w:hint="eastAsia"/>
                <w:color w:val="auto"/>
                <w:vertAlign w:val="superscript"/>
                <w:lang w:val="en-US" w:eastAsia="zh-CN"/>
              </w:rPr>
              <w:t>3</w:t>
            </w:r>
            <w:r>
              <w:rPr>
                <w:rFonts w:hint="eastAsia"/>
                <w:color w:val="auto"/>
                <w:vertAlign w:val="baseline"/>
                <w:lang w:val="en-US" w:eastAsia="zh-CN"/>
              </w:rPr>
              <w:t>、</w:t>
            </w:r>
            <w:r>
              <w:rPr>
                <w:rFonts w:hint="eastAsia"/>
                <w:color w:val="auto"/>
                <w:lang w:val="en-US" w:eastAsia="zh-CN"/>
              </w:rPr>
              <w:t>氟化物20ug/m</w:t>
            </w:r>
            <w:r>
              <w:rPr>
                <w:rFonts w:hint="eastAsia"/>
                <w:color w:val="auto"/>
                <w:vertAlign w:val="superscript"/>
                <w:lang w:val="en-US" w:eastAsia="zh-CN"/>
              </w:rPr>
              <w:t>3</w:t>
            </w:r>
            <w:r>
              <w:rPr>
                <w:rFonts w:hint="eastAsia"/>
                <w:color w:val="auto"/>
                <w:vertAlign w:val="baseline"/>
                <w:lang w:val="en-US" w:eastAsia="zh-CN"/>
              </w:rPr>
              <w:t>；</w:t>
            </w:r>
            <w:r>
              <w:rPr>
                <w:rFonts w:hint="eastAsia"/>
                <w:color w:val="auto"/>
                <w:lang w:val="en-US" w:eastAsia="zh-CN"/>
              </w:rPr>
              <w:t>厂界无组织氨、硫化氢、臭气浓度均满足《恶臭污染物排放标准》（GB 14554-93）表1二级新改扩建标准值，即：氨1.5mg/m</w:t>
            </w:r>
            <w:r>
              <w:rPr>
                <w:rFonts w:hint="eastAsia"/>
                <w:color w:val="auto"/>
                <w:vertAlign w:val="superscript"/>
                <w:lang w:val="en-US" w:eastAsia="zh-CN"/>
              </w:rPr>
              <w:t>3</w:t>
            </w:r>
            <w:r>
              <w:rPr>
                <w:rFonts w:hint="eastAsia"/>
                <w:color w:val="auto"/>
                <w:lang w:val="en-US" w:eastAsia="zh-CN"/>
              </w:rPr>
              <w:t>、硫化氢0.06mg/m</w:t>
            </w:r>
            <w:r>
              <w:rPr>
                <w:rFonts w:hint="eastAsia"/>
                <w:color w:val="auto"/>
                <w:vertAlign w:val="superscript"/>
                <w:lang w:val="en-US" w:eastAsia="zh-CN"/>
              </w:rPr>
              <w:t>3</w:t>
            </w:r>
            <w:r>
              <w:rPr>
                <w:rFonts w:hint="eastAsia"/>
                <w:color w:val="auto"/>
                <w:lang w:val="en-US" w:eastAsia="zh-CN"/>
              </w:rPr>
              <w:t>、臭气浓度20（无量纲）。</w:t>
            </w:r>
          </w:p>
          <w:p>
            <w:pPr>
              <w:ind w:firstLine="480"/>
              <w:rPr>
                <w:rFonts w:hint="default"/>
                <w:color w:val="auto"/>
                <w:lang w:val="en-US" w:eastAsia="zh-CN"/>
              </w:rPr>
            </w:pPr>
            <w:r>
              <w:rPr>
                <w:rFonts w:hint="eastAsia"/>
                <w:color w:val="auto"/>
                <w:lang w:val="en-US" w:eastAsia="zh-CN"/>
              </w:rPr>
              <w:t>综上所述，原有项目全厂厂界无组织废气均实现达标排放。</w:t>
            </w:r>
          </w:p>
          <w:p>
            <w:pPr>
              <w:ind w:firstLine="480"/>
              <w:rPr>
                <w:color w:val="auto"/>
              </w:rPr>
            </w:pPr>
            <w:r>
              <w:rPr>
                <w:rFonts w:hint="eastAsia"/>
                <w:color w:val="auto"/>
              </w:rPr>
              <w:t>2、</w:t>
            </w:r>
            <w:r>
              <w:rPr>
                <w:color w:val="auto"/>
              </w:rPr>
              <w:t>废水</w:t>
            </w:r>
          </w:p>
          <w:p>
            <w:pPr>
              <w:ind w:firstLine="480"/>
              <w:rPr>
                <w:color w:val="auto"/>
              </w:rPr>
            </w:pPr>
            <w:r>
              <w:rPr>
                <w:rFonts w:hint="eastAsia"/>
                <w:color w:val="auto"/>
              </w:rPr>
              <w:t>现有</w:t>
            </w:r>
            <w:r>
              <w:rPr>
                <w:color w:val="auto"/>
              </w:rPr>
              <w:t>项目产生</w:t>
            </w:r>
            <w:r>
              <w:rPr>
                <w:rFonts w:hint="eastAsia"/>
                <w:color w:val="auto"/>
              </w:rPr>
              <w:t>的废水主要为初期雨水、除尘废水、渗滤液和生活污水。</w:t>
            </w:r>
          </w:p>
          <w:p>
            <w:pPr>
              <w:ind w:firstLine="480"/>
              <w:rPr>
                <w:color w:val="auto"/>
              </w:rPr>
            </w:pPr>
            <w:r>
              <w:rPr>
                <w:color w:val="auto"/>
              </w:rPr>
              <w:t>初期雨水</w:t>
            </w:r>
            <w:r>
              <w:rPr>
                <w:rFonts w:hint="eastAsia"/>
                <w:color w:val="auto"/>
              </w:rPr>
              <w:t>：厂区已设置</w:t>
            </w:r>
            <w:r>
              <w:rPr>
                <w:color w:val="auto"/>
              </w:rPr>
              <w:t>3150m</w:t>
            </w:r>
            <w:r>
              <w:rPr>
                <w:color w:val="auto"/>
                <w:vertAlign w:val="superscript"/>
              </w:rPr>
              <w:t>3</w:t>
            </w:r>
            <w:r>
              <w:rPr>
                <w:color w:val="auto"/>
              </w:rPr>
              <w:t>初期雨水收集池</w:t>
            </w:r>
            <w:r>
              <w:rPr>
                <w:rFonts w:hint="eastAsia"/>
                <w:color w:val="auto"/>
              </w:rPr>
              <w:t>1座</w:t>
            </w:r>
            <w:r>
              <w:rPr>
                <w:color w:val="auto"/>
              </w:rPr>
              <w:t>，对初期雨水收集沉淀后回用于生产</w:t>
            </w:r>
            <w:r>
              <w:rPr>
                <w:rFonts w:hint="eastAsia"/>
                <w:color w:val="auto"/>
              </w:rPr>
              <w:t>。</w:t>
            </w:r>
          </w:p>
          <w:p>
            <w:pPr>
              <w:ind w:firstLine="480"/>
              <w:rPr>
                <w:color w:val="auto"/>
              </w:rPr>
            </w:pPr>
            <w:r>
              <w:rPr>
                <w:color w:val="auto"/>
              </w:rPr>
              <w:t>除尘废水</w:t>
            </w:r>
            <w:r>
              <w:rPr>
                <w:rFonts w:hint="eastAsia"/>
                <w:color w:val="auto"/>
              </w:rPr>
              <w:t>：喷淋除尘产生的除尘废水</w:t>
            </w:r>
            <w:r>
              <w:rPr>
                <w:color w:val="auto"/>
              </w:rPr>
              <w:t>经沉淀池处理后循环利用</w:t>
            </w:r>
            <w:r>
              <w:rPr>
                <w:rFonts w:hint="eastAsia"/>
                <w:color w:val="auto"/>
              </w:rPr>
              <w:t>。</w:t>
            </w:r>
          </w:p>
          <w:p>
            <w:pPr>
              <w:ind w:firstLine="480"/>
              <w:rPr>
                <w:color w:val="auto"/>
              </w:rPr>
            </w:pPr>
            <w:r>
              <w:rPr>
                <w:color w:val="auto"/>
              </w:rPr>
              <w:t>渗滤液</w:t>
            </w:r>
            <w:r>
              <w:rPr>
                <w:rFonts w:hint="eastAsia"/>
                <w:color w:val="auto"/>
              </w:rPr>
              <w:t>：产生量为99m</w:t>
            </w:r>
            <w:r>
              <w:rPr>
                <w:rFonts w:hint="eastAsia"/>
                <w:color w:val="auto"/>
                <w:vertAlign w:val="superscript"/>
              </w:rPr>
              <w:t>3</w:t>
            </w:r>
            <w:r>
              <w:rPr>
                <w:rFonts w:hint="eastAsia"/>
                <w:color w:val="auto"/>
              </w:rPr>
              <w:t>/a，</w:t>
            </w:r>
            <w:r>
              <w:rPr>
                <w:color w:val="auto"/>
              </w:rPr>
              <w:t>有机肥生产过程中产生的渗滤液经收集后定期会喷用于有机肥发酵，不外排。</w:t>
            </w:r>
          </w:p>
          <w:p>
            <w:pPr>
              <w:ind w:firstLine="480"/>
              <w:rPr>
                <w:color w:val="auto"/>
              </w:rPr>
            </w:pPr>
            <w:r>
              <w:rPr>
                <w:color w:val="auto"/>
              </w:rPr>
              <w:t>生活污水</w:t>
            </w:r>
            <w:r>
              <w:rPr>
                <w:rFonts w:hint="eastAsia"/>
                <w:color w:val="auto"/>
              </w:rPr>
              <w:t>：</w:t>
            </w:r>
            <w:r>
              <w:rPr>
                <w:color w:val="auto"/>
              </w:rPr>
              <w:t>产生量</w:t>
            </w:r>
            <w:r>
              <w:rPr>
                <w:rFonts w:hint="eastAsia"/>
                <w:color w:val="auto"/>
              </w:rPr>
              <w:t>2</w:t>
            </w:r>
            <w:r>
              <w:rPr>
                <w:color w:val="auto"/>
              </w:rPr>
              <w:t>536m</w:t>
            </w:r>
            <w:r>
              <w:rPr>
                <w:color w:val="auto"/>
                <w:vertAlign w:val="superscript"/>
              </w:rPr>
              <w:t>3</w:t>
            </w:r>
            <w:r>
              <w:rPr>
                <w:color w:val="auto"/>
              </w:rPr>
              <w:t>/a，生活污水经</w:t>
            </w:r>
            <w:r>
              <w:rPr>
                <w:rFonts w:hint="eastAsia"/>
                <w:color w:val="auto"/>
              </w:rPr>
              <w:t>生活污水处理设施处理后</w:t>
            </w:r>
            <w:r>
              <w:rPr>
                <w:color w:val="auto"/>
              </w:rPr>
              <w:t>主要</w:t>
            </w:r>
            <w:r>
              <w:rPr>
                <w:rFonts w:hint="eastAsia"/>
                <w:color w:val="auto"/>
              </w:rPr>
              <w:t>回用于厂区绿化</w:t>
            </w:r>
            <w:r>
              <w:rPr>
                <w:color w:val="auto"/>
              </w:rPr>
              <w:t>，不外排。</w:t>
            </w:r>
          </w:p>
          <w:p>
            <w:pPr>
              <w:ind w:firstLine="480"/>
              <w:rPr>
                <w:color w:val="auto"/>
              </w:rPr>
            </w:pPr>
            <w:r>
              <w:rPr>
                <w:rFonts w:hint="eastAsia"/>
                <w:color w:val="auto"/>
              </w:rPr>
              <w:t>3、</w:t>
            </w:r>
            <w:r>
              <w:rPr>
                <w:color w:val="auto"/>
              </w:rPr>
              <w:t>噪声</w:t>
            </w:r>
          </w:p>
          <w:p>
            <w:pPr>
              <w:ind w:firstLine="480"/>
              <w:rPr>
                <w:color w:val="auto"/>
              </w:rPr>
            </w:pPr>
            <w:r>
              <w:rPr>
                <w:color w:val="auto"/>
              </w:rPr>
              <w:t>现有工程设备均置于封闭车间内，通过房墙隔声、绿化吸声和距离衰减等降噪措施。</w:t>
            </w:r>
            <w:r>
              <w:rPr>
                <w:rFonts w:hint="eastAsia"/>
                <w:color w:val="auto"/>
              </w:rPr>
              <w:t>根据昆明红海磷肥有限责任公司2023年</w:t>
            </w:r>
            <w:r>
              <w:rPr>
                <w:rFonts w:hint="eastAsia"/>
                <w:color w:val="auto"/>
                <w:lang w:val="en-US" w:eastAsia="zh-CN"/>
              </w:rPr>
              <w:t>1-10月</w:t>
            </w:r>
            <w:r>
              <w:rPr>
                <w:rFonts w:hint="eastAsia"/>
                <w:color w:val="auto"/>
              </w:rPr>
              <w:t>自行监测检测报告，</w:t>
            </w:r>
            <w:r>
              <w:rPr>
                <w:rFonts w:hint="eastAsia"/>
                <w:color w:val="auto"/>
                <w:lang w:val="en-US" w:eastAsia="zh-CN"/>
              </w:rPr>
              <w:t>现有</w:t>
            </w:r>
            <w:r>
              <w:rPr>
                <w:color w:val="auto"/>
              </w:rPr>
              <w:t>项目厂界噪声值能够满足《工业企业厂界环境噪声排放标准》（GB12348-2008）</w:t>
            </w:r>
            <w:r>
              <w:rPr>
                <w:rFonts w:hint="eastAsia"/>
                <w:color w:val="auto"/>
              </w:rPr>
              <w:t>3类</w:t>
            </w:r>
            <w:r>
              <w:rPr>
                <w:color w:val="auto"/>
              </w:rPr>
              <w:t>标准。</w:t>
            </w:r>
            <w:r>
              <w:rPr>
                <w:rFonts w:hint="eastAsia"/>
                <w:color w:val="auto"/>
              </w:rPr>
              <w:t>昆明红海磷肥有限责任公司2023年自行监测（10月）检测报告（报告编号:中佰检字〔2023〕-10006）</w:t>
            </w:r>
            <w:r>
              <w:rPr>
                <w:rFonts w:hint="eastAsia"/>
                <w:color w:val="auto"/>
                <w:lang w:val="en-US" w:eastAsia="zh-CN"/>
              </w:rPr>
              <w:t>噪声</w:t>
            </w:r>
            <w:r>
              <w:rPr>
                <w:rFonts w:hint="eastAsia"/>
                <w:color w:val="auto"/>
              </w:rPr>
              <w:t>监测结果详见下表。</w:t>
            </w:r>
          </w:p>
          <w:p>
            <w:pPr>
              <w:pStyle w:val="14"/>
              <w:rPr>
                <w:color w:val="auto"/>
              </w:rPr>
            </w:pPr>
            <w:r>
              <w:rPr>
                <w:color w:val="auto"/>
              </w:rPr>
              <w:t>表2-</w:t>
            </w:r>
            <w:r>
              <w:rPr>
                <w:rFonts w:hint="eastAsia"/>
                <w:color w:val="auto"/>
                <w:lang w:val="en-US" w:eastAsia="zh-CN"/>
              </w:rPr>
              <w:t>20</w:t>
            </w:r>
            <w:r>
              <w:rPr>
                <w:rFonts w:hint="eastAsia"/>
                <w:color w:val="auto"/>
              </w:rPr>
              <w:t xml:space="preserve"> </w:t>
            </w:r>
            <w:r>
              <w:rPr>
                <w:color w:val="auto"/>
              </w:rPr>
              <w:tab/>
            </w:r>
            <w:r>
              <w:rPr>
                <w:rFonts w:hint="eastAsia"/>
                <w:color w:val="auto"/>
              </w:rPr>
              <w:t>厂界噪声自行监测结果</w:t>
            </w:r>
          </w:p>
          <w:tbl>
            <w:tblPr>
              <w:tblStyle w:val="11"/>
              <w:tblW w:w="8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438"/>
              <w:gridCol w:w="2259"/>
              <w:gridCol w:w="1615"/>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Align w:val="center"/>
                </w:tcPr>
                <w:p>
                  <w:pPr>
                    <w:pStyle w:val="15"/>
                    <w:rPr>
                      <w:color w:val="auto"/>
                    </w:rPr>
                  </w:pPr>
                  <w:r>
                    <w:rPr>
                      <w:rFonts w:hint="eastAsia"/>
                      <w:color w:val="auto"/>
                    </w:rPr>
                    <w:t>监测日期</w:t>
                  </w:r>
                </w:p>
              </w:tc>
              <w:tc>
                <w:tcPr>
                  <w:tcW w:w="1438" w:type="dxa"/>
                  <w:vAlign w:val="center"/>
                </w:tcPr>
                <w:p>
                  <w:pPr>
                    <w:pStyle w:val="15"/>
                    <w:rPr>
                      <w:color w:val="auto"/>
                    </w:rPr>
                  </w:pPr>
                  <w:r>
                    <w:rPr>
                      <w:rFonts w:hint="eastAsia"/>
                      <w:color w:val="auto"/>
                    </w:rPr>
                    <w:t>监测点位</w:t>
                  </w:r>
                </w:p>
              </w:tc>
              <w:tc>
                <w:tcPr>
                  <w:tcW w:w="2259" w:type="dxa"/>
                  <w:vAlign w:val="center"/>
                </w:tcPr>
                <w:p>
                  <w:pPr>
                    <w:pStyle w:val="15"/>
                    <w:rPr>
                      <w:color w:val="auto"/>
                    </w:rPr>
                  </w:pPr>
                  <w:r>
                    <w:rPr>
                      <w:rFonts w:hint="eastAsia"/>
                      <w:color w:val="auto"/>
                    </w:rPr>
                    <w:t>监测时间</w:t>
                  </w:r>
                </w:p>
              </w:tc>
              <w:tc>
                <w:tcPr>
                  <w:tcW w:w="1615" w:type="dxa"/>
                  <w:vAlign w:val="center"/>
                </w:tcPr>
                <w:p>
                  <w:pPr>
                    <w:pStyle w:val="15"/>
                    <w:rPr>
                      <w:color w:val="auto"/>
                    </w:rPr>
                  </w:pPr>
                  <w:r>
                    <w:rPr>
                      <w:rFonts w:hint="eastAsia"/>
                      <w:color w:val="auto"/>
                    </w:rPr>
                    <w:t>等效声级（Leq）</w:t>
                  </w:r>
                </w:p>
              </w:tc>
              <w:tc>
                <w:tcPr>
                  <w:tcW w:w="1603" w:type="dxa"/>
                  <w:vAlign w:val="center"/>
                </w:tcPr>
                <w:p>
                  <w:pPr>
                    <w:pStyle w:val="15"/>
                    <w:rPr>
                      <w:color w:val="auto"/>
                    </w:rPr>
                  </w:pPr>
                  <w:r>
                    <w:rPr>
                      <w:rFonts w:hint="eastAsia"/>
                      <w:color w:val="auto"/>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restart"/>
                  <w:vAlign w:val="center"/>
                </w:tcPr>
                <w:p>
                  <w:pPr>
                    <w:pStyle w:val="15"/>
                    <w:rPr>
                      <w:color w:val="auto"/>
                    </w:rPr>
                  </w:pPr>
                  <w:r>
                    <w:rPr>
                      <w:rFonts w:hint="eastAsia"/>
                      <w:color w:val="auto"/>
                    </w:rPr>
                    <w:t>2023.10.17</w:t>
                  </w:r>
                </w:p>
              </w:tc>
              <w:tc>
                <w:tcPr>
                  <w:tcW w:w="1438" w:type="dxa"/>
                  <w:vMerge w:val="restart"/>
                  <w:vAlign w:val="center"/>
                </w:tcPr>
                <w:p>
                  <w:pPr>
                    <w:pStyle w:val="15"/>
                    <w:rPr>
                      <w:color w:val="auto"/>
                    </w:rPr>
                  </w:pPr>
                  <w:r>
                    <w:rPr>
                      <w:rFonts w:hint="eastAsia"/>
                      <w:color w:val="auto"/>
                    </w:rPr>
                    <w:t>厂界东</w:t>
                  </w:r>
                </w:p>
              </w:tc>
              <w:tc>
                <w:tcPr>
                  <w:tcW w:w="2259" w:type="dxa"/>
                  <w:vAlign w:val="center"/>
                </w:tcPr>
                <w:p>
                  <w:pPr>
                    <w:pStyle w:val="15"/>
                    <w:rPr>
                      <w:color w:val="auto"/>
                    </w:rPr>
                  </w:pPr>
                  <w:r>
                    <w:rPr>
                      <w:rFonts w:hint="eastAsia"/>
                      <w:color w:val="auto"/>
                    </w:rPr>
                    <w:t>昼间（12:48~12:58）</w:t>
                  </w:r>
                </w:p>
              </w:tc>
              <w:tc>
                <w:tcPr>
                  <w:tcW w:w="1615" w:type="dxa"/>
                  <w:vAlign w:val="center"/>
                </w:tcPr>
                <w:p>
                  <w:pPr>
                    <w:pStyle w:val="15"/>
                    <w:rPr>
                      <w:color w:val="auto"/>
                    </w:rPr>
                  </w:pPr>
                  <w:r>
                    <w:rPr>
                      <w:rFonts w:hint="eastAsia"/>
                      <w:color w:val="auto"/>
                    </w:rPr>
                    <w:t>55.7</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continue"/>
                  <w:vAlign w:val="center"/>
                </w:tcPr>
                <w:p>
                  <w:pPr>
                    <w:pStyle w:val="15"/>
                    <w:rPr>
                      <w:color w:val="auto"/>
                    </w:rPr>
                  </w:pPr>
                </w:p>
              </w:tc>
              <w:tc>
                <w:tcPr>
                  <w:tcW w:w="2259" w:type="dxa"/>
                  <w:vAlign w:val="center"/>
                </w:tcPr>
                <w:p>
                  <w:pPr>
                    <w:pStyle w:val="15"/>
                    <w:rPr>
                      <w:color w:val="auto"/>
                    </w:rPr>
                  </w:pPr>
                  <w:r>
                    <w:rPr>
                      <w:rFonts w:hint="eastAsia"/>
                      <w:color w:val="auto"/>
                    </w:rPr>
                    <w:t>夜间（22:07~22:17）</w:t>
                  </w:r>
                </w:p>
              </w:tc>
              <w:tc>
                <w:tcPr>
                  <w:tcW w:w="1615" w:type="dxa"/>
                  <w:vAlign w:val="center"/>
                </w:tcPr>
                <w:p>
                  <w:pPr>
                    <w:pStyle w:val="15"/>
                    <w:rPr>
                      <w:color w:val="auto"/>
                    </w:rPr>
                  </w:pPr>
                  <w:r>
                    <w:rPr>
                      <w:rFonts w:hint="eastAsia"/>
                      <w:color w:val="auto"/>
                    </w:rPr>
                    <w:t>46.1</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restart"/>
                  <w:vAlign w:val="center"/>
                </w:tcPr>
                <w:p>
                  <w:pPr>
                    <w:pStyle w:val="15"/>
                    <w:rPr>
                      <w:color w:val="auto"/>
                    </w:rPr>
                  </w:pPr>
                  <w:r>
                    <w:rPr>
                      <w:rFonts w:hint="eastAsia"/>
                      <w:color w:val="auto"/>
                    </w:rPr>
                    <w:t>厂界南</w:t>
                  </w:r>
                </w:p>
              </w:tc>
              <w:tc>
                <w:tcPr>
                  <w:tcW w:w="2259" w:type="dxa"/>
                  <w:vAlign w:val="center"/>
                </w:tcPr>
                <w:p>
                  <w:pPr>
                    <w:pStyle w:val="15"/>
                    <w:rPr>
                      <w:color w:val="auto"/>
                    </w:rPr>
                  </w:pPr>
                  <w:r>
                    <w:rPr>
                      <w:rFonts w:hint="eastAsia"/>
                      <w:color w:val="auto"/>
                    </w:rPr>
                    <w:t>昼间（13:06~13:16）</w:t>
                  </w:r>
                </w:p>
              </w:tc>
              <w:tc>
                <w:tcPr>
                  <w:tcW w:w="1615" w:type="dxa"/>
                  <w:vAlign w:val="center"/>
                </w:tcPr>
                <w:p>
                  <w:pPr>
                    <w:pStyle w:val="15"/>
                    <w:rPr>
                      <w:color w:val="auto"/>
                    </w:rPr>
                  </w:pPr>
                  <w:r>
                    <w:rPr>
                      <w:rFonts w:hint="eastAsia"/>
                      <w:color w:val="auto"/>
                    </w:rPr>
                    <w:t>54.5</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continue"/>
                  <w:vAlign w:val="center"/>
                </w:tcPr>
                <w:p>
                  <w:pPr>
                    <w:pStyle w:val="15"/>
                    <w:rPr>
                      <w:color w:val="auto"/>
                    </w:rPr>
                  </w:pPr>
                </w:p>
              </w:tc>
              <w:tc>
                <w:tcPr>
                  <w:tcW w:w="2259" w:type="dxa"/>
                  <w:vAlign w:val="center"/>
                </w:tcPr>
                <w:p>
                  <w:pPr>
                    <w:pStyle w:val="15"/>
                    <w:rPr>
                      <w:color w:val="auto"/>
                    </w:rPr>
                  </w:pPr>
                  <w:r>
                    <w:rPr>
                      <w:rFonts w:hint="eastAsia"/>
                      <w:color w:val="auto"/>
                    </w:rPr>
                    <w:t>夜间（22:24~22:34）</w:t>
                  </w:r>
                </w:p>
              </w:tc>
              <w:tc>
                <w:tcPr>
                  <w:tcW w:w="1615" w:type="dxa"/>
                  <w:vAlign w:val="center"/>
                </w:tcPr>
                <w:p>
                  <w:pPr>
                    <w:pStyle w:val="15"/>
                    <w:rPr>
                      <w:color w:val="auto"/>
                    </w:rPr>
                  </w:pPr>
                  <w:r>
                    <w:rPr>
                      <w:rFonts w:hint="eastAsia"/>
                      <w:color w:val="auto"/>
                    </w:rPr>
                    <w:t>44.7</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restart"/>
                  <w:vAlign w:val="center"/>
                </w:tcPr>
                <w:p>
                  <w:pPr>
                    <w:pStyle w:val="15"/>
                    <w:rPr>
                      <w:color w:val="auto"/>
                    </w:rPr>
                  </w:pPr>
                  <w:r>
                    <w:rPr>
                      <w:rFonts w:hint="eastAsia"/>
                      <w:color w:val="auto"/>
                    </w:rPr>
                    <w:t>厂界西</w:t>
                  </w:r>
                </w:p>
              </w:tc>
              <w:tc>
                <w:tcPr>
                  <w:tcW w:w="2259" w:type="dxa"/>
                  <w:vAlign w:val="center"/>
                </w:tcPr>
                <w:p>
                  <w:pPr>
                    <w:pStyle w:val="15"/>
                    <w:rPr>
                      <w:color w:val="auto"/>
                    </w:rPr>
                  </w:pPr>
                  <w:r>
                    <w:rPr>
                      <w:rFonts w:hint="eastAsia"/>
                      <w:color w:val="auto"/>
                    </w:rPr>
                    <w:t>昼间（13:23~13:33）</w:t>
                  </w:r>
                </w:p>
              </w:tc>
              <w:tc>
                <w:tcPr>
                  <w:tcW w:w="1615" w:type="dxa"/>
                  <w:vAlign w:val="center"/>
                </w:tcPr>
                <w:p>
                  <w:pPr>
                    <w:pStyle w:val="15"/>
                    <w:rPr>
                      <w:color w:val="auto"/>
                    </w:rPr>
                  </w:pPr>
                  <w:r>
                    <w:rPr>
                      <w:rFonts w:hint="eastAsia"/>
                      <w:color w:val="auto"/>
                    </w:rPr>
                    <w:t>55.4</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continue"/>
                  <w:vAlign w:val="center"/>
                </w:tcPr>
                <w:p>
                  <w:pPr>
                    <w:pStyle w:val="15"/>
                    <w:rPr>
                      <w:color w:val="auto"/>
                    </w:rPr>
                  </w:pPr>
                </w:p>
              </w:tc>
              <w:tc>
                <w:tcPr>
                  <w:tcW w:w="2259" w:type="dxa"/>
                  <w:vAlign w:val="center"/>
                </w:tcPr>
                <w:p>
                  <w:pPr>
                    <w:pStyle w:val="15"/>
                    <w:rPr>
                      <w:color w:val="auto"/>
                    </w:rPr>
                  </w:pPr>
                  <w:r>
                    <w:rPr>
                      <w:rFonts w:hint="eastAsia"/>
                      <w:color w:val="auto"/>
                    </w:rPr>
                    <w:t>夜间（22:39~22:49）</w:t>
                  </w:r>
                </w:p>
              </w:tc>
              <w:tc>
                <w:tcPr>
                  <w:tcW w:w="1615" w:type="dxa"/>
                  <w:vAlign w:val="center"/>
                </w:tcPr>
                <w:p>
                  <w:pPr>
                    <w:pStyle w:val="15"/>
                    <w:rPr>
                      <w:color w:val="auto"/>
                    </w:rPr>
                  </w:pPr>
                  <w:r>
                    <w:rPr>
                      <w:rFonts w:hint="eastAsia"/>
                      <w:color w:val="auto"/>
                    </w:rPr>
                    <w:t>45.0</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restart"/>
                  <w:vAlign w:val="center"/>
                </w:tcPr>
                <w:p>
                  <w:pPr>
                    <w:pStyle w:val="15"/>
                    <w:rPr>
                      <w:color w:val="auto"/>
                    </w:rPr>
                  </w:pPr>
                  <w:r>
                    <w:rPr>
                      <w:rFonts w:hint="eastAsia"/>
                      <w:color w:val="auto"/>
                    </w:rPr>
                    <w:t>厂界北</w:t>
                  </w:r>
                </w:p>
              </w:tc>
              <w:tc>
                <w:tcPr>
                  <w:tcW w:w="2259" w:type="dxa"/>
                  <w:vAlign w:val="center"/>
                </w:tcPr>
                <w:p>
                  <w:pPr>
                    <w:pStyle w:val="15"/>
                    <w:rPr>
                      <w:color w:val="auto"/>
                    </w:rPr>
                  </w:pPr>
                  <w:r>
                    <w:rPr>
                      <w:rFonts w:hint="eastAsia"/>
                      <w:color w:val="auto"/>
                    </w:rPr>
                    <w:t>昼间（13:39~13:49）</w:t>
                  </w:r>
                </w:p>
              </w:tc>
              <w:tc>
                <w:tcPr>
                  <w:tcW w:w="1615" w:type="dxa"/>
                  <w:vAlign w:val="center"/>
                </w:tcPr>
                <w:p>
                  <w:pPr>
                    <w:pStyle w:val="15"/>
                    <w:rPr>
                      <w:color w:val="auto"/>
                    </w:rPr>
                  </w:pPr>
                  <w:r>
                    <w:rPr>
                      <w:rFonts w:hint="eastAsia"/>
                      <w:color w:val="auto"/>
                    </w:rPr>
                    <w:t>54.9</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continue"/>
                  <w:vAlign w:val="center"/>
                </w:tcPr>
                <w:p>
                  <w:pPr>
                    <w:pStyle w:val="15"/>
                    <w:rPr>
                      <w:color w:val="auto"/>
                    </w:rPr>
                  </w:pPr>
                </w:p>
              </w:tc>
              <w:tc>
                <w:tcPr>
                  <w:tcW w:w="2259" w:type="dxa"/>
                  <w:vAlign w:val="center"/>
                </w:tcPr>
                <w:p>
                  <w:pPr>
                    <w:pStyle w:val="15"/>
                    <w:rPr>
                      <w:color w:val="auto"/>
                    </w:rPr>
                  </w:pPr>
                  <w:r>
                    <w:rPr>
                      <w:rFonts w:hint="eastAsia"/>
                      <w:color w:val="auto"/>
                    </w:rPr>
                    <w:t>夜间（22:55~23:05）</w:t>
                  </w:r>
                </w:p>
              </w:tc>
              <w:tc>
                <w:tcPr>
                  <w:tcW w:w="1615" w:type="dxa"/>
                  <w:vAlign w:val="center"/>
                </w:tcPr>
                <w:p>
                  <w:pPr>
                    <w:pStyle w:val="15"/>
                    <w:rPr>
                      <w:color w:val="auto"/>
                    </w:rPr>
                  </w:pPr>
                  <w:r>
                    <w:rPr>
                      <w:rFonts w:hint="eastAsia"/>
                      <w:color w:val="auto"/>
                    </w:rPr>
                    <w:t>45.6</w:t>
                  </w:r>
                </w:p>
              </w:tc>
              <w:tc>
                <w:tcPr>
                  <w:tcW w:w="1603" w:type="dxa"/>
                  <w:vAlign w:val="center"/>
                </w:tcPr>
                <w:p>
                  <w:pPr>
                    <w:pStyle w:val="15"/>
                    <w:rPr>
                      <w:color w:val="auto"/>
                    </w:rPr>
                  </w:pPr>
                  <w:r>
                    <w:rPr>
                      <w:rFonts w:hint="eastAsia"/>
                      <w:color w:val="auto"/>
                    </w:rPr>
                    <w:t>工业噪声</w:t>
                  </w:r>
                </w:p>
              </w:tc>
            </w:tr>
          </w:tbl>
          <w:p>
            <w:pPr>
              <w:ind w:firstLine="480"/>
              <w:rPr>
                <w:color w:val="auto"/>
              </w:rPr>
            </w:pPr>
            <w:r>
              <w:rPr>
                <w:rFonts w:hint="eastAsia"/>
                <w:color w:val="auto"/>
              </w:rPr>
              <w:t>4、</w:t>
            </w:r>
            <w:r>
              <w:rPr>
                <w:color w:val="auto"/>
              </w:rPr>
              <w:t>固废</w:t>
            </w:r>
          </w:p>
          <w:p>
            <w:pPr>
              <w:ind w:firstLine="480"/>
              <w:rPr>
                <w:color w:val="auto"/>
              </w:rPr>
            </w:pPr>
            <w:r>
              <w:rPr>
                <w:color w:val="auto"/>
              </w:rPr>
              <w:t>现有项目运营期产生的固体废弃物主要为</w:t>
            </w:r>
            <w:r>
              <w:rPr>
                <w:rFonts w:hint="eastAsia"/>
                <w:color w:val="auto"/>
              </w:rPr>
              <w:t>除尘器收集的粉尘、废包装袋、废机油、水膜脱硫除尘渣</w:t>
            </w:r>
            <w:r>
              <w:rPr>
                <w:rFonts w:hint="eastAsia"/>
                <w:color w:val="auto"/>
                <w:lang w:eastAsia="zh-CN"/>
              </w:rPr>
              <w:t>、</w:t>
            </w:r>
            <w:r>
              <w:rPr>
                <w:rFonts w:hint="eastAsia"/>
                <w:color w:val="auto"/>
              </w:rPr>
              <w:t>氟硅酸、炉渣和粉煤灰和生活垃圾</w:t>
            </w:r>
            <w:r>
              <w:rPr>
                <w:rFonts w:hint="eastAsia"/>
                <w:color w:val="auto"/>
                <w:lang w:val="en-US" w:eastAsia="zh-CN"/>
              </w:rPr>
              <w:t>等</w:t>
            </w:r>
            <w:r>
              <w:rPr>
                <w:rFonts w:hint="eastAsia"/>
                <w:color w:val="auto"/>
              </w:rPr>
              <w:t>。</w:t>
            </w:r>
            <w:r>
              <w:rPr>
                <w:rFonts w:hint="eastAsia"/>
                <w:color w:val="auto"/>
                <w:lang w:val="en-US" w:eastAsia="zh-CN"/>
              </w:rPr>
              <w:t>固废产生及处置情况详见下表</w:t>
            </w:r>
            <w:r>
              <w:rPr>
                <w:rFonts w:hint="eastAsia"/>
                <w:color w:val="auto"/>
              </w:rPr>
              <w:t>。</w:t>
            </w:r>
          </w:p>
          <w:p>
            <w:pPr>
              <w:pStyle w:val="14"/>
              <w:rPr>
                <w:color w:val="auto"/>
              </w:rPr>
            </w:pPr>
            <w:r>
              <w:rPr>
                <w:color w:val="auto"/>
              </w:rPr>
              <w:t>表2-</w:t>
            </w:r>
            <w:r>
              <w:rPr>
                <w:rFonts w:hint="eastAsia"/>
                <w:color w:val="auto"/>
                <w:lang w:val="en-US" w:eastAsia="zh-CN"/>
              </w:rPr>
              <w:t>21</w:t>
            </w:r>
            <w:r>
              <w:rPr>
                <w:rFonts w:hint="eastAsia"/>
                <w:color w:val="auto"/>
              </w:rPr>
              <w:t xml:space="preserve"> </w:t>
            </w:r>
            <w:r>
              <w:rPr>
                <w:color w:val="auto"/>
              </w:rPr>
              <w:tab/>
            </w:r>
            <w:r>
              <w:rPr>
                <w:color w:val="auto"/>
              </w:rPr>
              <w:t>现有项目固体废物产生及处置情况一览表</w:t>
            </w:r>
          </w:p>
          <w:tbl>
            <w:tblPr>
              <w:tblStyle w:val="10"/>
              <w:tblW w:w="81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9"/>
              <w:gridCol w:w="1080"/>
              <w:gridCol w:w="549"/>
              <w:gridCol w:w="562"/>
              <w:gridCol w:w="725"/>
              <w:gridCol w:w="1430"/>
              <w:gridCol w:w="1083"/>
              <w:gridCol w:w="2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89" w:type="dxa"/>
                  <w:vAlign w:val="center"/>
                </w:tcPr>
                <w:p>
                  <w:pPr>
                    <w:pStyle w:val="15"/>
                    <w:rPr>
                      <w:color w:val="auto"/>
                    </w:rPr>
                  </w:pPr>
                  <w:r>
                    <w:rPr>
                      <w:color w:val="auto"/>
                    </w:rPr>
                    <w:t>序号</w:t>
                  </w:r>
                </w:p>
              </w:tc>
              <w:tc>
                <w:tcPr>
                  <w:tcW w:w="1080" w:type="dxa"/>
                  <w:vAlign w:val="center"/>
                </w:tcPr>
                <w:p>
                  <w:pPr>
                    <w:pStyle w:val="15"/>
                    <w:rPr>
                      <w:color w:val="auto"/>
                    </w:rPr>
                  </w:pPr>
                  <w:r>
                    <w:rPr>
                      <w:color w:val="auto"/>
                    </w:rPr>
                    <w:t>固废名称</w:t>
                  </w:r>
                </w:p>
              </w:tc>
              <w:tc>
                <w:tcPr>
                  <w:tcW w:w="549" w:type="dxa"/>
                  <w:vAlign w:val="center"/>
                </w:tcPr>
                <w:p>
                  <w:pPr>
                    <w:pStyle w:val="15"/>
                    <w:rPr>
                      <w:color w:val="auto"/>
                    </w:rPr>
                  </w:pPr>
                  <w:r>
                    <w:rPr>
                      <w:color w:val="auto"/>
                    </w:rPr>
                    <w:t>属性</w:t>
                  </w:r>
                </w:p>
              </w:tc>
              <w:tc>
                <w:tcPr>
                  <w:tcW w:w="562" w:type="dxa"/>
                  <w:vAlign w:val="center"/>
                </w:tcPr>
                <w:p>
                  <w:pPr>
                    <w:pStyle w:val="15"/>
                    <w:rPr>
                      <w:color w:val="auto"/>
                    </w:rPr>
                  </w:pPr>
                  <w:r>
                    <w:rPr>
                      <w:color w:val="auto"/>
                    </w:rPr>
                    <w:t>产生工序</w:t>
                  </w:r>
                </w:p>
              </w:tc>
              <w:tc>
                <w:tcPr>
                  <w:tcW w:w="725" w:type="dxa"/>
                  <w:vAlign w:val="center"/>
                </w:tcPr>
                <w:p>
                  <w:pPr>
                    <w:pStyle w:val="15"/>
                    <w:rPr>
                      <w:color w:val="auto"/>
                    </w:rPr>
                  </w:pPr>
                  <w:r>
                    <w:rPr>
                      <w:color w:val="auto"/>
                    </w:rPr>
                    <w:t>形态</w:t>
                  </w:r>
                </w:p>
              </w:tc>
              <w:tc>
                <w:tcPr>
                  <w:tcW w:w="1430" w:type="dxa"/>
                  <w:vAlign w:val="center"/>
                </w:tcPr>
                <w:p>
                  <w:pPr>
                    <w:pStyle w:val="15"/>
                    <w:rPr>
                      <w:color w:val="auto"/>
                    </w:rPr>
                  </w:pPr>
                  <w:r>
                    <w:rPr>
                      <w:color w:val="auto"/>
                    </w:rPr>
                    <w:t>鉴别依据危险特性鉴别方法</w:t>
                  </w:r>
                </w:p>
              </w:tc>
              <w:tc>
                <w:tcPr>
                  <w:tcW w:w="1083" w:type="dxa"/>
                  <w:vAlign w:val="center"/>
                </w:tcPr>
                <w:p>
                  <w:pPr>
                    <w:pStyle w:val="15"/>
                    <w:rPr>
                      <w:color w:val="auto"/>
                    </w:rPr>
                  </w:pPr>
                  <w:r>
                    <w:rPr>
                      <w:color w:val="auto"/>
                    </w:rPr>
                    <w:t>产生量（t/a）</w:t>
                  </w:r>
                </w:p>
              </w:tc>
              <w:tc>
                <w:tcPr>
                  <w:tcW w:w="2225" w:type="dxa"/>
                  <w:vAlign w:val="center"/>
                </w:tcPr>
                <w:p>
                  <w:pPr>
                    <w:pStyle w:val="15"/>
                    <w:rPr>
                      <w:color w:val="auto"/>
                    </w:rPr>
                  </w:pPr>
                  <w:r>
                    <w:rPr>
                      <w:color w:val="auto"/>
                    </w:rPr>
                    <w:t>处置方式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89" w:type="dxa"/>
                  <w:vAlign w:val="center"/>
                </w:tcPr>
                <w:p>
                  <w:pPr>
                    <w:pStyle w:val="15"/>
                    <w:rPr>
                      <w:color w:val="auto"/>
                    </w:rPr>
                  </w:pPr>
                  <w:r>
                    <w:rPr>
                      <w:color w:val="auto"/>
                    </w:rPr>
                    <w:t>1</w:t>
                  </w:r>
                </w:p>
              </w:tc>
              <w:tc>
                <w:tcPr>
                  <w:tcW w:w="1080" w:type="dxa"/>
                  <w:vAlign w:val="center"/>
                </w:tcPr>
                <w:p>
                  <w:pPr>
                    <w:pStyle w:val="15"/>
                    <w:rPr>
                      <w:color w:val="auto"/>
                    </w:rPr>
                  </w:pPr>
                  <w:r>
                    <w:rPr>
                      <w:rFonts w:hint="eastAsia"/>
                      <w:color w:val="auto"/>
                    </w:rPr>
                    <w:t>除尘器收集粉尘</w:t>
                  </w:r>
                </w:p>
              </w:tc>
              <w:tc>
                <w:tcPr>
                  <w:tcW w:w="549" w:type="dxa"/>
                  <w:vMerge w:val="restart"/>
                  <w:vAlign w:val="center"/>
                </w:tcPr>
                <w:p>
                  <w:pPr>
                    <w:pStyle w:val="15"/>
                    <w:rPr>
                      <w:color w:val="auto"/>
                    </w:rPr>
                  </w:pPr>
                  <w:r>
                    <w:rPr>
                      <w:color w:val="auto"/>
                    </w:rPr>
                    <w:t>一般</w:t>
                  </w:r>
                </w:p>
                <w:p>
                  <w:pPr>
                    <w:pStyle w:val="15"/>
                    <w:rPr>
                      <w:color w:val="auto"/>
                    </w:rPr>
                  </w:pPr>
                  <w:r>
                    <w:rPr>
                      <w:color w:val="auto"/>
                    </w:rPr>
                    <w:t>工业</w:t>
                  </w:r>
                </w:p>
                <w:p>
                  <w:pPr>
                    <w:pStyle w:val="15"/>
                    <w:rPr>
                      <w:color w:val="auto"/>
                    </w:rPr>
                  </w:pPr>
                  <w:r>
                    <w:rPr>
                      <w:color w:val="auto"/>
                    </w:rPr>
                    <w:t>固体</w:t>
                  </w:r>
                </w:p>
                <w:p>
                  <w:pPr>
                    <w:pStyle w:val="15"/>
                    <w:rPr>
                      <w:color w:val="auto"/>
                    </w:rPr>
                  </w:pPr>
                  <w:r>
                    <w:rPr>
                      <w:color w:val="auto"/>
                    </w:rPr>
                    <w:t>废物</w:t>
                  </w:r>
                </w:p>
              </w:tc>
              <w:tc>
                <w:tcPr>
                  <w:tcW w:w="562" w:type="dxa"/>
                  <w:vMerge w:val="restart"/>
                  <w:vAlign w:val="center"/>
                </w:tcPr>
                <w:p>
                  <w:pPr>
                    <w:pStyle w:val="15"/>
                    <w:rPr>
                      <w:color w:val="auto"/>
                    </w:rPr>
                  </w:pPr>
                  <w:r>
                    <w:rPr>
                      <w:rFonts w:hint="eastAsia"/>
                      <w:color w:val="auto"/>
                    </w:rPr>
                    <w:t>生产</w:t>
                  </w:r>
                </w:p>
              </w:tc>
              <w:tc>
                <w:tcPr>
                  <w:tcW w:w="725" w:type="dxa"/>
                  <w:vAlign w:val="center"/>
                </w:tcPr>
                <w:p>
                  <w:pPr>
                    <w:pStyle w:val="15"/>
                    <w:rPr>
                      <w:color w:val="auto"/>
                    </w:rPr>
                  </w:pPr>
                  <w:r>
                    <w:rPr>
                      <w:color w:val="auto"/>
                    </w:rPr>
                    <w:t>固态</w:t>
                  </w:r>
                </w:p>
              </w:tc>
              <w:tc>
                <w:tcPr>
                  <w:tcW w:w="1430" w:type="dxa"/>
                  <w:vMerge w:val="restart"/>
                  <w:vAlign w:val="center"/>
                </w:tcPr>
                <w:p>
                  <w:pPr>
                    <w:pStyle w:val="15"/>
                    <w:rPr>
                      <w:color w:val="auto"/>
                    </w:rPr>
                  </w:pPr>
                  <w:r>
                    <w:rPr>
                      <w:color w:val="auto"/>
                    </w:rPr>
                    <w:t>根据《固体废物鉴别标准通则》《国家危险废物名录》（2021 年）鉴别</w:t>
                  </w:r>
                </w:p>
              </w:tc>
              <w:tc>
                <w:tcPr>
                  <w:tcW w:w="1083" w:type="dxa"/>
                  <w:vAlign w:val="center"/>
                </w:tcPr>
                <w:p>
                  <w:pPr>
                    <w:pStyle w:val="15"/>
                    <w:rPr>
                      <w:color w:val="auto"/>
                    </w:rPr>
                  </w:pPr>
                  <w:r>
                    <w:rPr>
                      <w:rFonts w:hint="eastAsia"/>
                      <w:color w:val="auto"/>
                    </w:rPr>
                    <w:t>2200</w:t>
                  </w:r>
                </w:p>
              </w:tc>
              <w:tc>
                <w:tcPr>
                  <w:tcW w:w="2225" w:type="dxa"/>
                  <w:tcBorders>
                    <w:bottom w:val="single" w:color="auto" w:sz="4" w:space="0"/>
                  </w:tcBorders>
                  <w:vAlign w:val="center"/>
                </w:tcPr>
                <w:p>
                  <w:pPr>
                    <w:pStyle w:val="15"/>
                    <w:rPr>
                      <w:color w:val="auto"/>
                    </w:rPr>
                  </w:pPr>
                  <w:r>
                    <w:rPr>
                      <w:rFonts w:hint="eastAsia"/>
                      <w:color w:val="auto"/>
                      <w:lang w:val="en-US" w:eastAsia="zh-CN"/>
                    </w:rPr>
                    <w:t>统一收集后</w:t>
                  </w:r>
                  <w:r>
                    <w:rPr>
                      <w:rFonts w:hint="eastAsia"/>
                      <w:color w:val="auto"/>
                    </w:rPr>
                    <w:t>回用于生产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9" w:type="dxa"/>
                  <w:vAlign w:val="center"/>
                </w:tcPr>
                <w:p>
                  <w:pPr>
                    <w:pStyle w:val="15"/>
                    <w:rPr>
                      <w:color w:val="auto"/>
                    </w:rPr>
                  </w:pPr>
                  <w:r>
                    <w:rPr>
                      <w:color w:val="auto"/>
                    </w:rPr>
                    <w:t>2</w:t>
                  </w:r>
                </w:p>
              </w:tc>
              <w:tc>
                <w:tcPr>
                  <w:tcW w:w="1080" w:type="dxa"/>
                  <w:vAlign w:val="center"/>
                </w:tcPr>
                <w:p>
                  <w:pPr>
                    <w:pStyle w:val="15"/>
                    <w:rPr>
                      <w:color w:val="auto"/>
                    </w:rPr>
                  </w:pPr>
                  <w:r>
                    <w:rPr>
                      <w:rFonts w:hint="eastAsia"/>
                      <w:color w:val="auto"/>
                    </w:rPr>
                    <w:t>废包装袋</w:t>
                  </w:r>
                </w:p>
              </w:tc>
              <w:tc>
                <w:tcPr>
                  <w:tcW w:w="549" w:type="dxa"/>
                  <w:vMerge w:val="continue"/>
                  <w:vAlign w:val="center"/>
                </w:tcPr>
                <w:p>
                  <w:pPr>
                    <w:pStyle w:val="15"/>
                    <w:rPr>
                      <w:color w:val="auto"/>
                    </w:rPr>
                  </w:pPr>
                </w:p>
              </w:tc>
              <w:tc>
                <w:tcPr>
                  <w:tcW w:w="562" w:type="dxa"/>
                  <w:vMerge w:val="continue"/>
                  <w:vAlign w:val="center"/>
                </w:tcPr>
                <w:p>
                  <w:pPr>
                    <w:pStyle w:val="15"/>
                    <w:rPr>
                      <w:color w:val="auto"/>
                    </w:rPr>
                  </w:pPr>
                </w:p>
              </w:tc>
              <w:tc>
                <w:tcPr>
                  <w:tcW w:w="725" w:type="dxa"/>
                  <w:vAlign w:val="center"/>
                </w:tcPr>
                <w:p>
                  <w:pPr>
                    <w:pStyle w:val="15"/>
                    <w:rPr>
                      <w:color w:val="auto"/>
                    </w:rPr>
                  </w:pPr>
                  <w:r>
                    <w:rPr>
                      <w:color w:val="auto"/>
                    </w:rPr>
                    <w:t>固废</w:t>
                  </w:r>
                </w:p>
              </w:tc>
              <w:tc>
                <w:tcPr>
                  <w:tcW w:w="1430" w:type="dxa"/>
                  <w:vMerge w:val="continue"/>
                  <w:vAlign w:val="center"/>
                </w:tcPr>
                <w:p>
                  <w:pPr>
                    <w:pStyle w:val="15"/>
                    <w:rPr>
                      <w:color w:val="auto"/>
                    </w:rPr>
                  </w:pPr>
                </w:p>
              </w:tc>
              <w:tc>
                <w:tcPr>
                  <w:tcW w:w="1083" w:type="dxa"/>
                  <w:vAlign w:val="center"/>
                </w:tcPr>
                <w:p>
                  <w:pPr>
                    <w:pStyle w:val="15"/>
                    <w:rPr>
                      <w:color w:val="auto"/>
                    </w:rPr>
                  </w:pPr>
                  <w:r>
                    <w:rPr>
                      <w:rFonts w:hint="eastAsia"/>
                      <w:color w:val="auto"/>
                    </w:rPr>
                    <w:t>0.5</w:t>
                  </w:r>
                </w:p>
              </w:tc>
              <w:tc>
                <w:tcPr>
                  <w:tcW w:w="2225" w:type="dxa"/>
                  <w:tcBorders>
                    <w:top w:val="single" w:color="auto" w:sz="4" w:space="0"/>
                    <w:bottom w:val="single" w:color="auto" w:sz="4" w:space="0"/>
                  </w:tcBorders>
                  <w:vAlign w:val="center"/>
                </w:tcPr>
                <w:p>
                  <w:pPr>
                    <w:pStyle w:val="15"/>
                    <w:rPr>
                      <w:color w:val="auto"/>
                    </w:rPr>
                  </w:pPr>
                  <w:r>
                    <w:rPr>
                      <w:rFonts w:hint="eastAsia"/>
                      <w:color w:val="auto"/>
                    </w:rPr>
                    <w:t>外售综合利用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9"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3</w:t>
                  </w:r>
                </w:p>
              </w:tc>
              <w:tc>
                <w:tcPr>
                  <w:tcW w:w="1080" w:type="dxa"/>
                  <w:vAlign w:val="center"/>
                </w:tcPr>
                <w:p>
                  <w:pPr>
                    <w:pStyle w:val="15"/>
                    <w:rPr>
                      <w:rFonts w:hint="eastAsia"/>
                      <w:color w:val="auto"/>
                    </w:rPr>
                  </w:pPr>
                  <w:r>
                    <w:rPr>
                      <w:rFonts w:hint="eastAsia"/>
                      <w:color w:val="auto"/>
                    </w:rPr>
                    <w:t>炉渣和粉煤灰</w:t>
                  </w:r>
                </w:p>
              </w:tc>
              <w:tc>
                <w:tcPr>
                  <w:tcW w:w="549" w:type="dxa"/>
                  <w:vMerge w:val="continue"/>
                  <w:vAlign w:val="center"/>
                </w:tcPr>
                <w:p>
                  <w:pPr>
                    <w:pStyle w:val="15"/>
                    <w:rPr>
                      <w:color w:val="auto"/>
                    </w:rPr>
                  </w:pPr>
                </w:p>
              </w:tc>
              <w:tc>
                <w:tcPr>
                  <w:tcW w:w="562" w:type="dxa"/>
                  <w:vMerge w:val="continue"/>
                  <w:vAlign w:val="center"/>
                </w:tcPr>
                <w:p>
                  <w:pPr>
                    <w:pStyle w:val="15"/>
                    <w:rPr>
                      <w:color w:val="auto"/>
                    </w:rPr>
                  </w:pPr>
                </w:p>
              </w:tc>
              <w:tc>
                <w:tcPr>
                  <w:tcW w:w="725" w:type="dxa"/>
                  <w:vAlign w:val="center"/>
                </w:tcPr>
                <w:p>
                  <w:pPr>
                    <w:pStyle w:val="15"/>
                    <w:rPr>
                      <w:color w:val="auto"/>
                    </w:rPr>
                  </w:pPr>
                  <w:r>
                    <w:rPr>
                      <w:color w:val="auto"/>
                    </w:rPr>
                    <w:t>固废</w:t>
                  </w:r>
                </w:p>
              </w:tc>
              <w:tc>
                <w:tcPr>
                  <w:tcW w:w="1430" w:type="dxa"/>
                  <w:vMerge w:val="continue"/>
                  <w:vAlign w:val="center"/>
                </w:tcPr>
                <w:p>
                  <w:pPr>
                    <w:pStyle w:val="15"/>
                    <w:rPr>
                      <w:color w:val="auto"/>
                    </w:rPr>
                  </w:pPr>
                </w:p>
              </w:tc>
              <w:tc>
                <w:tcPr>
                  <w:tcW w:w="1083" w:type="dxa"/>
                  <w:vAlign w:val="center"/>
                </w:tcPr>
                <w:p>
                  <w:pPr>
                    <w:pStyle w:val="15"/>
                    <w:rPr>
                      <w:rFonts w:hint="eastAsia"/>
                      <w:color w:val="auto"/>
                    </w:rPr>
                  </w:pPr>
                  <w:r>
                    <w:rPr>
                      <w:rFonts w:hint="eastAsia"/>
                      <w:color w:val="auto"/>
                    </w:rPr>
                    <w:t>917</w:t>
                  </w:r>
                </w:p>
              </w:tc>
              <w:tc>
                <w:tcPr>
                  <w:tcW w:w="2225" w:type="dxa"/>
                  <w:tcBorders>
                    <w:top w:val="single" w:color="auto" w:sz="4" w:space="0"/>
                  </w:tcBorders>
                  <w:vAlign w:val="center"/>
                </w:tcPr>
                <w:p>
                  <w:pPr>
                    <w:pStyle w:val="15"/>
                    <w:rPr>
                      <w:rFonts w:hint="eastAsia"/>
                      <w:color w:val="auto"/>
                    </w:rPr>
                  </w:pPr>
                  <w:r>
                    <w:rPr>
                      <w:rFonts w:hint="eastAsia"/>
                      <w:color w:val="auto"/>
                    </w:rPr>
                    <w:t>用作铺路材料或送到建材厂综合利用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9"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rPr>
                    <w:t>4</w:t>
                  </w:r>
                </w:p>
              </w:tc>
              <w:tc>
                <w:tcPr>
                  <w:tcW w:w="1080" w:type="dxa"/>
                  <w:vAlign w:val="center"/>
                </w:tcPr>
                <w:p>
                  <w:pPr>
                    <w:pStyle w:val="15"/>
                    <w:rPr>
                      <w:color w:val="auto"/>
                    </w:rPr>
                  </w:pPr>
                  <w:r>
                    <w:rPr>
                      <w:rFonts w:hint="eastAsia"/>
                      <w:color w:val="auto"/>
                      <w:lang w:val="en-US" w:eastAsia="zh-CN"/>
                    </w:rPr>
                    <w:t>水膜脱硫除尘渣</w:t>
                  </w:r>
                </w:p>
              </w:tc>
              <w:tc>
                <w:tcPr>
                  <w:tcW w:w="549" w:type="dxa"/>
                  <w:vMerge w:val="continue"/>
                  <w:vAlign w:val="center"/>
                </w:tcPr>
                <w:p>
                  <w:pPr>
                    <w:pStyle w:val="15"/>
                    <w:rPr>
                      <w:color w:val="auto"/>
                    </w:rPr>
                  </w:pPr>
                </w:p>
              </w:tc>
              <w:tc>
                <w:tcPr>
                  <w:tcW w:w="562" w:type="dxa"/>
                  <w:vMerge w:val="continue"/>
                  <w:vAlign w:val="center"/>
                </w:tcPr>
                <w:p>
                  <w:pPr>
                    <w:pStyle w:val="15"/>
                    <w:rPr>
                      <w:color w:val="auto"/>
                    </w:rPr>
                  </w:pPr>
                </w:p>
              </w:tc>
              <w:tc>
                <w:tcPr>
                  <w:tcW w:w="725" w:type="dxa"/>
                  <w:vAlign w:val="center"/>
                </w:tcPr>
                <w:p>
                  <w:pPr>
                    <w:pStyle w:val="15"/>
                    <w:rPr>
                      <w:color w:val="auto"/>
                    </w:rPr>
                  </w:pPr>
                  <w:r>
                    <w:rPr>
                      <w:color w:val="auto"/>
                    </w:rPr>
                    <w:t>固废</w:t>
                  </w:r>
                </w:p>
              </w:tc>
              <w:tc>
                <w:tcPr>
                  <w:tcW w:w="1430" w:type="dxa"/>
                  <w:vMerge w:val="continue"/>
                  <w:vAlign w:val="center"/>
                </w:tcPr>
                <w:p>
                  <w:pPr>
                    <w:pStyle w:val="15"/>
                    <w:rPr>
                      <w:color w:val="auto"/>
                    </w:rPr>
                  </w:pPr>
                </w:p>
              </w:tc>
              <w:tc>
                <w:tcPr>
                  <w:tcW w:w="1083" w:type="dxa"/>
                  <w:vAlign w:val="center"/>
                </w:tcPr>
                <w:p>
                  <w:pPr>
                    <w:pStyle w:val="15"/>
                    <w:rPr>
                      <w:rFonts w:hint="eastAsia" w:eastAsia="宋体"/>
                      <w:color w:val="auto"/>
                      <w:lang w:val="en-US" w:eastAsia="zh-CN"/>
                    </w:rPr>
                  </w:pPr>
                  <w:r>
                    <w:rPr>
                      <w:rFonts w:hint="eastAsia"/>
                      <w:color w:val="auto"/>
                      <w:lang w:val="en-US" w:eastAsia="zh-CN"/>
                    </w:rPr>
                    <w:t>2</w:t>
                  </w:r>
                </w:p>
              </w:tc>
              <w:tc>
                <w:tcPr>
                  <w:tcW w:w="2225" w:type="dxa"/>
                  <w:tcBorders>
                    <w:top w:val="single" w:color="auto" w:sz="4" w:space="0"/>
                  </w:tcBorders>
                  <w:vAlign w:val="center"/>
                </w:tcPr>
                <w:p>
                  <w:pPr>
                    <w:pStyle w:val="15"/>
                    <w:rPr>
                      <w:color w:val="auto"/>
                    </w:rPr>
                  </w:pPr>
                  <w:r>
                    <w:rPr>
                      <w:color w:val="auto"/>
                    </w:rPr>
                    <w:t>委托环卫部门清运</w:t>
                  </w:r>
                  <w:r>
                    <w:rPr>
                      <w:rFonts w:hint="eastAsia"/>
                      <w:color w:val="auto"/>
                      <w:lang w:val="en-US" w:eastAsia="zh-CN"/>
                    </w:rPr>
                    <w:t>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489"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rPr>
                    <w:t>5</w:t>
                  </w:r>
                </w:p>
              </w:tc>
              <w:tc>
                <w:tcPr>
                  <w:tcW w:w="1080" w:type="dxa"/>
                  <w:vAlign w:val="center"/>
                </w:tcPr>
                <w:p>
                  <w:pPr>
                    <w:pStyle w:val="15"/>
                    <w:rPr>
                      <w:color w:val="auto"/>
                    </w:rPr>
                  </w:pPr>
                  <w:r>
                    <w:rPr>
                      <w:rFonts w:hint="eastAsia"/>
                      <w:color w:val="auto"/>
                    </w:rPr>
                    <w:t>废机油</w:t>
                  </w:r>
                </w:p>
              </w:tc>
              <w:tc>
                <w:tcPr>
                  <w:tcW w:w="549" w:type="dxa"/>
                  <w:vMerge w:val="restart"/>
                  <w:vAlign w:val="center"/>
                </w:tcPr>
                <w:p>
                  <w:pPr>
                    <w:pStyle w:val="15"/>
                    <w:rPr>
                      <w:color w:val="auto"/>
                    </w:rPr>
                  </w:pPr>
                  <w:r>
                    <w:rPr>
                      <w:color w:val="auto"/>
                    </w:rPr>
                    <w:t>危废</w:t>
                  </w:r>
                </w:p>
              </w:tc>
              <w:tc>
                <w:tcPr>
                  <w:tcW w:w="562" w:type="dxa"/>
                  <w:vMerge w:val="continue"/>
                  <w:vAlign w:val="center"/>
                </w:tcPr>
                <w:p>
                  <w:pPr>
                    <w:pStyle w:val="15"/>
                    <w:rPr>
                      <w:color w:val="auto"/>
                    </w:rPr>
                  </w:pPr>
                </w:p>
              </w:tc>
              <w:tc>
                <w:tcPr>
                  <w:tcW w:w="725" w:type="dxa"/>
                  <w:vAlign w:val="center"/>
                </w:tcPr>
                <w:p>
                  <w:pPr>
                    <w:pStyle w:val="15"/>
                    <w:rPr>
                      <w:color w:val="auto"/>
                    </w:rPr>
                  </w:pPr>
                  <w:r>
                    <w:rPr>
                      <w:rFonts w:hint="eastAsia"/>
                      <w:color w:val="auto"/>
                    </w:rPr>
                    <w:t>液态</w:t>
                  </w:r>
                </w:p>
              </w:tc>
              <w:tc>
                <w:tcPr>
                  <w:tcW w:w="1430" w:type="dxa"/>
                  <w:vMerge w:val="continue"/>
                  <w:vAlign w:val="center"/>
                </w:tcPr>
                <w:p>
                  <w:pPr>
                    <w:pStyle w:val="15"/>
                    <w:rPr>
                      <w:color w:val="auto"/>
                    </w:rPr>
                  </w:pPr>
                </w:p>
              </w:tc>
              <w:tc>
                <w:tcPr>
                  <w:tcW w:w="1083" w:type="dxa"/>
                  <w:vAlign w:val="center"/>
                </w:tcPr>
                <w:p>
                  <w:pPr>
                    <w:pStyle w:val="15"/>
                    <w:rPr>
                      <w:color w:val="auto"/>
                    </w:rPr>
                  </w:pPr>
                  <w:r>
                    <w:rPr>
                      <w:rFonts w:hint="eastAsia"/>
                      <w:color w:val="auto"/>
                    </w:rPr>
                    <w:t>0.95</w:t>
                  </w:r>
                </w:p>
              </w:tc>
              <w:tc>
                <w:tcPr>
                  <w:tcW w:w="2225" w:type="dxa"/>
                  <w:vAlign w:val="center"/>
                </w:tcPr>
                <w:p>
                  <w:pPr>
                    <w:pStyle w:val="15"/>
                    <w:rPr>
                      <w:color w:val="auto"/>
                    </w:rPr>
                  </w:pPr>
                  <w:r>
                    <w:rPr>
                      <w:rFonts w:hint="eastAsia"/>
                      <w:color w:val="auto"/>
                    </w:rPr>
                    <w:t>HW08  900-214-08</w:t>
                  </w:r>
                </w:p>
                <w:p>
                  <w:pPr>
                    <w:pStyle w:val="15"/>
                    <w:rPr>
                      <w:color w:val="auto"/>
                    </w:rPr>
                  </w:pPr>
                  <w:r>
                    <w:rPr>
                      <w:rFonts w:hint="eastAsia"/>
                      <w:color w:val="auto"/>
                    </w:rPr>
                    <w:t>委托云南协快再生资源回收有限公司清运处置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89"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rPr>
                    <w:t>6</w:t>
                  </w:r>
                </w:p>
              </w:tc>
              <w:tc>
                <w:tcPr>
                  <w:tcW w:w="1080" w:type="dxa"/>
                  <w:vAlign w:val="center"/>
                </w:tcPr>
                <w:p>
                  <w:pPr>
                    <w:pStyle w:val="15"/>
                    <w:rPr>
                      <w:color w:val="auto"/>
                    </w:rPr>
                  </w:pPr>
                  <w:r>
                    <w:rPr>
                      <w:rFonts w:hint="eastAsia"/>
                      <w:color w:val="auto"/>
                    </w:rPr>
                    <w:t>实验废液</w:t>
                  </w:r>
                  <w:r>
                    <w:rPr>
                      <w:rFonts w:hint="eastAsia"/>
                      <w:color w:val="auto"/>
                      <w:lang w:eastAsia="zh-CN"/>
                    </w:rPr>
                    <w:t>、废化学试剂包装材料等</w:t>
                  </w:r>
                </w:p>
              </w:tc>
              <w:tc>
                <w:tcPr>
                  <w:tcW w:w="549" w:type="dxa"/>
                  <w:vMerge w:val="continue"/>
                  <w:vAlign w:val="center"/>
                </w:tcPr>
                <w:p>
                  <w:pPr>
                    <w:pStyle w:val="15"/>
                    <w:rPr>
                      <w:color w:val="auto"/>
                    </w:rPr>
                  </w:pPr>
                </w:p>
              </w:tc>
              <w:tc>
                <w:tcPr>
                  <w:tcW w:w="562" w:type="dxa"/>
                  <w:vMerge w:val="continue"/>
                  <w:vAlign w:val="center"/>
                </w:tcPr>
                <w:p>
                  <w:pPr>
                    <w:pStyle w:val="15"/>
                    <w:rPr>
                      <w:color w:val="auto"/>
                    </w:rPr>
                  </w:pPr>
                </w:p>
              </w:tc>
              <w:tc>
                <w:tcPr>
                  <w:tcW w:w="725" w:type="dxa"/>
                  <w:vAlign w:val="center"/>
                </w:tcPr>
                <w:p>
                  <w:pPr>
                    <w:pStyle w:val="15"/>
                    <w:rPr>
                      <w:color w:val="auto"/>
                    </w:rPr>
                  </w:pPr>
                  <w:r>
                    <w:rPr>
                      <w:rFonts w:hint="eastAsia"/>
                      <w:color w:val="auto"/>
                    </w:rPr>
                    <w:t>液态</w:t>
                  </w:r>
                </w:p>
              </w:tc>
              <w:tc>
                <w:tcPr>
                  <w:tcW w:w="1430" w:type="dxa"/>
                  <w:vMerge w:val="continue"/>
                  <w:vAlign w:val="center"/>
                </w:tcPr>
                <w:p>
                  <w:pPr>
                    <w:pStyle w:val="15"/>
                    <w:rPr>
                      <w:color w:val="auto"/>
                    </w:rPr>
                  </w:pPr>
                </w:p>
              </w:tc>
              <w:tc>
                <w:tcPr>
                  <w:tcW w:w="1083" w:type="dxa"/>
                  <w:vAlign w:val="center"/>
                </w:tcPr>
                <w:p>
                  <w:pPr>
                    <w:pStyle w:val="15"/>
                    <w:rPr>
                      <w:color w:val="auto"/>
                    </w:rPr>
                  </w:pPr>
                  <w:r>
                    <w:rPr>
                      <w:rFonts w:hint="eastAsia"/>
                      <w:color w:val="auto"/>
                    </w:rPr>
                    <w:t>0.02</w:t>
                  </w:r>
                </w:p>
              </w:tc>
              <w:tc>
                <w:tcPr>
                  <w:tcW w:w="2225" w:type="dxa"/>
                  <w:vAlign w:val="center"/>
                </w:tcPr>
                <w:p>
                  <w:pPr>
                    <w:pStyle w:val="15"/>
                    <w:rPr>
                      <w:color w:val="auto"/>
                    </w:rPr>
                  </w:pPr>
                  <w:r>
                    <w:rPr>
                      <w:rFonts w:hint="eastAsia"/>
                      <w:color w:val="auto"/>
                    </w:rPr>
                    <w:t>HW49  900-047-49</w:t>
                  </w:r>
                </w:p>
                <w:p>
                  <w:pPr>
                    <w:pStyle w:val="15"/>
                    <w:rPr>
                      <w:color w:val="auto"/>
                    </w:rPr>
                  </w:pPr>
                  <w:r>
                    <w:rPr>
                      <w:rFonts w:hint="eastAsia"/>
                      <w:color w:val="auto"/>
                    </w:rPr>
                    <w:t>委托云南大地丰源环保有限公司清运处置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89"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rPr>
                    <w:t>7</w:t>
                  </w:r>
                </w:p>
              </w:tc>
              <w:tc>
                <w:tcPr>
                  <w:tcW w:w="1080" w:type="dxa"/>
                  <w:vAlign w:val="center"/>
                </w:tcPr>
                <w:p>
                  <w:pPr>
                    <w:pStyle w:val="15"/>
                    <w:rPr>
                      <w:color w:val="auto"/>
                    </w:rPr>
                  </w:pPr>
                  <w:r>
                    <w:rPr>
                      <w:rFonts w:hint="eastAsia"/>
                      <w:color w:val="auto"/>
                    </w:rPr>
                    <w:t>氟硅酸</w:t>
                  </w:r>
                </w:p>
              </w:tc>
              <w:tc>
                <w:tcPr>
                  <w:tcW w:w="549" w:type="dxa"/>
                  <w:vMerge w:val="continue"/>
                  <w:vAlign w:val="center"/>
                </w:tcPr>
                <w:p>
                  <w:pPr>
                    <w:pStyle w:val="15"/>
                    <w:rPr>
                      <w:color w:val="auto"/>
                    </w:rPr>
                  </w:pPr>
                </w:p>
              </w:tc>
              <w:tc>
                <w:tcPr>
                  <w:tcW w:w="562" w:type="dxa"/>
                  <w:vMerge w:val="continue"/>
                  <w:vAlign w:val="center"/>
                </w:tcPr>
                <w:p>
                  <w:pPr>
                    <w:pStyle w:val="15"/>
                    <w:rPr>
                      <w:color w:val="auto"/>
                    </w:rPr>
                  </w:pPr>
                </w:p>
              </w:tc>
              <w:tc>
                <w:tcPr>
                  <w:tcW w:w="725" w:type="dxa"/>
                  <w:vAlign w:val="center"/>
                </w:tcPr>
                <w:p>
                  <w:pPr>
                    <w:pStyle w:val="15"/>
                    <w:rPr>
                      <w:color w:val="auto"/>
                    </w:rPr>
                  </w:pPr>
                  <w:r>
                    <w:rPr>
                      <w:rFonts w:hint="eastAsia"/>
                      <w:color w:val="auto"/>
                    </w:rPr>
                    <w:t>液态</w:t>
                  </w:r>
                </w:p>
              </w:tc>
              <w:tc>
                <w:tcPr>
                  <w:tcW w:w="1430" w:type="dxa"/>
                  <w:vMerge w:val="continue"/>
                  <w:vAlign w:val="center"/>
                </w:tcPr>
                <w:p>
                  <w:pPr>
                    <w:pStyle w:val="15"/>
                    <w:rPr>
                      <w:color w:val="auto"/>
                    </w:rPr>
                  </w:pPr>
                </w:p>
              </w:tc>
              <w:tc>
                <w:tcPr>
                  <w:tcW w:w="1083" w:type="dxa"/>
                  <w:vAlign w:val="center"/>
                </w:tcPr>
                <w:p>
                  <w:pPr>
                    <w:pStyle w:val="15"/>
                    <w:rPr>
                      <w:color w:val="auto"/>
                    </w:rPr>
                  </w:pPr>
                  <w:r>
                    <w:rPr>
                      <w:rFonts w:hint="eastAsia"/>
                      <w:color w:val="auto"/>
                    </w:rPr>
                    <w:t>1501.54</w:t>
                  </w:r>
                </w:p>
              </w:tc>
              <w:tc>
                <w:tcPr>
                  <w:tcW w:w="2225" w:type="dxa"/>
                  <w:vAlign w:val="center"/>
                </w:tcPr>
                <w:p>
                  <w:pPr>
                    <w:pStyle w:val="15"/>
                    <w:rPr>
                      <w:color w:val="auto"/>
                    </w:rPr>
                  </w:pPr>
                  <w:r>
                    <w:rPr>
                      <w:rFonts w:hint="eastAsia"/>
                      <w:color w:val="auto"/>
                    </w:rPr>
                    <w:t>HW261-057-34</w:t>
                  </w:r>
                </w:p>
                <w:p>
                  <w:pPr>
                    <w:pStyle w:val="15"/>
                    <w:rPr>
                      <w:color w:val="auto"/>
                    </w:rPr>
                  </w:pPr>
                  <w:r>
                    <w:rPr>
                      <w:color w:val="auto"/>
                    </w:rPr>
                    <w:t>委托</w:t>
                  </w:r>
                  <w:r>
                    <w:rPr>
                      <w:rFonts w:hint="eastAsia"/>
                      <w:color w:val="auto"/>
                    </w:rPr>
                    <w:t>云南宁氟环保科技有限公司</w:t>
                  </w:r>
                  <w:r>
                    <w:rPr>
                      <w:color w:val="auto"/>
                    </w:rPr>
                    <w:t>进行处理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c>
                <w:tcPr>
                  <w:tcW w:w="489" w:type="dxa"/>
                  <w:vAlign w:val="center"/>
                </w:tcPr>
                <w:p>
                  <w:pPr>
                    <w:pStyle w:val="15"/>
                    <w:rPr>
                      <w:color w:val="auto"/>
                    </w:rPr>
                  </w:pPr>
                  <w:r>
                    <w:rPr>
                      <w:rFonts w:hint="eastAsia"/>
                      <w:color w:val="auto"/>
                      <w:lang w:val="en-US" w:eastAsia="zh-CN"/>
                    </w:rPr>
                    <w:t>8</w:t>
                  </w:r>
                </w:p>
              </w:tc>
              <w:tc>
                <w:tcPr>
                  <w:tcW w:w="1080" w:type="dxa"/>
                  <w:vAlign w:val="center"/>
                </w:tcPr>
                <w:p>
                  <w:pPr>
                    <w:pStyle w:val="15"/>
                    <w:rPr>
                      <w:color w:val="auto"/>
                    </w:rPr>
                  </w:pPr>
                  <w:r>
                    <w:rPr>
                      <w:color w:val="auto"/>
                    </w:rPr>
                    <w:t>生活垃圾</w:t>
                  </w:r>
                </w:p>
              </w:tc>
              <w:tc>
                <w:tcPr>
                  <w:tcW w:w="1111" w:type="dxa"/>
                  <w:gridSpan w:val="2"/>
                  <w:vAlign w:val="center"/>
                </w:tcPr>
                <w:p>
                  <w:pPr>
                    <w:pStyle w:val="15"/>
                    <w:rPr>
                      <w:color w:val="auto"/>
                    </w:rPr>
                  </w:pPr>
                  <w:r>
                    <w:rPr>
                      <w:rFonts w:hint="eastAsia"/>
                      <w:color w:val="auto"/>
                    </w:rPr>
                    <w:t>办公生活</w:t>
                  </w:r>
                </w:p>
              </w:tc>
              <w:tc>
                <w:tcPr>
                  <w:tcW w:w="725" w:type="dxa"/>
                  <w:vAlign w:val="center"/>
                </w:tcPr>
                <w:p>
                  <w:pPr>
                    <w:pStyle w:val="15"/>
                    <w:rPr>
                      <w:color w:val="auto"/>
                    </w:rPr>
                  </w:pPr>
                  <w:r>
                    <w:rPr>
                      <w:rFonts w:hint="eastAsia"/>
                      <w:color w:val="auto"/>
                    </w:rPr>
                    <w:t>固态</w:t>
                  </w:r>
                </w:p>
              </w:tc>
              <w:tc>
                <w:tcPr>
                  <w:tcW w:w="1430" w:type="dxa"/>
                  <w:vMerge w:val="continue"/>
                  <w:vAlign w:val="center"/>
                </w:tcPr>
                <w:p>
                  <w:pPr>
                    <w:pStyle w:val="15"/>
                    <w:rPr>
                      <w:color w:val="auto"/>
                    </w:rPr>
                  </w:pPr>
                </w:p>
              </w:tc>
              <w:tc>
                <w:tcPr>
                  <w:tcW w:w="1083" w:type="dxa"/>
                  <w:vAlign w:val="center"/>
                </w:tcPr>
                <w:p>
                  <w:pPr>
                    <w:pStyle w:val="15"/>
                    <w:rPr>
                      <w:color w:val="auto"/>
                    </w:rPr>
                  </w:pPr>
                  <w:r>
                    <w:rPr>
                      <w:rFonts w:hint="eastAsia"/>
                      <w:color w:val="auto"/>
                    </w:rPr>
                    <w:t>12.5</w:t>
                  </w:r>
                </w:p>
              </w:tc>
              <w:tc>
                <w:tcPr>
                  <w:tcW w:w="2225" w:type="dxa"/>
                  <w:vAlign w:val="center"/>
                </w:tcPr>
                <w:p>
                  <w:pPr>
                    <w:pStyle w:val="15"/>
                    <w:rPr>
                      <w:rFonts w:hint="eastAsia" w:eastAsia="宋体"/>
                      <w:color w:val="auto"/>
                      <w:lang w:eastAsia="zh-CN"/>
                    </w:rPr>
                  </w:pPr>
                  <w:r>
                    <w:rPr>
                      <w:color w:val="auto"/>
                    </w:rPr>
                    <w:t>委托环卫部门清运</w:t>
                  </w:r>
                  <w:r>
                    <w:rPr>
                      <w:rFonts w:hint="eastAsia"/>
                      <w:color w:val="auto"/>
                      <w:lang w:val="en-US" w:eastAsia="zh-CN"/>
                    </w:rPr>
                    <w:t>处置</w:t>
                  </w:r>
                </w:p>
              </w:tc>
            </w:tr>
          </w:tbl>
          <w:p>
            <w:pPr>
              <w:ind w:firstLine="0" w:firstLineChars="0"/>
              <w:rPr>
                <w:color w:val="auto"/>
              </w:rPr>
            </w:pPr>
            <w:r>
              <w:rPr>
                <w:rFonts w:hint="eastAsia"/>
                <w:color w:val="auto"/>
              </w:rPr>
              <w:t>三、与该项目有关的主要环境问题及整改措施</w:t>
            </w:r>
          </w:p>
          <w:p>
            <w:pPr>
              <w:ind w:firstLine="480"/>
              <w:rPr>
                <w:rFonts w:hint="eastAsia"/>
                <w:color w:val="auto"/>
                <w:lang w:val="en-US" w:eastAsia="zh-CN"/>
              </w:rPr>
            </w:pPr>
            <w:r>
              <w:rPr>
                <w:rFonts w:hint="eastAsia"/>
                <w:color w:val="auto"/>
                <w:lang w:val="en-US" w:eastAsia="zh-CN"/>
              </w:rPr>
              <w:t>建设单位已按照排污许可证要求开展了排污许可台账管理、执行报告填报、自行监测；</w:t>
            </w:r>
          </w:p>
          <w:p>
            <w:pPr>
              <w:ind w:firstLine="480"/>
              <w:rPr>
                <w:rFonts w:hint="default"/>
                <w:color w:val="auto"/>
                <w:lang w:val="en-US" w:eastAsia="zh-CN"/>
              </w:rPr>
            </w:pPr>
            <w:r>
              <w:rPr>
                <w:rFonts w:hint="eastAsia"/>
                <w:color w:val="auto"/>
                <w:lang w:val="en-US" w:eastAsia="zh-CN"/>
              </w:rPr>
              <w:t>根据原项目环评批复情况，建设单位在取得晋环保复〔2020〕24号、晋环保复〔2020〕26号等批复后未及时申请排污许可变更，直至2022年6月30日才对排污许可证申请了变更；目前排污许可正在申请变更中；</w:t>
            </w:r>
          </w:p>
          <w:p>
            <w:pPr>
              <w:ind w:firstLine="480"/>
              <w:rPr>
                <w:rFonts w:hint="eastAsia" w:eastAsia="宋体"/>
                <w:color w:val="auto"/>
                <w:lang w:eastAsia="zh-CN"/>
              </w:rPr>
            </w:pPr>
            <w:r>
              <w:rPr>
                <w:rFonts w:hint="eastAsia"/>
                <w:color w:val="auto"/>
              </w:rPr>
              <w:t>DA005、DA006、DA009、DA010</w:t>
            </w:r>
            <w:r>
              <w:rPr>
                <w:rFonts w:hint="eastAsia"/>
                <w:color w:val="auto"/>
                <w:lang w:val="en-US" w:eastAsia="zh-CN"/>
              </w:rPr>
              <w:t>排气筒已按要求安装颗粒物</w:t>
            </w:r>
            <w:r>
              <w:rPr>
                <w:rFonts w:hint="eastAsia"/>
                <w:color w:val="auto"/>
              </w:rPr>
              <w:t>在线监测系统</w:t>
            </w:r>
            <w:r>
              <w:rPr>
                <w:rFonts w:hint="eastAsia"/>
                <w:color w:val="auto"/>
                <w:lang w:eastAsia="zh-CN"/>
              </w:rPr>
              <w:t>。</w:t>
            </w:r>
          </w:p>
          <w:p>
            <w:pPr>
              <w:ind w:firstLine="480"/>
              <w:rPr>
                <w:color w:val="auto"/>
              </w:rPr>
            </w:pPr>
            <w:r>
              <w:rPr>
                <w:rFonts w:hint="eastAsia"/>
                <w:color w:val="auto"/>
                <w:lang w:val="en-US" w:eastAsia="zh-CN"/>
              </w:rPr>
              <w:t>目前，</w:t>
            </w:r>
            <w:r>
              <w:rPr>
                <w:rFonts w:hint="eastAsia"/>
                <w:color w:val="auto"/>
              </w:rPr>
              <w:t>项目区不存在与该项目有关的环境问题。</w:t>
            </w:r>
          </w:p>
          <w:p>
            <w:pPr>
              <w:ind w:firstLine="480"/>
              <w:rPr>
                <w:color w:val="auto"/>
              </w:rPr>
            </w:pPr>
          </w:p>
          <w:p>
            <w:pPr>
              <w:ind w:firstLine="480"/>
              <w:rPr>
                <w:color w:val="auto"/>
              </w:rPr>
            </w:pPr>
          </w:p>
        </w:tc>
      </w:tr>
    </w:tbl>
    <w:p>
      <w:pPr>
        <w:ind w:firstLine="480"/>
        <w:rPr>
          <w:color w:val="auto"/>
        </w:rPr>
        <w:sectPr>
          <w:pgSz w:w="11906" w:h="16838"/>
          <w:pgMar w:top="1701" w:right="1531" w:bottom="1701" w:left="1531" w:header="851" w:footer="851" w:gutter="0"/>
          <w:cols w:space="720" w:num="1"/>
          <w:docGrid w:linePitch="312" w:charSpace="0"/>
        </w:sectPr>
      </w:pPr>
    </w:p>
    <w:p>
      <w:pPr>
        <w:pStyle w:val="2"/>
        <w:spacing w:after="240"/>
        <w:jc w:val="left"/>
        <w:rPr>
          <w:color w:val="auto"/>
        </w:rPr>
      </w:pPr>
      <w:bookmarkStart w:id="5" w:name="_Toc8061"/>
      <w:r>
        <w:rPr>
          <w:color w:val="auto"/>
        </w:rPr>
        <w:t>三、区域环境质量现状、环境保护目标及评价标准</w:t>
      </w:r>
      <w:bookmarkEnd w:id="5"/>
    </w:p>
    <w:tbl>
      <w:tblPr>
        <w:tblStyle w:val="10"/>
        <w:tblW w:w="906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4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908" w:hRule="atLeast"/>
          <w:jc w:val="center"/>
        </w:trPr>
        <w:tc>
          <w:tcPr>
            <w:tcW w:w="636" w:type="dxa"/>
            <w:vAlign w:val="center"/>
          </w:tcPr>
          <w:p>
            <w:pPr>
              <w:spacing w:line="240" w:lineRule="auto"/>
              <w:ind w:firstLine="0" w:firstLineChars="0"/>
              <w:jc w:val="center"/>
              <w:rPr>
                <w:color w:val="auto"/>
              </w:rPr>
            </w:pPr>
            <w:r>
              <w:rPr>
                <w:color w:val="auto"/>
              </w:rPr>
              <w:t>区域</w:t>
            </w:r>
          </w:p>
          <w:p>
            <w:pPr>
              <w:spacing w:line="240" w:lineRule="auto"/>
              <w:ind w:firstLine="0" w:firstLineChars="0"/>
              <w:jc w:val="center"/>
              <w:rPr>
                <w:color w:val="auto"/>
              </w:rPr>
            </w:pPr>
            <w:r>
              <w:rPr>
                <w:color w:val="auto"/>
              </w:rPr>
              <w:t>环境</w:t>
            </w:r>
          </w:p>
          <w:p>
            <w:pPr>
              <w:spacing w:line="240" w:lineRule="auto"/>
              <w:ind w:firstLine="0" w:firstLineChars="0"/>
              <w:jc w:val="center"/>
              <w:rPr>
                <w:color w:val="auto"/>
              </w:rPr>
            </w:pPr>
            <w:r>
              <w:rPr>
                <w:color w:val="auto"/>
              </w:rPr>
              <w:t>质量</w:t>
            </w:r>
          </w:p>
          <w:p>
            <w:pPr>
              <w:spacing w:line="240" w:lineRule="auto"/>
              <w:ind w:firstLine="0" w:firstLineChars="0"/>
              <w:jc w:val="center"/>
              <w:rPr>
                <w:color w:val="auto"/>
              </w:rPr>
            </w:pPr>
            <w:r>
              <w:rPr>
                <w:color w:val="auto"/>
              </w:rPr>
              <w:t>现状</w:t>
            </w:r>
          </w:p>
        </w:tc>
        <w:tc>
          <w:tcPr>
            <w:tcW w:w="8425" w:type="dxa"/>
            <w:vAlign w:val="center"/>
          </w:tcPr>
          <w:p>
            <w:pPr>
              <w:ind w:firstLine="0" w:firstLineChars="0"/>
              <w:rPr>
                <w:color w:val="auto"/>
              </w:rPr>
            </w:pPr>
            <w:r>
              <w:rPr>
                <w:rFonts w:hint="eastAsia"/>
                <w:color w:val="auto"/>
              </w:rPr>
              <w:t>1、环境空气质量现状</w:t>
            </w:r>
          </w:p>
          <w:p>
            <w:pPr>
              <w:ind w:firstLine="480"/>
              <w:rPr>
                <w:color w:val="auto"/>
              </w:rPr>
            </w:pPr>
            <w:r>
              <w:rPr>
                <w:rFonts w:hint="eastAsia"/>
                <w:color w:val="auto"/>
              </w:rPr>
              <w:t>（1）</w:t>
            </w:r>
            <w:r>
              <w:rPr>
                <w:color w:val="auto"/>
              </w:rPr>
              <w:t>项目周边情况</w:t>
            </w:r>
          </w:p>
          <w:p>
            <w:pPr>
              <w:ind w:firstLine="480"/>
              <w:rPr>
                <w:color w:val="auto"/>
              </w:rPr>
            </w:pPr>
            <w:r>
              <w:rPr>
                <w:color w:val="auto"/>
              </w:rPr>
              <w:t>建设用地位于昆明市晋宁区上蒜镇。项目选址区域为环境空气功能二类区，执行《环境空气质量标准》（GB3095-2012）及其修改单中二级标准。根据《2022年度昆明市生态环境状况公报》</w:t>
            </w:r>
            <w:r>
              <w:rPr>
                <w:rFonts w:hint="eastAsia"/>
                <w:color w:val="auto"/>
              </w:rPr>
              <w:t>：</w:t>
            </w:r>
            <w:r>
              <w:rPr>
                <w:color w:val="auto"/>
              </w:rPr>
              <w:t>各县(市)区环境空气质量总体保持良好。与2021年相比，安宁市、禄劝县、石林县、嵩明县、富民县、宜良县、寻甸县环境空气综合污染指数有所下降，东川区环境空气综合污染指数有所上升。</w:t>
            </w:r>
            <w:r>
              <w:rPr>
                <w:rFonts w:hint="eastAsia"/>
                <w:color w:val="auto"/>
              </w:rPr>
              <w:t>故项目所在区域</w:t>
            </w:r>
            <w:r>
              <w:rPr>
                <w:color w:val="auto"/>
              </w:rPr>
              <w:t>环境空气质量</w:t>
            </w:r>
            <w:r>
              <w:rPr>
                <w:rFonts w:hint="eastAsia"/>
                <w:color w:val="auto"/>
              </w:rPr>
              <w:t>良好</w:t>
            </w:r>
            <w:r>
              <w:rPr>
                <w:color w:val="auto"/>
              </w:rPr>
              <w:t>。</w:t>
            </w:r>
          </w:p>
          <w:p>
            <w:pPr>
              <w:ind w:firstLine="480"/>
              <w:rPr>
                <w:color w:val="auto"/>
              </w:rPr>
            </w:pPr>
            <w:r>
              <w:rPr>
                <w:rFonts w:hint="eastAsia"/>
                <w:color w:val="auto"/>
              </w:rPr>
              <w:t>（2）</w:t>
            </w:r>
            <w:r>
              <w:rPr>
                <w:color w:val="auto"/>
              </w:rPr>
              <w:t>补充监测</w:t>
            </w:r>
          </w:p>
          <w:p>
            <w:pPr>
              <w:ind w:firstLine="480"/>
              <w:rPr>
                <w:color w:val="auto"/>
              </w:rPr>
            </w:pPr>
            <w:r>
              <w:rPr>
                <w:color w:val="auto"/>
              </w:rPr>
              <w:t>为了了解项目所在区域大气环境质量现状，建设单位委托云南中科检测技术有限公司于2023年1</w:t>
            </w:r>
            <w:r>
              <w:rPr>
                <w:rFonts w:hint="eastAsia"/>
                <w:color w:val="auto"/>
              </w:rPr>
              <w:t>0</w:t>
            </w:r>
            <w:r>
              <w:rPr>
                <w:color w:val="auto"/>
              </w:rPr>
              <w:t>月</w:t>
            </w:r>
            <w:r>
              <w:rPr>
                <w:rFonts w:hint="eastAsia"/>
                <w:color w:val="auto"/>
              </w:rPr>
              <w:t>25</w:t>
            </w:r>
            <w:r>
              <w:rPr>
                <w:color w:val="auto"/>
              </w:rPr>
              <w:t>日～1</w:t>
            </w:r>
            <w:r>
              <w:rPr>
                <w:rFonts w:hint="eastAsia"/>
                <w:color w:val="auto"/>
              </w:rPr>
              <w:t>0</w:t>
            </w:r>
            <w:r>
              <w:rPr>
                <w:color w:val="auto"/>
              </w:rPr>
              <w:t>月</w:t>
            </w:r>
            <w:r>
              <w:rPr>
                <w:rFonts w:hint="eastAsia"/>
                <w:color w:val="auto"/>
              </w:rPr>
              <w:t>28</w:t>
            </w:r>
            <w:r>
              <w:rPr>
                <w:color w:val="auto"/>
              </w:rPr>
              <w:t>日对项目区域特征因子进行了补充监测，监测期间项目处于满负荷生产状态，具体如下：</w:t>
            </w:r>
          </w:p>
          <w:p>
            <w:pPr>
              <w:ind w:firstLine="480"/>
              <w:rPr>
                <w:color w:val="auto"/>
              </w:rPr>
            </w:pPr>
            <w:r>
              <w:rPr>
                <w:color w:val="auto"/>
              </w:rPr>
              <w:t>监测项目：TSP</w:t>
            </w:r>
            <w:r>
              <w:rPr>
                <w:rFonts w:hint="eastAsia"/>
                <w:color w:val="auto"/>
              </w:rPr>
              <w:t>、</w:t>
            </w:r>
            <w:r>
              <w:rPr>
                <w:color w:val="auto"/>
              </w:rPr>
              <w:t>氮氧化物；</w:t>
            </w:r>
          </w:p>
          <w:p>
            <w:pPr>
              <w:ind w:firstLine="480"/>
              <w:rPr>
                <w:color w:val="auto"/>
              </w:rPr>
            </w:pPr>
            <w:r>
              <w:rPr>
                <w:color w:val="auto"/>
              </w:rPr>
              <w:t>监测点位：生产区当季主导风向下风向；</w:t>
            </w:r>
          </w:p>
          <w:p>
            <w:pPr>
              <w:ind w:firstLine="480"/>
              <w:rPr>
                <w:color w:val="auto"/>
              </w:rPr>
            </w:pPr>
            <w:r>
              <w:rPr>
                <w:color w:val="auto"/>
              </w:rPr>
              <w:t>监测时间：2023年1</w:t>
            </w:r>
            <w:r>
              <w:rPr>
                <w:rFonts w:hint="eastAsia"/>
                <w:color w:val="auto"/>
              </w:rPr>
              <w:t>0</w:t>
            </w:r>
            <w:r>
              <w:rPr>
                <w:color w:val="auto"/>
              </w:rPr>
              <w:t>月</w:t>
            </w:r>
            <w:r>
              <w:rPr>
                <w:rFonts w:hint="eastAsia"/>
                <w:color w:val="auto"/>
              </w:rPr>
              <w:t>25</w:t>
            </w:r>
            <w:r>
              <w:rPr>
                <w:color w:val="auto"/>
              </w:rPr>
              <w:t>日～1</w:t>
            </w:r>
            <w:r>
              <w:rPr>
                <w:rFonts w:hint="eastAsia"/>
                <w:color w:val="auto"/>
              </w:rPr>
              <w:t>0</w:t>
            </w:r>
            <w:r>
              <w:rPr>
                <w:color w:val="auto"/>
              </w:rPr>
              <w:t>月</w:t>
            </w:r>
            <w:r>
              <w:rPr>
                <w:rFonts w:hint="eastAsia"/>
                <w:color w:val="auto"/>
              </w:rPr>
              <w:t>28</w:t>
            </w:r>
            <w:r>
              <w:rPr>
                <w:color w:val="auto"/>
              </w:rPr>
              <w:t>日；</w:t>
            </w:r>
          </w:p>
          <w:p>
            <w:pPr>
              <w:ind w:firstLine="480"/>
              <w:rPr>
                <w:color w:val="auto"/>
              </w:rPr>
            </w:pPr>
            <w:r>
              <w:rPr>
                <w:color w:val="auto"/>
              </w:rPr>
              <w:t>监测频率：连续监测</w:t>
            </w:r>
            <w:r>
              <w:rPr>
                <w:rFonts w:hint="eastAsia"/>
                <w:color w:val="auto"/>
              </w:rPr>
              <w:t>3</w:t>
            </w:r>
            <w:r>
              <w:rPr>
                <w:color w:val="auto"/>
              </w:rPr>
              <w:t>天，24小时平均浓度值每天监测一次，连续采样24小时。</w:t>
            </w:r>
          </w:p>
          <w:p>
            <w:pPr>
              <w:ind w:firstLine="480"/>
              <w:rPr>
                <w:color w:val="auto"/>
              </w:rPr>
            </w:pPr>
            <w:r>
              <w:rPr>
                <w:color w:val="auto"/>
              </w:rPr>
              <w:t>监测结果见下表：</w:t>
            </w:r>
          </w:p>
          <w:p>
            <w:pPr>
              <w:pStyle w:val="14"/>
              <w:rPr>
                <w:color w:val="auto"/>
              </w:rPr>
            </w:pPr>
            <w:r>
              <w:rPr>
                <w:color w:val="auto"/>
              </w:rPr>
              <w:t xml:space="preserve">表 3-1 </w:t>
            </w:r>
            <w:r>
              <w:rPr>
                <w:rFonts w:hint="eastAsia"/>
                <w:color w:val="auto"/>
              </w:rPr>
              <w:t xml:space="preserve">  </w:t>
            </w:r>
            <w:r>
              <w:rPr>
                <w:color w:val="auto"/>
              </w:rPr>
              <w:t>环境空气检测结果表</w:t>
            </w:r>
          </w:p>
          <w:tbl>
            <w:tblPr>
              <w:tblStyle w:val="13"/>
              <w:tblW w:w="82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2"/>
              <w:gridCol w:w="679"/>
              <w:gridCol w:w="1966"/>
              <w:gridCol w:w="1753"/>
              <w:gridCol w:w="1117"/>
              <w:gridCol w:w="1057"/>
              <w:gridCol w:w="105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c>
                <w:tcPr>
                  <w:tcW w:w="572" w:type="dxa"/>
                  <w:vAlign w:val="center"/>
                </w:tcPr>
                <w:p>
                  <w:pPr>
                    <w:pStyle w:val="15"/>
                    <w:rPr>
                      <w:color w:val="auto"/>
                    </w:rPr>
                  </w:pPr>
                  <w:r>
                    <w:rPr>
                      <w:color w:val="auto"/>
                    </w:rPr>
                    <w:t>检测项目</w:t>
                  </w:r>
                </w:p>
              </w:tc>
              <w:tc>
                <w:tcPr>
                  <w:tcW w:w="679" w:type="dxa"/>
                  <w:vAlign w:val="center"/>
                </w:tcPr>
                <w:p>
                  <w:pPr>
                    <w:pStyle w:val="15"/>
                    <w:rPr>
                      <w:color w:val="auto"/>
                    </w:rPr>
                  </w:pPr>
                  <w:r>
                    <w:rPr>
                      <w:color w:val="auto"/>
                    </w:rPr>
                    <w:t>检测点位</w:t>
                  </w:r>
                </w:p>
              </w:tc>
              <w:tc>
                <w:tcPr>
                  <w:tcW w:w="1966" w:type="dxa"/>
                  <w:vAlign w:val="center"/>
                </w:tcPr>
                <w:p>
                  <w:pPr>
                    <w:pStyle w:val="15"/>
                    <w:rPr>
                      <w:color w:val="auto"/>
                    </w:rPr>
                  </w:pPr>
                  <w:r>
                    <w:rPr>
                      <w:color w:val="auto"/>
                    </w:rPr>
                    <w:t>采样日期</w:t>
                  </w:r>
                </w:p>
              </w:tc>
              <w:tc>
                <w:tcPr>
                  <w:tcW w:w="1753" w:type="dxa"/>
                  <w:vAlign w:val="center"/>
                </w:tcPr>
                <w:p>
                  <w:pPr>
                    <w:pStyle w:val="15"/>
                    <w:rPr>
                      <w:color w:val="auto"/>
                    </w:rPr>
                  </w:pPr>
                  <w:r>
                    <w:rPr>
                      <w:color w:val="auto"/>
                    </w:rPr>
                    <w:t>采样时段</w:t>
                  </w:r>
                </w:p>
              </w:tc>
              <w:tc>
                <w:tcPr>
                  <w:tcW w:w="1117" w:type="dxa"/>
                  <w:vAlign w:val="center"/>
                </w:tcPr>
                <w:p>
                  <w:pPr>
                    <w:pStyle w:val="15"/>
                    <w:rPr>
                      <w:color w:val="auto"/>
                    </w:rPr>
                  </w:pPr>
                  <w:r>
                    <w:rPr>
                      <w:color w:val="auto"/>
                    </w:rPr>
                    <w:t>检测结果(μg/m</w:t>
                  </w:r>
                  <w:r>
                    <w:rPr>
                      <w:color w:val="auto"/>
                      <w:vertAlign w:val="superscript"/>
                    </w:rPr>
                    <w:t>3</w:t>
                  </w:r>
                  <w:r>
                    <w:rPr>
                      <w:color w:val="auto"/>
                    </w:rPr>
                    <w:t>）</w:t>
                  </w:r>
                </w:p>
              </w:tc>
              <w:tc>
                <w:tcPr>
                  <w:tcW w:w="1057" w:type="dxa"/>
                  <w:vAlign w:val="center"/>
                </w:tcPr>
                <w:p>
                  <w:pPr>
                    <w:pStyle w:val="15"/>
                    <w:rPr>
                      <w:color w:val="auto"/>
                    </w:rPr>
                  </w:pPr>
                  <w:r>
                    <w:rPr>
                      <w:rFonts w:hint="eastAsia"/>
                      <w:color w:val="auto"/>
                    </w:rPr>
                    <w:t>标准值</w:t>
                  </w:r>
                  <w:r>
                    <w:rPr>
                      <w:color w:val="auto"/>
                    </w:rPr>
                    <w:t>(μg/m</w:t>
                  </w:r>
                  <w:r>
                    <w:rPr>
                      <w:color w:val="auto"/>
                      <w:vertAlign w:val="superscript"/>
                    </w:rPr>
                    <w:t>3</w:t>
                  </w:r>
                  <w:r>
                    <w:rPr>
                      <w:color w:val="auto"/>
                    </w:rPr>
                    <w:t>）</w:t>
                  </w:r>
                </w:p>
              </w:tc>
              <w:tc>
                <w:tcPr>
                  <w:tcW w:w="1057" w:type="dxa"/>
                  <w:vAlign w:val="center"/>
                </w:tcPr>
                <w:p>
                  <w:pPr>
                    <w:pStyle w:val="15"/>
                    <w:rPr>
                      <w:rFonts w:hint="eastAsia"/>
                      <w:color w:val="auto"/>
                      <w:lang w:val="en-US" w:eastAsia="zh-CN"/>
                    </w:rPr>
                  </w:pPr>
                  <w:r>
                    <w:rPr>
                      <w:rFonts w:hint="eastAsia"/>
                      <w:color w:val="auto"/>
                      <w:lang w:val="en-US" w:eastAsia="zh-CN"/>
                    </w:rPr>
                    <w:t>占标率</w:t>
                  </w:r>
                </w:p>
                <w:p>
                  <w:pPr>
                    <w:pStyle w:val="15"/>
                    <w:rPr>
                      <w:rFonts w:hint="default" w:eastAsia="宋体"/>
                      <w:color w:val="auto"/>
                      <w:lang w:val="en-US" w:eastAsia="zh-CN"/>
                    </w:rPr>
                  </w:pPr>
                  <w:r>
                    <w:rPr>
                      <w:rFonts w:hint="eastAsia"/>
                      <w:color w:val="auto"/>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c>
                <w:tcPr>
                  <w:tcW w:w="572" w:type="dxa"/>
                  <w:vMerge w:val="restart"/>
                  <w:tcBorders>
                    <w:bottom w:val="nil"/>
                  </w:tcBorders>
                  <w:vAlign w:val="center"/>
                </w:tcPr>
                <w:p>
                  <w:pPr>
                    <w:pStyle w:val="15"/>
                    <w:rPr>
                      <w:color w:val="auto"/>
                    </w:rPr>
                  </w:pPr>
                  <w:r>
                    <w:rPr>
                      <w:color w:val="auto"/>
                    </w:rPr>
                    <w:t>TSP</w:t>
                  </w:r>
                </w:p>
              </w:tc>
              <w:tc>
                <w:tcPr>
                  <w:tcW w:w="679" w:type="dxa"/>
                  <w:vMerge w:val="restart"/>
                  <w:tcBorders>
                    <w:bottom w:val="nil"/>
                  </w:tcBorders>
                  <w:vAlign w:val="center"/>
                </w:tcPr>
                <w:p>
                  <w:pPr>
                    <w:pStyle w:val="15"/>
                    <w:rPr>
                      <w:color w:val="auto"/>
                    </w:rPr>
                  </w:pPr>
                  <w:r>
                    <w:rPr>
                      <w:color w:val="auto"/>
                    </w:rPr>
                    <w:t>A1：生产区当季主导风向下风向</w:t>
                  </w:r>
                </w:p>
              </w:tc>
              <w:tc>
                <w:tcPr>
                  <w:tcW w:w="1966" w:type="dxa"/>
                  <w:vAlign w:val="center"/>
                </w:tcPr>
                <w:p>
                  <w:pPr>
                    <w:pStyle w:val="15"/>
                    <w:rPr>
                      <w:color w:val="auto"/>
                    </w:rPr>
                  </w:pPr>
                  <w:r>
                    <w:rPr>
                      <w:color w:val="auto"/>
                    </w:rPr>
                    <w:t>2023.10.25-2023.10.26</w:t>
                  </w:r>
                </w:p>
              </w:tc>
              <w:tc>
                <w:tcPr>
                  <w:tcW w:w="1753" w:type="dxa"/>
                  <w:vAlign w:val="center"/>
                </w:tcPr>
                <w:p>
                  <w:pPr>
                    <w:pStyle w:val="15"/>
                    <w:rPr>
                      <w:color w:val="auto"/>
                    </w:rPr>
                  </w:pPr>
                  <w:r>
                    <w:rPr>
                      <w:color w:val="auto"/>
                    </w:rPr>
                    <w:t>15:00-15:00（次日）</w:t>
                  </w:r>
                </w:p>
              </w:tc>
              <w:tc>
                <w:tcPr>
                  <w:tcW w:w="1117" w:type="dxa"/>
                  <w:vAlign w:val="center"/>
                </w:tcPr>
                <w:p>
                  <w:pPr>
                    <w:pStyle w:val="15"/>
                    <w:rPr>
                      <w:color w:val="auto"/>
                    </w:rPr>
                  </w:pPr>
                  <w:r>
                    <w:rPr>
                      <w:color w:val="auto"/>
                    </w:rPr>
                    <w:t>106</w:t>
                  </w:r>
                </w:p>
              </w:tc>
              <w:tc>
                <w:tcPr>
                  <w:tcW w:w="1057" w:type="dxa"/>
                  <w:vAlign w:val="center"/>
                </w:tcPr>
                <w:p>
                  <w:pPr>
                    <w:pStyle w:val="15"/>
                    <w:rPr>
                      <w:color w:val="auto"/>
                    </w:rPr>
                  </w:pPr>
                  <w:r>
                    <w:rPr>
                      <w:rFonts w:hint="eastAsia"/>
                      <w:color w:val="auto"/>
                    </w:rPr>
                    <w:t>300</w:t>
                  </w:r>
                </w:p>
              </w:tc>
              <w:tc>
                <w:tcPr>
                  <w:tcW w:w="1057" w:type="dxa"/>
                  <w:vAlign w:val="center"/>
                </w:tcPr>
                <w:p>
                  <w:pPr>
                    <w:pStyle w:val="15"/>
                    <w:rPr>
                      <w:rFonts w:hint="default" w:eastAsia="宋体"/>
                      <w:color w:val="auto"/>
                      <w:lang w:val="en-US" w:eastAsia="zh-CN"/>
                    </w:rPr>
                  </w:pPr>
                  <w:r>
                    <w:rPr>
                      <w:rFonts w:hint="eastAsia"/>
                      <w:color w:val="auto"/>
                      <w:lang w:val="en-US" w:eastAsia="zh-CN"/>
                    </w:rPr>
                    <w:t>35.33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c>
                <w:tcPr>
                  <w:tcW w:w="572" w:type="dxa"/>
                  <w:vMerge w:val="continue"/>
                  <w:tcBorders>
                    <w:top w:val="nil"/>
                    <w:bottom w:val="nil"/>
                  </w:tcBorders>
                  <w:vAlign w:val="center"/>
                </w:tcPr>
                <w:p>
                  <w:pPr>
                    <w:pStyle w:val="15"/>
                    <w:rPr>
                      <w:color w:val="auto"/>
                    </w:rPr>
                  </w:pPr>
                </w:p>
              </w:tc>
              <w:tc>
                <w:tcPr>
                  <w:tcW w:w="679" w:type="dxa"/>
                  <w:vMerge w:val="continue"/>
                  <w:tcBorders>
                    <w:top w:val="nil"/>
                    <w:bottom w:val="nil"/>
                  </w:tcBorders>
                  <w:vAlign w:val="center"/>
                </w:tcPr>
                <w:p>
                  <w:pPr>
                    <w:pStyle w:val="15"/>
                    <w:rPr>
                      <w:color w:val="auto"/>
                    </w:rPr>
                  </w:pPr>
                </w:p>
              </w:tc>
              <w:tc>
                <w:tcPr>
                  <w:tcW w:w="1966" w:type="dxa"/>
                  <w:vAlign w:val="center"/>
                </w:tcPr>
                <w:p>
                  <w:pPr>
                    <w:pStyle w:val="15"/>
                    <w:rPr>
                      <w:color w:val="auto"/>
                    </w:rPr>
                  </w:pPr>
                  <w:r>
                    <w:rPr>
                      <w:color w:val="auto"/>
                    </w:rPr>
                    <w:t>2023.10.26-2023.10.27</w:t>
                  </w:r>
                </w:p>
              </w:tc>
              <w:tc>
                <w:tcPr>
                  <w:tcW w:w="1753" w:type="dxa"/>
                  <w:vAlign w:val="center"/>
                </w:tcPr>
                <w:p>
                  <w:pPr>
                    <w:pStyle w:val="15"/>
                    <w:rPr>
                      <w:color w:val="auto"/>
                    </w:rPr>
                  </w:pPr>
                  <w:r>
                    <w:rPr>
                      <w:color w:val="auto"/>
                    </w:rPr>
                    <w:t>15:10-15:10（次日）</w:t>
                  </w:r>
                </w:p>
              </w:tc>
              <w:tc>
                <w:tcPr>
                  <w:tcW w:w="1117" w:type="dxa"/>
                  <w:vAlign w:val="center"/>
                </w:tcPr>
                <w:p>
                  <w:pPr>
                    <w:pStyle w:val="15"/>
                    <w:rPr>
                      <w:color w:val="auto"/>
                    </w:rPr>
                  </w:pPr>
                  <w:r>
                    <w:rPr>
                      <w:color w:val="auto"/>
                    </w:rPr>
                    <w:t>112</w:t>
                  </w:r>
                </w:p>
              </w:tc>
              <w:tc>
                <w:tcPr>
                  <w:tcW w:w="1057" w:type="dxa"/>
                  <w:vAlign w:val="center"/>
                </w:tcPr>
                <w:p>
                  <w:pPr>
                    <w:pStyle w:val="15"/>
                    <w:rPr>
                      <w:color w:val="auto"/>
                    </w:rPr>
                  </w:pPr>
                  <w:r>
                    <w:rPr>
                      <w:rFonts w:hint="eastAsia"/>
                      <w:color w:val="auto"/>
                    </w:rPr>
                    <w:t>300</w:t>
                  </w:r>
                </w:p>
              </w:tc>
              <w:tc>
                <w:tcPr>
                  <w:tcW w:w="1057" w:type="dxa"/>
                  <w:vAlign w:val="center"/>
                </w:tcPr>
                <w:p>
                  <w:pPr>
                    <w:pStyle w:val="15"/>
                    <w:rPr>
                      <w:rFonts w:hint="default" w:eastAsia="宋体"/>
                      <w:color w:val="auto"/>
                      <w:lang w:val="en-US" w:eastAsia="zh-CN"/>
                    </w:rPr>
                  </w:pPr>
                  <w:r>
                    <w:rPr>
                      <w:rFonts w:hint="eastAsia"/>
                      <w:color w:val="auto"/>
                      <w:lang w:val="en-US" w:eastAsia="zh-CN"/>
                    </w:rPr>
                    <w:t>37.33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c>
                <w:tcPr>
                  <w:tcW w:w="572" w:type="dxa"/>
                  <w:vMerge w:val="continue"/>
                  <w:tcBorders>
                    <w:top w:val="nil"/>
                  </w:tcBorders>
                  <w:vAlign w:val="center"/>
                </w:tcPr>
                <w:p>
                  <w:pPr>
                    <w:pStyle w:val="15"/>
                    <w:rPr>
                      <w:color w:val="auto"/>
                    </w:rPr>
                  </w:pPr>
                </w:p>
              </w:tc>
              <w:tc>
                <w:tcPr>
                  <w:tcW w:w="679" w:type="dxa"/>
                  <w:vMerge w:val="continue"/>
                  <w:tcBorders>
                    <w:top w:val="nil"/>
                    <w:bottom w:val="nil"/>
                  </w:tcBorders>
                  <w:vAlign w:val="center"/>
                </w:tcPr>
                <w:p>
                  <w:pPr>
                    <w:pStyle w:val="15"/>
                    <w:rPr>
                      <w:color w:val="auto"/>
                    </w:rPr>
                  </w:pPr>
                </w:p>
              </w:tc>
              <w:tc>
                <w:tcPr>
                  <w:tcW w:w="1966" w:type="dxa"/>
                  <w:vAlign w:val="center"/>
                </w:tcPr>
                <w:p>
                  <w:pPr>
                    <w:pStyle w:val="15"/>
                    <w:rPr>
                      <w:color w:val="auto"/>
                    </w:rPr>
                  </w:pPr>
                  <w:r>
                    <w:rPr>
                      <w:color w:val="auto"/>
                    </w:rPr>
                    <w:t>2023.10.27-2023.10.28</w:t>
                  </w:r>
                </w:p>
              </w:tc>
              <w:tc>
                <w:tcPr>
                  <w:tcW w:w="1753" w:type="dxa"/>
                  <w:vAlign w:val="center"/>
                </w:tcPr>
                <w:p>
                  <w:pPr>
                    <w:pStyle w:val="15"/>
                    <w:rPr>
                      <w:color w:val="auto"/>
                    </w:rPr>
                  </w:pPr>
                  <w:r>
                    <w:rPr>
                      <w:color w:val="auto"/>
                    </w:rPr>
                    <w:t>15:20-15:20（次日）</w:t>
                  </w:r>
                </w:p>
              </w:tc>
              <w:tc>
                <w:tcPr>
                  <w:tcW w:w="1117" w:type="dxa"/>
                  <w:vAlign w:val="center"/>
                </w:tcPr>
                <w:p>
                  <w:pPr>
                    <w:pStyle w:val="15"/>
                    <w:rPr>
                      <w:color w:val="auto"/>
                    </w:rPr>
                  </w:pPr>
                  <w:r>
                    <w:rPr>
                      <w:color w:val="auto"/>
                    </w:rPr>
                    <w:t>109</w:t>
                  </w:r>
                </w:p>
              </w:tc>
              <w:tc>
                <w:tcPr>
                  <w:tcW w:w="1057" w:type="dxa"/>
                  <w:vAlign w:val="center"/>
                </w:tcPr>
                <w:p>
                  <w:pPr>
                    <w:pStyle w:val="15"/>
                    <w:rPr>
                      <w:color w:val="auto"/>
                    </w:rPr>
                  </w:pPr>
                  <w:r>
                    <w:rPr>
                      <w:rFonts w:hint="eastAsia"/>
                      <w:color w:val="auto"/>
                    </w:rPr>
                    <w:t>300</w:t>
                  </w:r>
                </w:p>
              </w:tc>
              <w:tc>
                <w:tcPr>
                  <w:tcW w:w="1057" w:type="dxa"/>
                  <w:vAlign w:val="center"/>
                </w:tcPr>
                <w:p>
                  <w:pPr>
                    <w:pStyle w:val="15"/>
                    <w:rPr>
                      <w:rFonts w:hint="default" w:eastAsia="宋体"/>
                      <w:color w:val="auto"/>
                      <w:lang w:val="en-US" w:eastAsia="zh-CN"/>
                    </w:rPr>
                  </w:pPr>
                  <w:r>
                    <w:rPr>
                      <w:rFonts w:hint="eastAsia"/>
                      <w:color w:val="auto"/>
                      <w:lang w:val="en-US" w:eastAsia="zh-CN"/>
                    </w:rPr>
                    <w:t>36.33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c>
                <w:tcPr>
                  <w:tcW w:w="572" w:type="dxa"/>
                  <w:vMerge w:val="restart"/>
                  <w:tcBorders>
                    <w:bottom w:val="nil"/>
                  </w:tcBorders>
                  <w:vAlign w:val="center"/>
                </w:tcPr>
                <w:p>
                  <w:pPr>
                    <w:pStyle w:val="15"/>
                    <w:rPr>
                      <w:color w:val="auto"/>
                    </w:rPr>
                  </w:pPr>
                  <w:r>
                    <w:rPr>
                      <w:color w:val="auto"/>
                    </w:rPr>
                    <w:t>氮氧化物</w:t>
                  </w:r>
                </w:p>
              </w:tc>
              <w:tc>
                <w:tcPr>
                  <w:tcW w:w="679" w:type="dxa"/>
                  <w:vMerge w:val="continue"/>
                  <w:tcBorders>
                    <w:top w:val="nil"/>
                    <w:bottom w:val="nil"/>
                  </w:tcBorders>
                  <w:vAlign w:val="center"/>
                </w:tcPr>
                <w:p>
                  <w:pPr>
                    <w:pStyle w:val="15"/>
                    <w:rPr>
                      <w:color w:val="auto"/>
                    </w:rPr>
                  </w:pPr>
                </w:p>
              </w:tc>
              <w:tc>
                <w:tcPr>
                  <w:tcW w:w="1966" w:type="dxa"/>
                  <w:vAlign w:val="center"/>
                </w:tcPr>
                <w:p>
                  <w:pPr>
                    <w:pStyle w:val="15"/>
                    <w:rPr>
                      <w:color w:val="auto"/>
                    </w:rPr>
                  </w:pPr>
                  <w:r>
                    <w:rPr>
                      <w:color w:val="auto"/>
                    </w:rPr>
                    <w:t>2023.10.25-2023.10.26</w:t>
                  </w:r>
                </w:p>
              </w:tc>
              <w:tc>
                <w:tcPr>
                  <w:tcW w:w="1753" w:type="dxa"/>
                  <w:vAlign w:val="center"/>
                </w:tcPr>
                <w:p>
                  <w:pPr>
                    <w:pStyle w:val="15"/>
                    <w:rPr>
                      <w:color w:val="auto"/>
                    </w:rPr>
                  </w:pPr>
                  <w:r>
                    <w:rPr>
                      <w:color w:val="auto"/>
                    </w:rPr>
                    <w:t>15:00-15:00（次日）</w:t>
                  </w:r>
                </w:p>
              </w:tc>
              <w:tc>
                <w:tcPr>
                  <w:tcW w:w="1117" w:type="dxa"/>
                  <w:vAlign w:val="center"/>
                </w:tcPr>
                <w:p>
                  <w:pPr>
                    <w:pStyle w:val="15"/>
                    <w:rPr>
                      <w:color w:val="auto"/>
                    </w:rPr>
                  </w:pPr>
                  <w:r>
                    <w:rPr>
                      <w:color w:val="auto"/>
                    </w:rPr>
                    <w:t>17</w:t>
                  </w:r>
                </w:p>
              </w:tc>
              <w:tc>
                <w:tcPr>
                  <w:tcW w:w="1057" w:type="dxa"/>
                  <w:vAlign w:val="center"/>
                </w:tcPr>
                <w:p>
                  <w:pPr>
                    <w:pStyle w:val="15"/>
                    <w:rPr>
                      <w:color w:val="auto"/>
                    </w:rPr>
                  </w:pPr>
                  <w:r>
                    <w:rPr>
                      <w:rFonts w:hint="eastAsia"/>
                      <w:color w:val="auto"/>
                    </w:rPr>
                    <w:t>100</w:t>
                  </w:r>
                </w:p>
              </w:tc>
              <w:tc>
                <w:tcPr>
                  <w:tcW w:w="1057" w:type="dxa"/>
                  <w:vAlign w:val="center"/>
                </w:tcPr>
                <w:p>
                  <w:pPr>
                    <w:pStyle w:val="15"/>
                    <w:ind w:firstLine="0" w:firstLineChars="0"/>
                    <w:rPr>
                      <w:rFonts w:hint="eastAsia"/>
                      <w:color w:val="auto"/>
                    </w:rPr>
                  </w:pPr>
                  <w:r>
                    <w:rPr>
                      <w:color w:val="auto"/>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c>
                <w:tcPr>
                  <w:tcW w:w="572" w:type="dxa"/>
                  <w:vMerge w:val="continue"/>
                  <w:tcBorders>
                    <w:top w:val="nil"/>
                    <w:bottom w:val="nil"/>
                  </w:tcBorders>
                  <w:vAlign w:val="center"/>
                </w:tcPr>
                <w:p>
                  <w:pPr>
                    <w:pStyle w:val="15"/>
                    <w:rPr>
                      <w:color w:val="auto"/>
                    </w:rPr>
                  </w:pPr>
                </w:p>
              </w:tc>
              <w:tc>
                <w:tcPr>
                  <w:tcW w:w="679" w:type="dxa"/>
                  <w:vMerge w:val="continue"/>
                  <w:tcBorders>
                    <w:top w:val="nil"/>
                    <w:bottom w:val="nil"/>
                  </w:tcBorders>
                  <w:vAlign w:val="center"/>
                </w:tcPr>
                <w:p>
                  <w:pPr>
                    <w:pStyle w:val="15"/>
                    <w:rPr>
                      <w:color w:val="auto"/>
                    </w:rPr>
                  </w:pPr>
                </w:p>
              </w:tc>
              <w:tc>
                <w:tcPr>
                  <w:tcW w:w="1966" w:type="dxa"/>
                  <w:vAlign w:val="center"/>
                </w:tcPr>
                <w:p>
                  <w:pPr>
                    <w:pStyle w:val="15"/>
                    <w:rPr>
                      <w:color w:val="auto"/>
                    </w:rPr>
                  </w:pPr>
                  <w:r>
                    <w:rPr>
                      <w:color w:val="auto"/>
                    </w:rPr>
                    <w:t>2023.10.26-2023.10.27</w:t>
                  </w:r>
                </w:p>
              </w:tc>
              <w:tc>
                <w:tcPr>
                  <w:tcW w:w="1753" w:type="dxa"/>
                  <w:vAlign w:val="center"/>
                </w:tcPr>
                <w:p>
                  <w:pPr>
                    <w:pStyle w:val="15"/>
                    <w:rPr>
                      <w:color w:val="auto"/>
                    </w:rPr>
                  </w:pPr>
                  <w:r>
                    <w:rPr>
                      <w:color w:val="auto"/>
                    </w:rPr>
                    <w:t>15:10-15:10（次日）</w:t>
                  </w:r>
                </w:p>
              </w:tc>
              <w:tc>
                <w:tcPr>
                  <w:tcW w:w="1117" w:type="dxa"/>
                  <w:vAlign w:val="center"/>
                </w:tcPr>
                <w:p>
                  <w:pPr>
                    <w:pStyle w:val="15"/>
                    <w:rPr>
                      <w:color w:val="auto"/>
                    </w:rPr>
                  </w:pPr>
                  <w:r>
                    <w:rPr>
                      <w:color w:val="auto"/>
                    </w:rPr>
                    <w:t>20</w:t>
                  </w:r>
                </w:p>
              </w:tc>
              <w:tc>
                <w:tcPr>
                  <w:tcW w:w="1057" w:type="dxa"/>
                  <w:vAlign w:val="center"/>
                </w:tcPr>
                <w:p>
                  <w:pPr>
                    <w:pStyle w:val="15"/>
                    <w:rPr>
                      <w:color w:val="auto"/>
                    </w:rPr>
                  </w:pPr>
                  <w:r>
                    <w:rPr>
                      <w:rFonts w:hint="eastAsia"/>
                      <w:color w:val="auto"/>
                    </w:rPr>
                    <w:t>100</w:t>
                  </w:r>
                </w:p>
              </w:tc>
              <w:tc>
                <w:tcPr>
                  <w:tcW w:w="1057" w:type="dxa"/>
                  <w:vAlign w:val="center"/>
                </w:tcPr>
                <w:p>
                  <w:pPr>
                    <w:pStyle w:val="15"/>
                    <w:ind w:firstLine="0" w:firstLineChars="0"/>
                    <w:rPr>
                      <w:rFonts w:hint="eastAsia"/>
                      <w:color w:val="auto"/>
                    </w:rPr>
                  </w:pPr>
                  <w:r>
                    <w:rPr>
                      <w:color w:val="auto"/>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c>
                <w:tcPr>
                  <w:tcW w:w="572" w:type="dxa"/>
                  <w:vMerge w:val="continue"/>
                  <w:tcBorders>
                    <w:top w:val="nil"/>
                  </w:tcBorders>
                  <w:vAlign w:val="center"/>
                </w:tcPr>
                <w:p>
                  <w:pPr>
                    <w:pStyle w:val="15"/>
                    <w:rPr>
                      <w:color w:val="auto"/>
                    </w:rPr>
                  </w:pPr>
                </w:p>
              </w:tc>
              <w:tc>
                <w:tcPr>
                  <w:tcW w:w="679" w:type="dxa"/>
                  <w:vMerge w:val="continue"/>
                  <w:tcBorders>
                    <w:top w:val="nil"/>
                  </w:tcBorders>
                  <w:vAlign w:val="center"/>
                </w:tcPr>
                <w:p>
                  <w:pPr>
                    <w:pStyle w:val="15"/>
                    <w:rPr>
                      <w:color w:val="auto"/>
                    </w:rPr>
                  </w:pPr>
                </w:p>
              </w:tc>
              <w:tc>
                <w:tcPr>
                  <w:tcW w:w="1966" w:type="dxa"/>
                  <w:vAlign w:val="center"/>
                </w:tcPr>
                <w:p>
                  <w:pPr>
                    <w:pStyle w:val="15"/>
                    <w:rPr>
                      <w:color w:val="auto"/>
                    </w:rPr>
                  </w:pPr>
                  <w:r>
                    <w:rPr>
                      <w:color w:val="auto"/>
                    </w:rPr>
                    <w:t>2023.10.27-2023.10.28</w:t>
                  </w:r>
                </w:p>
              </w:tc>
              <w:tc>
                <w:tcPr>
                  <w:tcW w:w="1753" w:type="dxa"/>
                  <w:vAlign w:val="center"/>
                </w:tcPr>
                <w:p>
                  <w:pPr>
                    <w:pStyle w:val="15"/>
                    <w:rPr>
                      <w:color w:val="auto"/>
                    </w:rPr>
                  </w:pPr>
                  <w:r>
                    <w:rPr>
                      <w:color w:val="auto"/>
                    </w:rPr>
                    <w:t>15:20-15:20（次日）</w:t>
                  </w:r>
                </w:p>
              </w:tc>
              <w:tc>
                <w:tcPr>
                  <w:tcW w:w="1117" w:type="dxa"/>
                  <w:vAlign w:val="center"/>
                </w:tcPr>
                <w:p>
                  <w:pPr>
                    <w:pStyle w:val="15"/>
                    <w:rPr>
                      <w:color w:val="auto"/>
                    </w:rPr>
                  </w:pPr>
                  <w:r>
                    <w:rPr>
                      <w:color w:val="auto"/>
                    </w:rPr>
                    <w:t>18</w:t>
                  </w:r>
                </w:p>
              </w:tc>
              <w:tc>
                <w:tcPr>
                  <w:tcW w:w="1057" w:type="dxa"/>
                  <w:vAlign w:val="center"/>
                </w:tcPr>
                <w:p>
                  <w:pPr>
                    <w:pStyle w:val="15"/>
                    <w:rPr>
                      <w:color w:val="auto"/>
                    </w:rPr>
                  </w:pPr>
                  <w:r>
                    <w:rPr>
                      <w:rFonts w:hint="eastAsia"/>
                      <w:color w:val="auto"/>
                    </w:rPr>
                    <w:t>100</w:t>
                  </w:r>
                </w:p>
              </w:tc>
              <w:tc>
                <w:tcPr>
                  <w:tcW w:w="1057" w:type="dxa"/>
                  <w:vAlign w:val="center"/>
                </w:tcPr>
                <w:p>
                  <w:pPr>
                    <w:pStyle w:val="15"/>
                    <w:ind w:firstLine="0" w:firstLineChars="0"/>
                    <w:rPr>
                      <w:rFonts w:hint="eastAsia"/>
                      <w:color w:val="auto"/>
                    </w:rPr>
                  </w:pPr>
                  <w:r>
                    <w:rPr>
                      <w:color w:val="auto"/>
                    </w:rPr>
                    <w:t>18</w:t>
                  </w:r>
                </w:p>
              </w:tc>
            </w:tr>
          </w:tbl>
          <w:p>
            <w:pPr>
              <w:ind w:firstLine="480"/>
              <w:rPr>
                <w:color w:val="auto"/>
              </w:rPr>
            </w:pPr>
            <w:r>
              <w:rPr>
                <w:color w:val="auto"/>
              </w:rPr>
              <w:t>根据监测结果</w:t>
            </w:r>
            <w:r>
              <w:rPr>
                <w:rFonts w:hint="eastAsia"/>
                <w:color w:val="auto"/>
                <w:lang w:val="en-US" w:eastAsia="zh-CN"/>
              </w:rPr>
              <w:t>可知</w:t>
            </w:r>
            <w:r>
              <w:rPr>
                <w:color w:val="auto"/>
              </w:rPr>
              <w:t>，项目</w:t>
            </w:r>
            <w:r>
              <w:rPr>
                <w:rFonts w:hint="eastAsia"/>
                <w:color w:val="auto"/>
                <w:lang w:val="en-US" w:eastAsia="zh-CN"/>
              </w:rPr>
              <w:t>所在</w:t>
            </w:r>
            <w:r>
              <w:rPr>
                <w:color w:val="auto"/>
              </w:rPr>
              <w:t>区域TSP</w:t>
            </w:r>
            <w:r>
              <w:rPr>
                <w:rFonts w:hint="eastAsia"/>
                <w:color w:val="auto"/>
              </w:rPr>
              <w:t>、</w:t>
            </w:r>
            <w:r>
              <w:rPr>
                <w:color w:val="auto"/>
              </w:rPr>
              <w:t>氮氧化物日均值</w:t>
            </w:r>
            <w:r>
              <w:rPr>
                <w:rFonts w:hint="eastAsia"/>
                <w:color w:val="auto"/>
                <w:lang w:val="en-US" w:eastAsia="zh-CN"/>
              </w:rPr>
              <w:t>均</w:t>
            </w:r>
            <w:r>
              <w:rPr>
                <w:color w:val="auto"/>
              </w:rPr>
              <w:t>可满足《环境空气质量标准》（GB3095-2012）中二级标准限值要求，项目</w:t>
            </w:r>
            <w:r>
              <w:rPr>
                <w:rFonts w:hint="eastAsia"/>
                <w:color w:val="auto"/>
                <w:lang w:val="en-US" w:eastAsia="zh-CN"/>
              </w:rPr>
              <w:t>所在</w:t>
            </w:r>
            <w:r>
              <w:rPr>
                <w:color w:val="auto"/>
              </w:rPr>
              <w:t>区域大气环境质量现状较好</w:t>
            </w:r>
            <w:r>
              <w:rPr>
                <w:rFonts w:hint="eastAsia"/>
                <w:color w:val="auto"/>
              </w:rPr>
              <w:t>。</w:t>
            </w:r>
          </w:p>
          <w:p>
            <w:pPr>
              <w:ind w:firstLine="0" w:firstLineChars="0"/>
              <w:rPr>
                <w:color w:val="auto"/>
              </w:rPr>
            </w:pPr>
            <w:r>
              <w:rPr>
                <w:rFonts w:hint="eastAsia"/>
                <w:color w:val="auto"/>
              </w:rPr>
              <w:t>2、地表水环境质量现状</w:t>
            </w:r>
          </w:p>
          <w:p>
            <w:pPr>
              <w:ind w:firstLine="480"/>
              <w:rPr>
                <w:color w:val="auto"/>
              </w:rPr>
            </w:pPr>
            <w:r>
              <w:rPr>
                <w:color w:val="auto"/>
              </w:rPr>
              <w:t>本项目周围地表水为柴河。根据《云南省水功能区划（2014年修订）》，“柴河晋宁开发利用区”水功能为农业、工业，2030年水质目标为III类</w:t>
            </w:r>
            <w:r>
              <w:rPr>
                <w:rFonts w:hint="eastAsia"/>
                <w:color w:val="auto"/>
                <w:lang w:eastAsia="zh-CN"/>
              </w:rPr>
              <w:t>，</w:t>
            </w:r>
            <w:r>
              <w:rPr>
                <w:rFonts w:hint="eastAsia"/>
                <w:color w:val="auto"/>
                <w:lang w:val="en-US" w:eastAsia="zh-CN"/>
              </w:rPr>
              <w:t>水质执行</w:t>
            </w:r>
            <w:r>
              <w:rPr>
                <w:color w:val="auto"/>
              </w:rPr>
              <w:t>《</w:t>
            </w:r>
            <w:r>
              <w:rPr>
                <w:rFonts w:hint="eastAsia"/>
                <w:color w:val="auto"/>
                <w:lang w:val="en-US" w:eastAsia="zh-CN"/>
              </w:rPr>
              <w:t>地表水环境质量标准</w:t>
            </w:r>
            <w:r>
              <w:rPr>
                <w:color w:val="auto"/>
              </w:rPr>
              <w:t>》</w:t>
            </w:r>
            <w:r>
              <w:rPr>
                <w:rFonts w:hint="eastAsia"/>
                <w:color w:val="auto"/>
                <w:lang w:val="en-US" w:eastAsia="zh-CN"/>
              </w:rPr>
              <w:t>（GB 3838-2002 ）</w:t>
            </w:r>
            <w:r>
              <w:rPr>
                <w:color w:val="auto"/>
              </w:rPr>
              <w:t>III类</w:t>
            </w:r>
            <w:r>
              <w:rPr>
                <w:rFonts w:hint="eastAsia"/>
                <w:color w:val="auto"/>
                <w:lang w:val="en-US" w:eastAsia="zh-CN"/>
              </w:rPr>
              <w:t>标准</w:t>
            </w:r>
            <w:r>
              <w:rPr>
                <w:color w:val="auto"/>
              </w:rPr>
              <w:t>。</w:t>
            </w:r>
          </w:p>
          <w:p>
            <w:pPr>
              <w:ind w:firstLine="480"/>
              <w:rPr>
                <w:color w:val="auto"/>
              </w:rPr>
            </w:pPr>
            <w:r>
              <w:rPr>
                <w:color w:val="auto"/>
              </w:rPr>
              <w:t>根据《2022年度昆明市生态环境状况公报》</w:t>
            </w:r>
            <w:r>
              <w:rPr>
                <w:rFonts w:hint="eastAsia"/>
                <w:color w:val="auto"/>
              </w:rPr>
              <w:t>，</w:t>
            </w:r>
            <w:r>
              <w:rPr>
                <w:color w:val="auto"/>
              </w:rPr>
              <w:t>全市纳入国考地表水监测的27个水质断面中，Ⅱ类水质断面8个，占</w:t>
            </w:r>
            <w:r>
              <w:rPr>
                <w:rFonts w:hint="eastAsia"/>
                <w:color w:val="auto"/>
              </w:rPr>
              <w:t>29.63</w:t>
            </w:r>
            <w:r>
              <w:rPr>
                <w:color w:val="auto"/>
              </w:rPr>
              <w:t>% ; Ⅲ类水质断面1 2个，占</w:t>
            </w:r>
            <w:r>
              <w:rPr>
                <w:rFonts w:hint="eastAsia"/>
                <w:color w:val="auto"/>
              </w:rPr>
              <w:t>44.44</w:t>
            </w:r>
            <w:r>
              <w:rPr>
                <w:color w:val="auto"/>
              </w:rPr>
              <w:t>% ; IV类水质断面5个，占</w:t>
            </w:r>
            <w:r>
              <w:rPr>
                <w:rFonts w:hint="eastAsia"/>
                <w:color w:val="auto"/>
              </w:rPr>
              <w:t>18.52</w:t>
            </w:r>
            <w:r>
              <w:rPr>
                <w:color w:val="auto"/>
              </w:rPr>
              <w:t>%; V类水质断面2个，占</w:t>
            </w:r>
            <w:r>
              <w:rPr>
                <w:rFonts w:hint="eastAsia"/>
                <w:color w:val="auto"/>
              </w:rPr>
              <w:t>7.41</w:t>
            </w:r>
            <w:r>
              <w:rPr>
                <w:color w:val="auto"/>
              </w:rPr>
              <w:t>%。35条滇池主要入湖河道中，2条河道断流，20条河道水质类别为Ⅱ~Ⅲ类，11条河道水质类别为IV~V类，2条河道水质类别为劣V类</w:t>
            </w:r>
            <w:r>
              <w:rPr>
                <w:rFonts w:hint="eastAsia"/>
                <w:color w:val="auto"/>
              </w:rPr>
              <w:t>。</w:t>
            </w:r>
          </w:p>
          <w:p>
            <w:pPr>
              <w:ind w:firstLine="0" w:firstLineChars="0"/>
              <w:rPr>
                <w:color w:val="auto"/>
              </w:rPr>
            </w:pPr>
            <w:r>
              <w:rPr>
                <w:rFonts w:hint="eastAsia"/>
                <w:color w:val="auto"/>
              </w:rPr>
              <w:t>3、声环境质量现状</w:t>
            </w:r>
          </w:p>
          <w:p>
            <w:pPr>
              <w:ind w:firstLine="480"/>
              <w:rPr>
                <w:color w:val="auto"/>
              </w:rPr>
            </w:pPr>
            <w:r>
              <w:rPr>
                <w:color w:val="auto"/>
              </w:rPr>
              <w:t>建设项目位于晋宁区上蒜镇，</w:t>
            </w:r>
            <w:r>
              <w:rPr>
                <w:rFonts w:hint="eastAsia"/>
                <w:color w:val="auto"/>
              </w:rPr>
              <w:t>项目区不</w:t>
            </w:r>
            <w:r>
              <w:rPr>
                <w:rFonts w:hint="eastAsia"/>
                <w:color w:val="auto"/>
                <w:lang w:val="en-US" w:eastAsia="zh-CN"/>
              </w:rPr>
              <w:t>在</w:t>
            </w:r>
            <w:r>
              <w:rPr>
                <w:rFonts w:hint="eastAsia"/>
                <w:color w:val="auto"/>
              </w:rPr>
              <w:t>晋宁区声环境功能区划范围内，项目</w:t>
            </w:r>
            <w:r>
              <w:rPr>
                <w:rFonts w:hint="eastAsia"/>
                <w:color w:val="auto"/>
                <w:lang w:val="en-US" w:eastAsia="zh-CN"/>
              </w:rPr>
              <w:t>所在区域属于</w:t>
            </w:r>
            <w:r>
              <w:rPr>
                <w:color w:val="auto"/>
              </w:rPr>
              <w:t>混杂区，区域声环境执行《声环境质量标准》（GB3096-2008）3类标准。</w:t>
            </w:r>
          </w:p>
          <w:p>
            <w:pPr>
              <w:ind w:firstLine="480"/>
              <w:rPr>
                <w:color w:val="auto"/>
              </w:rPr>
            </w:pPr>
            <w:r>
              <w:rPr>
                <w:color w:val="auto"/>
              </w:rPr>
              <w:t>根据《2022年度昆明市生态环境状况公报》</w:t>
            </w:r>
            <w:r>
              <w:rPr>
                <w:rFonts w:hint="eastAsia"/>
                <w:color w:val="auto"/>
              </w:rPr>
              <w:t>，</w:t>
            </w:r>
            <w:r>
              <w:rPr>
                <w:color w:val="auto"/>
              </w:rPr>
              <w:t>2022年，各县(市)区昼间区域环境噪声平均等效声级分别为：东川区53.6分贝，安宁市48.7分贝、宜良县53.3分贝，石林县48.8分贝，禄劝县54.2分贝，嵩明县52.5分贝，富民县52.7分贝，晋宁区50.9分贝，寻甸县48.6分贝。根据区域环境噪声质量划分等级进行评价，总体水平在一级(好)和二级(较好)之间。与2021年相比，安宁市、宜良县、禄劝县、嵩明县、富民县、晋宁区的昼间区域声环境质量平均等效声级下降，东川区、石林县、寻甸县的昼间区域声环境质量平均等效声级上升</w:t>
            </w:r>
            <w:r>
              <w:rPr>
                <w:rFonts w:hint="eastAsia"/>
                <w:color w:val="auto"/>
              </w:rPr>
              <w:t>。</w:t>
            </w:r>
          </w:p>
          <w:p>
            <w:pPr>
              <w:ind w:firstLine="0" w:firstLineChars="0"/>
              <w:rPr>
                <w:color w:val="auto"/>
              </w:rPr>
            </w:pPr>
            <w:r>
              <w:rPr>
                <w:rFonts w:hint="eastAsia"/>
                <w:color w:val="auto"/>
              </w:rPr>
              <w:t>4、土壤环境质量现状</w:t>
            </w:r>
          </w:p>
          <w:p>
            <w:pPr>
              <w:ind w:firstLine="480"/>
              <w:rPr>
                <w:color w:val="auto"/>
              </w:rPr>
            </w:pPr>
            <w:r>
              <w:rPr>
                <w:rFonts w:hint="eastAsia"/>
                <w:color w:val="auto"/>
              </w:rPr>
              <w:t>根据《土壤环境质量 建设用地土壤污染风险管控标准（试行）》（GB36600-2018），本项目属于第二类用地，为进行土壤现状调查，建设单位委托</w:t>
            </w:r>
            <w:r>
              <w:rPr>
                <w:color w:val="auto"/>
              </w:rPr>
              <w:t>云南中科检测技术有限公司</w:t>
            </w:r>
            <w:r>
              <w:rPr>
                <w:rFonts w:hint="eastAsia"/>
                <w:color w:val="auto"/>
              </w:rPr>
              <w:t>于2023年10月25日对占地范围内、占地范围外各1个土壤表层样进行了检测，检测指标：GB36600-2018表1中45项和pH、GB 15618—2018表1中8项和pH。监测结果如下表所示：</w:t>
            </w:r>
          </w:p>
          <w:p>
            <w:pPr>
              <w:pStyle w:val="14"/>
              <w:rPr>
                <w:color w:val="auto"/>
              </w:rPr>
            </w:pPr>
            <w:r>
              <w:rPr>
                <w:color w:val="auto"/>
              </w:rPr>
              <w:t>表3-2   土壤环境质量监测结果</w:t>
            </w:r>
            <w:r>
              <w:rPr>
                <w:rFonts w:hint="eastAsia"/>
                <w:color w:val="auto"/>
                <w:lang w:val="en-US" w:eastAsia="zh-CN"/>
              </w:rPr>
              <w:t>及执行标准</w:t>
            </w:r>
            <w:r>
              <w:rPr>
                <w:color w:val="auto"/>
              </w:rPr>
              <w:t>一览表</w:t>
            </w:r>
          </w:p>
          <w:tbl>
            <w:tblPr>
              <w:tblStyle w:val="13"/>
              <w:tblW w:w="8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51"/>
              <w:gridCol w:w="1052"/>
              <w:gridCol w:w="1172"/>
              <w:gridCol w:w="1626"/>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Merge w:val="restart"/>
                  <w:tcBorders>
                    <w:tl2br w:val="single" w:color="000000" w:sz="4" w:space="0"/>
                  </w:tcBorders>
                  <w:vAlign w:val="center"/>
                </w:tcPr>
                <w:p>
                  <w:pPr>
                    <w:pStyle w:val="15"/>
                    <w:jc w:val="right"/>
                    <w:rPr>
                      <w:color w:val="auto"/>
                    </w:rPr>
                  </w:pPr>
                  <w:r>
                    <w:rPr>
                      <w:color w:val="auto"/>
                    </w:rPr>
                    <w:t>采样时间</w:t>
                  </w:r>
                </w:p>
                <w:p>
                  <w:pPr>
                    <w:pStyle w:val="15"/>
                    <w:jc w:val="both"/>
                    <w:rPr>
                      <w:color w:val="auto"/>
                    </w:rPr>
                  </w:pPr>
                  <w:r>
                    <w:rPr>
                      <w:color w:val="auto"/>
                    </w:rPr>
                    <w:t>检测项目（单位）</w:t>
                  </w:r>
                </w:p>
              </w:tc>
              <w:tc>
                <w:tcPr>
                  <w:tcW w:w="1052" w:type="dxa"/>
                  <w:vAlign w:val="center"/>
                </w:tcPr>
                <w:p>
                  <w:pPr>
                    <w:pStyle w:val="15"/>
                    <w:rPr>
                      <w:color w:val="auto"/>
                    </w:rPr>
                  </w:pPr>
                  <w:r>
                    <w:rPr>
                      <w:color w:val="auto"/>
                    </w:rPr>
                    <w:t>S1：生产区东侧</w:t>
                  </w:r>
                </w:p>
              </w:tc>
              <w:tc>
                <w:tcPr>
                  <w:tcW w:w="1172" w:type="dxa"/>
                  <w:vAlign w:val="center"/>
                </w:tcPr>
                <w:p>
                  <w:pPr>
                    <w:pStyle w:val="15"/>
                    <w:rPr>
                      <w:color w:val="auto"/>
                    </w:rPr>
                  </w:pPr>
                  <w:r>
                    <w:rPr>
                      <w:rFonts w:hint="eastAsia"/>
                      <w:color w:val="auto"/>
                    </w:rPr>
                    <w:t>S2：生产区西南侧耕地</w:t>
                  </w:r>
                </w:p>
              </w:tc>
              <w:tc>
                <w:tcPr>
                  <w:tcW w:w="1626" w:type="dxa"/>
                  <w:vAlign w:val="center"/>
                </w:tcPr>
                <w:p>
                  <w:pPr>
                    <w:pStyle w:val="15"/>
                    <w:rPr>
                      <w:rFonts w:hint="default" w:eastAsia="宋体"/>
                      <w:color w:val="auto"/>
                      <w:lang w:val="en-US" w:eastAsia="zh-CN"/>
                    </w:rPr>
                  </w:pPr>
                  <w:r>
                    <w:rPr>
                      <w:rFonts w:hint="eastAsia"/>
                      <w:color w:val="auto"/>
                    </w:rPr>
                    <w:t>GB36600-2018</w:t>
                  </w:r>
                  <w:r>
                    <w:rPr>
                      <w:rFonts w:hint="eastAsia"/>
                      <w:color w:val="auto"/>
                      <w:lang w:val="en-US" w:eastAsia="zh-CN"/>
                    </w:rPr>
                    <w:t>中第二类用地风险筛选值</w:t>
                  </w:r>
                </w:p>
              </w:tc>
              <w:tc>
                <w:tcPr>
                  <w:tcW w:w="1736" w:type="dxa"/>
                  <w:vAlign w:val="center"/>
                </w:tcPr>
                <w:p>
                  <w:pPr>
                    <w:pStyle w:val="15"/>
                    <w:rPr>
                      <w:rFonts w:hint="default" w:eastAsia="宋体"/>
                      <w:color w:val="auto"/>
                      <w:lang w:val="en-US" w:eastAsia="zh-CN"/>
                    </w:rPr>
                  </w:pPr>
                  <w:r>
                    <w:rPr>
                      <w:rFonts w:hint="eastAsia"/>
                      <w:color w:val="auto"/>
                    </w:rPr>
                    <w:t>GB 15618—2018</w:t>
                  </w:r>
                  <w:r>
                    <w:rPr>
                      <w:rFonts w:hint="eastAsia"/>
                      <w:color w:val="auto"/>
                      <w:lang w:val="en-US" w:eastAsia="zh-CN"/>
                    </w:rPr>
                    <w:t>中其他农用地风险筛选值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Merge w:val="continue"/>
                  <w:tcBorders>
                    <w:tl2br w:val="single" w:color="000000" w:sz="4" w:space="0"/>
                  </w:tcBorders>
                  <w:vAlign w:val="center"/>
                </w:tcPr>
                <w:p>
                  <w:pPr>
                    <w:pStyle w:val="15"/>
                    <w:rPr>
                      <w:color w:val="auto"/>
                    </w:rPr>
                  </w:pPr>
                </w:p>
              </w:tc>
              <w:tc>
                <w:tcPr>
                  <w:tcW w:w="1052" w:type="dxa"/>
                  <w:vAlign w:val="center"/>
                </w:tcPr>
                <w:p>
                  <w:pPr>
                    <w:pStyle w:val="15"/>
                    <w:rPr>
                      <w:color w:val="auto"/>
                    </w:rPr>
                  </w:pPr>
                  <w:r>
                    <w:rPr>
                      <w:color w:val="auto"/>
                    </w:rPr>
                    <w:t>2023.10.25</w:t>
                  </w:r>
                </w:p>
              </w:tc>
              <w:tc>
                <w:tcPr>
                  <w:tcW w:w="1172" w:type="dxa"/>
                  <w:vAlign w:val="center"/>
                </w:tcPr>
                <w:p>
                  <w:pPr>
                    <w:pStyle w:val="15"/>
                    <w:rPr>
                      <w:color w:val="auto"/>
                    </w:rPr>
                  </w:pPr>
                  <w:r>
                    <w:rPr>
                      <w:color w:val="auto"/>
                    </w:rPr>
                    <w:t>2023.10.25</w:t>
                  </w:r>
                </w:p>
              </w:tc>
              <w:tc>
                <w:tcPr>
                  <w:tcW w:w="1626" w:type="dxa"/>
                  <w:vAlign w:val="center"/>
                </w:tcPr>
                <w:p>
                  <w:pPr>
                    <w:pStyle w:val="15"/>
                    <w:rPr>
                      <w:rFonts w:hint="eastAsia" w:eastAsia="宋体"/>
                      <w:color w:val="auto"/>
                      <w:lang w:val="en-US" w:eastAsia="zh-CN"/>
                    </w:rPr>
                  </w:pPr>
                  <w:r>
                    <w:rPr>
                      <w:rFonts w:hint="eastAsia"/>
                      <w:color w:val="auto"/>
                      <w:lang w:val="en-US" w:eastAsia="zh-CN"/>
                    </w:rPr>
                    <w:t>/</w:t>
                  </w:r>
                </w:p>
              </w:tc>
              <w:tc>
                <w:tcPr>
                  <w:tcW w:w="1736" w:type="dxa"/>
                  <w:vAlign w:val="center"/>
                </w:tcPr>
                <w:p>
                  <w:pPr>
                    <w:pStyle w:val="15"/>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pH（无量纲）</w:t>
                  </w:r>
                </w:p>
              </w:tc>
              <w:tc>
                <w:tcPr>
                  <w:tcW w:w="1052" w:type="dxa"/>
                </w:tcPr>
                <w:p>
                  <w:pPr>
                    <w:pStyle w:val="15"/>
                    <w:rPr>
                      <w:color w:val="auto"/>
                    </w:rPr>
                  </w:pPr>
                  <w:r>
                    <w:rPr>
                      <w:color w:val="auto"/>
                    </w:rPr>
                    <w:t>4.60</w:t>
                  </w:r>
                </w:p>
              </w:tc>
              <w:tc>
                <w:tcPr>
                  <w:tcW w:w="1172" w:type="dxa"/>
                  <w:vAlign w:val="center"/>
                </w:tcPr>
                <w:p>
                  <w:pPr>
                    <w:pStyle w:val="15"/>
                    <w:rPr>
                      <w:color w:val="auto"/>
                    </w:rPr>
                  </w:pPr>
                  <w:r>
                    <w:rPr>
                      <w:rFonts w:hint="eastAsia"/>
                      <w:color w:val="auto"/>
                    </w:rPr>
                    <w:t>4.91</w:t>
                  </w:r>
                </w:p>
              </w:tc>
              <w:tc>
                <w:tcPr>
                  <w:tcW w:w="1626" w:type="dxa"/>
                  <w:vAlign w:val="center"/>
                </w:tcPr>
                <w:p>
                  <w:pPr>
                    <w:pStyle w:val="15"/>
                    <w:rPr>
                      <w:rFonts w:hint="eastAsia" w:eastAsia="宋体"/>
                      <w:color w:val="auto"/>
                      <w:lang w:val="en-US" w:eastAsia="zh-CN"/>
                    </w:rPr>
                  </w:pPr>
                  <w:r>
                    <w:rPr>
                      <w:rFonts w:hint="eastAsia"/>
                      <w:color w:val="auto"/>
                      <w:lang w:val="en-US" w:eastAsia="zh-CN"/>
                    </w:rPr>
                    <w:t>/</w:t>
                  </w:r>
                </w:p>
              </w:tc>
              <w:tc>
                <w:tcPr>
                  <w:tcW w:w="1736" w:type="dxa"/>
                  <w:vAlign w:val="center"/>
                </w:tcPr>
                <w:p>
                  <w:pPr>
                    <w:pStyle w:val="15"/>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砷（mg/kg）</w:t>
                  </w:r>
                </w:p>
              </w:tc>
              <w:tc>
                <w:tcPr>
                  <w:tcW w:w="1052" w:type="dxa"/>
                  <w:vAlign w:val="center"/>
                </w:tcPr>
                <w:p>
                  <w:pPr>
                    <w:pStyle w:val="15"/>
                    <w:rPr>
                      <w:color w:val="auto"/>
                    </w:rPr>
                  </w:pPr>
                  <w:r>
                    <w:rPr>
                      <w:color w:val="auto"/>
                    </w:rPr>
                    <w:t>14.2</w:t>
                  </w:r>
                </w:p>
              </w:tc>
              <w:tc>
                <w:tcPr>
                  <w:tcW w:w="1172" w:type="dxa"/>
                </w:tcPr>
                <w:p>
                  <w:pPr>
                    <w:pStyle w:val="15"/>
                    <w:rPr>
                      <w:color w:val="auto"/>
                    </w:rPr>
                  </w:pPr>
                  <w:r>
                    <w:rPr>
                      <w:color w:val="auto"/>
                    </w:rPr>
                    <w:t>17.4</w:t>
                  </w:r>
                </w:p>
              </w:tc>
              <w:tc>
                <w:tcPr>
                  <w:tcW w:w="1626" w:type="dxa"/>
                </w:tcPr>
                <w:p>
                  <w:pPr>
                    <w:pStyle w:val="15"/>
                    <w:rPr>
                      <w:rFonts w:hint="default" w:eastAsia="宋体"/>
                      <w:color w:val="auto"/>
                      <w:lang w:val="en-US" w:eastAsia="zh-CN"/>
                    </w:rPr>
                  </w:pPr>
                  <w:r>
                    <w:rPr>
                      <w:rFonts w:hint="eastAsia"/>
                      <w:color w:val="auto"/>
                      <w:lang w:val="en-US" w:eastAsia="zh-CN"/>
                    </w:rPr>
                    <w:t>60</w:t>
                  </w:r>
                </w:p>
              </w:tc>
              <w:tc>
                <w:tcPr>
                  <w:tcW w:w="1736" w:type="dxa"/>
                </w:tcPr>
                <w:p>
                  <w:pPr>
                    <w:pStyle w:val="15"/>
                    <w:rPr>
                      <w:rFonts w:hint="default" w:eastAsia="宋体"/>
                      <w:color w:val="auto"/>
                      <w:lang w:val="en-US" w:eastAsia="zh-CN"/>
                    </w:rPr>
                  </w:pPr>
                  <w:r>
                    <w:rPr>
                      <w:rFonts w:hint="eastAsia"/>
                      <w:color w:val="auto"/>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汞（mg/kg）</w:t>
                  </w:r>
                </w:p>
              </w:tc>
              <w:tc>
                <w:tcPr>
                  <w:tcW w:w="1052" w:type="dxa"/>
                  <w:vAlign w:val="center"/>
                </w:tcPr>
                <w:p>
                  <w:pPr>
                    <w:pStyle w:val="15"/>
                    <w:rPr>
                      <w:color w:val="auto"/>
                    </w:rPr>
                  </w:pPr>
                  <w:r>
                    <w:rPr>
                      <w:color w:val="auto"/>
                    </w:rPr>
                    <w:t>0.138</w:t>
                  </w:r>
                </w:p>
              </w:tc>
              <w:tc>
                <w:tcPr>
                  <w:tcW w:w="1172" w:type="dxa"/>
                </w:tcPr>
                <w:p>
                  <w:pPr>
                    <w:pStyle w:val="15"/>
                    <w:rPr>
                      <w:color w:val="auto"/>
                    </w:rPr>
                  </w:pPr>
                  <w:r>
                    <w:rPr>
                      <w:color w:val="auto"/>
                    </w:rPr>
                    <w:t>0.089</w:t>
                  </w:r>
                </w:p>
              </w:tc>
              <w:tc>
                <w:tcPr>
                  <w:tcW w:w="1626" w:type="dxa"/>
                </w:tcPr>
                <w:p>
                  <w:pPr>
                    <w:pStyle w:val="15"/>
                    <w:rPr>
                      <w:rFonts w:hint="default" w:eastAsia="宋体"/>
                      <w:color w:val="auto"/>
                      <w:lang w:val="en-US" w:eastAsia="zh-CN"/>
                    </w:rPr>
                  </w:pPr>
                  <w:r>
                    <w:rPr>
                      <w:rFonts w:hint="eastAsia"/>
                      <w:color w:val="auto"/>
                      <w:lang w:val="en-US" w:eastAsia="zh-CN"/>
                    </w:rPr>
                    <w:t>38</w:t>
                  </w:r>
                </w:p>
              </w:tc>
              <w:tc>
                <w:tcPr>
                  <w:tcW w:w="1736" w:type="dxa"/>
                </w:tcPr>
                <w:p>
                  <w:pPr>
                    <w:pStyle w:val="15"/>
                    <w:rPr>
                      <w:rFonts w:hint="default" w:eastAsia="宋体"/>
                      <w:color w:val="auto"/>
                      <w:lang w:val="en-US" w:eastAsia="zh-CN"/>
                    </w:rPr>
                  </w:pPr>
                  <w:r>
                    <w:rPr>
                      <w:rFonts w:hint="eastAsia"/>
                      <w:color w:val="auto"/>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铜（mg/kg）</w:t>
                  </w:r>
                </w:p>
              </w:tc>
              <w:tc>
                <w:tcPr>
                  <w:tcW w:w="1052" w:type="dxa"/>
                  <w:vAlign w:val="center"/>
                </w:tcPr>
                <w:p>
                  <w:pPr>
                    <w:pStyle w:val="15"/>
                    <w:rPr>
                      <w:color w:val="auto"/>
                    </w:rPr>
                  </w:pPr>
                  <w:r>
                    <w:rPr>
                      <w:color w:val="auto"/>
                    </w:rPr>
                    <w:t>25</w:t>
                  </w:r>
                </w:p>
              </w:tc>
              <w:tc>
                <w:tcPr>
                  <w:tcW w:w="1172" w:type="dxa"/>
                </w:tcPr>
                <w:p>
                  <w:pPr>
                    <w:pStyle w:val="15"/>
                    <w:rPr>
                      <w:color w:val="auto"/>
                    </w:rPr>
                  </w:pPr>
                  <w:r>
                    <w:rPr>
                      <w:color w:val="auto"/>
                    </w:rPr>
                    <w:t>25</w:t>
                  </w:r>
                </w:p>
              </w:tc>
              <w:tc>
                <w:tcPr>
                  <w:tcW w:w="1626" w:type="dxa"/>
                </w:tcPr>
                <w:p>
                  <w:pPr>
                    <w:pStyle w:val="15"/>
                    <w:rPr>
                      <w:rFonts w:hint="default" w:eastAsia="宋体"/>
                      <w:color w:val="auto"/>
                      <w:lang w:val="en-US" w:eastAsia="zh-CN"/>
                    </w:rPr>
                  </w:pPr>
                  <w:r>
                    <w:rPr>
                      <w:rFonts w:hint="eastAsia"/>
                      <w:color w:val="auto"/>
                      <w:lang w:val="en-US" w:eastAsia="zh-CN"/>
                    </w:rPr>
                    <w:t>18000</w:t>
                  </w:r>
                </w:p>
              </w:tc>
              <w:tc>
                <w:tcPr>
                  <w:tcW w:w="1736" w:type="dxa"/>
                </w:tcPr>
                <w:p>
                  <w:pPr>
                    <w:pStyle w:val="15"/>
                    <w:rPr>
                      <w:rFonts w:hint="default" w:eastAsia="宋体"/>
                      <w:color w:val="auto"/>
                      <w:lang w:val="en-US" w:eastAsia="zh-CN"/>
                    </w:rPr>
                  </w:pPr>
                  <w:r>
                    <w:rPr>
                      <w:rFonts w:hint="eastAsia"/>
                      <w:color w:val="auto"/>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铅（mg/kg）</w:t>
                  </w:r>
                </w:p>
              </w:tc>
              <w:tc>
                <w:tcPr>
                  <w:tcW w:w="1052" w:type="dxa"/>
                  <w:vAlign w:val="center"/>
                </w:tcPr>
                <w:p>
                  <w:pPr>
                    <w:pStyle w:val="15"/>
                    <w:rPr>
                      <w:color w:val="auto"/>
                    </w:rPr>
                  </w:pPr>
                  <w:r>
                    <w:rPr>
                      <w:color w:val="auto"/>
                    </w:rPr>
                    <w:t>118</w:t>
                  </w:r>
                </w:p>
              </w:tc>
              <w:tc>
                <w:tcPr>
                  <w:tcW w:w="1172" w:type="dxa"/>
                </w:tcPr>
                <w:p>
                  <w:pPr>
                    <w:pStyle w:val="15"/>
                    <w:rPr>
                      <w:color w:val="auto"/>
                    </w:rPr>
                  </w:pPr>
                  <w:r>
                    <w:rPr>
                      <w:b/>
                      <w:bCs/>
                      <w:color w:val="auto"/>
                    </w:rPr>
                    <w:t>119</w:t>
                  </w:r>
                </w:p>
              </w:tc>
              <w:tc>
                <w:tcPr>
                  <w:tcW w:w="1626" w:type="dxa"/>
                </w:tcPr>
                <w:p>
                  <w:pPr>
                    <w:pStyle w:val="15"/>
                    <w:rPr>
                      <w:rFonts w:hint="default" w:eastAsia="宋体"/>
                      <w:color w:val="auto"/>
                      <w:lang w:val="en-US" w:eastAsia="zh-CN"/>
                    </w:rPr>
                  </w:pPr>
                  <w:r>
                    <w:rPr>
                      <w:rFonts w:hint="eastAsia"/>
                      <w:color w:val="auto"/>
                      <w:lang w:val="en-US" w:eastAsia="zh-CN"/>
                    </w:rPr>
                    <w:t>800</w:t>
                  </w:r>
                </w:p>
              </w:tc>
              <w:tc>
                <w:tcPr>
                  <w:tcW w:w="1736" w:type="dxa"/>
                </w:tcPr>
                <w:p>
                  <w:pPr>
                    <w:pStyle w:val="15"/>
                    <w:rPr>
                      <w:rFonts w:hint="default" w:eastAsia="宋体"/>
                      <w:color w:val="auto"/>
                      <w:lang w:val="en-US" w:eastAsia="zh-CN"/>
                    </w:rPr>
                  </w:pPr>
                  <w:r>
                    <w:rPr>
                      <w:rFonts w:hint="eastAsia"/>
                      <w:b/>
                      <w:bCs/>
                      <w:color w:val="auto"/>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镍（mg/kg）</w:t>
                  </w:r>
                </w:p>
              </w:tc>
              <w:tc>
                <w:tcPr>
                  <w:tcW w:w="1052" w:type="dxa"/>
                  <w:vAlign w:val="center"/>
                </w:tcPr>
                <w:p>
                  <w:pPr>
                    <w:pStyle w:val="15"/>
                    <w:rPr>
                      <w:color w:val="auto"/>
                    </w:rPr>
                  </w:pPr>
                  <w:r>
                    <w:rPr>
                      <w:color w:val="auto"/>
                    </w:rPr>
                    <w:t>34</w:t>
                  </w:r>
                </w:p>
              </w:tc>
              <w:tc>
                <w:tcPr>
                  <w:tcW w:w="1172" w:type="dxa"/>
                </w:tcPr>
                <w:p>
                  <w:pPr>
                    <w:pStyle w:val="15"/>
                    <w:rPr>
                      <w:color w:val="auto"/>
                    </w:rPr>
                  </w:pPr>
                  <w:r>
                    <w:rPr>
                      <w:b/>
                      <w:bCs/>
                      <w:color w:val="auto"/>
                    </w:rPr>
                    <w:t>80</w:t>
                  </w:r>
                </w:p>
              </w:tc>
              <w:tc>
                <w:tcPr>
                  <w:tcW w:w="1626" w:type="dxa"/>
                </w:tcPr>
                <w:p>
                  <w:pPr>
                    <w:pStyle w:val="15"/>
                    <w:rPr>
                      <w:rFonts w:hint="default" w:eastAsia="宋体"/>
                      <w:b/>
                      <w:bCs/>
                      <w:color w:val="auto"/>
                      <w:lang w:val="en-US" w:eastAsia="zh-CN"/>
                    </w:rPr>
                  </w:pPr>
                  <w:r>
                    <w:rPr>
                      <w:rFonts w:hint="eastAsia"/>
                      <w:b/>
                      <w:bCs/>
                      <w:color w:val="auto"/>
                      <w:lang w:val="en-US" w:eastAsia="zh-CN"/>
                    </w:rPr>
                    <w:t>900</w:t>
                  </w:r>
                </w:p>
              </w:tc>
              <w:tc>
                <w:tcPr>
                  <w:tcW w:w="1736" w:type="dxa"/>
                </w:tcPr>
                <w:p>
                  <w:pPr>
                    <w:pStyle w:val="15"/>
                    <w:rPr>
                      <w:rFonts w:hint="default" w:eastAsia="宋体"/>
                      <w:b/>
                      <w:bCs/>
                      <w:color w:val="auto"/>
                      <w:lang w:val="en-US" w:eastAsia="zh-CN"/>
                    </w:rPr>
                  </w:pPr>
                  <w:r>
                    <w:rPr>
                      <w:rFonts w:hint="eastAsia"/>
                      <w:b/>
                      <w:bCs/>
                      <w:color w:val="auto"/>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镉（mg/kg）</w:t>
                  </w:r>
                </w:p>
              </w:tc>
              <w:tc>
                <w:tcPr>
                  <w:tcW w:w="1052" w:type="dxa"/>
                  <w:vAlign w:val="center"/>
                </w:tcPr>
                <w:p>
                  <w:pPr>
                    <w:pStyle w:val="15"/>
                    <w:rPr>
                      <w:color w:val="auto"/>
                    </w:rPr>
                  </w:pPr>
                  <w:r>
                    <w:rPr>
                      <w:color w:val="auto"/>
                    </w:rPr>
                    <w:t>0.08</w:t>
                  </w:r>
                </w:p>
              </w:tc>
              <w:tc>
                <w:tcPr>
                  <w:tcW w:w="1172" w:type="dxa"/>
                </w:tcPr>
                <w:p>
                  <w:pPr>
                    <w:pStyle w:val="15"/>
                    <w:rPr>
                      <w:color w:val="auto"/>
                    </w:rPr>
                  </w:pPr>
                  <w:r>
                    <w:rPr>
                      <w:color w:val="auto"/>
                    </w:rPr>
                    <w:t>0.14</w:t>
                  </w:r>
                </w:p>
              </w:tc>
              <w:tc>
                <w:tcPr>
                  <w:tcW w:w="1626" w:type="dxa"/>
                </w:tcPr>
                <w:p>
                  <w:pPr>
                    <w:pStyle w:val="15"/>
                    <w:rPr>
                      <w:rFonts w:hint="default" w:eastAsia="宋体"/>
                      <w:color w:val="auto"/>
                      <w:lang w:val="en-US" w:eastAsia="zh-CN"/>
                    </w:rPr>
                  </w:pPr>
                  <w:r>
                    <w:rPr>
                      <w:rFonts w:hint="eastAsia"/>
                      <w:color w:val="auto"/>
                      <w:lang w:val="en-US" w:eastAsia="zh-CN"/>
                    </w:rPr>
                    <w:t>65</w:t>
                  </w:r>
                </w:p>
              </w:tc>
              <w:tc>
                <w:tcPr>
                  <w:tcW w:w="1736" w:type="dxa"/>
                </w:tcPr>
                <w:p>
                  <w:pPr>
                    <w:pStyle w:val="15"/>
                    <w:rPr>
                      <w:rFonts w:hint="default" w:eastAsia="宋体"/>
                      <w:color w:val="auto"/>
                      <w:lang w:val="en-US" w:eastAsia="zh-CN"/>
                    </w:rPr>
                  </w:pPr>
                  <w:r>
                    <w:rPr>
                      <w:rFonts w:hint="eastAsia"/>
                      <w:color w:val="auto"/>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锌（mg/kg）</w:t>
                  </w:r>
                </w:p>
              </w:tc>
              <w:tc>
                <w:tcPr>
                  <w:tcW w:w="1052" w:type="dxa"/>
                  <w:vAlign w:val="center"/>
                </w:tcPr>
                <w:p>
                  <w:pPr>
                    <w:pStyle w:val="15"/>
                    <w:rPr>
                      <w:color w:val="auto"/>
                    </w:rPr>
                  </w:pPr>
                  <w:r>
                    <w:rPr>
                      <w:rFonts w:hint="eastAsia"/>
                      <w:color w:val="auto"/>
                    </w:rPr>
                    <w:t>/</w:t>
                  </w:r>
                </w:p>
              </w:tc>
              <w:tc>
                <w:tcPr>
                  <w:tcW w:w="1172" w:type="dxa"/>
                </w:tcPr>
                <w:p>
                  <w:pPr>
                    <w:pStyle w:val="15"/>
                    <w:rPr>
                      <w:color w:val="auto"/>
                    </w:rPr>
                  </w:pPr>
                  <w:r>
                    <w:rPr>
                      <w:color w:val="auto"/>
                    </w:rPr>
                    <w:t>79</w:t>
                  </w:r>
                </w:p>
              </w:tc>
              <w:tc>
                <w:tcPr>
                  <w:tcW w:w="1626" w:type="dxa"/>
                </w:tcPr>
                <w:p>
                  <w:pPr>
                    <w:pStyle w:val="15"/>
                    <w:rPr>
                      <w:rFonts w:hint="eastAsia" w:eastAsia="宋体"/>
                      <w:color w:val="auto"/>
                      <w:lang w:val="en-US" w:eastAsia="zh-CN"/>
                    </w:rPr>
                  </w:pPr>
                  <w:r>
                    <w:rPr>
                      <w:rFonts w:hint="eastAsia"/>
                      <w:color w:val="auto"/>
                      <w:lang w:val="en-US" w:eastAsia="zh-CN"/>
                    </w:rPr>
                    <w:t>/</w:t>
                  </w:r>
                </w:p>
              </w:tc>
              <w:tc>
                <w:tcPr>
                  <w:tcW w:w="1736" w:type="dxa"/>
                </w:tcPr>
                <w:p>
                  <w:pPr>
                    <w:pStyle w:val="15"/>
                    <w:rPr>
                      <w:rFonts w:hint="default" w:eastAsia="宋体"/>
                      <w:color w:val="auto"/>
                      <w:lang w:val="en-US" w:eastAsia="zh-CN"/>
                    </w:rPr>
                  </w:pPr>
                  <w:r>
                    <w:rPr>
                      <w:rFonts w:hint="eastAsia"/>
                      <w:color w:val="auto"/>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铬（mg/kg）</w:t>
                  </w:r>
                </w:p>
              </w:tc>
              <w:tc>
                <w:tcPr>
                  <w:tcW w:w="1052" w:type="dxa"/>
                  <w:vAlign w:val="center"/>
                </w:tcPr>
                <w:p>
                  <w:pPr>
                    <w:pStyle w:val="15"/>
                    <w:rPr>
                      <w:color w:val="auto"/>
                    </w:rPr>
                  </w:pPr>
                  <w:r>
                    <w:rPr>
                      <w:rFonts w:hint="eastAsia"/>
                      <w:color w:val="auto"/>
                    </w:rPr>
                    <w:t>/</w:t>
                  </w:r>
                </w:p>
              </w:tc>
              <w:tc>
                <w:tcPr>
                  <w:tcW w:w="1172" w:type="dxa"/>
                </w:tcPr>
                <w:p>
                  <w:pPr>
                    <w:pStyle w:val="15"/>
                    <w:rPr>
                      <w:color w:val="auto"/>
                    </w:rPr>
                  </w:pPr>
                  <w:r>
                    <w:rPr>
                      <w:b/>
                      <w:bCs/>
                      <w:color w:val="auto"/>
                    </w:rPr>
                    <w:t>170</w:t>
                  </w:r>
                </w:p>
              </w:tc>
              <w:tc>
                <w:tcPr>
                  <w:tcW w:w="1626" w:type="dxa"/>
                </w:tcPr>
                <w:p>
                  <w:pPr>
                    <w:pStyle w:val="15"/>
                    <w:rPr>
                      <w:rFonts w:hint="eastAsia" w:eastAsia="宋体"/>
                      <w:b/>
                      <w:bCs/>
                      <w:color w:val="auto"/>
                      <w:lang w:val="en-US" w:eastAsia="zh-CN"/>
                    </w:rPr>
                  </w:pPr>
                  <w:r>
                    <w:rPr>
                      <w:rFonts w:hint="eastAsia"/>
                      <w:b/>
                      <w:bCs/>
                      <w:color w:val="auto"/>
                      <w:lang w:val="en-US" w:eastAsia="zh-CN"/>
                    </w:rPr>
                    <w:t>/</w:t>
                  </w:r>
                </w:p>
              </w:tc>
              <w:tc>
                <w:tcPr>
                  <w:tcW w:w="1736" w:type="dxa"/>
                </w:tcPr>
                <w:p>
                  <w:pPr>
                    <w:pStyle w:val="15"/>
                    <w:rPr>
                      <w:rFonts w:hint="default" w:eastAsia="宋体"/>
                      <w:b/>
                      <w:bCs/>
                      <w:color w:val="auto"/>
                      <w:lang w:val="en-US" w:eastAsia="zh-CN"/>
                    </w:rPr>
                  </w:pPr>
                  <w:r>
                    <w:rPr>
                      <w:rFonts w:hint="eastAsia"/>
                      <w:b/>
                      <w:bCs/>
                      <w:color w:val="auto"/>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六价铬（mg/kg）</w:t>
                  </w:r>
                </w:p>
              </w:tc>
              <w:tc>
                <w:tcPr>
                  <w:tcW w:w="1052" w:type="dxa"/>
                  <w:vAlign w:val="center"/>
                </w:tcPr>
                <w:p>
                  <w:pPr>
                    <w:pStyle w:val="15"/>
                    <w:rPr>
                      <w:color w:val="auto"/>
                    </w:rPr>
                  </w:pPr>
                  <w:r>
                    <w:rPr>
                      <w:color w:val="auto"/>
                    </w:rPr>
                    <w:t>未检出</w:t>
                  </w:r>
                </w:p>
              </w:tc>
              <w:tc>
                <w:tcPr>
                  <w:tcW w:w="1172" w:type="dxa"/>
                  <w:vAlign w:val="center"/>
                </w:tcPr>
                <w:p>
                  <w:pPr>
                    <w:pStyle w:val="15"/>
                    <w:rPr>
                      <w:color w:val="auto"/>
                    </w:rPr>
                  </w:pPr>
                  <w:r>
                    <w:rPr>
                      <w:rFonts w:hint="eastAsia"/>
                      <w:color w:val="auto"/>
                    </w:rPr>
                    <w:t>/</w:t>
                  </w:r>
                </w:p>
              </w:tc>
              <w:tc>
                <w:tcPr>
                  <w:tcW w:w="1626" w:type="dxa"/>
                  <w:vAlign w:val="center"/>
                </w:tcPr>
                <w:p>
                  <w:pPr>
                    <w:pStyle w:val="15"/>
                    <w:rPr>
                      <w:rFonts w:hint="default" w:eastAsia="宋体"/>
                      <w:color w:val="auto"/>
                      <w:lang w:val="en-US" w:eastAsia="zh-CN"/>
                    </w:rPr>
                  </w:pPr>
                  <w:r>
                    <w:rPr>
                      <w:rFonts w:hint="eastAsia"/>
                      <w:color w:val="auto"/>
                      <w:lang w:val="en-US" w:eastAsia="zh-CN"/>
                    </w:rPr>
                    <w:t>5.7</w:t>
                  </w:r>
                </w:p>
              </w:tc>
              <w:tc>
                <w:tcPr>
                  <w:tcW w:w="173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四氯化碳（mg/kg）</w:t>
                  </w:r>
                </w:p>
              </w:tc>
              <w:tc>
                <w:tcPr>
                  <w:tcW w:w="1052" w:type="dxa"/>
                  <w:vAlign w:val="center"/>
                </w:tcPr>
                <w:p>
                  <w:pPr>
                    <w:pStyle w:val="15"/>
                    <w:rPr>
                      <w:color w:val="auto"/>
                    </w:rPr>
                  </w:pPr>
                  <w:r>
                    <w:rPr>
                      <w:color w:val="auto"/>
                    </w:rPr>
                    <w:t>未检出</w:t>
                  </w:r>
                </w:p>
              </w:tc>
              <w:tc>
                <w:tcPr>
                  <w:tcW w:w="1172" w:type="dxa"/>
                  <w:vAlign w:val="center"/>
                </w:tcPr>
                <w:p>
                  <w:pPr>
                    <w:pStyle w:val="15"/>
                    <w:rPr>
                      <w:color w:val="auto"/>
                    </w:rPr>
                  </w:pPr>
                  <w:r>
                    <w:rPr>
                      <w:rFonts w:hint="eastAsia"/>
                      <w:color w:val="auto"/>
                    </w:rPr>
                    <w:t>/</w:t>
                  </w:r>
                </w:p>
              </w:tc>
              <w:tc>
                <w:tcPr>
                  <w:tcW w:w="1626" w:type="dxa"/>
                  <w:vAlign w:val="center"/>
                </w:tcPr>
                <w:p>
                  <w:pPr>
                    <w:pStyle w:val="15"/>
                    <w:rPr>
                      <w:rFonts w:hint="default" w:eastAsia="宋体"/>
                      <w:color w:val="auto"/>
                      <w:lang w:val="en-US" w:eastAsia="zh-CN"/>
                    </w:rPr>
                  </w:pPr>
                  <w:r>
                    <w:rPr>
                      <w:rFonts w:hint="eastAsia"/>
                      <w:color w:val="auto"/>
                      <w:lang w:val="en-US" w:eastAsia="zh-CN"/>
                    </w:rPr>
                    <w:t>2.8</w:t>
                  </w:r>
                </w:p>
              </w:tc>
              <w:tc>
                <w:tcPr>
                  <w:tcW w:w="173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氯仿（mg/kg）</w:t>
                  </w:r>
                </w:p>
              </w:tc>
              <w:tc>
                <w:tcPr>
                  <w:tcW w:w="1052" w:type="dxa"/>
                  <w:vAlign w:val="center"/>
                </w:tcPr>
                <w:p>
                  <w:pPr>
                    <w:pStyle w:val="15"/>
                    <w:rPr>
                      <w:color w:val="auto"/>
                    </w:rPr>
                  </w:pPr>
                  <w:r>
                    <w:rPr>
                      <w:color w:val="auto"/>
                    </w:rPr>
                    <w:t>未检出</w:t>
                  </w:r>
                </w:p>
              </w:tc>
              <w:tc>
                <w:tcPr>
                  <w:tcW w:w="1172" w:type="dxa"/>
                  <w:vAlign w:val="center"/>
                </w:tcPr>
                <w:p>
                  <w:pPr>
                    <w:pStyle w:val="15"/>
                    <w:rPr>
                      <w:color w:val="auto"/>
                    </w:rPr>
                  </w:pPr>
                  <w:r>
                    <w:rPr>
                      <w:rFonts w:hint="eastAsia"/>
                      <w:color w:val="auto"/>
                    </w:rPr>
                    <w:t>/</w:t>
                  </w:r>
                </w:p>
              </w:tc>
              <w:tc>
                <w:tcPr>
                  <w:tcW w:w="1626" w:type="dxa"/>
                  <w:vAlign w:val="center"/>
                </w:tcPr>
                <w:p>
                  <w:pPr>
                    <w:pStyle w:val="15"/>
                    <w:rPr>
                      <w:rFonts w:hint="default" w:eastAsia="宋体"/>
                      <w:color w:val="auto"/>
                      <w:lang w:val="en-US" w:eastAsia="zh-CN"/>
                    </w:rPr>
                  </w:pPr>
                  <w:r>
                    <w:rPr>
                      <w:rFonts w:hint="eastAsia"/>
                      <w:color w:val="auto"/>
                      <w:lang w:val="en-US" w:eastAsia="zh-CN"/>
                    </w:rPr>
                    <w:t>0.9</w:t>
                  </w:r>
                </w:p>
              </w:tc>
              <w:tc>
                <w:tcPr>
                  <w:tcW w:w="173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氯甲烷（mg/kg）</w:t>
                  </w:r>
                </w:p>
              </w:tc>
              <w:tc>
                <w:tcPr>
                  <w:tcW w:w="1052" w:type="dxa"/>
                  <w:vAlign w:val="center"/>
                </w:tcPr>
                <w:p>
                  <w:pPr>
                    <w:pStyle w:val="15"/>
                    <w:rPr>
                      <w:color w:val="auto"/>
                    </w:rPr>
                  </w:pPr>
                  <w:r>
                    <w:rPr>
                      <w:color w:val="auto"/>
                    </w:rPr>
                    <w:t>未检出</w:t>
                  </w:r>
                </w:p>
              </w:tc>
              <w:tc>
                <w:tcPr>
                  <w:tcW w:w="1172" w:type="dxa"/>
                  <w:vAlign w:val="center"/>
                </w:tcPr>
                <w:p>
                  <w:pPr>
                    <w:pStyle w:val="15"/>
                    <w:rPr>
                      <w:color w:val="auto"/>
                    </w:rPr>
                  </w:pPr>
                  <w:r>
                    <w:rPr>
                      <w:rFonts w:hint="eastAsia"/>
                      <w:color w:val="auto"/>
                    </w:rPr>
                    <w:t>/</w:t>
                  </w:r>
                </w:p>
              </w:tc>
              <w:tc>
                <w:tcPr>
                  <w:tcW w:w="1626" w:type="dxa"/>
                  <w:vAlign w:val="center"/>
                </w:tcPr>
                <w:p>
                  <w:pPr>
                    <w:pStyle w:val="15"/>
                    <w:rPr>
                      <w:rFonts w:hint="default" w:eastAsia="宋体"/>
                      <w:color w:val="auto"/>
                      <w:lang w:val="en-US" w:eastAsia="zh-CN"/>
                    </w:rPr>
                  </w:pPr>
                  <w:r>
                    <w:rPr>
                      <w:rFonts w:hint="eastAsia"/>
                      <w:color w:val="auto"/>
                      <w:lang w:val="en-US" w:eastAsia="zh-CN"/>
                    </w:rPr>
                    <w:t>37</w:t>
                  </w:r>
                </w:p>
              </w:tc>
              <w:tc>
                <w:tcPr>
                  <w:tcW w:w="173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1,1-二氯乙烷（mg/kg）</w:t>
                  </w:r>
                </w:p>
              </w:tc>
              <w:tc>
                <w:tcPr>
                  <w:tcW w:w="1052" w:type="dxa"/>
                  <w:vAlign w:val="center"/>
                </w:tcPr>
                <w:p>
                  <w:pPr>
                    <w:pStyle w:val="15"/>
                    <w:rPr>
                      <w:color w:val="auto"/>
                    </w:rPr>
                  </w:pPr>
                  <w:r>
                    <w:rPr>
                      <w:color w:val="auto"/>
                    </w:rPr>
                    <w:t>未检出</w:t>
                  </w:r>
                </w:p>
              </w:tc>
              <w:tc>
                <w:tcPr>
                  <w:tcW w:w="1172" w:type="dxa"/>
                  <w:vAlign w:val="center"/>
                </w:tcPr>
                <w:p>
                  <w:pPr>
                    <w:pStyle w:val="15"/>
                    <w:rPr>
                      <w:color w:val="auto"/>
                    </w:rPr>
                  </w:pPr>
                  <w:r>
                    <w:rPr>
                      <w:rFonts w:hint="eastAsia"/>
                      <w:color w:val="auto"/>
                    </w:rPr>
                    <w:t>/</w:t>
                  </w:r>
                </w:p>
              </w:tc>
              <w:tc>
                <w:tcPr>
                  <w:tcW w:w="1626" w:type="dxa"/>
                  <w:vAlign w:val="center"/>
                </w:tcPr>
                <w:p>
                  <w:pPr>
                    <w:pStyle w:val="15"/>
                    <w:rPr>
                      <w:rFonts w:hint="eastAsia" w:eastAsia="宋体"/>
                      <w:color w:val="auto"/>
                      <w:lang w:val="en-US" w:eastAsia="zh-CN"/>
                    </w:rPr>
                  </w:pPr>
                  <w:r>
                    <w:rPr>
                      <w:rFonts w:hint="eastAsia"/>
                      <w:color w:val="auto"/>
                      <w:lang w:val="en-US" w:eastAsia="zh-CN"/>
                    </w:rPr>
                    <w:t>9</w:t>
                  </w:r>
                </w:p>
              </w:tc>
              <w:tc>
                <w:tcPr>
                  <w:tcW w:w="173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1,2-二氯乙烷（mg/kg）</w:t>
                  </w:r>
                </w:p>
              </w:tc>
              <w:tc>
                <w:tcPr>
                  <w:tcW w:w="1052" w:type="dxa"/>
                  <w:vAlign w:val="center"/>
                </w:tcPr>
                <w:p>
                  <w:pPr>
                    <w:pStyle w:val="15"/>
                    <w:rPr>
                      <w:color w:val="auto"/>
                    </w:rPr>
                  </w:pPr>
                  <w:r>
                    <w:rPr>
                      <w:color w:val="auto"/>
                    </w:rPr>
                    <w:t>未检出</w:t>
                  </w:r>
                </w:p>
              </w:tc>
              <w:tc>
                <w:tcPr>
                  <w:tcW w:w="1172" w:type="dxa"/>
                  <w:vAlign w:val="center"/>
                </w:tcPr>
                <w:p>
                  <w:pPr>
                    <w:pStyle w:val="15"/>
                    <w:rPr>
                      <w:color w:val="auto"/>
                    </w:rPr>
                  </w:pPr>
                  <w:r>
                    <w:rPr>
                      <w:rFonts w:hint="eastAsia"/>
                      <w:color w:val="auto"/>
                    </w:rPr>
                    <w:t>/</w:t>
                  </w:r>
                </w:p>
              </w:tc>
              <w:tc>
                <w:tcPr>
                  <w:tcW w:w="1626" w:type="dxa"/>
                  <w:vAlign w:val="center"/>
                </w:tcPr>
                <w:p>
                  <w:pPr>
                    <w:pStyle w:val="15"/>
                    <w:rPr>
                      <w:rFonts w:hint="eastAsia" w:eastAsia="宋体"/>
                      <w:color w:val="auto"/>
                      <w:lang w:val="en-US" w:eastAsia="zh-CN"/>
                    </w:rPr>
                  </w:pPr>
                  <w:r>
                    <w:rPr>
                      <w:rFonts w:hint="eastAsia"/>
                      <w:color w:val="auto"/>
                      <w:lang w:val="en-US" w:eastAsia="zh-CN"/>
                    </w:rPr>
                    <w:t>5</w:t>
                  </w:r>
                </w:p>
              </w:tc>
              <w:tc>
                <w:tcPr>
                  <w:tcW w:w="173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1,1-二氯乙烯（mg/kg）</w:t>
                  </w:r>
                </w:p>
              </w:tc>
              <w:tc>
                <w:tcPr>
                  <w:tcW w:w="1052" w:type="dxa"/>
                  <w:vAlign w:val="center"/>
                </w:tcPr>
                <w:p>
                  <w:pPr>
                    <w:pStyle w:val="15"/>
                    <w:rPr>
                      <w:color w:val="auto"/>
                    </w:rPr>
                  </w:pPr>
                  <w:r>
                    <w:rPr>
                      <w:color w:val="auto"/>
                    </w:rPr>
                    <w:t>未检出</w:t>
                  </w:r>
                </w:p>
              </w:tc>
              <w:tc>
                <w:tcPr>
                  <w:tcW w:w="1172" w:type="dxa"/>
                  <w:vAlign w:val="center"/>
                </w:tcPr>
                <w:p>
                  <w:pPr>
                    <w:pStyle w:val="15"/>
                    <w:rPr>
                      <w:color w:val="auto"/>
                    </w:rPr>
                  </w:pPr>
                  <w:r>
                    <w:rPr>
                      <w:rFonts w:hint="eastAsia"/>
                      <w:color w:val="auto"/>
                    </w:rPr>
                    <w:t>/</w:t>
                  </w:r>
                </w:p>
              </w:tc>
              <w:tc>
                <w:tcPr>
                  <w:tcW w:w="1626" w:type="dxa"/>
                  <w:vAlign w:val="center"/>
                </w:tcPr>
                <w:p>
                  <w:pPr>
                    <w:pStyle w:val="15"/>
                    <w:rPr>
                      <w:rFonts w:hint="default" w:eastAsia="宋体"/>
                      <w:color w:val="auto"/>
                      <w:lang w:val="en-US" w:eastAsia="zh-CN"/>
                    </w:rPr>
                  </w:pPr>
                  <w:r>
                    <w:rPr>
                      <w:rFonts w:hint="eastAsia"/>
                      <w:color w:val="auto"/>
                      <w:lang w:val="en-US" w:eastAsia="zh-CN"/>
                    </w:rPr>
                    <w:t>66</w:t>
                  </w:r>
                </w:p>
              </w:tc>
              <w:tc>
                <w:tcPr>
                  <w:tcW w:w="173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顺式-1,2-二氯乙烯（mg/kg）</w:t>
                  </w:r>
                </w:p>
              </w:tc>
              <w:tc>
                <w:tcPr>
                  <w:tcW w:w="1052" w:type="dxa"/>
                  <w:vAlign w:val="center"/>
                </w:tcPr>
                <w:p>
                  <w:pPr>
                    <w:pStyle w:val="15"/>
                    <w:rPr>
                      <w:color w:val="auto"/>
                    </w:rPr>
                  </w:pPr>
                  <w:r>
                    <w:rPr>
                      <w:color w:val="auto"/>
                    </w:rPr>
                    <w:t>未检出</w:t>
                  </w:r>
                </w:p>
              </w:tc>
              <w:tc>
                <w:tcPr>
                  <w:tcW w:w="1172" w:type="dxa"/>
                  <w:vAlign w:val="center"/>
                </w:tcPr>
                <w:p>
                  <w:pPr>
                    <w:pStyle w:val="15"/>
                    <w:rPr>
                      <w:color w:val="auto"/>
                    </w:rPr>
                  </w:pPr>
                  <w:r>
                    <w:rPr>
                      <w:rFonts w:hint="eastAsia"/>
                      <w:color w:val="auto"/>
                    </w:rPr>
                    <w:t>/</w:t>
                  </w:r>
                </w:p>
              </w:tc>
              <w:tc>
                <w:tcPr>
                  <w:tcW w:w="1626" w:type="dxa"/>
                  <w:vAlign w:val="center"/>
                </w:tcPr>
                <w:p>
                  <w:pPr>
                    <w:pStyle w:val="15"/>
                    <w:rPr>
                      <w:rFonts w:hint="default" w:eastAsia="宋体"/>
                      <w:color w:val="auto"/>
                      <w:lang w:val="en-US" w:eastAsia="zh-CN"/>
                    </w:rPr>
                  </w:pPr>
                  <w:r>
                    <w:rPr>
                      <w:rFonts w:hint="eastAsia"/>
                      <w:color w:val="auto"/>
                      <w:lang w:val="en-US" w:eastAsia="zh-CN"/>
                    </w:rPr>
                    <w:t>596</w:t>
                  </w:r>
                </w:p>
              </w:tc>
              <w:tc>
                <w:tcPr>
                  <w:tcW w:w="173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vAlign w:val="center"/>
                </w:tcPr>
                <w:p>
                  <w:pPr>
                    <w:pStyle w:val="15"/>
                    <w:rPr>
                      <w:color w:val="auto"/>
                    </w:rPr>
                  </w:pPr>
                  <w:r>
                    <w:rPr>
                      <w:color w:val="auto"/>
                    </w:rPr>
                    <w:t>反式-1,2-二氯乙烯（mg/kg）</w:t>
                  </w:r>
                </w:p>
              </w:tc>
              <w:tc>
                <w:tcPr>
                  <w:tcW w:w="1052" w:type="dxa"/>
                  <w:vAlign w:val="center"/>
                </w:tcPr>
                <w:p>
                  <w:pPr>
                    <w:pStyle w:val="15"/>
                    <w:rPr>
                      <w:color w:val="auto"/>
                    </w:rPr>
                  </w:pPr>
                  <w:r>
                    <w:rPr>
                      <w:color w:val="auto"/>
                    </w:rPr>
                    <w:t>未检出</w:t>
                  </w:r>
                </w:p>
              </w:tc>
              <w:tc>
                <w:tcPr>
                  <w:tcW w:w="1172" w:type="dxa"/>
                  <w:vAlign w:val="center"/>
                </w:tcPr>
                <w:p>
                  <w:pPr>
                    <w:pStyle w:val="15"/>
                    <w:rPr>
                      <w:color w:val="auto"/>
                    </w:rPr>
                  </w:pPr>
                  <w:r>
                    <w:rPr>
                      <w:rFonts w:hint="eastAsia"/>
                      <w:color w:val="auto"/>
                    </w:rPr>
                    <w:t>/</w:t>
                  </w:r>
                </w:p>
              </w:tc>
              <w:tc>
                <w:tcPr>
                  <w:tcW w:w="1626" w:type="dxa"/>
                  <w:vAlign w:val="center"/>
                </w:tcPr>
                <w:p>
                  <w:pPr>
                    <w:pStyle w:val="15"/>
                    <w:rPr>
                      <w:rFonts w:hint="default" w:eastAsia="宋体"/>
                      <w:color w:val="auto"/>
                      <w:lang w:val="en-US" w:eastAsia="zh-CN"/>
                    </w:rPr>
                  </w:pPr>
                  <w:r>
                    <w:rPr>
                      <w:rFonts w:hint="eastAsia"/>
                      <w:color w:val="auto"/>
                      <w:lang w:val="en-US" w:eastAsia="zh-CN"/>
                    </w:rPr>
                    <w:t>54</w:t>
                  </w:r>
                </w:p>
              </w:tc>
              <w:tc>
                <w:tcPr>
                  <w:tcW w:w="1736"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二氯甲烷 （mg/kg）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616</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1,2-二氯丙烷（mg/kg）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eastAsia" w:eastAsia="宋体"/>
                      <w:color w:val="auto"/>
                      <w:lang w:val="en-US" w:eastAsia="zh-CN"/>
                    </w:rPr>
                  </w:pPr>
                  <w:r>
                    <w:rPr>
                      <w:rFonts w:hint="eastAsia"/>
                      <w:color w:val="auto"/>
                      <w:lang w:val="en-US" w:eastAsia="zh-CN"/>
                    </w:rPr>
                    <w:t>5</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1,1,1,2- 四氯乙烷（mg/kg）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10</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1,1,2,2- 四氯乙烷（mg/kg）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6.8</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四氯乙烯（mg/kg）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53</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1,1,1-三氯乙烷（mg/kg）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840</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1,1,2-三氯乙烷（mg/kg）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2.8</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三氯乙烯（mg/kg）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2.8</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1,2,3-三氯丙烷（mg/kg）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0.5</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氯乙烯（mg/kg）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0.43</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eastAsia" w:eastAsia="宋体"/>
                      <w:color w:val="auto"/>
                      <w:lang w:val="en-US" w:eastAsia="zh-CN"/>
                    </w:rPr>
                  </w:pPr>
                  <w:r>
                    <w:rPr>
                      <w:rFonts w:hint="eastAsia"/>
                      <w:color w:val="auto"/>
                      <w:lang w:val="en-US" w:eastAsia="zh-CN"/>
                    </w:rPr>
                    <w:t>4</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氯苯（mg/kg）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270</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1,2-二氯苯（mg/kg）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560</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1,4-二氯苯（mg/kg）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20</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乙苯（mg/kg）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28</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苯乙烯（mg/kg）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1290</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甲苯（mg/kg）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1200</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rPr>
                  </w:pPr>
                  <w:r>
                    <w:rPr>
                      <w:color w:val="auto"/>
                    </w:rPr>
                    <w:t>间,对-二甲苯（mg/kg）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570</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邻-二甲苯（mg/kg）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640</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硝基苯（mg/kg）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76</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苯胺（mg/kg）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260</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2-氯酚（mg/kg）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2256</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苯并[a]蒽（mg/kg）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15</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lang w:eastAsia="en-US"/>
                    </w:rPr>
                  </w:pPr>
                  <w:r>
                    <w:rPr>
                      <w:color w:val="auto"/>
                    </w:rPr>
                    <w:t>苯并[a]芘（mg/kg）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1.5</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rPr>
                  </w:pPr>
                  <w:r>
                    <w:rPr>
                      <w:color w:val="auto"/>
                    </w:rPr>
                    <w:t>苯并[b]荧蒽（mg/kg）</w:t>
                  </w:r>
                </w:p>
              </w:tc>
              <w:tc>
                <w:tcPr>
                  <w:tcW w:w="1052" w:type="dxa"/>
                </w:tcPr>
                <w:p>
                  <w:pPr>
                    <w:pStyle w:val="15"/>
                    <w:rPr>
                      <w:color w:val="auto"/>
                      <w:lang w:eastAsia="en-US"/>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15</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rPr>
                  </w:pPr>
                  <w:r>
                    <w:rPr>
                      <w:color w:val="auto"/>
                    </w:rPr>
                    <w:t>苯并[k]荧蒽（mg/kg）</w:t>
                  </w:r>
                </w:p>
              </w:tc>
              <w:tc>
                <w:tcPr>
                  <w:tcW w:w="1052" w:type="dxa"/>
                </w:tcPr>
                <w:p>
                  <w:pPr>
                    <w:pStyle w:val="15"/>
                    <w:rPr>
                      <w:color w:val="auto"/>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151</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rPr>
                  </w:pPr>
                  <w:r>
                    <w:rPr>
                      <w:color w:val="auto"/>
                    </w:rPr>
                    <w:t>䓛（mg/kg）</w:t>
                  </w:r>
                </w:p>
              </w:tc>
              <w:tc>
                <w:tcPr>
                  <w:tcW w:w="1052" w:type="dxa"/>
                </w:tcPr>
                <w:p>
                  <w:pPr>
                    <w:pStyle w:val="15"/>
                    <w:rPr>
                      <w:color w:val="auto"/>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1293</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rPr>
                  </w:pPr>
                  <w:r>
                    <w:rPr>
                      <w:color w:val="auto"/>
                    </w:rPr>
                    <w:t>二苯并[a, h]蒽（mg/kg）</w:t>
                  </w:r>
                </w:p>
              </w:tc>
              <w:tc>
                <w:tcPr>
                  <w:tcW w:w="1052" w:type="dxa"/>
                </w:tcPr>
                <w:p>
                  <w:pPr>
                    <w:pStyle w:val="15"/>
                    <w:rPr>
                      <w:color w:val="auto"/>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1.5</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rPr>
                  </w:pPr>
                  <w:r>
                    <w:rPr>
                      <w:color w:val="auto"/>
                    </w:rPr>
                    <w:t>茚并[1,2,3-cd]芘（mg/kg）</w:t>
                  </w:r>
                </w:p>
              </w:tc>
              <w:tc>
                <w:tcPr>
                  <w:tcW w:w="1052" w:type="dxa"/>
                </w:tcPr>
                <w:p>
                  <w:pPr>
                    <w:pStyle w:val="15"/>
                    <w:rPr>
                      <w:color w:val="auto"/>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15</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c>
                <w:tcPr>
                  <w:tcW w:w="2551" w:type="dxa"/>
                </w:tcPr>
                <w:p>
                  <w:pPr>
                    <w:pStyle w:val="15"/>
                    <w:rPr>
                      <w:color w:val="auto"/>
                    </w:rPr>
                  </w:pPr>
                  <w:r>
                    <w:rPr>
                      <w:color w:val="auto"/>
                    </w:rPr>
                    <w:t>萘（mg/kg）</w:t>
                  </w:r>
                </w:p>
              </w:tc>
              <w:tc>
                <w:tcPr>
                  <w:tcW w:w="1052" w:type="dxa"/>
                </w:tcPr>
                <w:p>
                  <w:pPr>
                    <w:pStyle w:val="15"/>
                    <w:rPr>
                      <w:color w:val="auto"/>
                    </w:rPr>
                  </w:pPr>
                  <w:r>
                    <w:rPr>
                      <w:color w:val="auto"/>
                    </w:rPr>
                    <w:t>未检出</w:t>
                  </w:r>
                </w:p>
              </w:tc>
              <w:tc>
                <w:tcPr>
                  <w:tcW w:w="1172" w:type="dxa"/>
                </w:tcPr>
                <w:p>
                  <w:pPr>
                    <w:pStyle w:val="15"/>
                    <w:rPr>
                      <w:color w:val="auto"/>
                    </w:rPr>
                  </w:pPr>
                  <w:r>
                    <w:rPr>
                      <w:rFonts w:hint="eastAsia"/>
                      <w:color w:val="auto"/>
                    </w:rPr>
                    <w:t>/</w:t>
                  </w:r>
                </w:p>
              </w:tc>
              <w:tc>
                <w:tcPr>
                  <w:tcW w:w="1626" w:type="dxa"/>
                </w:tcPr>
                <w:p>
                  <w:pPr>
                    <w:pStyle w:val="15"/>
                    <w:rPr>
                      <w:rFonts w:hint="default" w:eastAsia="宋体"/>
                      <w:color w:val="auto"/>
                      <w:lang w:val="en-US" w:eastAsia="zh-CN"/>
                    </w:rPr>
                  </w:pPr>
                  <w:r>
                    <w:rPr>
                      <w:rFonts w:hint="eastAsia"/>
                      <w:color w:val="auto"/>
                      <w:lang w:val="en-US" w:eastAsia="zh-CN"/>
                    </w:rPr>
                    <w:t>70</w:t>
                  </w:r>
                </w:p>
              </w:tc>
              <w:tc>
                <w:tcPr>
                  <w:tcW w:w="1736" w:type="dxa"/>
                  <w:vAlign w:val="top"/>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w:t>
                  </w:r>
                </w:p>
              </w:tc>
            </w:tr>
          </w:tbl>
          <w:p>
            <w:pPr>
              <w:ind w:firstLine="480"/>
              <w:rPr>
                <w:rFonts w:hint="default" w:eastAsia="宋体"/>
                <w:color w:val="auto"/>
                <w:lang w:val="en-US" w:eastAsia="zh-CN"/>
              </w:rPr>
            </w:pPr>
            <w:r>
              <w:rPr>
                <w:rFonts w:hint="eastAsia"/>
                <w:color w:val="auto"/>
              </w:rPr>
              <w:t>根据检测结果，生产区东侧检测点各检测值均小于《土壤环境质量 建设用地土壤污染风险管控标准（试行）》（GB36600-2018）中第二类用地风险筛选值；生产区西南侧耕地检测点除</w:t>
            </w:r>
            <w:r>
              <w:rPr>
                <w:rFonts w:hint="eastAsia"/>
                <w:color w:val="auto"/>
                <w:lang w:val="en-US" w:eastAsia="zh-CN"/>
              </w:rPr>
              <w:t>铅、</w:t>
            </w:r>
            <w:r>
              <w:rPr>
                <w:rFonts w:hint="eastAsia"/>
                <w:color w:val="auto"/>
              </w:rPr>
              <w:t>镍、铬外，其余污染物项目检测值均小于《土壤环境质量 农用地土壤污染风险管控标准（试行）》(GB 15618—2018)中其他农用地风险筛选值。</w:t>
            </w:r>
            <w:r>
              <w:rPr>
                <w:rFonts w:hint="eastAsia"/>
                <w:color w:val="auto"/>
                <w:lang w:val="en-US" w:eastAsia="zh-CN"/>
              </w:rPr>
              <w:t>根据调查分析，由于本企业现有项目生产过程中无含铅、</w:t>
            </w:r>
            <w:r>
              <w:rPr>
                <w:rFonts w:hint="eastAsia"/>
                <w:color w:val="auto"/>
              </w:rPr>
              <w:t>镍、铬</w:t>
            </w:r>
            <w:r>
              <w:rPr>
                <w:rFonts w:hint="eastAsia"/>
                <w:color w:val="auto"/>
                <w:lang w:val="en-US" w:eastAsia="zh-CN"/>
              </w:rPr>
              <w:t>相关废气产生及排放，故</w:t>
            </w:r>
            <w:r>
              <w:rPr>
                <w:rFonts w:hint="eastAsia"/>
                <w:color w:val="auto"/>
              </w:rPr>
              <w:t>生产区西南侧耕地检测点</w:t>
            </w:r>
            <w:r>
              <w:rPr>
                <w:rFonts w:hint="eastAsia"/>
                <w:color w:val="auto"/>
                <w:lang w:val="en-US" w:eastAsia="zh-CN"/>
              </w:rPr>
              <w:t>铅、</w:t>
            </w:r>
            <w:r>
              <w:rPr>
                <w:rFonts w:hint="eastAsia"/>
                <w:color w:val="auto"/>
              </w:rPr>
              <w:t>镍、铬</w:t>
            </w:r>
            <w:r>
              <w:rPr>
                <w:rFonts w:hint="eastAsia"/>
                <w:color w:val="auto"/>
                <w:lang w:val="en-US" w:eastAsia="zh-CN"/>
              </w:rPr>
              <w:t>超标主要原因可能是周边排放含铅、</w:t>
            </w:r>
            <w:r>
              <w:rPr>
                <w:rFonts w:hint="eastAsia"/>
                <w:color w:val="auto"/>
              </w:rPr>
              <w:t>镍、铬</w:t>
            </w:r>
            <w:r>
              <w:rPr>
                <w:rFonts w:hint="eastAsia"/>
                <w:color w:val="auto"/>
                <w:lang w:val="en-US" w:eastAsia="zh-CN"/>
              </w:rPr>
              <w:t>相关废气的工业企业大气污染物通过大气沉降导致的土壤污染，而非本企业现有项目生产过程引起。</w:t>
            </w:r>
          </w:p>
          <w:p>
            <w:pPr>
              <w:ind w:firstLine="0" w:firstLineChars="0"/>
              <w:rPr>
                <w:color w:val="auto"/>
              </w:rPr>
            </w:pPr>
            <w:r>
              <w:rPr>
                <w:rFonts w:hint="eastAsia"/>
                <w:color w:val="auto"/>
              </w:rPr>
              <w:t>5、地下水环境现状</w:t>
            </w:r>
          </w:p>
          <w:p>
            <w:pPr>
              <w:ind w:firstLine="480"/>
              <w:rPr>
                <w:color w:val="auto"/>
              </w:rPr>
            </w:pPr>
            <w:r>
              <w:rPr>
                <w:rFonts w:hint="eastAsia"/>
                <w:color w:val="auto"/>
              </w:rPr>
              <w:t>根据《建设项目环境影响报告表编制技术指南（污染影响类）》（试行）相关要求，原则不开展地下水环境质量现状监测。项目主要为一般固废（含磷废渣）综合利用，生产工艺简单；本次改建不涉及新增生产废水和生活污水的产生和排放；生产废气达标排放，固废均能得到合理处置。因此建设项目对地下水环境影响甚微，不开展地下水环境质量现状监测。</w:t>
            </w:r>
          </w:p>
          <w:p>
            <w:pPr>
              <w:ind w:firstLine="0" w:firstLineChars="0"/>
              <w:rPr>
                <w:color w:val="auto"/>
              </w:rPr>
            </w:pPr>
            <w:r>
              <w:rPr>
                <w:rFonts w:hint="eastAsia"/>
                <w:color w:val="auto"/>
              </w:rPr>
              <w:t>6、生态环境现状</w:t>
            </w:r>
          </w:p>
          <w:p>
            <w:pPr>
              <w:ind w:firstLine="480"/>
              <w:rPr>
                <w:color w:val="auto"/>
              </w:rPr>
            </w:pPr>
            <w:r>
              <w:rPr>
                <w:rFonts w:hint="eastAsia"/>
                <w:color w:val="auto"/>
              </w:rPr>
              <w:t>建设项目位于晋宁区上蒜镇，在现有厂区内改建，不新增占地。由于人类干扰严重，该区域内大型野生动物已不多见，野生动物资源较少，区域内主要有麻雀、田鼠、青蛙、蜥蜴、蚯蚓等小型动物，区域生态环境自我调节能力低。据实地调查，项目所在区域无国家级及省级保护的珍稀动、植物，不涉及风景名胜区、自然保护区、世界文化和自然遗产地、饮用水源保护区等环境敏感的区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573" w:hRule="atLeast"/>
          <w:jc w:val="center"/>
        </w:trPr>
        <w:tc>
          <w:tcPr>
            <w:tcW w:w="636" w:type="dxa"/>
            <w:vAlign w:val="center"/>
          </w:tcPr>
          <w:p>
            <w:pPr>
              <w:spacing w:line="240" w:lineRule="auto"/>
              <w:ind w:firstLine="0" w:firstLineChars="0"/>
              <w:jc w:val="center"/>
              <w:rPr>
                <w:color w:val="auto"/>
              </w:rPr>
            </w:pPr>
            <w:r>
              <w:rPr>
                <w:color w:val="auto"/>
              </w:rPr>
              <w:t>环境</w:t>
            </w:r>
          </w:p>
          <w:p>
            <w:pPr>
              <w:spacing w:line="240" w:lineRule="auto"/>
              <w:ind w:firstLine="0" w:firstLineChars="0"/>
              <w:jc w:val="center"/>
              <w:rPr>
                <w:color w:val="auto"/>
              </w:rPr>
            </w:pPr>
            <w:r>
              <w:rPr>
                <w:color w:val="auto"/>
              </w:rPr>
              <w:t>保护</w:t>
            </w:r>
          </w:p>
          <w:p>
            <w:pPr>
              <w:spacing w:line="240" w:lineRule="auto"/>
              <w:ind w:firstLine="0" w:firstLineChars="0"/>
              <w:jc w:val="center"/>
              <w:rPr>
                <w:color w:val="auto"/>
              </w:rPr>
            </w:pPr>
            <w:r>
              <w:rPr>
                <w:color w:val="auto"/>
              </w:rPr>
              <w:t>目标</w:t>
            </w:r>
          </w:p>
        </w:tc>
        <w:tc>
          <w:tcPr>
            <w:tcW w:w="8425" w:type="dxa"/>
            <w:vAlign w:val="center"/>
          </w:tcPr>
          <w:p>
            <w:pPr>
              <w:ind w:firstLine="480"/>
              <w:rPr>
                <w:color w:val="auto"/>
              </w:rPr>
            </w:pPr>
            <w:r>
              <w:rPr>
                <w:rFonts w:hint="eastAsia"/>
                <w:color w:val="auto"/>
              </w:rPr>
              <w:t>（1）建设项目位于晋宁区上蒜镇，厂界外500m范围内无自然保护区、风景名胜区、居住区、文化区，500m范围内无大气环境保护目标。</w:t>
            </w:r>
          </w:p>
          <w:p>
            <w:pPr>
              <w:ind w:firstLine="480"/>
              <w:rPr>
                <w:color w:val="auto"/>
              </w:rPr>
            </w:pPr>
            <w:r>
              <w:rPr>
                <w:rFonts w:hint="eastAsia"/>
                <w:color w:val="auto"/>
              </w:rPr>
              <w:t>（2）建设项目厂界外50m范围内无声环境保护目标；</w:t>
            </w:r>
          </w:p>
          <w:p>
            <w:pPr>
              <w:ind w:firstLine="480"/>
              <w:rPr>
                <w:color w:val="auto"/>
              </w:rPr>
            </w:pPr>
            <w:r>
              <w:rPr>
                <w:rFonts w:hint="eastAsia"/>
                <w:color w:val="auto"/>
              </w:rPr>
              <w:t>（3）建设项目厂界外500m范围内无地下水集中式饮用水水源和热水、矿泉水、温泉等特殊地下水资源；</w:t>
            </w:r>
          </w:p>
          <w:p>
            <w:pPr>
              <w:ind w:firstLine="480"/>
              <w:rPr>
                <w:color w:val="auto"/>
              </w:rPr>
            </w:pPr>
            <w:r>
              <w:rPr>
                <w:rFonts w:hint="eastAsia"/>
                <w:color w:val="auto"/>
              </w:rPr>
              <w:t>（4）本项目属于改建项目，在现有厂房内进行改造，不新增占地。</w:t>
            </w:r>
          </w:p>
          <w:p>
            <w:pPr>
              <w:ind w:firstLine="480"/>
              <w:rPr>
                <w:color w:val="auto"/>
              </w:rPr>
            </w:pPr>
            <w:r>
              <w:rPr>
                <w:color w:val="auto"/>
                <w:lang w:val="zh-CN"/>
              </w:rPr>
              <w:t>项目</w:t>
            </w:r>
            <w:r>
              <w:rPr>
                <w:rFonts w:hint="eastAsia"/>
                <w:color w:val="auto"/>
              </w:rPr>
              <w:t>周围主要环境</w:t>
            </w:r>
            <w:r>
              <w:rPr>
                <w:color w:val="auto"/>
                <w:lang w:val="zh-CN"/>
              </w:rPr>
              <w:t>保护目标详见</w:t>
            </w:r>
            <w:r>
              <w:rPr>
                <w:rFonts w:hint="eastAsia"/>
                <w:color w:val="auto"/>
              </w:rPr>
              <w:t>下表</w:t>
            </w:r>
            <w:r>
              <w:rPr>
                <w:rFonts w:hint="eastAsia"/>
                <w:color w:val="auto"/>
                <w:lang w:val="zh-CN"/>
              </w:rPr>
              <w:t>：</w:t>
            </w:r>
          </w:p>
          <w:p>
            <w:pPr>
              <w:pStyle w:val="14"/>
              <w:rPr>
                <w:color w:val="auto"/>
              </w:rPr>
            </w:pPr>
          </w:p>
          <w:p>
            <w:pPr>
              <w:pStyle w:val="14"/>
              <w:rPr>
                <w:color w:val="auto"/>
              </w:rPr>
            </w:pPr>
            <w:r>
              <w:rPr>
                <w:color w:val="auto"/>
              </w:rPr>
              <w:t>表3-</w:t>
            </w:r>
            <w:r>
              <w:rPr>
                <w:rFonts w:hint="eastAsia"/>
                <w:color w:val="auto"/>
              </w:rPr>
              <w:t xml:space="preserve">3  </w:t>
            </w:r>
            <w:r>
              <w:rPr>
                <w:color w:val="auto"/>
              </w:rPr>
              <w:t>项目</w:t>
            </w:r>
            <w:r>
              <w:rPr>
                <w:rFonts w:hint="eastAsia"/>
                <w:color w:val="auto"/>
              </w:rPr>
              <w:t>周围</w:t>
            </w:r>
            <w:r>
              <w:rPr>
                <w:color w:val="auto"/>
              </w:rPr>
              <w:t>主要环境保护目标</w:t>
            </w:r>
          </w:p>
          <w:tbl>
            <w:tblPr>
              <w:tblStyle w:val="11"/>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058"/>
              <w:gridCol w:w="879"/>
              <w:gridCol w:w="640"/>
              <w:gridCol w:w="1063"/>
              <w:gridCol w:w="807"/>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59" w:type="dxa"/>
                  <w:vAlign w:val="center"/>
                </w:tcPr>
                <w:p>
                  <w:pPr>
                    <w:pStyle w:val="15"/>
                    <w:rPr>
                      <w:color w:val="auto"/>
                    </w:rPr>
                  </w:pPr>
                  <w:r>
                    <w:rPr>
                      <w:color w:val="auto"/>
                    </w:rPr>
                    <w:t>类别</w:t>
                  </w:r>
                </w:p>
              </w:tc>
              <w:tc>
                <w:tcPr>
                  <w:tcW w:w="1058" w:type="dxa"/>
                  <w:vAlign w:val="center"/>
                </w:tcPr>
                <w:p>
                  <w:pPr>
                    <w:pStyle w:val="15"/>
                    <w:rPr>
                      <w:color w:val="auto"/>
                    </w:rPr>
                  </w:pPr>
                  <w:r>
                    <w:rPr>
                      <w:color w:val="auto"/>
                    </w:rPr>
                    <w:t>保护目标</w:t>
                  </w:r>
                </w:p>
              </w:tc>
              <w:tc>
                <w:tcPr>
                  <w:tcW w:w="879" w:type="dxa"/>
                  <w:vAlign w:val="center"/>
                </w:tcPr>
                <w:p>
                  <w:pPr>
                    <w:pStyle w:val="15"/>
                    <w:rPr>
                      <w:color w:val="auto"/>
                    </w:rPr>
                  </w:pPr>
                  <w:r>
                    <w:rPr>
                      <w:color w:val="auto"/>
                    </w:rPr>
                    <w:t>经纬度</w:t>
                  </w:r>
                </w:p>
              </w:tc>
              <w:tc>
                <w:tcPr>
                  <w:tcW w:w="640" w:type="dxa"/>
                  <w:vAlign w:val="center"/>
                </w:tcPr>
                <w:p>
                  <w:pPr>
                    <w:pStyle w:val="15"/>
                    <w:rPr>
                      <w:color w:val="auto"/>
                    </w:rPr>
                  </w:pPr>
                  <w:r>
                    <w:rPr>
                      <w:color w:val="auto"/>
                    </w:rPr>
                    <w:t>方位</w:t>
                  </w:r>
                </w:p>
              </w:tc>
              <w:tc>
                <w:tcPr>
                  <w:tcW w:w="1063" w:type="dxa"/>
                  <w:vAlign w:val="center"/>
                </w:tcPr>
                <w:p>
                  <w:pPr>
                    <w:pStyle w:val="15"/>
                    <w:rPr>
                      <w:color w:val="auto"/>
                    </w:rPr>
                  </w:pPr>
                  <w:r>
                    <w:rPr>
                      <w:color w:val="auto"/>
                    </w:rPr>
                    <w:t>厂界距离</w:t>
                  </w:r>
                </w:p>
              </w:tc>
              <w:tc>
                <w:tcPr>
                  <w:tcW w:w="807" w:type="dxa"/>
                  <w:vAlign w:val="center"/>
                </w:tcPr>
                <w:p>
                  <w:pPr>
                    <w:pStyle w:val="15"/>
                    <w:rPr>
                      <w:color w:val="auto"/>
                    </w:rPr>
                  </w:pPr>
                  <w:r>
                    <w:rPr>
                      <w:color w:val="auto"/>
                    </w:rPr>
                    <w:t>人口</w:t>
                  </w:r>
                </w:p>
              </w:tc>
              <w:tc>
                <w:tcPr>
                  <w:tcW w:w="2993" w:type="dxa"/>
                  <w:vAlign w:val="center"/>
                </w:tcPr>
                <w:p>
                  <w:pPr>
                    <w:pStyle w:val="15"/>
                    <w:rPr>
                      <w:color w:val="auto"/>
                    </w:rPr>
                  </w:pPr>
                  <w:r>
                    <w:rPr>
                      <w:color w:val="auto"/>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59" w:type="dxa"/>
                  <w:vAlign w:val="center"/>
                </w:tcPr>
                <w:p>
                  <w:pPr>
                    <w:pStyle w:val="15"/>
                    <w:rPr>
                      <w:color w:val="auto"/>
                    </w:rPr>
                  </w:pPr>
                  <w:r>
                    <w:rPr>
                      <w:color w:val="auto"/>
                    </w:rPr>
                    <w:t>大气</w:t>
                  </w:r>
                </w:p>
                <w:p>
                  <w:pPr>
                    <w:pStyle w:val="15"/>
                    <w:rPr>
                      <w:color w:val="auto"/>
                    </w:rPr>
                  </w:pPr>
                  <w:r>
                    <w:rPr>
                      <w:color w:val="auto"/>
                    </w:rPr>
                    <w:t>环境</w:t>
                  </w:r>
                </w:p>
              </w:tc>
              <w:tc>
                <w:tcPr>
                  <w:tcW w:w="4447" w:type="dxa"/>
                  <w:gridSpan w:val="5"/>
                  <w:vAlign w:val="center"/>
                </w:tcPr>
                <w:p>
                  <w:pPr>
                    <w:pStyle w:val="15"/>
                    <w:rPr>
                      <w:color w:val="auto"/>
                    </w:rPr>
                  </w:pPr>
                  <w:r>
                    <w:rPr>
                      <w:color w:val="auto"/>
                    </w:rPr>
                    <w:t>厂界外500</w:t>
                  </w:r>
                  <w:r>
                    <w:rPr>
                      <w:rFonts w:hint="eastAsia"/>
                      <w:color w:val="auto"/>
                      <w:lang w:val="en-US" w:eastAsia="zh-CN"/>
                    </w:rPr>
                    <w:t>m</w:t>
                  </w:r>
                  <w:r>
                    <w:rPr>
                      <w:color w:val="auto"/>
                    </w:rPr>
                    <w:t>范围内无大气环境保护目标</w:t>
                  </w:r>
                </w:p>
              </w:tc>
              <w:tc>
                <w:tcPr>
                  <w:tcW w:w="2993" w:type="dxa"/>
                  <w:vAlign w:val="center"/>
                </w:tcPr>
                <w:p>
                  <w:pPr>
                    <w:pStyle w:val="15"/>
                    <w:rPr>
                      <w:color w:val="auto"/>
                    </w:rPr>
                  </w:pPr>
                  <w:r>
                    <w:rPr>
                      <w:color w:val="auto"/>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759" w:type="dxa"/>
                  <w:vAlign w:val="center"/>
                </w:tcPr>
                <w:p>
                  <w:pPr>
                    <w:pStyle w:val="15"/>
                    <w:rPr>
                      <w:color w:val="auto"/>
                    </w:rPr>
                  </w:pPr>
                  <w:r>
                    <w:rPr>
                      <w:color w:val="auto"/>
                    </w:rPr>
                    <w:t>声环境</w:t>
                  </w:r>
                </w:p>
              </w:tc>
              <w:tc>
                <w:tcPr>
                  <w:tcW w:w="4447" w:type="dxa"/>
                  <w:gridSpan w:val="5"/>
                  <w:vAlign w:val="center"/>
                </w:tcPr>
                <w:p>
                  <w:pPr>
                    <w:pStyle w:val="15"/>
                    <w:rPr>
                      <w:color w:val="auto"/>
                    </w:rPr>
                  </w:pPr>
                  <w:r>
                    <w:rPr>
                      <w:color w:val="auto"/>
                    </w:rPr>
                    <w:t>厂界外50</w:t>
                  </w:r>
                  <w:r>
                    <w:rPr>
                      <w:rFonts w:hint="eastAsia"/>
                      <w:color w:val="auto"/>
                      <w:lang w:val="en-US" w:eastAsia="zh-CN"/>
                    </w:rPr>
                    <w:t>m</w:t>
                  </w:r>
                  <w:r>
                    <w:rPr>
                      <w:color w:val="auto"/>
                    </w:rPr>
                    <w:t>范围内无声环境保护目标</w:t>
                  </w:r>
                </w:p>
              </w:tc>
              <w:tc>
                <w:tcPr>
                  <w:tcW w:w="2993" w:type="dxa"/>
                  <w:vAlign w:val="center"/>
                </w:tcPr>
                <w:p>
                  <w:pPr>
                    <w:pStyle w:val="15"/>
                    <w:rPr>
                      <w:color w:val="auto"/>
                    </w:rPr>
                  </w:pPr>
                  <w:r>
                    <w:rPr>
                      <w:color w:val="auto"/>
                    </w:rPr>
                    <w:t>《声环境质量标准》（GB12348-2008）</w:t>
                  </w:r>
                  <w:r>
                    <w:rPr>
                      <w:rFonts w:hint="eastAsia"/>
                      <w:color w:val="auto"/>
                    </w:rPr>
                    <w:t>3类</w:t>
                  </w:r>
                  <w:r>
                    <w:rPr>
                      <w:color w:val="auto"/>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vAlign w:val="center"/>
                </w:tcPr>
                <w:p>
                  <w:pPr>
                    <w:pStyle w:val="15"/>
                    <w:rPr>
                      <w:rFonts w:hint="eastAsia" w:eastAsia="宋体"/>
                      <w:color w:val="auto"/>
                      <w:lang w:val="en-US" w:eastAsia="zh-CN"/>
                    </w:rPr>
                  </w:pPr>
                  <w:r>
                    <w:rPr>
                      <w:rFonts w:hint="eastAsia"/>
                      <w:color w:val="auto"/>
                      <w:lang w:val="en-US" w:eastAsia="zh-CN"/>
                    </w:rPr>
                    <w:t>地表水</w:t>
                  </w:r>
                </w:p>
              </w:tc>
              <w:tc>
                <w:tcPr>
                  <w:tcW w:w="1058" w:type="dxa"/>
                  <w:vAlign w:val="center"/>
                </w:tcPr>
                <w:p>
                  <w:pPr>
                    <w:pStyle w:val="15"/>
                    <w:rPr>
                      <w:color w:val="auto"/>
                    </w:rPr>
                  </w:pPr>
                  <w:r>
                    <w:rPr>
                      <w:color w:val="auto"/>
                    </w:rPr>
                    <w:t>柴河</w:t>
                  </w:r>
                </w:p>
              </w:tc>
              <w:tc>
                <w:tcPr>
                  <w:tcW w:w="3389" w:type="dxa"/>
                  <w:gridSpan w:val="4"/>
                  <w:vAlign w:val="center"/>
                </w:tcPr>
                <w:p>
                  <w:pPr>
                    <w:pStyle w:val="15"/>
                    <w:rPr>
                      <w:rFonts w:hint="default" w:eastAsia="宋体"/>
                      <w:color w:val="auto"/>
                      <w:lang w:val="en-US" w:eastAsia="zh-CN"/>
                    </w:rPr>
                  </w:pPr>
                  <w:r>
                    <w:rPr>
                      <w:rFonts w:hint="eastAsia"/>
                      <w:color w:val="auto"/>
                      <w:lang w:val="en-US" w:eastAsia="zh-CN"/>
                    </w:rPr>
                    <w:t>项目区东南面1500m</w:t>
                  </w:r>
                </w:p>
              </w:tc>
              <w:tc>
                <w:tcPr>
                  <w:tcW w:w="2993" w:type="dxa"/>
                  <w:vAlign w:val="center"/>
                </w:tcPr>
                <w:p>
                  <w:pPr>
                    <w:pStyle w:val="15"/>
                    <w:rPr>
                      <w:color w:val="auto"/>
                    </w:rPr>
                  </w:pPr>
                  <w:r>
                    <w:rPr>
                      <w:rFonts w:hint="eastAsia"/>
                      <w:color w:val="auto"/>
                    </w:rPr>
                    <w:t>《地表水环境质量标准》（GB 3838-2002 ）III类标准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9" w:type="dxa"/>
                  <w:vAlign w:val="center"/>
                </w:tcPr>
                <w:p>
                  <w:pPr>
                    <w:pStyle w:val="15"/>
                    <w:rPr>
                      <w:color w:val="auto"/>
                    </w:rPr>
                  </w:pPr>
                  <w:r>
                    <w:rPr>
                      <w:color w:val="auto"/>
                    </w:rPr>
                    <w:t>生态</w:t>
                  </w:r>
                </w:p>
                <w:p>
                  <w:pPr>
                    <w:pStyle w:val="15"/>
                    <w:rPr>
                      <w:color w:val="auto"/>
                    </w:rPr>
                  </w:pPr>
                  <w:r>
                    <w:rPr>
                      <w:color w:val="auto"/>
                    </w:rPr>
                    <w:t>环境</w:t>
                  </w:r>
                </w:p>
              </w:tc>
              <w:tc>
                <w:tcPr>
                  <w:tcW w:w="7440" w:type="dxa"/>
                  <w:gridSpan w:val="6"/>
                  <w:vAlign w:val="center"/>
                </w:tcPr>
                <w:p>
                  <w:pPr>
                    <w:pStyle w:val="15"/>
                    <w:rPr>
                      <w:color w:val="auto"/>
                    </w:rPr>
                  </w:pPr>
                  <w:r>
                    <w:rPr>
                      <w:color w:val="auto"/>
                    </w:rPr>
                    <w:t>项目</w:t>
                  </w:r>
                  <w:r>
                    <w:rPr>
                      <w:rFonts w:hint="eastAsia"/>
                      <w:color w:val="auto"/>
                    </w:rPr>
                    <w:t>周围200m范围内生态环境。</w:t>
                  </w:r>
                </w:p>
              </w:tc>
            </w:tr>
          </w:tbl>
          <w:p>
            <w:pPr>
              <w:ind w:firstLine="480"/>
              <w:rPr>
                <w:color w:val="auto"/>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jc w:val="center"/>
        </w:trPr>
        <w:tc>
          <w:tcPr>
            <w:tcW w:w="636" w:type="dxa"/>
            <w:tcMar>
              <w:left w:w="28" w:type="dxa"/>
              <w:right w:w="28" w:type="dxa"/>
            </w:tcMar>
            <w:vAlign w:val="center"/>
          </w:tcPr>
          <w:p>
            <w:pPr>
              <w:spacing w:line="240" w:lineRule="auto"/>
              <w:ind w:firstLine="0" w:firstLineChars="0"/>
              <w:jc w:val="center"/>
              <w:rPr>
                <w:color w:val="auto"/>
              </w:rPr>
            </w:pPr>
            <w:r>
              <w:rPr>
                <w:color w:val="auto"/>
              </w:rPr>
              <w:t>污染</w:t>
            </w:r>
          </w:p>
          <w:p>
            <w:pPr>
              <w:spacing w:line="240" w:lineRule="auto"/>
              <w:ind w:firstLine="0" w:firstLineChars="0"/>
              <w:jc w:val="center"/>
              <w:rPr>
                <w:color w:val="auto"/>
              </w:rPr>
            </w:pPr>
            <w:r>
              <w:rPr>
                <w:color w:val="auto"/>
              </w:rPr>
              <w:t>物排</w:t>
            </w:r>
          </w:p>
          <w:p>
            <w:pPr>
              <w:spacing w:line="240" w:lineRule="auto"/>
              <w:ind w:firstLine="0" w:firstLineChars="0"/>
              <w:jc w:val="center"/>
              <w:rPr>
                <w:color w:val="auto"/>
              </w:rPr>
            </w:pPr>
            <w:r>
              <w:rPr>
                <w:color w:val="auto"/>
              </w:rPr>
              <w:t>放控</w:t>
            </w:r>
          </w:p>
          <w:p>
            <w:pPr>
              <w:spacing w:line="240" w:lineRule="auto"/>
              <w:ind w:firstLine="0" w:firstLineChars="0"/>
              <w:jc w:val="center"/>
              <w:rPr>
                <w:color w:val="auto"/>
              </w:rPr>
            </w:pPr>
            <w:r>
              <w:rPr>
                <w:color w:val="auto"/>
              </w:rPr>
              <w:t>制标</w:t>
            </w:r>
          </w:p>
          <w:p>
            <w:pPr>
              <w:spacing w:line="240" w:lineRule="auto"/>
              <w:ind w:firstLine="0" w:firstLineChars="0"/>
              <w:jc w:val="center"/>
              <w:rPr>
                <w:color w:val="auto"/>
              </w:rPr>
            </w:pPr>
            <w:r>
              <w:rPr>
                <w:color w:val="auto"/>
              </w:rPr>
              <w:t>准</w:t>
            </w:r>
          </w:p>
        </w:tc>
        <w:tc>
          <w:tcPr>
            <w:tcW w:w="8425" w:type="dxa"/>
            <w:vAlign w:val="center"/>
          </w:tcPr>
          <w:p>
            <w:pPr>
              <w:ind w:firstLine="0" w:firstLineChars="0"/>
              <w:rPr>
                <w:color w:val="auto"/>
              </w:rPr>
            </w:pPr>
            <w:r>
              <w:rPr>
                <w:rFonts w:hint="eastAsia"/>
                <w:color w:val="auto"/>
              </w:rPr>
              <w:t>1、</w:t>
            </w:r>
            <w:r>
              <w:rPr>
                <w:color w:val="auto"/>
              </w:rPr>
              <w:t>大气污染物排放标准</w:t>
            </w:r>
          </w:p>
          <w:p>
            <w:pPr>
              <w:ind w:firstLine="480"/>
              <w:rPr>
                <w:color w:val="auto"/>
              </w:rPr>
            </w:pPr>
            <w:r>
              <w:rPr>
                <w:rFonts w:hint="eastAsia"/>
                <w:color w:val="auto"/>
              </w:rPr>
              <w:t>（1）施工期</w:t>
            </w:r>
          </w:p>
          <w:p>
            <w:pPr>
              <w:ind w:firstLine="480"/>
              <w:rPr>
                <w:color w:val="auto"/>
              </w:rPr>
            </w:pPr>
            <w:r>
              <w:rPr>
                <w:color w:val="auto"/>
              </w:rPr>
              <w:t>施工期粉尘、扬尘等执行《大气污染物综合排放标准》（GB16297-1996）表2二级标准要求，</w:t>
            </w:r>
            <w:r>
              <w:rPr>
                <w:rFonts w:hint="eastAsia"/>
                <w:color w:val="auto"/>
              </w:rPr>
              <w:t>标准值为：</w:t>
            </w:r>
            <w:r>
              <w:rPr>
                <w:color w:val="auto"/>
              </w:rPr>
              <w:t>TSP无组织排放监控浓度限值1.0mg/m</w:t>
            </w:r>
            <w:r>
              <w:rPr>
                <w:color w:val="auto"/>
                <w:vertAlign w:val="superscript"/>
              </w:rPr>
              <w:t>3</w:t>
            </w:r>
            <w:r>
              <w:rPr>
                <w:color w:val="auto"/>
              </w:rPr>
              <w:t>。</w:t>
            </w:r>
          </w:p>
          <w:p>
            <w:pPr>
              <w:ind w:firstLine="480"/>
              <w:rPr>
                <w:color w:val="auto"/>
              </w:rPr>
            </w:pPr>
            <w:r>
              <w:rPr>
                <w:color w:val="auto"/>
              </w:rPr>
              <w:t>（2）运营期</w:t>
            </w:r>
          </w:p>
          <w:p>
            <w:pPr>
              <w:ind w:firstLine="480"/>
              <w:rPr>
                <w:color w:val="auto"/>
              </w:rPr>
            </w:pPr>
            <w:r>
              <w:rPr>
                <w:rFonts w:hint="eastAsia"/>
                <w:color w:val="auto"/>
              </w:rPr>
              <w:t>①运营期无组织粉尘执行《大气污染物综合排放标准》（GB16297-1996）表2无组织排放</w:t>
            </w:r>
            <w:r>
              <w:rPr>
                <w:rFonts w:hint="eastAsia"/>
                <w:color w:val="auto"/>
                <w:lang w:val="en-US" w:eastAsia="zh-CN"/>
              </w:rPr>
              <w:t>监控浓度限值</w:t>
            </w:r>
            <w:r>
              <w:rPr>
                <w:rFonts w:hint="eastAsia"/>
                <w:color w:val="auto"/>
              </w:rPr>
              <w:t>，</w:t>
            </w:r>
            <w:r>
              <w:rPr>
                <w:color w:val="auto"/>
              </w:rPr>
              <w:t>有组织粉尘</w:t>
            </w:r>
            <w:r>
              <w:rPr>
                <w:rFonts w:hint="eastAsia"/>
                <w:color w:val="auto"/>
                <w:lang w:eastAsia="zh-CN"/>
              </w:rPr>
              <w:t>、</w:t>
            </w:r>
            <w:r>
              <w:rPr>
                <w:rFonts w:hAnsi="宋体"/>
                <w:color w:val="auto"/>
              </w:rPr>
              <w:t>热风炉废气</w:t>
            </w:r>
            <w:r>
              <w:rPr>
                <w:rFonts w:hint="eastAsia"/>
                <w:color w:val="auto"/>
              </w:rPr>
              <w:t>执行</w:t>
            </w:r>
            <w:r>
              <w:rPr>
                <w:rFonts w:hint="eastAsia"/>
                <w:color w:val="auto"/>
                <w:lang w:val="en-US" w:eastAsia="zh-CN"/>
              </w:rPr>
              <w:t>该标准中</w:t>
            </w:r>
            <w:r>
              <w:rPr>
                <w:rFonts w:hint="eastAsia"/>
                <w:color w:val="auto"/>
              </w:rPr>
              <w:t>表2二级标准排放限值，标准值见下表。</w:t>
            </w:r>
            <w:r>
              <w:rPr>
                <w:rFonts w:hint="eastAsia"/>
                <w:color w:val="auto"/>
                <w:lang w:val="en-US" w:eastAsia="zh-CN"/>
              </w:rPr>
              <w:t>根据调查，项目周围200m半径范围内主要为农田、林地，现有项目</w:t>
            </w:r>
            <w:r>
              <w:rPr>
                <w:rFonts w:hint="eastAsia"/>
                <w:color w:val="auto"/>
              </w:rPr>
              <w:t>DA009</w:t>
            </w:r>
            <w:r>
              <w:rPr>
                <w:rFonts w:hint="eastAsia"/>
                <w:color w:val="auto"/>
                <w:lang w:eastAsia="zh-CN"/>
              </w:rPr>
              <w:t>、</w:t>
            </w:r>
            <w:r>
              <w:rPr>
                <w:rFonts w:hint="eastAsia"/>
                <w:color w:val="auto"/>
              </w:rPr>
              <w:t>DA010</w:t>
            </w:r>
            <w:r>
              <w:rPr>
                <w:rFonts w:hint="eastAsia"/>
                <w:color w:val="auto"/>
                <w:lang w:val="en-US" w:eastAsia="zh-CN"/>
              </w:rPr>
              <w:t>排气筒高度高于周围200m半径范围内的建筑5m以上。</w:t>
            </w:r>
          </w:p>
          <w:p>
            <w:pPr>
              <w:pStyle w:val="14"/>
              <w:rPr>
                <w:rFonts w:hint="default" w:eastAsia="宋体"/>
                <w:color w:val="auto"/>
                <w:lang w:val="en-US" w:eastAsia="zh-CN"/>
              </w:rPr>
            </w:pPr>
            <w:r>
              <w:rPr>
                <w:rFonts w:hint="eastAsia"/>
                <w:color w:val="auto"/>
              </w:rPr>
              <w:t xml:space="preserve">表3-4   </w:t>
            </w:r>
            <w:r>
              <w:rPr>
                <w:rFonts w:hint="eastAsia"/>
                <w:color w:val="auto"/>
                <w:lang w:val="en-US" w:eastAsia="zh-CN"/>
              </w:rPr>
              <w:t>新污染源大气污染物排放限值</w:t>
            </w:r>
          </w:p>
          <w:tbl>
            <w:tblPr>
              <w:tblStyle w:val="10"/>
              <w:tblW w:w="8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938"/>
              <w:gridCol w:w="1584"/>
              <w:gridCol w:w="1720"/>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restart"/>
                  <w:vAlign w:val="center"/>
                </w:tcPr>
                <w:p>
                  <w:pPr>
                    <w:pStyle w:val="15"/>
                    <w:rPr>
                      <w:rFonts w:hint="eastAsia" w:eastAsia="宋体"/>
                      <w:color w:val="auto"/>
                      <w:lang w:eastAsia="zh-CN"/>
                    </w:rPr>
                  </w:pPr>
                  <w:r>
                    <w:rPr>
                      <w:rFonts w:hint="eastAsia"/>
                      <w:color w:val="auto"/>
                      <w:lang w:val="en-US" w:eastAsia="zh-CN"/>
                    </w:rPr>
                    <w:t>项目</w:t>
                  </w:r>
                </w:p>
              </w:tc>
              <w:tc>
                <w:tcPr>
                  <w:tcW w:w="5242" w:type="dxa"/>
                  <w:gridSpan w:val="3"/>
                  <w:vAlign w:val="center"/>
                </w:tcPr>
                <w:p>
                  <w:pPr>
                    <w:pStyle w:val="15"/>
                    <w:rPr>
                      <w:rFonts w:hint="eastAsia" w:eastAsia="宋体"/>
                      <w:color w:val="auto"/>
                      <w:lang w:eastAsia="zh-CN"/>
                    </w:rPr>
                  </w:pPr>
                  <w:r>
                    <w:rPr>
                      <w:rFonts w:hint="eastAsia"/>
                      <w:color w:val="auto"/>
                      <w:lang w:val="en-US" w:eastAsia="zh-CN"/>
                    </w:rPr>
                    <w:t>最高允许排放限值</w:t>
                  </w:r>
                </w:p>
              </w:tc>
              <w:tc>
                <w:tcPr>
                  <w:tcW w:w="2013" w:type="dxa"/>
                  <w:vMerge w:val="restart"/>
                  <w:vAlign w:val="center"/>
                </w:tcPr>
                <w:p>
                  <w:pPr>
                    <w:pStyle w:val="15"/>
                    <w:rPr>
                      <w:color w:val="auto"/>
                    </w:rPr>
                  </w:pPr>
                  <w:r>
                    <w:rPr>
                      <w:rFonts w:hint="eastAsia"/>
                      <w:color w:val="auto"/>
                    </w:rPr>
                    <w:t>无组织排放监控浓度限值（mg/m</w:t>
                  </w:r>
                  <w:r>
                    <w:rPr>
                      <w:rFonts w:hint="eastAsia"/>
                      <w:color w:val="auto"/>
                      <w:vertAlign w:val="superscript"/>
                    </w:rPr>
                    <w:t>3</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41" w:type="dxa"/>
                  <w:vMerge w:val="continue"/>
                  <w:vAlign w:val="center"/>
                </w:tcPr>
                <w:p>
                  <w:pPr>
                    <w:pStyle w:val="15"/>
                    <w:rPr>
                      <w:color w:val="auto"/>
                    </w:rPr>
                  </w:pPr>
                </w:p>
              </w:tc>
              <w:tc>
                <w:tcPr>
                  <w:tcW w:w="1938" w:type="dxa"/>
                  <w:vAlign w:val="center"/>
                </w:tcPr>
                <w:p>
                  <w:pPr>
                    <w:pStyle w:val="15"/>
                    <w:rPr>
                      <w:color w:val="auto"/>
                    </w:rPr>
                  </w:pPr>
                  <w:r>
                    <w:rPr>
                      <w:rFonts w:hint="eastAsia"/>
                      <w:color w:val="auto"/>
                    </w:rPr>
                    <w:t>浓度限值（mg/m</w:t>
                  </w:r>
                  <w:r>
                    <w:rPr>
                      <w:rFonts w:hint="eastAsia"/>
                      <w:color w:val="auto"/>
                      <w:vertAlign w:val="superscript"/>
                    </w:rPr>
                    <w:t>3</w:t>
                  </w:r>
                  <w:r>
                    <w:rPr>
                      <w:rFonts w:hint="eastAsia"/>
                      <w:color w:val="auto"/>
                    </w:rPr>
                    <w:t>）</w:t>
                  </w:r>
                </w:p>
              </w:tc>
              <w:tc>
                <w:tcPr>
                  <w:tcW w:w="1584" w:type="dxa"/>
                  <w:vAlign w:val="center"/>
                </w:tcPr>
                <w:p>
                  <w:pPr>
                    <w:pStyle w:val="15"/>
                    <w:rPr>
                      <w:color w:val="auto"/>
                    </w:rPr>
                  </w:pPr>
                  <w:r>
                    <w:rPr>
                      <w:rFonts w:hint="eastAsia"/>
                      <w:color w:val="auto"/>
                    </w:rPr>
                    <w:t>排气筒高度</w:t>
                  </w:r>
                </w:p>
              </w:tc>
              <w:tc>
                <w:tcPr>
                  <w:tcW w:w="1720" w:type="dxa"/>
                  <w:vAlign w:val="center"/>
                </w:tcPr>
                <w:p>
                  <w:pPr>
                    <w:pStyle w:val="15"/>
                    <w:rPr>
                      <w:color w:val="auto"/>
                    </w:rPr>
                  </w:pPr>
                  <w:r>
                    <w:rPr>
                      <w:rFonts w:hint="eastAsia"/>
                      <w:color w:val="auto"/>
                    </w:rPr>
                    <w:t>排放速率（kg/h）</w:t>
                  </w:r>
                </w:p>
              </w:tc>
              <w:tc>
                <w:tcPr>
                  <w:tcW w:w="2013"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941" w:type="dxa"/>
                  <w:vMerge w:val="restart"/>
                  <w:vAlign w:val="center"/>
                </w:tcPr>
                <w:p>
                  <w:pPr>
                    <w:pStyle w:val="15"/>
                    <w:rPr>
                      <w:rFonts w:hint="eastAsia" w:eastAsia="宋体"/>
                      <w:color w:val="auto"/>
                      <w:lang w:eastAsia="zh-CN"/>
                    </w:rPr>
                  </w:pPr>
                  <w:r>
                    <w:rPr>
                      <w:rFonts w:hint="eastAsia"/>
                      <w:color w:val="auto"/>
                      <w:lang w:val="en-US" w:eastAsia="zh-CN"/>
                    </w:rPr>
                    <w:t>颗粒物</w:t>
                  </w:r>
                </w:p>
              </w:tc>
              <w:tc>
                <w:tcPr>
                  <w:tcW w:w="1938" w:type="dxa"/>
                  <w:vMerge w:val="restart"/>
                  <w:vAlign w:val="center"/>
                </w:tcPr>
                <w:p>
                  <w:pPr>
                    <w:pStyle w:val="15"/>
                    <w:rPr>
                      <w:color w:val="auto"/>
                    </w:rPr>
                  </w:pPr>
                  <w:r>
                    <w:rPr>
                      <w:rFonts w:hint="eastAsia"/>
                      <w:color w:val="auto"/>
                    </w:rPr>
                    <w:t>120</w:t>
                  </w:r>
                </w:p>
              </w:tc>
              <w:tc>
                <w:tcPr>
                  <w:tcW w:w="1584" w:type="dxa"/>
                  <w:vAlign w:val="center"/>
                </w:tcPr>
                <w:p>
                  <w:pPr>
                    <w:pStyle w:val="15"/>
                    <w:rPr>
                      <w:rFonts w:hint="eastAsia" w:eastAsia="宋体"/>
                      <w:color w:val="auto"/>
                      <w:lang w:val="en-US" w:eastAsia="zh-CN"/>
                    </w:rPr>
                  </w:pPr>
                  <w:r>
                    <w:rPr>
                      <w:rFonts w:hint="eastAsia"/>
                      <w:color w:val="auto"/>
                    </w:rPr>
                    <w:t>15m</w:t>
                  </w:r>
                  <w:r>
                    <w:rPr>
                      <w:rFonts w:hint="eastAsia"/>
                      <w:color w:val="auto"/>
                      <w:lang w:eastAsia="zh-CN"/>
                    </w:rPr>
                    <w:t>（</w:t>
                  </w:r>
                  <w:r>
                    <w:rPr>
                      <w:rFonts w:hint="eastAsia"/>
                      <w:color w:val="auto"/>
                    </w:rPr>
                    <w:t>DA009</w:t>
                  </w:r>
                  <w:r>
                    <w:rPr>
                      <w:rFonts w:hint="eastAsia"/>
                      <w:color w:val="auto"/>
                      <w:lang w:eastAsia="zh-CN"/>
                    </w:rPr>
                    <w:t>）</w:t>
                  </w:r>
                </w:p>
              </w:tc>
              <w:tc>
                <w:tcPr>
                  <w:tcW w:w="1720" w:type="dxa"/>
                  <w:vAlign w:val="center"/>
                </w:tcPr>
                <w:p>
                  <w:pPr>
                    <w:pStyle w:val="15"/>
                    <w:rPr>
                      <w:color w:val="auto"/>
                    </w:rPr>
                  </w:pPr>
                  <w:r>
                    <w:rPr>
                      <w:rFonts w:hint="eastAsia"/>
                      <w:color w:val="auto"/>
                    </w:rPr>
                    <w:t>3.5</w:t>
                  </w:r>
                </w:p>
              </w:tc>
              <w:tc>
                <w:tcPr>
                  <w:tcW w:w="2013" w:type="dxa"/>
                  <w:vMerge w:val="restart"/>
                  <w:vAlign w:val="center"/>
                </w:tcPr>
                <w:p>
                  <w:pPr>
                    <w:pStyle w:val="15"/>
                    <w:rPr>
                      <w:color w:val="auto"/>
                    </w:rPr>
                  </w:pPr>
                  <w:r>
                    <w:rPr>
                      <w:rFonts w:hint="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941" w:type="dxa"/>
                  <w:vMerge w:val="continue"/>
                  <w:vAlign w:val="center"/>
                </w:tcPr>
                <w:p>
                  <w:pPr>
                    <w:pStyle w:val="15"/>
                    <w:rPr>
                      <w:color w:val="auto"/>
                    </w:rPr>
                  </w:pPr>
                </w:p>
              </w:tc>
              <w:tc>
                <w:tcPr>
                  <w:tcW w:w="1938" w:type="dxa"/>
                  <w:vMerge w:val="continue"/>
                  <w:vAlign w:val="center"/>
                </w:tcPr>
                <w:p>
                  <w:pPr>
                    <w:pStyle w:val="15"/>
                    <w:rPr>
                      <w:color w:val="auto"/>
                    </w:rPr>
                  </w:pPr>
                </w:p>
              </w:tc>
              <w:tc>
                <w:tcPr>
                  <w:tcW w:w="1584" w:type="dxa"/>
                  <w:vAlign w:val="center"/>
                </w:tcPr>
                <w:p>
                  <w:pPr>
                    <w:pStyle w:val="15"/>
                    <w:rPr>
                      <w:rFonts w:hint="eastAsia" w:eastAsia="宋体"/>
                      <w:color w:val="auto"/>
                      <w:lang w:eastAsia="zh-CN"/>
                    </w:rPr>
                  </w:pPr>
                  <w:r>
                    <w:rPr>
                      <w:rFonts w:hint="eastAsia"/>
                      <w:color w:val="auto"/>
                    </w:rPr>
                    <w:t>20m</w:t>
                  </w:r>
                  <w:r>
                    <w:rPr>
                      <w:rFonts w:hint="eastAsia"/>
                      <w:color w:val="auto"/>
                      <w:lang w:eastAsia="zh-CN"/>
                    </w:rPr>
                    <w:t>（</w:t>
                  </w:r>
                  <w:r>
                    <w:rPr>
                      <w:rFonts w:hint="eastAsia"/>
                      <w:color w:val="auto"/>
                    </w:rPr>
                    <w:t>DA010</w:t>
                  </w:r>
                  <w:r>
                    <w:rPr>
                      <w:rFonts w:hint="eastAsia"/>
                      <w:color w:val="auto"/>
                      <w:lang w:eastAsia="zh-CN"/>
                    </w:rPr>
                    <w:t>）</w:t>
                  </w:r>
                </w:p>
              </w:tc>
              <w:tc>
                <w:tcPr>
                  <w:tcW w:w="1720" w:type="dxa"/>
                  <w:vAlign w:val="center"/>
                </w:tcPr>
                <w:p>
                  <w:pPr>
                    <w:pStyle w:val="15"/>
                    <w:rPr>
                      <w:color w:val="auto"/>
                    </w:rPr>
                  </w:pPr>
                  <w:r>
                    <w:rPr>
                      <w:rFonts w:hint="eastAsia"/>
                      <w:color w:val="auto"/>
                    </w:rPr>
                    <w:t>5.9</w:t>
                  </w:r>
                </w:p>
              </w:tc>
              <w:tc>
                <w:tcPr>
                  <w:tcW w:w="2013"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941"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SO</w:t>
                  </w:r>
                  <w:r>
                    <w:rPr>
                      <w:color w:val="auto"/>
                      <w:vertAlign w:val="subscript"/>
                    </w:rPr>
                    <w:t>2</w:t>
                  </w:r>
                </w:p>
              </w:tc>
              <w:tc>
                <w:tcPr>
                  <w:tcW w:w="1938" w:type="dxa"/>
                  <w:vAlign w:val="center"/>
                </w:tcPr>
                <w:p>
                  <w:pPr>
                    <w:pStyle w:val="15"/>
                    <w:rPr>
                      <w:rFonts w:hint="default" w:eastAsia="宋体"/>
                      <w:color w:val="auto"/>
                      <w:lang w:val="en-US" w:eastAsia="zh-CN"/>
                    </w:rPr>
                  </w:pPr>
                  <w:r>
                    <w:rPr>
                      <w:rFonts w:hint="eastAsia"/>
                      <w:color w:val="auto"/>
                      <w:lang w:val="en-US" w:eastAsia="zh-CN"/>
                    </w:rPr>
                    <w:t>550</w:t>
                  </w:r>
                </w:p>
              </w:tc>
              <w:tc>
                <w:tcPr>
                  <w:tcW w:w="1584" w:type="dxa"/>
                  <w:vAlign w:val="center"/>
                </w:tcPr>
                <w:p>
                  <w:pPr>
                    <w:pStyle w:val="15"/>
                    <w:rPr>
                      <w:rFonts w:hint="eastAsia"/>
                      <w:color w:val="auto"/>
                    </w:rPr>
                  </w:pPr>
                  <w:r>
                    <w:rPr>
                      <w:rFonts w:hint="eastAsia"/>
                      <w:color w:val="auto"/>
                    </w:rPr>
                    <w:t>15m</w:t>
                  </w:r>
                  <w:r>
                    <w:rPr>
                      <w:rFonts w:hint="eastAsia"/>
                      <w:color w:val="auto"/>
                      <w:lang w:eastAsia="zh-CN"/>
                    </w:rPr>
                    <w:t>（</w:t>
                  </w:r>
                  <w:r>
                    <w:rPr>
                      <w:rFonts w:hint="eastAsia"/>
                      <w:color w:val="auto"/>
                    </w:rPr>
                    <w:t>DA009</w:t>
                  </w:r>
                  <w:r>
                    <w:rPr>
                      <w:rFonts w:hint="eastAsia"/>
                      <w:color w:val="auto"/>
                      <w:lang w:eastAsia="zh-CN"/>
                    </w:rPr>
                    <w:t>）</w:t>
                  </w:r>
                </w:p>
              </w:tc>
              <w:tc>
                <w:tcPr>
                  <w:tcW w:w="1720" w:type="dxa"/>
                  <w:vAlign w:val="center"/>
                </w:tcPr>
                <w:p>
                  <w:pPr>
                    <w:pStyle w:val="15"/>
                    <w:rPr>
                      <w:rFonts w:hint="default" w:eastAsia="宋体"/>
                      <w:color w:val="auto"/>
                      <w:lang w:val="en-US" w:eastAsia="zh-CN"/>
                    </w:rPr>
                  </w:pPr>
                  <w:r>
                    <w:rPr>
                      <w:rFonts w:hint="eastAsia"/>
                      <w:color w:val="auto"/>
                      <w:lang w:val="en-US" w:eastAsia="zh-CN"/>
                    </w:rPr>
                    <w:t>2.6</w:t>
                  </w:r>
                </w:p>
              </w:tc>
              <w:tc>
                <w:tcPr>
                  <w:tcW w:w="2013" w:type="dxa"/>
                  <w:vAlign w:val="center"/>
                </w:tcPr>
                <w:p>
                  <w:pPr>
                    <w:pStyle w:val="15"/>
                    <w:rPr>
                      <w:rFonts w:hint="eastAsia" w:eastAsia="宋体"/>
                      <w:color w:val="auto"/>
                      <w:lang w:val="en-US" w:eastAsia="zh-CN"/>
                    </w:rPr>
                  </w:pPr>
                  <w:r>
                    <w:rPr>
                      <w:rFonts w:hint="eastAsia"/>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941"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NO</w:t>
                  </w:r>
                  <w:r>
                    <w:rPr>
                      <w:color w:val="auto"/>
                      <w:vertAlign w:val="subscript"/>
                    </w:rPr>
                    <w:t>x</w:t>
                  </w:r>
                </w:p>
              </w:tc>
              <w:tc>
                <w:tcPr>
                  <w:tcW w:w="1938" w:type="dxa"/>
                  <w:vAlign w:val="center"/>
                </w:tcPr>
                <w:p>
                  <w:pPr>
                    <w:pStyle w:val="15"/>
                    <w:rPr>
                      <w:rFonts w:hint="default" w:eastAsia="宋体"/>
                      <w:color w:val="auto"/>
                      <w:lang w:val="en-US" w:eastAsia="zh-CN"/>
                    </w:rPr>
                  </w:pPr>
                  <w:r>
                    <w:rPr>
                      <w:rFonts w:hint="eastAsia"/>
                      <w:color w:val="auto"/>
                      <w:lang w:val="en-US" w:eastAsia="zh-CN"/>
                    </w:rPr>
                    <w:t>240</w:t>
                  </w:r>
                </w:p>
              </w:tc>
              <w:tc>
                <w:tcPr>
                  <w:tcW w:w="1584" w:type="dxa"/>
                  <w:vAlign w:val="center"/>
                </w:tcPr>
                <w:p>
                  <w:pPr>
                    <w:pStyle w:val="15"/>
                    <w:rPr>
                      <w:rFonts w:hint="eastAsia"/>
                      <w:color w:val="auto"/>
                    </w:rPr>
                  </w:pPr>
                  <w:r>
                    <w:rPr>
                      <w:rFonts w:hint="eastAsia"/>
                      <w:color w:val="auto"/>
                    </w:rPr>
                    <w:t>15m</w:t>
                  </w:r>
                  <w:r>
                    <w:rPr>
                      <w:rFonts w:hint="eastAsia"/>
                      <w:color w:val="auto"/>
                      <w:lang w:eastAsia="zh-CN"/>
                    </w:rPr>
                    <w:t>（</w:t>
                  </w:r>
                  <w:r>
                    <w:rPr>
                      <w:rFonts w:hint="eastAsia"/>
                      <w:color w:val="auto"/>
                    </w:rPr>
                    <w:t>DA009</w:t>
                  </w:r>
                  <w:r>
                    <w:rPr>
                      <w:rFonts w:hint="eastAsia"/>
                      <w:color w:val="auto"/>
                      <w:lang w:eastAsia="zh-CN"/>
                    </w:rPr>
                    <w:t>）</w:t>
                  </w:r>
                </w:p>
              </w:tc>
              <w:tc>
                <w:tcPr>
                  <w:tcW w:w="1720" w:type="dxa"/>
                  <w:vAlign w:val="center"/>
                </w:tcPr>
                <w:p>
                  <w:pPr>
                    <w:pStyle w:val="15"/>
                    <w:rPr>
                      <w:rFonts w:hint="default" w:eastAsia="宋体"/>
                      <w:color w:val="auto"/>
                      <w:lang w:val="en-US" w:eastAsia="zh-CN"/>
                    </w:rPr>
                  </w:pPr>
                  <w:r>
                    <w:rPr>
                      <w:rFonts w:hint="eastAsia"/>
                      <w:color w:val="auto"/>
                      <w:lang w:val="en-US" w:eastAsia="zh-CN"/>
                    </w:rPr>
                    <w:t>0.77</w:t>
                  </w:r>
                </w:p>
              </w:tc>
              <w:tc>
                <w:tcPr>
                  <w:tcW w:w="2013" w:type="dxa"/>
                  <w:vAlign w:val="center"/>
                </w:tcPr>
                <w:p>
                  <w:pPr>
                    <w:pStyle w:val="15"/>
                    <w:rPr>
                      <w:rFonts w:hint="eastAsia" w:eastAsia="宋体"/>
                      <w:color w:val="auto"/>
                      <w:lang w:val="en-US" w:eastAsia="zh-CN"/>
                    </w:rPr>
                  </w:pPr>
                  <w:r>
                    <w:rPr>
                      <w:rFonts w:hint="eastAsia"/>
                      <w:color w:val="auto"/>
                      <w:lang w:val="en-US" w:eastAsia="zh-CN"/>
                    </w:rPr>
                    <w:t>/</w:t>
                  </w:r>
                </w:p>
              </w:tc>
            </w:tr>
          </w:tbl>
          <w:p>
            <w:pPr>
              <w:ind w:firstLine="480"/>
              <w:rPr>
                <w:rFonts w:hAnsi="宋体"/>
                <w:color w:val="auto"/>
              </w:rPr>
            </w:pPr>
            <w:r>
              <w:rPr>
                <w:rFonts w:hint="eastAsia"/>
                <w:color w:val="auto"/>
              </w:rPr>
              <w:t>②项目生物质锅炉参照执行《锅炉大气污染物排放标准》（GB12371-2014）表2燃煤锅炉标准。标准值见下表。</w:t>
            </w:r>
          </w:p>
          <w:p>
            <w:pPr>
              <w:pStyle w:val="14"/>
              <w:rPr>
                <w:color w:val="auto"/>
              </w:rPr>
            </w:pPr>
            <w:r>
              <w:rPr>
                <w:rFonts w:hint="eastAsia"/>
                <w:color w:val="auto"/>
              </w:rPr>
              <w:t>表3-5   锅炉大气污染物排放限值  单位：mg/m</w:t>
            </w:r>
            <w:r>
              <w:rPr>
                <w:rFonts w:hint="eastAsia"/>
                <w:color w:val="auto"/>
                <w:vertAlign w:val="superscript"/>
              </w:rPr>
              <w:t>3</w:t>
            </w:r>
          </w:p>
          <w:tbl>
            <w:tblPr>
              <w:tblStyle w:val="10"/>
              <w:tblW w:w="8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0"/>
              <w:gridCol w:w="2812"/>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0" w:type="dxa"/>
                  <w:vAlign w:val="center"/>
                </w:tcPr>
                <w:p>
                  <w:pPr>
                    <w:pStyle w:val="15"/>
                    <w:rPr>
                      <w:color w:val="auto"/>
                    </w:rPr>
                  </w:pPr>
                  <w:r>
                    <w:rPr>
                      <w:rFonts w:hint="eastAsia"/>
                      <w:color w:val="auto"/>
                    </w:rPr>
                    <w:t>污染物项目</w:t>
                  </w:r>
                </w:p>
              </w:tc>
              <w:tc>
                <w:tcPr>
                  <w:tcW w:w="2812" w:type="dxa"/>
                  <w:vAlign w:val="center"/>
                </w:tcPr>
                <w:p>
                  <w:pPr>
                    <w:pStyle w:val="15"/>
                    <w:rPr>
                      <w:color w:val="auto"/>
                    </w:rPr>
                  </w:pPr>
                  <w:r>
                    <w:rPr>
                      <w:rFonts w:hint="eastAsia"/>
                      <w:color w:val="auto"/>
                    </w:rPr>
                    <w:t>排放限值（燃煤锅炉）</w:t>
                  </w:r>
                </w:p>
              </w:tc>
              <w:tc>
                <w:tcPr>
                  <w:tcW w:w="2514" w:type="dxa"/>
                  <w:vAlign w:val="center"/>
                </w:tcPr>
                <w:p>
                  <w:pPr>
                    <w:pStyle w:val="15"/>
                    <w:rPr>
                      <w:color w:val="auto"/>
                    </w:rPr>
                  </w:pPr>
                  <w:r>
                    <w:rPr>
                      <w:rFonts w:hint="eastAsia"/>
                      <w:color w:val="auto"/>
                    </w:rPr>
                    <w:t>污染物排放监控位置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0" w:type="dxa"/>
                  <w:vAlign w:val="center"/>
                </w:tcPr>
                <w:p>
                  <w:pPr>
                    <w:pStyle w:val="15"/>
                    <w:rPr>
                      <w:color w:val="auto"/>
                    </w:rPr>
                  </w:pPr>
                  <w:r>
                    <w:rPr>
                      <w:rFonts w:hint="eastAsia"/>
                      <w:color w:val="auto"/>
                    </w:rPr>
                    <w:t>颗粒物</w:t>
                  </w:r>
                </w:p>
              </w:tc>
              <w:tc>
                <w:tcPr>
                  <w:tcW w:w="2812" w:type="dxa"/>
                  <w:vAlign w:val="center"/>
                </w:tcPr>
                <w:p>
                  <w:pPr>
                    <w:pStyle w:val="15"/>
                    <w:rPr>
                      <w:color w:val="auto"/>
                    </w:rPr>
                  </w:pPr>
                  <w:r>
                    <w:rPr>
                      <w:rFonts w:hint="eastAsia"/>
                      <w:color w:val="auto"/>
                    </w:rPr>
                    <w:t>50</w:t>
                  </w:r>
                </w:p>
              </w:tc>
              <w:tc>
                <w:tcPr>
                  <w:tcW w:w="2514" w:type="dxa"/>
                  <w:vMerge w:val="restart"/>
                  <w:vAlign w:val="center"/>
                </w:tcPr>
                <w:p>
                  <w:pPr>
                    <w:pStyle w:val="15"/>
                    <w:rPr>
                      <w:color w:val="auto"/>
                    </w:rPr>
                  </w:pPr>
                  <w:r>
                    <w:rPr>
                      <w:rFonts w:hint="eastAsia"/>
                      <w:color w:val="auto"/>
                    </w:rPr>
                    <w:t>烟囱或烟道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0" w:type="dxa"/>
                  <w:vAlign w:val="center"/>
                </w:tcPr>
                <w:p>
                  <w:pPr>
                    <w:pStyle w:val="15"/>
                    <w:rPr>
                      <w:color w:val="auto"/>
                    </w:rPr>
                  </w:pPr>
                  <w:r>
                    <w:rPr>
                      <w:color w:val="auto"/>
                    </w:rPr>
                    <w:t>SO</w:t>
                  </w:r>
                  <w:r>
                    <w:rPr>
                      <w:color w:val="auto"/>
                      <w:vertAlign w:val="subscript"/>
                    </w:rPr>
                    <w:t>2</w:t>
                  </w:r>
                </w:p>
              </w:tc>
              <w:tc>
                <w:tcPr>
                  <w:tcW w:w="2812" w:type="dxa"/>
                  <w:vAlign w:val="center"/>
                </w:tcPr>
                <w:p>
                  <w:pPr>
                    <w:pStyle w:val="15"/>
                    <w:rPr>
                      <w:color w:val="auto"/>
                    </w:rPr>
                  </w:pPr>
                  <w:r>
                    <w:rPr>
                      <w:rFonts w:hint="eastAsia"/>
                      <w:color w:val="auto"/>
                    </w:rPr>
                    <w:t>300</w:t>
                  </w:r>
                </w:p>
              </w:tc>
              <w:tc>
                <w:tcPr>
                  <w:tcW w:w="2514"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0" w:type="dxa"/>
                  <w:vAlign w:val="center"/>
                </w:tcPr>
                <w:p>
                  <w:pPr>
                    <w:pStyle w:val="15"/>
                    <w:rPr>
                      <w:color w:val="auto"/>
                    </w:rPr>
                  </w:pPr>
                  <w:r>
                    <w:rPr>
                      <w:color w:val="auto"/>
                    </w:rPr>
                    <w:t>NO</w:t>
                  </w:r>
                  <w:r>
                    <w:rPr>
                      <w:color w:val="auto"/>
                      <w:vertAlign w:val="subscript"/>
                    </w:rPr>
                    <w:t>x</w:t>
                  </w:r>
                </w:p>
              </w:tc>
              <w:tc>
                <w:tcPr>
                  <w:tcW w:w="2812" w:type="dxa"/>
                  <w:vAlign w:val="center"/>
                </w:tcPr>
                <w:p>
                  <w:pPr>
                    <w:pStyle w:val="15"/>
                    <w:rPr>
                      <w:color w:val="auto"/>
                    </w:rPr>
                  </w:pPr>
                  <w:r>
                    <w:rPr>
                      <w:rFonts w:hint="eastAsia"/>
                      <w:color w:val="auto"/>
                    </w:rPr>
                    <w:t>300</w:t>
                  </w:r>
                </w:p>
              </w:tc>
              <w:tc>
                <w:tcPr>
                  <w:tcW w:w="2514"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70" w:type="dxa"/>
                  <w:vAlign w:val="center"/>
                </w:tcPr>
                <w:p>
                  <w:pPr>
                    <w:pStyle w:val="15"/>
                    <w:rPr>
                      <w:color w:val="auto"/>
                    </w:rPr>
                  </w:pPr>
                  <w:r>
                    <w:rPr>
                      <w:rFonts w:hint="eastAsia"/>
                      <w:color w:val="auto"/>
                    </w:rPr>
                    <w:t>烟气黑度（林格曼黑度，级）</w:t>
                  </w:r>
                </w:p>
              </w:tc>
              <w:tc>
                <w:tcPr>
                  <w:tcW w:w="2812" w:type="dxa"/>
                  <w:vAlign w:val="center"/>
                </w:tcPr>
                <w:p>
                  <w:pPr>
                    <w:pStyle w:val="15"/>
                    <w:rPr>
                      <w:color w:val="auto"/>
                    </w:rPr>
                  </w:pPr>
                  <w:r>
                    <w:rPr>
                      <w:rFonts w:hint="eastAsia"/>
                      <w:color w:val="auto"/>
                    </w:rPr>
                    <w:t>≤1</w:t>
                  </w:r>
                </w:p>
              </w:tc>
              <w:tc>
                <w:tcPr>
                  <w:tcW w:w="2514" w:type="dxa"/>
                  <w:vAlign w:val="center"/>
                </w:tcPr>
                <w:p>
                  <w:pPr>
                    <w:pStyle w:val="15"/>
                    <w:rPr>
                      <w:color w:val="auto"/>
                    </w:rPr>
                  </w:pPr>
                  <w:r>
                    <w:rPr>
                      <w:rFonts w:hint="eastAsia"/>
                      <w:color w:val="auto"/>
                    </w:rPr>
                    <w:t>烟囱排放口</w:t>
                  </w:r>
                </w:p>
              </w:tc>
            </w:tr>
          </w:tbl>
          <w:p>
            <w:pPr>
              <w:ind w:firstLine="0" w:firstLineChars="0"/>
              <w:rPr>
                <w:color w:val="auto"/>
              </w:rPr>
            </w:pPr>
            <w:r>
              <w:rPr>
                <w:rFonts w:hint="eastAsia"/>
                <w:color w:val="auto"/>
              </w:rPr>
              <w:t>2、水污染物排放标准</w:t>
            </w:r>
          </w:p>
          <w:p>
            <w:pPr>
              <w:ind w:firstLine="480"/>
              <w:rPr>
                <w:color w:val="auto"/>
              </w:rPr>
            </w:pPr>
            <w:r>
              <w:rPr>
                <w:color w:val="auto"/>
              </w:rPr>
              <w:t>（1）施工期</w:t>
            </w:r>
          </w:p>
          <w:p>
            <w:pPr>
              <w:ind w:firstLine="480"/>
              <w:rPr>
                <w:color w:val="auto"/>
              </w:rPr>
            </w:pPr>
            <w:r>
              <w:rPr>
                <w:color w:val="auto"/>
              </w:rPr>
              <w:t>施工期废水主要为施工人员生活污水，经</w:t>
            </w:r>
            <w:r>
              <w:rPr>
                <w:rFonts w:hint="eastAsia"/>
                <w:color w:val="auto"/>
              </w:rPr>
              <w:t>生活污水处理设施处理</w:t>
            </w:r>
            <w:r>
              <w:rPr>
                <w:color w:val="auto"/>
              </w:rPr>
              <w:t>达标后</w:t>
            </w:r>
            <w:r>
              <w:rPr>
                <w:rFonts w:hint="eastAsia"/>
                <w:color w:val="auto"/>
              </w:rPr>
              <w:t>回用于厂区绿化</w:t>
            </w:r>
            <w:r>
              <w:rPr>
                <w:color w:val="auto"/>
              </w:rPr>
              <w:t>。</w:t>
            </w:r>
          </w:p>
          <w:p>
            <w:pPr>
              <w:ind w:firstLine="480"/>
              <w:rPr>
                <w:color w:val="auto"/>
              </w:rPr>
            </w:pPr>
            <w:r>
              <w:rPr>
                <w:color w:val="auto"/>
              </w:rPr>
              <w:t>（2）运营期</w:t>
            </w:r>
          </w:p>
          <w:p>
            <w:pPr>
              <w:ind w:firstLine="480"/>
              <w:rPr>
                <w:color w:val="auto"/>
              </w:rPr>
            </w:pPr>
            <w:r>
              <w:rPr>
                <w:color w:val="auto"/>
              </w:rPr>
              <w:t>项目运行期</w:t>
            </w:r>
            <w:r>
              <w:rPr>
                <w:rFonts w:hint="eastAsia"/>
                <w:color w:val="auto"/>
              </w:rPr>
              <w:t>原料堆场渗滤液全部进入渗滤液水池，沉淀处理后回用于原料堆场洒水降尘，不外排。故不设废水污染物排放标准。</w:t>
            </w:r>
          </w:p>
          <w:p>
            <w:pPr>
              <w:ind w:firstLine="0" w:firstLineChars="0"/>
              <w:rPr>
                <w:color w:val="auto"/>
              </w:rPr>
            </w:pPr>
            <w:r>
              <w:rPr>
                <w:rFonts w:hint="eastAsia"/>
                <w:color w:val="auto"/>
              </w:rPr>
              <w:t>3、噪声排放标准</w:t>
            </w:r>
          </w:p>
          <w:p>
            <w:pPr>
              <w:ind w:firstLine="480"/>
              <w:rPr>
                <w:color w:val="auto"/>
              </w:rPr>
            </w:pPr>
            <w:r>
              <w:rPr>
                <w:color w:val="auto"/>
              </w:rPr>
              <w:t>（1）施工期</w:t>
            </w:r>
          </w:p>
          <w:p>
            <w:pPr>
              <w:ind w:firstLine="480"/>
              <w:rPr>
                <w:color w:val="auto"/>
              </w:rPr>
            </w:pPr>
            <w:r>
              <w:rPr>
                <w:color w:val="auto"/>
              </w:rPr>
              <w:t>项目施工期噪声执行《建筑施工场界环境噪声排放标准》（GB12523-2011），标准限值见</w:t>
            </w:r>
            <w:r>
              <w:rPr>
                <w:rFonts w:hint="eastAsia"/>
                <w:color w:val="auto"/>
              </w:rPr>
              <w:t>下表</w:t>
            </w:r>
            <w:r>
              <w:rPr>
                <w:color w:val="auto"/>
              </w:rPr>
              <w:t>。</w:t>
            </w:r>
            <w:r>
              <w:rPr>
                <w:rFonts w:hint="eastAsia"/>
                <w:color w:val="auto"/>
              </w:rPr>
              <w:t xml:space="preserve"> </w:t>
            </w:r>
          </w:p>
          <w:p>
            <w:pPr>
              <w:pStyle w:val="14"/>
              <w:rPr>
                <w:color w:val="auto"/>
                <w:kern w:val="0"/>
              </w:rPr>
            </w:pPr>
            <w:r>
              <w:rPr>
                <w:color w:val="auto"/>
              </w:rPr>
              <w:t>表3-</w:t>
            </w:r>
            <w:r>
              <w:rPr>
                <w:rFonts w:hint="eastAsia"/>
                <w:color w:val="auto"/>
                <w:lang w:val="en-US" w:eastAsia="zh-CN"/>
              </w:rPr>
              <w:t>6</w:t>
            </w:r>
            <w:r>
              <w:rPr>
                <w:rFonts w:hint="eastAsia"/>
                <w:color w:val="auto"/>
              </w:rPr>
              <w:t xml:space="preserve">   </w:t>
            </w:r>
            <w:r>
              <w:rPr>
                <w:color w:val="auto"/>
              </w:rPr>
              <w:t>建筑施工场界环境噪声排放标准</w:t>
            </w:r>
            <w:r>
              <w:rPr>
                <w:rFonts w:hint="eastAsia"/>
                <w:color w:val="auto"/>
              </w:rPr>
              <w:t xml:space="preserve">  单位：</w:t>
            </w:r>
            <w:r>
              <w:rPr>
                <w:color w:val="auto"/>
              </w:rPr>
              <w:t>dB（A）</w:t>
            </w:r>
          </w:p>
          <w:tbl>
            <w:tblPr>
              <w:tblStyle w:val="11"/>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9"/>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099" w:type="dxa"/>
                  <w:vAlign w:val="center"/>
                </w:tcPr>
                <w:p>
                  <w:pPr>
                    <w:pStyle w:val="15"/>
                    <w:rPr>
                      <w:color w:val="auto"/>
                    </w:rPr>
                  </w:pPr>
                  <w:r>
                    <w:rPr>
                      <w:color w:val="auto"/>
                    </w:rPr>
                    <w:t>昼间</w:t>
                  </w:r>
                </w:p>
              </w:tc>
              <w:tc>
                <w:tcPr>
                  <w:tcW w:w="4100" w:type="dxa"/>
                  <w:vAlign w:val="center"/>
                </w:tcPr>
                <w:p>
                  <w:pPr>
                    <w:pStyle w:val="15"/>
                    <w:rPr>
                      <w:color w:val="auto"/>
                    </w:rPr>
                  </w:pPr>
                  <w:r>
                    <w:rPr>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4099" w:type="dxa"/>
                  <w:vAlign w:val="center"/>
                </w:tcPr>
                <w:p>
                  <w:pPr>
                    <w:pStyle w:val="15"/>
                    <w:rPr>
                      <w:color w:val="auto"/>
                    </w:rPr>
                  </w:pPr>
                  <w:r>
                    <w:rPr>
                      <w:color w:val="auto"/>
                    </w:rPr>
                    <w:t>70</w:t>
                  </w:r>
                </w:p>
              </w:tc>
              <w:tc>
                <w:tcPr>
                  <w:tcW w:w="4100" w:type="dxa"/>
                  <w:vAlign w:val="center"/>
                </w:tcPr>
                <w:p>
                  <w:pPr>
                    <w:pStyle w:val="15"/>
                    <w:rPr>
                      <w:color w:val="auto"/>
                    </w:rPr>
                  </w:pPr>
                  <w:r>
                    <w:rPr>
                      <w:color w:val="auto"/>
                    </w:rPr>
                    <w:t>55</w:t>
                  </w:r>
                </w:p>
              </w:tc>
            </w:tr>
          </w:tbl>
          <w:p>
            <w:pPr>
              <w:ind w:firstLine="480"/>
              <w:rPr>
                <w:color w:val="auto"/>
              </w:rPr>
            </w:pPr>
            <w:r>
              <w:rPr>
                <w:color w:val="auto"/>
              </w:rPr>
              <w:t>（2）运营期</w:t>
            </w:r>
          </w:p>
          <w:p>
            <w:pPr>
              <w:ind w:firstLine="480"/>
              <w:rPr>
                <w:color w:val="auto"/>
              </w:rPr>
            </w:pPr>
            <w:r>
              <w:rPr>
                <w:color w:val="auto"/>
              </w:rPr>
              <w:t>项目运营期间厂界噪声执行《工业企业厂界环境噪声排放标准》（GB12348-2008）</w:t>
            </w:r>
            <w:r>
              <w:rPr>
                <w:rFonts w:hint="eastAsia"/>
                <w:color w:val="auto"/>
              </w:rPr>
              <w:t>3类</w:t>
            </w:r>
            <w:r>
              <w:rPr>
                <w:color w:val="auto"/>
              </w:rPr>
              <w:t>标准</w:t>
            </w:r>
            <w:r>
              <w:rPr>
                <w:rFonts w:hint="eastAsia"/>
                <w:color w:val="auto"/>
              </w:rPr>
              <w:t>，标准值详见下表。</w:t>
            </w:r>
          </w:p>
          <w:p>
            <w:pPr>
              <w:pStyle w:val="14"/>
              <w:rPr>
                <w:color w:val="auto"/>
              </w:rPr>
            </w:pPr>
            <w:r>
              <w:rPr>
                <w:color w:val="auto"/>
              </w:rPr>
              <w:t>表3-</w:t>
            </w:r>
            <w:r>
              <w:rPr>
                <w:rFonts w:hint="eastAsia"/>
                <w:color w:val="auto"/>
                <w:lang w:val="en-US" w:eastAsia="zh-CN"/>
              </w:rPr>
              <w:t>7</w:t>
            </w:r>
            <w:r>
              <w:rPr>
                <w:color w:val="auto"/>
              </w:rPr>
              <w:t xml:space="preserve"> </w:t>
            </w:r>
            <w:r>
              <w:rPr>
                <w:rFonts w:hint="eastAsia"/>
                <w:color w:val="auto"/>
              </w:rPr>
              <w:t xml:space="preserve"> </w:t>
            </w:r>
            <w:r>
              <w:rPr>
                <w:color w:val="auto"/>
              </w:rPr>
              <w:t>工业企业厂界环境噪声排放标准</w:t>
            </w:r>
            <w:r>
              <w:rPr>
                <w:rFonts w:hint="eastAsia"/>
                <w:color w:val="auto"/>
              </w:rPr>
              <w:t xml:space="preserve">  </w:t>
            </w:r>
            <w:r>
              <w:rPr>
                <w:color w:val="auto"/>
              </w:rPr>
              <w:t>单位：dB（A）</w:t>
            </w:r>
          </w:p>
          <w:tbl>
            <w:tblPr>
              <w:tblStyle w:val="11"/>
              <w:tblW w:w="81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33"/>
              <w:gridCol w:w="273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733" w:type="dxa"/>
                  <w:vAlign w:val="center"/>
                </w:tcPr>
                <w:p>
                  <w:pPr>
                    <w:pStyle w:val="15"/>
                    <w:rPr>
                      <w:color w:val="auto"/>
                    </w:rPr>
                  </w:pPr>
                  <w:r>
                    <w:rPr>
                      <w:color w:val="auto"/>
                    </w:rPr>
                    <w:t>类别</w:t>
                  </w:r>
                </w:p>
              </w:tc>
              <w:tc>
                <w:tcPr>
                  <w:tcW w:w="2733" w:type="dxa"/>
                  <w:vAlign w:val="center"/>
                </w:tcPr>
                <w:p>
                  <w:pPr>
                    <w:pStyle w:val="15"/>
                    <w:rPr>
                      <w:color w:val="auto"/>
                    </w:rPr>
                  </w:pPr>
                  <w:r>
                    <w:rPr>
                      <w:color w:val="auto"/>
                    </w:rPr>
                    <w:t>昼间</w:t>
                  </w:r>
                </w:p>
              </w:tc>
              <w:tc>
                <w:tcPr>
                  <w:tcW w:w="2733" w:type="dxa"/>
                  <w:vAlign w:val="center"/>
                </w:tcPr>
                <w:p>
                  <w:pPr>
                    <w:pStyle w:val="15"/>
                    <w:rPr>
                      <w:color w:val="auto"/>
                    </w:rPr>
                  </w:pPr>
                  <w:r>
                    <w:rPr>
                      <w:color w:val="auto"/>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733" w:type="dxa"/>
                  <w:vAlign w:val="center"/>
                </w:tcPr>
                <w:p>
                  <w:pPr>
                    <w:pStyle w:val="15"/>
                    <w:rPr>
                      <w:color w:val="auto"/>
                    </w:rPr>
                  </w:pPr>
                  <w:r>
                    <w:rPr>
                      <w:rFonts w:hint="eastAsia"/>
                      <w:color w:val="auto"/>
                    </w:rPr>
                    <w:t>3类</w:t>
                  </w:r>
                </w:p>
              </w:tc>
              <w:tc>
                <w:tcPr>
                  <w:tcW w:w="2733" w:type="dxa"/>
                  <w:vAlign w:val="center"/>
                </w:tcPr>
                <w:p>
                  <w:pPr>
                    <w:pStyle w:val="15"/>
                    <w:rPr>
                      <w:color w:val="auto"/>
                    </w:rPr>
                  </w:pPr>
                  <w:r>
                    <w:rPr>
                      <w:rFonts w:hint="eastAsia"/>
                      <w:color w:val="auto"/>
                    </w:rPr>
                    <w:t>65</w:t>
                  </w:r>
                </w:p>
              </w:tc>
              <w:tc>
                <w:tcPr>
                  <w:tcW w:w="2733" w:type="dxa"/>
                  <w:vAlign w:val="center"/>
                </w:tcPr>
                <w:p>
                  <w:pPr>
                    <w:pStyle w:val="15"/>
                    <w:rPr>
                      <w:color w:val="auto"/>
                    </w:rPr>
                  </w:pPr>
                  <w:r>
                    <w:rPr>
                      <w:rFonts w:hint="eastAsia"/>
                      <w:color w:val="auto"/>
                    </w:rPr>
                    <w:t>55</w:t>
                  </w:r>
                </w:p>
              </w:tc>
            </w:tr>
          </w:tbl>
          <w:p>
            <w:pPr>
              <w:ind w:firstLine="0" w:firstLineChars="0"/>
              <w:rPr>
                <w:color w:val="auto"/>
              </w:rPr>
            </w:pPr>
            <w:r>
              <w:rPr>
                <w:rFonts w:hint="eastAsia"/>
                <w:color w:val="auto"/>
              </w:rPr>
              <w:t>4、固体废弃物</w:t>
            </w:r>
          </w:p>
          <w:p>
            <w:pPr>
              <w:ind w:firstLine="480"/>
              <w:rPr>
                <w:color w:val="auto"/>
              </w:rPr>
            </w:pPr>
            <w:r>
              <w:rPr>
                <w:rFonts w:hint="eastAsia"/>
                <w:color w:val="auto"/>
              </w:rPr>
              <w:t>一般工业固体废物执行《一般工业固体废物贮存和填埋污染控制标准》（GB18599-2020）中相关要求；危险废物执行《危险废物贮存污染控制标准》（GB 18597-2023）。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6" w:type="dxa"/>
            <w:vAlign w:val="center"/>
          </w:tcPr>
          <w:p>
            <w:pPr>
              <w:spacing w:line="240" w:lineRule="auto"/>
              <w:ind w:firstLine="0" w:firstLineChars="0"/>
              <w:jc w:val="center"/>
              <w:rPr>
                <w:color w:val="auto"/>
              </w:rPr>
            </w:pPr>
            <w:r>
              <w:rPr>
                <w:color w:val="auto"/>
              </w:rPr>
              <w:t>总量</w:t>
            </w:r>
          </w:p>
          <w:p>
            <w:pPr>
              <w:spacing w:line="240" w:lineRule="auto"/>
              <w:ind w:firstLine="0" w:firstLineChars="0"/>
              <w:jc w:val="center"/>
              <w:rPr>
                <w:color w:val="auto"/>
              </w:rPr>
            </w:pPr>
            <w:r>
              <w:rPr>
                <w:color w:val="auto"/>
              </w:rPr>
              <w:t>控制</w:t>
            </w:r>
          </w:p>
          <w:p>
            <w:pPr>
              <w:spacing w:line="240" w:lineRule="auto"/>
              <w:ind w:firstLine="0" w:firstLineChars="0"/>
              <w:jc w:val="center"/>
              <w:rPr>
                <w:color w:val="auto"/>
              </w:rPr>
            </w:pPr>
            <w:r>
              <w:rPr>
                <w:color w:val="auto"/>
              </w:rPr>
              <w:t>指标</w:t>
            </w:r>
          </w:p>
        </w:tc>
        <w:tc>
          <w:tcPr>
            <w:tcW w:w="8425" w:type="dxa"/>
          </w:tcPr>
          <w:p>
            <w:pPr>
              <w:ind w:firstLine="0" w:firstLineChars="0"/>
              <w:rPr>
                <w:color w:val="auto"/>
              </w:rPr>
            </w:pPr>
            <w:r>
              <w:rPr>
                <w:rFonts w:hint="eastAsia"/>
                <w:color w:val="auto"/>
              </w:rPr>
              <w:t>本项目建议的总量控制指标如下：</w:t>
            </w:r>
          </w:p>
          <w:p>
            <w:pPr>
              <w:ind w:firstLine="480"/>
              <w:rPr>
                <w:color w:val="auto"/>
              </w:rPr>
            </w:pPr>
            <w:r>
              <w:rPr>
                <w:color w:val="auto"/>
              </w:rPr>
              <w:t>（1）废气</w:t>
            </w:r>
          </w:p>
          <w:p>
            <w:pPr>
              <w:ind w:firstLine="480"/>
              <w:rPr>
                <w:rFonts w:hint="eastAsia" w:eastAsia="宋体"/>
                <w:color w:val="auto"/>
                <w:lang w:eastAsia="zh-CN"/>
              </w:rPr>
            </w:pPr>
            <w:r>
              <w:rPr>
                <w:rFonts w:hint="eastAsia"/>
                <w:color w:val="auto"/>
                <w:lang w:val="en-US" w:eastAsia="zh-CN"/>
              </w:rPr>
              <w:t>改建</w:t>
            </w:r>
            <w:r>
              <w:rPr>
                <w:rFonts w:hint="eastAsia"/>
                <w:color w:val="auto"/>
              </w:rPr>
              <w:t>项目</w:t>
            </w:r>
            <w:r>
              <w:rPr>
                <w:color w:val="auto"/>
              </w:rPr>
              <w:t>运营期</w:t>
            </w:r>
            <w:r>
              <w:rPr>
                <w:rFonts w:hint="eastAsia"/>
                <w:color w:val="auto"/>
              </w:rPr>
              <w:t>废气</w:t>
            </w:r>
            <w:r>
              <w:rPr>
                <w:color w:val="auto"/>
              </w:rPr>
              <w:t>排放量为</w:t>
            </w:r>
            <w:r>
              <w:rPr>
                <w:rFonts w:hint="eastAsia"/>
                <w:color w:val="auto"/>
              </w:rPr>
              <w:t>：</w:t>
            </w:r>
            <w:r>
              <w:rPr>
                <w:rFonts w:hint="eastAsia"/>
                <w:color w:val="auto"/>
                <w:lang w:val="en-US" w:eastAsia="zh-CN"/>
              </w:rPr>
              <w:t>有组织废气：颗粒物7.607</w:t>
            </w:r>
            <w:r>
              <w:rPr>
                <w:rFonts w:hint="eastAsia"/>
                <w:color w:val="auto"/>
              </w:rPr>
              <w:t>t/a、SO</w:t>
            </w:r>
            <w:r>
              <w:rPr>
                <w:rFonts w:hint="eastAsia"/>
                <w:color w:val="auto"/>
                <w:vertAlign w:val="subscript"/>
              </w:rPr>
              <w:t>2</w:t>
            </w:r>
            <w:r>
              <w:rPr>
                <w:rFonts w:hint="eastAsia"/>
                <w:color w:val="auto"/>
                <w:lang w:val="en-US" w:eastAsia="zh-CN"/>
              </w:rPr>
              <w:t>5.222</w:t>
            </w:r>
            <w:r>
              <w:rPr>
                <w:rFonts w:hint="eastAsia"/>
                <w:color w:val="auto"/>
              </w:rPr>
              <w:t>t/a、NOx</w:t>
            </w:r>
            <w:r>
              <w:rPr>
                <w:rFonts w:hint="eastAsia"/>
                <w:color w:val="auto"/>
                <w:lang w:val="en-US" w:eastAsia="zh-CN"/>
              </w:rPr>
              <w:t>4.067</w:t>
            </w:r>
            <w:r>
              <w:rPr>
                <w:rFonts w:hint="eastAsia"/>
                <w:color w:val="auto"/>
              </w:rPr>
              <w:t>t/a</w:t>
            </w:r>
            <w:r>
              <w:rPr>
                <w:rFonts w:hint="eastAsia"/>
                <w:color w:val="auto"/>
                <w:lang w:eastAsia="zh-CN"/>
              </w:rPr>
              <w:t>、汞及其化合物</w:t>
            </w:r>
            <w:r>
              <w:rPr>
                <w:rFonts w:hint="eastAsia"/>
                <w:color w:val="auto"/>
                <w:lang w:val="en-US" w:eastAsia="zh-CN"/>
              </w:rPr>
              <w:t>0.387kg</w:t>
            </w:r>
            <w:r>
              <w:rPr>
                <w:rFonts w:hint="eastAsia"/>
                <w:color w:val="auto"/>
              </w:rPr>
              <w:t>/a</w:t>
            </w:r>
            <w:r>
              <w:rPr>
                <w:rFonts w:hint="eastAsia"/>
                <w:color w:val="auto"/>
                <w:lang w:eastAsia="zh-CN"/>
              </w:rPr>
              <w:t>；</w:t>
            </w:r>
          </w:p>
          <w:p>
            <w:pPr>
              <w:ind w:firstLine="480"/>
              <w:rPr>
                <w:rFonts w:hint="eastAsia" w:eastAsia="宋体"/>
                <w:color w:val="auto"/>
                <w:lang w:eastAsia="zh-CN"/>
              </w:rPr>
            </w:pPr>
            <w:r>
              <w:rPr>
                <w:rFonts w:hint="eastAsia"/>
                <w:color w:val="auto"/>
                <w:lang w:val="en-US" w:eastAsia="zh-CN"/>
              </w:rPr>
              <w:t>无组织废气：颗粒物25.2</w:t>
            </w:r>
            <w:r>
              <w:rPr>
                <w:color w:val="auto"/>
              </w:rPr>
              <w:t>t/a</w:t>
            </w:r>
            <w:r>
              <w:rPr>
                <w:rFonts w:hint="eastAsia"/>
                <w:color w:val="auto"/>
                <w:lang w:eastAsia="zh-CN"/>
              </w:rPr>
              <w:t>；</w:t>
            </w:r>
          </w:p>
          <w:p>
            <w:pPr>
              <w:ind w:firstLine="480"/>
              <w:rPr>
                <w:color w:val="auto"/>
              </w:rPr>
            </w:pPr>
            <w:r>
              <w:rPr>
                <w:rFonts w:hint="eastAsia"/>
                <w:color w:val="auto"/>
              </w:rPr>
              <w:t>改建</w:t>
            </w:r>
            <w:r>
              <w:rPr>
                <w:color w:val="auto"/>
              </w:rPr>
              <w:t>项目不涉及SO</w:t>
            </w:r>
            <w:r>
              <w:rPr>
                <w:color w:val="auto"/>
                <w:vertAlign w:val="subscript"/>
              </w:rPr>
              <w:t>2</w:t>
            </w:r>
            <w:r>
              <w:rPr>
                <w:color w:val="auto"/>
              </w:rPr>
              <w:t>、NO</w:t>
            </w:r>
            <w:r>
              <w:rPr>
                <w:color w:val="auto"/>
                <w:vertAlign w:val="subscript"/>
              </w:rPr>
              <w:t>X</w:t>
            </w:r>
            <w:r>
              <w:rPr>
                <w:rFonts w:hint="eastAsia"/>
                <w:color w:val="auto"/>
              </w:rPr>
              <w:t>等总量控制指标</w:t>
            </w:r>
            <w:r>
              <w:rPr>
                <w:rFonts w:hint="eastAsia"/>
                <w:color w:val="auto"/>
                <w:lang w:val="en-US" w:eastAsia="zh-CN"/>
              </w:rPr>
              <w:t>的改变</w:t>
            </w:r>
            <w:r>
              <w:rPr>
                <w:color w:val="auto"/>
              </w:rPr>
              <w:t>。</w:t>
            </w:r>
          </w:p>
          <w:p>
            <w:pPr>
              <w:ind w:firstLine="480"/>
              <w:rPr>
                <w:color w:val="auto"/>
              </w:rPr>
            </w:pPr>
            <w:r>
              <w:rPr>
                <w:color w:val="auto"/>
              </w:rPr>
              <w:t>（2）</w:t>
            </w:r>
            <w:r>
              <w:rPr>
                <w:rFonts w:hint="eastAsia"/>
                <w:color w:val="auto"/>
              </w:rPr>
              <w:t>本</w:t>
            </w:r>
            <w:r>
              <w:rPr>
                <w:color w:val="auto"/>
              </w:rPr>
              <w:t>项目</w:t>
            </w:r>
            <w:r>
              <w:rPr>
                <w:rFonts w:hint="eastAsia"/>
                <w:color w:val="auto"/>
              </w:rPr>
              <w:t>不涉及新增废水产生和排放，无需申请水污染物总量控制指标。</w:t>
            </w:r>
          </w:p>
          <w:p>
            <w:pPr>
              <w:ind w:firstLine="480"/>
              <w:rPr>
                <w:color w:val="auto"/>
              </w:rPr>
            </w:pPr>
            <w:r>
              <w:rPr>
                <w:color w:val="auto"/>
              </w:rPr>
              <w:t>（3）固体废弃物处理率为100%，不设置总量。</w:t>
            </w:r>
          </w:p>
          <w:p>
            <w:pPr>
              <w:ind w:firstLine="480"/>
              <w:rPr>
                <w:rFonts w:hint="eastAsia"/>
                <w:color w:val="auto"/>
              </w:rPr>
            </w:pPr>
            <w:r>
              <w:rPr>
                <w:rFonts w:hint="eastAsia"/>
                <w:color w:val="auto"/>
              </w:rPr>
              <w:t>项目建成后全厂总量控制指标不发生变化。</w:t>
            </w:r>
          </w:p>
          <w:p>
            <w:pPr>
              <w:bidi w:val="0"/>
              <w:rPr>
                <w:rFonts w:hint="eastAsia"/>
                <w:color w:val="auto"/>
              </w:rPr>
            </w:pPr>
          </w:p>
        </w:tc>
      </w:tr>
    </w:tbl>
    <w:p>
      <w:pPr>
        <w:ind w:firstLine="720"/>
        <w:rPr>
          <w:rFonts w:eastAsia="黑体"/>
          <w:snapToGrid w:val="0"/>
          <w:color w:val="auto"/>
          <w:sz w:val="36"/>
          <w:szCs w:val="36"/>
        </w:rPr>
      </w:pPr>
      <w:r>
        <w:rPr>
          <w:rFonts w:eastAsia="黑体"/>
          <w:snapToGrid w:val="0"/>
          <w:color w:val="auto"/>
          <w:sz w:val="36"/>
          <w:szCs w:val="36"/>
        </w:rPr>
        <w:br w:type="page"/>
      </w:r>
    </w:p>
    <w:p>
      <w:pPr>
        <w:pStyle w:val="2"/>
        <w:spacing w:after="240"/>
        <w:jc w:val="left"/>
        <w:rPr>
          <w:color w:val="auto"/>
        </w:rPr>
      </w:pPr>
      <w:bookmarkStart w:id="6" w:name="_Toc24103"/>
      <w:r>
        <w:rPr>
          <w:color w:val="auto"/>
        </w:rPr>
        <w:t>四、主要环境影响和保护措施</w:t>
      </w:r>
      <w:bookmarkEnd w:id="6"/>
    </w:p>
    <w:tbl>
      <w:tblPr>
        <w:tblStyle w:val="10"/>
        <w:tblW w:w="8981"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80"/>
        <w:gridCol w:w="84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751" w:hRule="atLeast"/>
          <w:jc w:val="center"/>
        </w:trPr>
        <w:tc>
          <w:tcPr>
            <w:tcW w:w="580" w:type="dxa"/>
            <w:tcMar>
              <w:left w:w="28" w:type="dxa"/>
              <w:right w:w="28" w:type="dxa"/>
            </w:tcMar>
            <w:vAlign w:val="center"/>
          </w:tcPr>
          <w:p>
            <w:pPr>
              <w:spacing w:line="240" w:lineRule="auto"/>
              <w:ind w:firstLine="0" w:firstLineChars="0"/>
              <w:jc w:val="center"/>
              <w:rPr>
                <w:color w:val="auto"/>
              </w:rPr>
            </w:pPr>
            <w:r>
              <w:rPr>
                <w:color w:val="auto"/>
              </w:rPr>
              <w:t>施工</w:t>
            </w:r>
          </w:p>
          <w:p>
            <w:pPr>
              <w:spacing w:line="240" w:lineRule="auto"/>
              <w:ind w:firstLine="0" w:firstLineChars="0"/>
              <w:jc w:val="center"/>
              <w:rPr>
                <w:color w:val="auto"/>
              </w:rPr>
            </w:pPr>
            <w:r>
              <w:rPr>
                <w:color w:val="auto"/>
              </w:rPr>
              <w:t>期环</w:t>
            </w:r>
          </w:p>
          <w:p>
            <w:pPr>
              <w:spacing w:line="240" w:lineRule="auto"/>
              <w:ind w:firstLine="0" w:firstLineChars="0"/>
              <w:jc w:val="center"/>
              <w:rPr>
                <w:color w:val="auto"/>
              </w:rPr>
            </w:pPr>
            <w:r>
              <w:rPr>
                <w:color w:val="auto"/>
              </w:rPr>
              <w:t>境保</w:t>
            </w:r>
          </w:p>
          <w:p>
            <w:pPr>
              <w:spacing w:line="240" w:lineRule="auto"/>
              <w:ind w:firstLine="0" w:firstLineChars="0"/>
              <w:jc w:val="center"/>
              <w:rPr>
                <w:color w:val="auto"/>
              </w:rPr>
            </w:pPr>
            <w:r>
              <w:rPr>
                <w:color w:val="auto"/>
              </w:rPr>
              <w:t>护措</w:t>
            </w:r>
          </w:p>
          <w:p>
            <w:pPr>
              <w:spacing w:line="240" w:lineRule="auto"/>
              <w:ind w:firstLine="0" w:firstLineChars="0"/>
              <w:jc w:val="center"/>
              <w:rPr>
                <w:color w:val="auto"/>
              </w:rPr>
            </w:pPr>
            <w:r>
              <w:rPr>
                <w:color w:val="auto"/>
              </w:rPr>
              <w:t>施</w:t>
            </w:r>
          </w:p>
        </w:tc>
        <w:tc>
          <w:tcPr>
            <w:tcW w:w="8401" w:type="dxa"/>
            <w:vAlign w:val="center"/>
          </w:tcPr>
          <w:p>
            <w:pPr>
              <w:ind w:firstLine="480"/>
              <w:rPr>
                <w:color w:val="auto"/>
              </w:rPr>
            </w:pPr>
            <w:r>
              <w:rPr>
                <w:rFonts w:hint="eastAsia"/>
                <w:color w:val="auto"/>
              </w:rPr>
              <w:t xml:space="preserve">建设项目属于改建项目，施工期仅改造一座原料仓库，施工时间较短暂，对外环境影响较小。 </w:t>
            </w:r>
          </w:p>
          <w:p>
            <w:pPr>
              <w:ind w:firstLine="480"/>
              <w:rPr>
                <w:color w:val="auto"/>
              </w:rPr>
            </w:pPr>
            <w:r>
              <w:rPr>
                <w:rFonts w:hint="eastAsia"/>
                <w:color w:val="auto"/>
              </w:rPr>
              <w:t xml:space="preserve">（1）废气保护措施 </w:t>
            </w:r>
          </w:p>
          <w:p>
            <w:pPr>
              <w:ind w:firstLine="480"/>
              <w:rPr>
                <w:color w:val="auto"/>
              </w:rPr>
            </w:pPr>
            <w:r>
              <w:rPr>
                <w:rFonts w:hint="eastAsia"/>
                <w:color w:val="auto"/>
              </w:rPr>
              <w:t>项目施工期废气主要为扬尘及机械设备、运输车辆尾气。由于项目施工期较短，厂内道路均已进行硬化。因此项目施工期产生的扬尘、废气量均较少。</w:t>
            </w:r>
          </w:p>
          <w:p>
            <w:pPr>
              <w:ind w:firstLine="480"/>
              <w:rPr>
                <w:color w:val="auto"/>
              </w:rPr>
            </w:pPr>
            <w:r>
              <w:rPr>
                <w:rFonts w:hint="eastAsia"/>
                <w:color w:val="auto"/>
              </w:rPr>
              <w:t>①场地清理、原料仓库建设过程中对可能产生粉尘的施工点进行洒水降尘；</w:t>
            </w:r>
          </w:p>
          <w:p>
            <w:pPr>
              <w:ind w:firstLine="480"/>
              <w:rPr>
                <w:color w:val="auto"/>
              </w:rPr>
            </w:pPr>
            <w:r>
              <w:rPr>
                <w:rFonts w:hint="eastAsia"/>
                <w:color w:val="auto"/>
              </w:rPr>
              <w:t xml:space="preserve">②加强施工机械、车辆的管理和维修保养。 </w:t>
            </w:r>
          </w:p>
          <w:p>
            <w:pPr>
              <w:ind w:firstLine="480"/>
              <w:rPr>
                <w:color w:val="auto"/>
              </w:rPr>
            </w:pPr>
            <w:r>
              <w:rPr>
                <w:rFonts w:hint="eastAsia"/>
                <w:color w:val="auto"/>
              </w:rPr>
              <w:t>（2）废水保护措施</w:t>
            </w:r>
          </w:p>
          <w:p>
            <w:pPr>
              <w:ind w:firstLine="480"/>
              <w:rPr>
                <w:color w:val="auto"/>
              </w:rPr>
            </w:pPr>
            <w:r>
              <w:rPr>
                <w:rFonts w:hint="eastAsia"/>
                <w:color w:val="auto"/>
              </w:rPr>
              <w:t>建设项目施工期仅产生施工人员生活污水，经生活污水处理设施预处理达标后回用于厂区绿化。</w:t>
            </w:r>
          </w:p>
          <w:p>
            <w:pPr>
              <w:ind w:firstLine="480"/>
              <w:rPr>
                <w:color w:val="auto"/>
              </w:rPr>
            </w:pPr>
            <w:r>
              <w:rPr>
                <w:rFonts w:hint="eastAsia"/>
                <w:color w:val="auto"/>
              </w:rPr>
              <w:t>（3）噪声保护措施</w:t>
            </w:r>
          </w:p>
          <w:p>
            <w:pPr>
              <w:ind w:firstLine="480"/>
              <w:rPr>
                <w:color w:val="auto"/>
              </w:rPr>
            </w:pPr>
            <w:r>
              <w:rPr>
                <w:rFonts w:hint="eastAsia"/>
                <w:color w:val="auto"/>
              </w:rPr>
              <w:t>项目噪声主要来源于施工现场的各类机械设备和交通运输、设备装卸碰撞等噪声。</w:t>
            </w:r>
          </w:p>
          <w:p>
            <w:pPr>
              <w:ind w:firstLine="480"/>
              <w:rPr>
                <w:color w:val="auto"/>
              </w:rPr>
            </w:pPr>
            <w:r>
              <w:rPr>
                <w:rFonts w:hint="eastAsia"/>
                <w:color w:val="auto"/>
              </w:rPr>
              <w:t>①项目施工时尽量选择低噪机械设备，严格执行《建筑施工场界环境噪声排放标准》（GB12523-2011）相关要求；</w:t>
            </w:r>
          </w:p>
          <w:p>
            <w:pPr>
              <w:ind w:firstLine="480"/>
              <w:rPr>
                <w:color w:val="auto"/>
              </w:rPr>
            </w:pPr>
            <w:r>
              <w:rPr>
                <w:rFonts w:hint="eastAsia"/>
                <w:color w:val="auto"/>
              </w:rPr>
              <w:t>②严格按操作规程使用各类机械；</w:t>
            </w:r>
          </w:p>
          <w:p>
            <w:pPr>
              <w:ind w:firstLine="480"/>
              <w:rPr>
                <w:color w:val="auto"/>
              </w:rPr>
            </w:pPr>
            <w:r>
              <w:rPr>
                <w:rFonts w:hint="eastAsia"/>
                <w:color w:val="auto"/>
              </w:rPr>
              <w:t>③设备运输车辆经过居民点时应控制车速，禁止鸣笛。</w:t>
            </w:r>
          </w:p>
          <w:p>
            <w:pPr>
              <w:ind w:firstLine="480"/>
              <w:rPr>
                <w:color w:val="auto"/>
              </w:rPr>
            </w:pPr>
            <w:r>
              <w:rPr>
                <w:rFonts w:hint="eastAsia"/>
                <w:color w:val="auto"/>
              </w:rPr>
              <w:t>（4）固体废物保护措施</w:t>
            </w:r>
          </w:p>
          <w:p>
            <w:pPr>
              <w:ind w:firstLine="480"/>
              <w:rPr>
                <w:color w:val="auto"/>
              </w:rPr>
            </w:pPr>
            <w:r>
              <w:rPr>
                <w:rFonts w:hint="eastAsia"/>
                <w:color w:val="auto"/>
              </w:rPr>
              <w:t>项目施工期固体废物主要为施工人员生活垃圾及少量建筑垃圾。</w:t>
            </w:r>
          </w:p>
          <w:p>
            <w:pPr>
              <w:ind w:firstLine="480"/>
              <w:rPr>
                <w:color w:val="auto"/>
              </w:rPr>
            </w:pPr>
            <w:r>
              <w:rPr>
                <w:rFonts w:hint="eastAsia"/>
                <w:color w:val="auto"/>
              </w:rPr>
              <w:t>①施工人员生活垃圾依托厂内现有垃圾收集装置；</w:t>
            </w:r>
          </w:p>
          <w:p>
            <w:pPr>
              <w:ind w:firstLine="480"/>
              <w:rPr>
                <w:color w:val="auto"/>
              </w:rPr>
            </w:pPr>
            <w:r>
              <w:rPr>
                <w:rFonts w:hint="eastAsia"/>
                <w:color w:val="auto"/>
              </w:rPr>
              <w:t>②建筑垃圾予以回收利用，不可回收部分根据《昆明市城市垃圾管理办法》（昆明市人民政府令第58号）《昆明市人民政府办公厅关于转发昆明市城市建筑垃圾管理实施办法实施细则的通知》（昆政办〔2011〕88号）的要求，委托有资质单位清运处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3062" w:hRule="atLeast"/>
          <w:jc w:val="center"/>
        </w:trPr>
        <w:tc>
          <w:tcPr>
            <w:tcW w:w="580" w:type="dxa"/>
            <w:tcMar>
              <w:left w:w="28" w:type="dxa"/>
              <w:right w:w="28" w:type="dxa"/>
            </w:tcMar>
            <w:vAlign w:val="center"/>
          </w:tcPr>
          <w:p>
            <w:pPr>
              <w:spacing w:line="240" w:lineRule="auto"/>
              <w:ind w:firstLine="0" w:firstLineChars="0"/>
              <w:jc w:val="center"/>
              <w:rPr>
                <w:color w:val="auto"/>
              </w:rPr>
            </w:pPr>
          </w:p>
          <w:p>
            <w:pPr>
              <w:spacing w:line="240" w:lineRule="auto"/>
              <w:ind w:firstLine="0" w:firstLineChars="0"/>
              <w:jc w:val="center"/>
              <w:rPr>
                <w:color w:val="auto"/>
              </w:rPr>
            </w:pPr>
          </w:p>
          <w:p>
            <w:pPr>
              <w:spacing w:line="240" w:lineRule="auto"/>
              <w:ind w:firstLine="0" w:firstLineChars="0"/>
              <w:jc w:val="center"/>
              <w:rPr>
                <w:color w:val="auto"/>
              </w:rPr>
            </w:pPr>
          </w:p>
          <w:p>
            <w:pPr>
              <w:spacing w:line="240" w:lineRule="auto"/>
              <w:ind w:firstLine="0" w:firstLineChars="0"/>
              <w:jc w:val="center"/>
              <w:rPr>
                <w:color w:val="auto"/>
              </w:rPr>
            </w:pPr>
          </w:p>
          <w:p>
            <w:pPr>
              <w:spacing w:line="240" w:lineRule="auto"/>
              <w:ind w:firstLine="0" w:firstLineChars="0"/>
              <w:jc w:val="center"/>
              <w:rPr>
                <w:color w:val="auto"/>
              </w:rPr>
            </w:pPr>
          </w:p>
          <w:p>
            <w:pPr>
              <w:spacing w:line="240" w:lineRule="auto"/>
              <w:ind w:firstLine="0" w:firstLineChars="0"/>
              <w:jc w:val="center"/>
              <w:rPr>
                <w:color w:val="auto"/>
              </w:rPr>
            </w:pPr>
          </w:p>
          <w:p>
            <w:pPr>
              <w:spacing w:line="240" w:lineRule="auto"/>
              <w:ind w:firstLine="0" w:firstLineChars="0"/>
              <w:jc w:val="center"/>
              <w:rPr>
                <w:color w:val="auto"/>
              </w:rPr>
            </w:pPr>
          </w:p>
          <w:p>
            <w:pPr>
              <w:spacing w:line="240" w:lineRule="auto"/>
              <w:ind w:firstLine="0" w:firstLineChars="0"/>
              <w:jc w:val="center"/>
              <w:rPr>
                <w:color w:val="auto"/>
              </w:rPr>
            </w:pPr>
          </w:p>
          <w:p>
            <w:pPr>
              <w:spacing w:line="240" w:lineRule="auto"/>
              <w:ind w:firstLine="0" w:firstLineChars="0"/>
              <w:jc w:val="center"/>
              <w:rPr>
                <w:color w:val="auto"/>
              </w:rPr>
            </w:pPr>
          </w:p>
          <w:p>
            <w:pPr>
              <w:spacing w:line="240" w:lineRule="auto"/>
              <w:ind w:firstLine="0" w:firstLineChars="0"/>
              <w:jc w:val="center"/>
              <w:rPr>
                <w:color w:val="auto"/>
              </w:rPr>
            </w:pPr>
          </w:p>
          <w:p>
            <w:pPr>
              <w:spacing w:line="240" w:lineRule="auto"/>
              <w:ind w:firstLine="0" w:firstLineChars="0"/>
              <w:jc w:val="center"/>
              <w:rPr>
                <w:color w:val="auto"/>
              </w:rPr>
            </w:pPr>
            <w:r>
              <w:rPr>
                <w:color w:val="auto"/>
              </w:rPr>
              <w:t>运营</w:t>
            </w:r>
          </w:p>
          <w:p>
            <w:pPr>
              <w:spacing w:line="240" w:lineRule="auto"/>
              <w:ind w:firstLine="0" w:firstLineChars="0"/>
              <w:jc w:val="center"/>
              <w:rPr>
                <w:color w:val="auto"/>
              </w:rPr>
            </w:pPr>
            <w:r>
              <w:rPr>
                <w:color w:val="auto"/>
              </w:rPr>
              <w:t>期环</w:t>
            </w:r>
          </w:p>
          <w:p>
            <w:pPr>
              <w:spacing w:line="240" w:lineRule="auto"/>
              <w:ind w:firstLine="0" w:firstLineChars="0"/>
              <w:jc w:val="center"/>
              <w:rPr>
                <w:color w:val="auto"/>
              </w:rPr>
            </w:pPr>
            <w:r>
              <w:rPr>
                <w:color w:val="auto"/>
              </w:rPr>
              <w:t>境影</w:t>
            </w:r>
          </w:p>
          <w:p>
            <w:pPr>
              <w:spacing w:line="240" w:lineRule="auto"/>
              <w:ind w:firstLine="0" w:firstLineChars="0"/>
              <w:jc w:val="center"/>
              <w:rPr>
                <w:color w:val="auto"/>
              </w:rPr>
            </w:pPr>
            <w:r>
              <w:rPr>
                <w:color w:val="auto"/>
              </w:rPr>
              <w:t>响和</w:t>
            </w:r>
          </w:p>
          <w:p>
            <w:pPr>
              <w:spacing w:line="240" w:lineRule="auto"/>
              <w:ind w:firstLine="0" w:firstLineChars="0"/>
              <w:jc w:val="center"/>
              <w:rPr>
                <w:color w:val="auto"/>
              </w:rPr>
            </w:pPr>
            <w:r>
              <w:rPr>
                <w:color w:val="auto"/>
              </w:rPr>
              <w:t>保护</w:t>
            </w:r>
          </w:p>
          <w:p>
            <w:pPr>
              <w:spacing w:line="240" w:lineRule="auto"/>
              <w:ind w:firstLine="0" w:firstLineChars="0"/>
              <w:jc w:val="center"/>
              <w:rPr>
                <w:color w:val="auto"/>
              </w:rPr>
            </w:pPr>
            <w:r>
              <w:rPr>
                <w:color w:val="auto"/>
              </w:rPr>
              <w:t>措施</w:t>
            </w:r>
          </w:p>
        </w:tc>
        <w:tc>
          <w:tcPr>
            <w:tcW w:w="8401" w:type="dxa"/>
            <w:vAlign w:val="center"/>
          </w:tcPr>
          <w:p>
            <w:pPr>
              <w:ind w:firstLine="0" w:firstLineChars="0"/>
              <w:rPr>
                <w:color w:val="auto"/>
              </w:rPr>
            </w:pPr>
            <w:r>
              <w:rPr>
                <w:rFonts w:hint="eastAsia"/>
                <w:color w:val="auto"/>
              </w:rPr>
              <w:t>一、大气环境影响分析和保护措施</w:t>
            </w:r>
          </w:p>
          <w:p>
            <w:pPr>
              <w:ind w:firstLine="480"/>
              <w:rPr>
                <w:color w:val="auto"/>
              </w:rPr>
            </w:pPr>
            <w:r>
              <w:rPr>
                <w:rFonts w:hint="eastAsia"/>
                <w:color w:val="auto"/>
              </w:rPr>
              <w:t>1、大气环境影响分析和污染防治措施</w:t>
            </w:r>
          </w:p>
          <w:p>
            <w:pPr>
              <w:ind w:firstLine="480"/>
              <w:rPr>
                <w:color w:val="auto"/>
              </w:rPr>
            </w:pPr>
            <w:r>
              <w:rPr>
                <w:rFonts w:hint="eastAsia"/>
                <w:color w:val="auto"/>
              </w:rPr>
              <w:t>改建项目运营期废气主要为</w:t>
            </w:r>
            <w:r>
              <w:rPr>
                <w:rFonts w:hint="eastAsia"/>
                <w:color w:val="auto"/>
                <w:lang w:val="en-US" w:eastAsia="zh-CN"/>
              </w:rPr>
              <w:t>生产</w:t>
            </w:r>
            <w:r>
              <w:rPr>
                <w:rFonts w:hint="eastAsia"/>
                <w:color w:val="auto"/>
              </w:rPr>
              <w:t>粉尘、锅炉废气、烘干废气，由于项目产品产量不变，故大气污染物产排量改建前后不发生改变。</w:t>
            </w:r>
          </w:p>
          <w:p>
            <w:pPr>
              <w:ind w:firstLine="480"/>
              <w:rPr>
                <w:color w:val="auto"/>
              </w:rPr>
            </w:pPr>
            <w:r>
              <w:rPr>
                <w:rFonts w:hint="eastAsia"/>
                <w:color w:val="auto"/>
              </w:rPr>
              <w:t>根据废气产生环节，粉尘主要产生于投料、破碎、筛分、造粒、冷却、包装</w:t>
            </w:r>
            <w:r>
              <w:rPr>
                <w:rFonts w:hint="eastAsia"/>
                <w:color w:val="auto"/>
                <w:lang w:val="en-US" w:eastAsia="zh-CN"/>
              </w:rPr>
              <w:t>等</w:t>
            </w:r>
            <w:r>
              <w:rPr>
                <w:rFonts w:hint="eastAsia"/>
                <w:color w:val="auto"/>
              </w:rPr>
              <w:t>生产过程，以及烘干过程。</w:t>
            </w:r>
          </w:p>
          <w:p>
            <w:pPr>
              <w:ind w:firstLine="480"/>
              <w:rPr>
                <w:color w:val="auto"/>
              </w:rPr>
            </w:pPr>
            <w:r>
              <w:rPr>
                <w:rFonts w:hint="eastAsia"/>
                <w:color w:val="auto"/>
              </w:rPr>
              <w:t>（1）粉尘</w:t>
            </w:r>
          </w:p>
          <w:p>
            <w:pPr>
              <w:ind w:firstLine="480"/>
              <w:rPr>
                <w:color w:val="auto"/>
              </w:rPr>
            </w:pPr>
            <w:r>
              <w:rPr>
                <w:rFonts w:hint="eastAsia"/>
                <w:color w:val="auto"/>
              </w:rPr>
              <w:t>1）生产粉尘</w:t>
            </w:r>
          </w:p>
          <w:p>
            <w:pPr>
              <w:ind w:firstLine="480"/>
              <w:rPr>
                <w:color w:val="auto"/>
              </w:rPr>
            </w:pPr>
            <w:r>
              <w:rPr>
                <w:rFonts w:hint="eastAsia"/>
                <w:color w:val="auto"/>
              </w:rPr>
              <w:t>项目建成后，复合肥料生产线废气主要集中在</w:t>
            </w:r>
            <w:r>
              <w:rPr>
                <w:rFonts w:hint="eastAsia"/>
                <w:color w:val="auto"/>
                <w:lang w:val="en-US" w:eastAsia="zh-CN"/>
              </w:rPr>
              <w:t>投料、</w:t>
            </w:r>
            <w:r>
              <w:rPr>
                <w:rFonts w:hint="eastAsia"/>
                <w:color w:val="auto"/>
              </w:rPr>
              <w:t>破碎、筛分、造粒、冷却和包装</w:t>
            </w:r>
            <w:r>
              <w:rPr>
                <w:rFonts w:hint="eastAsia"/>
                <w:color w:val="auto"/>
                <w:lang w:val="en-US" w:eastAsia="zh-CN"/>
              </w:rPr>
              <w:t>等生产</w:t>
            </w:r>
            <w:r>
              <w:rPr>
                <w:rFonts w:hint="eastAsia"/>
                <w:color w:val="auto"/>
              </w:rPr>
              <w:t>工序产生。根据《排放源统计调查产排污核算方法和系数手册-2624 复混肥料制造行业系数手册》，复混肥料-混合法-颗粒物产污系数为8.4kg/t-产品，本项目建成后复合肥返料生产线产量3万t/a，因此复合肥料生产过程中产生的粉尘为252t/a。复合肥料工艺生产时间为7200h/a。</w:t>
            </w:r>
          </w:p>
          <w:p>
            <w:pPr>
              <w:ind w:firstLine="480"/>
              <w:rPr>
                <w:color w:val="auto"/>
              </w:rPr>
            </w:pPr>
            <w:r>
              <w:rPr>
                <w:rFonts w:hint="eastAsia"/>
                <w:color w:val="auto"/>
              </w:rPr>
              <w:t>复合肥料生产线主要工序</w:t>
            </w:r>
            <w:r>
              <w:rPr>
                <w:rFonts w:hint="eastAsia"/>
                <w:color w:val="auto"/>
                <w:lang w:val="en-US" w:eastAsia="zh-CN"/>
              </w:rPr>
              <w:t>均使用</w:t>
            </w:r>
            <w:r>
              <w:rPr>
                <w:rFonts w:hint="eastAsia"/>
                <w:color w:val="auto"/>
              </w:rPr>
              <w:t>密闭</w:t>
            </w:r>
            <w:r>
              <w:rPr>
                <w:rFonts w:hint="eastAsia"/>
                <w:color w:val="auto"/>
                <w:lang w:val="en-US" w:eastAsia="zh-CN"/>
              </w:rPr>
              <w:t>设备</w:t>
            </w:r>
            <w:r>
              <w:rPr>
                <w:rFonts w:hint="eastAsia"/>
                <w:color w:val="auto"/>
              </w:rPr>
              <w:t>，</w:t>
            </w:r>
            <w:r>
              <w:rPr>
                <w:rFonts w:hint="eastAsia"/>
                <w:color w:val="auto"/>
                <w:lang w:val="en-US" w:eastAsia="zh-CN"/>
              </w:rPr>
              <w:t>且</w:t>
            </w:r>
            <w:r>
              <w:rPr>
                <w:rFonts w:hint="eastAsia"/>
                <w:color w:val="auto"/>
              </w:rPr>
              <w:t>在各个</w:t>
            </w:r>
            <w:r>
              <w:rPr>
                <w:rFonts w:hint="eastAsia"/>
                <w:color w:val="auto"/>
                <w:lang w:val="en-US" w:eastAsia="zh-CN"/>
              </w:rPr>
              <w:t>未使用密闭设备的</w:t>
            </w:r>
            <w:r>
              <w:rPr>
                <w:rFonts w:hint="eastAsia"/>
                <w:color w:val="auto"/>
              </w:rPr>
              <w:t>产尘</w:t>
            </w:r>
            <w:r>
              <w:rPr>
                <w:rFonts w:hint="eastAsia"/>
                <w:color w:val="auto"/>
                <w:lang w:val="en-US" w:eastAsia="zh-CN"/>
              </w:rPr>
              <w:t>点</w:t>
            </w:r>
            <w:r>
              <w:rPr>
                <w:rFonts w:hint="eastAsia"/>
                <w:color w:val="auto"/>
              </w:rPr>
              <w:t>设置集气罩，收集后的粉尘经布袋除尘器处理后经现有1根20m</w:t>
            </w:r>
            <w:r>
              <w:rPr>
                <w:rFonts w:hint="eastAsia"/>
                <w:color w:val="auto"/>
                <w:lang w:val="en-US" w:eastAsia="zh-CN"/>
              </w:rPr>
              <w:t>高</w:t>
            </w:r>
            <w:r>
              <w:rPr>
                <w:rFonts w:hint="eastAsia"/>
                <w:color w:val="auto"/>
              </w:rPr>
              <w:t>排气筒（DA010）排放。</w:t>
            </w:r>
            <w:r>
              <w:rPr>
                <w:rFonts w:hint="eastAsia"/>
                <w:color w:val="auto"/>
                <w:lang w:val="en-US" w:eastAsia="zh-CN"/>
              </w:rPr>
              <w:t>粉尘总体</w:t>
            </w:r>
            <w:r>
              <w:rPr>
                <w:rFonts w:hint="eastAsia"/>
                <w:color w:val="auto"/>
              </w:rPr>
              <w:t>收集效率按90%计，布袋除尘器效率按99%计，</w:t>
            </w:r>
            <w:r>
              <w:rPr>
                <w:rFonts w:hint="eastAsia"/>
                <w:color w:val="auto"/>
                <w:lang w:val="en-US" w:eastAsia="zh-CN"/>
              </w:rPr>
              <w:t>现有</w:t>
            </w:r>
            <w:r>
              <w:rPr>
                <w:rFonts w:hint="eastAsia"/>
                <w:color w:val="auto"/>
              </w:rPr>
              <w:t>风机风量为</w:t>
            </w:r>
            <w:r>
              <w:rPr>
                <w:rFonts w:hint="eastAsia"/>
                <w:color w:val="auto"/>
                <w:lang w:val="en-US" w:eastAsia="zh-CN"/>
              </w:rPr>
              <w:t>10</w:t>
            </w:r>
            <w:r>
              <w:rPr>
                <w:rFonts w:hint="eastAsia"/>
                <w:color w:val="auto"/>
              </w:rPr>
              <w:t>000m</w:t>
            </w:r>
            <w:r>
              <w:rPr>
                <w:rFonts w:hint="eastAsia"/>
                <w:color w:val="auto"/>
                <w:vertAlign w:val="superscript"/>
              </w:rPr>
              <w:t>3</w:t>
            </w:r>
            <w:r>
              <w:rPr>
                <w:rFonts w:hint="eastAsia"/>
                <w:color w:val="auto"/>
              </w:rPr>
              <w:t>/h。则</w:t>
            </w:r>
            <w:r>
              <w:rPr>
                <w:rFonts w:hint="eastAsia"/>
                <w:color w:val="auto"/>
                <w:lang w:val="en-US" w:eastAsia="zh-CN"/>
              </w:rPr>
              <w:t>有组织</w:t>
            </w:r>
            <w:r>
              <w:rPr>
                <w:rFonts w:hint="eastAsia"/>
                <w:color w:val="auto"/>
              </w:rPr>
              <w:t>粉尘</w:t>
            </w:r>
            <w:r>
              <w:rPr>
                <w:rFonts w:hint="eastAsia"/>
                <w:color w:val="auto"/>
                <w:lang w:val="en-US" w:eastAsia="zh-CN"/>
              </w:rPr>
              <w:t>产生</w:t>
            </w:r>
            <w:r>
              <w:rPr>
                <w:rFonts w:hint="eastAsia"/>
                <w:color w:val="auto"/>
              </w:rPr>
              <w:t>量为</w:t>
            </w:r>
            <w:r>
              <w:rPr>
                <w:rFonts w:hint="eastAsia"/>
                <w:color w:val="auto"/>
                <w:lang w:val="en-US" w:eastAsia="zh-CN"/>
              </w:rPr>
              <w:t>226.8</w:t>
            </w:r>
            <w:r>
              <w:rPr>
                <w:rFonts w:hint="eastAsia"/>
                <w:color w:val="auto"/>
              </w:rPr>
              <w:t>t/a</w:t>
            </w:r>
            <w:r>
              <w:rPr>
                <w:rFonts w:hint="eastAsia"/>
                <w:color w:val="auto"/>
                <w:lang w:eastAsia="zh-CN"/>
              </w:rPr>
              <w:t>，</w:t>
            </w:r>
            <w:r>
              <w:rPr>
                <w:rFonts w:hint="eastAsia"/>
                <w:color w:val="auto"/>
              </w:rPr>
              <w:t>无组织粉尘</w:t>
            </w:r>
            <w:r>
              <w:rPr>
                <w:rFonts w:hint="eastAsia"/>
                <w:color w:val="auto"/>
                <w:lang w:val="en-US" w:eastAsia="zh-CN"/>
              </w:rPr>
              <w:t>产生</w:t>
            </w:r>
            <w:r>
              <w:rPr>
                <w:rFonts w:hint="eastAsia"/>
                <w:color w:val="auto"/>
              </w:rPr>
              <w:t>量为25.2t/a。</w:t>
            </w:r>
          </w:p>
          <w:p>
            <w:pPr>
              <w:ind w:firstLine="480"/>
              <w:rPr>
                <w:color w:val="auto"/>
              </w:rPr>
            </w:pPr>
            <w:r>
              <w:rPr>
                <w:rFonts w:hint="eastAsia"/>
                <w:color w:val="auto"/>
                <w:lang w:val="en-US" w:eastAsia="zh-CN"/>
              </w:rPr>
              <w:t>2</w:t>
            </w:r>
            <w:r>
              <w:rPr>
                <w:rFonts w:hint="eastAsia"/>
                <w:color w:val="auto"/>
              </w:rPr>
              <w:t>）粉尘产排情况汇总</w:t>
            </w:r>
          </w:p>
          <w:p>
            <w:pPr>
              <w:ind w:firstLine="480"/>
              <w:rPr>
                <w:color w:val="auto"/>
              </w:rPr>
            </w:pPr>
            <w:r>
              <w:rPr>
                <w:rFonts w:hint="eastAsia"/>
                <w:color w:val="auto"/>
              </w:rPr>
              <w:t>根据建设单位提供资料，</w:t>
            </w:r>
            <w:r>
              <w:rPr>
                <w:rFonts w:hint="eastAsia"/>
                <w:color w:val="auto"/>
                <w:lang w:val="en-US" w:eastAsia="zh-CN"/>
              </w:rPr>
              <w:t>该生产线</w:t>
            </w:r>
            <w:r>
              <w:rPr>
                <w:rFonts w:hint="eastAsia"/>
                <w:color w:val="auto"/>
              </w:rPr>
              <w:t>设置</w:t>
            </w:r>
            <w:r>
              <w:rPr>
                <w:rFonts w:hint="eastAsia"/>
                <w:color w:val="auto"/>
                <w:lang w:val="en-US" w:eastAsia="zh-CN"/>
              </w:rPr>
              <w:t>有</w:t>
            </w:r>
            <w:r>
              <w:rPr>
                <w:rFonts w:hint="eastAsia"/>
                <w:color w:val="auto"/>
              </w:rPr>
              <w:t>1套除尘效率为99%</w:t>
            </w:r>
            <w:r>
              <w:rPr>
                <w:rFonts w:hint="eastAsia"/>
                <w:color w:val="auto"/>
                <w:lang w:eastAsia="zh-CN"/>
              </w:rPr>
              <w:t>、</w:t>
            </w:r>
            <w:r>
              <w:rPr>
                <w:rFonts w:hint="eastAsia"/>
                <w:color w:val="auto"/>
              </w:rPr>
              <w:t>风量为10000m</w:t>
            </w:r>
            <w:r>
              <w:rPr>
                <w:rFonts w:hint="eastAsia"/>
                <w:color w:val="auto"/>
                <w:vertAlign w:val="superscript"/>
              </w:rPr>
              <w:t>3</w:t>
            </w:r>
            <w:r>
              <w:rPr>
                <w:rFonts w:hint="eastAsia"/>
                <w:color w:val="auto"/>
              </w:rPr>
              <w:t>/h的脉冲布袋除尘器，项目有组织粉尘经脉冲布袋除尘器处理后通过20m高排气筒（DA010）排放。项目有组织粉尘产排情况见下表。</w:t>
            </w:r>
          </w:p>
          <w:p>
            <w:pPr>
              <w:pStyle w:val="14"/>
              <w:rPr>
                <w:color w:val="auto"/>
                <w:szCs w:val="24"/>
              </w:rPr>
            </w:pPr>
            <w:r>
              <w:rPr>
                <w:rFonts w:hint="eastAsia"/>
                <w:color w:val="auto"/>
              </w:rPr>
              <w:t>表4-</w:t>
            </w:r>
            <w:r>
              <w:rPr>
                <w:rFonts w:hint="eastAsia"/>
                <w:color w:val="auto"/>
                <w:lang w:val="en-US" w:eastAsia="zh-CN"/>
              </w:rPr>
              <w:t>1</w:t>
            </w:r>
            <w:r>
              <w:rPr>
                <w:rFonts w:hint="eastAsia"/>
                <w:color w:val="auto"/>
              </w:rPr>
              <w:t xml:space="preserve">   项目有组织粉尘产排情况一览表</w:t>
            </w:r>
          </w:p>
          <w:tbl>
            <w:tblPr>
              <w:tblStyle w:val="10"/>
              <w:tblW w:w="81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087"/>
              <w:gridCol w:w="1550"/>
              <w:gridCol w:w="875"/>
              <w:gridCol w:w="1088"/>
              <w:gridCol w:w="1137"/>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92" w:type="dxa"/>
                  <w:vAlign w:val="center"/>
                </w:tcPr>
                <w:p>
                  <w:pPr>
                    <w:pStyle w:val="15"/>
                    <w:rPr>
                      <w:color w:val="auto"/>
                      <w:lang w:val="en-GB"/>
                    </w:rPr>
                  </w:pPr>
                  <w:r>
                    <w:rPr>
                      <w:rFonts w:hint="eastAsia"/>
                      <w:color w:val="auto"/>
                    </w:rPr>
                    <w:t>产生源</w:t>
                  </w:r>
                </w:p>
              </w:tc>
              <w:tc>
                <w:tcPr>
                  <w:tcW w:w="1087" w:type="dxa"/>
                  <w:vAlign w:val="center"/>
                </w:tcPr>
                <w:p>
                  <w:pPr>
                    <w:pStyle w:val="15"/>
                    <w:rPr>
                      <w:color w:val="auto"/>
                      <w:lang w:val="en-GB"/>
                    </w:rPr>
                  </w:pPr>
                  <w:r>
                    <w:rPr>
                      <w:rFonts w:hint="eastAsia"/>
                      <w:color w:val="auto"/>
                    </w:rPr>
                    <w:t>产生量（t/a）</w:t>
                  </w:r>
                </w:p>
              </w:tc>
              <w:tc>
                <w:tcPr>
                  <w:tcW w:w="1550" w:type="dxa"/>
                  <w:vAlign w:val="center"/>
                </w:tcPr>
                <w:p>
                  <w:pPr>
                    <w:pStyle w:val="15"/>
                    <w:rPr>
                      <w:color w:val="auto"/>
                      <w:lang w:val="en-GB"/>
                    </w:rPr>
                  </w:pPr>
                  <w:r>
                    <w:rPr>
                      <w:rFonts w:hint="eastAsia"/>
                      <w:color w:val="auto"/>
                    </w:rPr>
                    <w:t>环保措施</w:t>
                  </w:r>
                </w:p>
              </w:tc>
              <w:tc>
                <w:tcPr>
                  <w:tcW w:w="875" w:type="dxa"/>
                  <w:vAlign w:val="center"/>
                </w:tcPr>
                <w:p>
                  <w:pPr>
                    <w:pStyle w:val="15"/>
                    <w:rPr>
                      <w:color w:val="auto"/>
                      <w:lang w:val="en-GB"/>
                    </w:rPr>
                  </w:pPr>
                  <w:r>
                    <w:rPr>
                      <w:rFonts w:hint="eastAsia"/>
                      <w:color w:val="auto"/>
                      <w:lang w:val="en-GB"/>
                    </w:rPr>
                    <w:t>排放量</w:t>
                  </w:r>
                </w:p>
                <w:p>
                  <w:pPr>
                    <w:pStyle w:val="15"/>
                    <w:rPr>
                      <w:color w:val="auto"/>
                      <w:lang w:val="en-GB"/>
                    </w:rPr>
                  </w:pPr>
                  <w:r>
                    <w:rPr>
                      <w:rFonts w:hint="eastAsia"/>
                      <w:color w:val="auto"/>
                      <w:lang w:val="en-GB"/>
                    </w:rPr>
                    <w:t>（t/a）</w:t>
                  </w:r>
                </w:p>
              </w:tc>
              <w:tc>
                <w:tcPr>
                  <w:tcW w:w="1088" w:type="dxa"/>
                  <w:vAlign w:val="center"/>
                </w:tcPr>
                <w:p>
                  <w:pPr>
                    <w:pStyle w:val="15"/>
                    <w:rPr>
                      <w:color w:val="auto"/>
                      <w:lang w:val="en-GB"/>
                    </w:rPr>
                  </w:pPr>
                  <w:r>
                    <w:rPr>
                      <w:rFonts w:hint="eastAsia"/>
                      <w:color w:val="auto"/>
                      <w:lang w:val="en-GB"/>
                    </w:rPr>
                    <w:t>排放速率（kg/h）</w:t>
                  </w:r>
                </w:p>
              </w:tc>
              <w:tc>
                <w:tcPr>
                  <w:tcW w:w="1137" w:type="dxa"/>
                  <w:vAlign w:val="center"/>
                </w:tcPr>
                <w:p>
                  <w:pPr>
                    <w:pStyle w:val="15"/>
                    <w:rPr>
                      <w:color w:val="auto"/>
                      <w:lang w:val="en-GB"/>
                    </w:rPr>
                  </w:pPr>
                  <w:r>
                    <w:rPr>
                      <w:rFonts w:hint="eastAsia"/>
                      <w:color w:val="auto"/>
                    </w:rPr>
                    <w:t>排放</w:t>
                  </w:r>
                  <w:r>
                    <w:rPr>
                      <w:rFonts w:hint="eastAsia"/>
                      <w:color w:val="auto"/>
                      <w:lang w:val="en-GB"/>
                    </w:rPr>
                    <w:t>浓度（mg/m</w:t>
                  </w:r>
                  <w:r>
                    <w:rPr>
                      <w:rFonts w:hint="eastAsia"/>
                      <w:color w:val="auto"/>
                      <w:vertAlign w:val="superscript"/>
                      <w:lang w:val="en-GB"/>
                    </w:rPr>
                    <w:t>3</w:t>
                  </w:r>
                  <w:r>
                    <w:rPr>
                      <w:rFonts w:hint="eastAsia"/>
                      <w:color w:val="auto"/>
                      <w:lang w:val="en-GB"/>
                    </w:rPr>
                    <w:t>）</w:t>
                  </w:r>
                </w:p>
              </w:tc>
              <w:tc>
                <w:tcPr>
                  <w:tcW w:w="1220" w:type="dxa"/>
                  <w:vAlign w:val="center"/>
                </w:tcPr>
                <w:p>
                  <w:pPr>
                    <w:pStyle w:val="15"/>
                    <w:rPr>
                      <w:color w:val="auto"/>
                      <w:lang w:val="en-GB"/>
                    </w:rPr>
                  </w:pPr>
                  <w:r>
                    <w:rPr>
                      <w:rFonts w:hint="eastAsia"/>
                      <w:color w:val="auto"/>
                      <w:lang w:val="en-GB"/>
                    </w:rPr>
                    <w:t>排放方式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7" w:hRule="atLeast"/>
                <w:jc w:val="center"/>
              </w:trPr>
              <w:tc>
                <w:tcPr>
                  <w:tcW w:w="1192" w:type="dxa"/>
                  <w:vAlign w:val="center"/>
                </w:tcPr>
                <w:p>
                  <w:pPr>
                    <w:pStyle w:val="15"/>
                    <w:rPr>
                      <w:rFonts w:hint="default" w:eastAsia="宋体"/>
                      <w:color w:val="auto"/>
                      <w:lang w:val="en-US" w:eastAsia="zh-CN"/>
                    </w:rPr>
                  </w:pPr>
                  <w:r>
                    <w:rPr>
                      <w:rFonts w:hint="eastAsia"/>
                      <w:color w:val="auto"/>
                      <w:lang w:val="en-GB"/>
                    </w:rPr>
                    <w:t>复</w:t>
                  </w:r>
                  <w:r>
                    <w:rPr>
                      <w:rFonts w:hint="eastAsia"/>
                      <w:color w:val="auto"/>
                      <w:lang w:val="en-US" w:eastAsia="zh-CN"/>
                    </w:rPr>
                    <w:t>合肥生产过程粉尘</w:t>
                  </w:r>
                </w:p>
              </w:tc>
              <w:tc>
                <w:tcPr>
                  <w:tcW w:w="1087" w:type="dxa"/>
                  <w:vAlign w:val="center"/>
                </w:tcPr>
                <w:p>
                  <w:pPr>
                    <w:pStyle w:val="15"/>
                    <w:rPr>
                      <w:rFonts w:hint="default" w:eastAsia="宋体"/>
                      <w:color w:val="auto"/>
                      <w:lang w:val="en-US" w:eastAsia="zh-CN"/>
                    </w:rPr>
                  </w:pPr>
                  <w:r>
                    <w:rPr>
                      <w:rFonts w:hint="eastAsia"/>
                      <w:color w:val="auto"/>
                    </w:rPr>
                    <w:t>22</w:t>
                  </w:r>
                  <w:r>
                    <w:rPr>
                      <w:rFonts w:hint="eastAsia"/>
                      <w:color w:val="auto"/>
                      <w:lang w:val="en-US" w:eastAsia="zh-CN"/>
                    </w:rPr>
                    <w:t>6.8</w:t>
                  </w:r>
                </w:p>
              </w:tc>
              <w:tc>
                <w:tcPr>
                  <w:tcW w:w="1550" w:type="dxa"/>
                  <w:vAlign w:val="center"/>
                </w:tcPr>
                <w:p>
                  <w:pPr>
                    <w:pStyle w:val="15"/>
                    <w:rPr>
                      <w:color w:val="auto"/>
                      <w:lang w:val="en-GB"/>
                    </w:rPr>
                  </w:pPr>
                  <w:r>
                    <w:rPr>
                      <w:rFonts w:hint="eastAsia"/>
                      <w:color w:val="auto"/>
                    </w:rPr>
                    <w:t>经</w:t>
                  </w:r>
                  <w:r>
                    <w:rPr>
                      <w:rFonts w:hint="eastAsia"/>
                      <w:color w:val="auto"/>
                      <w:lang w:val="en-GB"/>
                    </w:rPr>
                    <w:t>净化效率为99%脉冲布袋除尘器处理</w:t>
                  </w:r>
                </w:p>
              </w:tc>
              <w:tc>
                <w:tcPr>
                  <w:tcW w:w="875" w:type="dxa"/>
                  <w:vAlign w:val="center"/>
                </w:tcPr>
                <w:p>
                  <w:pPr>
                    <w:pStyle w:val="15"/>
                    <w:rPr>
                      <w:rFonts w:hint="default" w:eastAsia="宋体"/>
                      <w:color w:val="auto"/>
                      <w:lang w:val="en-US" w:eastAsia="zh-CN"/>
                    </w:rPr>
                  </w:pPr>
                  <w:r>
                    <w:rPr>
                      <w:rFonts w:hint="eastAsia"/>
                      <w:color w:val="auto"/>
                    </w:rPr>
                    <w:t>2.2</w:t>
                  </w:r>
                  <w:r>
                    <w:rPr>
                      <w:rFonts w:hint="eastAsia"/>
                      <w:color w:val="auto"/>
                      <w:lang w:val="en-US" w:eastAsia="zh-CN"/>
                    </w:rPr>
                    <w:t>68</w:t>
                  </w:r>
                </w:p>
              </w:tc>
              <w:tc>
                <w:tcPr>
                  <w:tcW w:w="1088" w:type="dxa"/>
                  <w:vAlign w:val="center"/>
                </w:tcPr>
                <w:p>
                  <w:pPr>
                    <w:pStyle w:val="15"/>
                    <w:rPr>
                      <w:rFonts w:hint="default" w:eastAsia="宋体"/>
                      <w:color w:val="auto"/>
                      <w:lang w:val="en-US" w:eastAsia="zh-CN"/>
                    </w:rPr>
                  </w:pPr>
                  <w:r>
                    <w:rPr>
                      <w:rFonts w:hint="eastAsia"/>
                      <w:color w:val="auto"/>
                      <w:lang w:val="en-US" w:eastAsia="zh-CN"/>
                    </w:rPr>
                    <w:t>0.315</w:t>
                  </w:r>
                </w:p>
              </w:tc>
              <w:tc>
                <w:tcPr>
                  <w:tcW w:w="1137" w:type="dxa"/>
                  <w:vAlign w:val="center"/>
                </w:tcPr>
                <w:p>
                  <w:pPr>
                    <w:pStyle w:val="15"/>
                    <w:rPr>
                      <w:rFonts w:hint="default" w:eastAsia="宋体"/>
                      <w:color w:val="auto"/>
                      <w:lang w:val="en-US" w:eastAsia="zh-CN"/>
                    </w:rPr>
                  </w:pPr>
                  <w:r>
                    <w:rPr>
                      <w:rFonts w:hint="eastAsia"/>
                      <w:color w:val="auto"/>
                      <w:lang w:val="en-US" w:eastAsia="zh-CN"/>
                    </w:rPr>
                    <w:t>31.5</w:t>
                  </w:r>
                </w:p>
              </w:tc>
              <w:tc>
                <w:tcPr>
                  <w:tcW w:w="1220" w:type="dxa"/>
                  <w:vAlign w:val="center"/>
                </w:tcPr>
                <w:p>
                  <w:pPr>
                    <w:pStyle w:val="15"/>
                    <w:rPr>
                      <w:color w:val="auto"/>
                      <w:lang w:val="en-GB"/>
                    </w:rPr>
                  </w:pPr>
                  <w:r>
                    <w:rPr>
                      <w:rFonts w:hint="eastAsia"/>
                      <w:color w:val="auto"/>
                      <w:lang w:val="en-GB"/>
                    </w:rPr>
                    <w:t>通过</w:t>
                  </w:r>
                  <w:r>
                    <w:rPr>
                      <w:rFonts w:hint="eastAsia"/>
                      <w:color w:val="auto"/>
                    </w:rPr>
                    <w:t>20</w:t>
                  </w:r>
                  <w:r>
                    <w:rPr>
                      <w:rFonts w:hint="eastAsia"/>
                      <w:color w:val="auto"/>
                      <w:lang w:val="en-GB"/>
                    </w:rPr>
                    <w:t>m高排气筒</w:t>
                  </w:r>
                  <w:r>
                    <w:rPr>
                      <w:rFonts w:hint="eastAsia"/>
                      <w:color w:val="auto"/>
                      <w:lang w:val="en-GB" w:eastAsia="zh-CN"/>
                    </w:rPr>
                    <w:t>（DA010）</w:t>
                  </w:r>
                  <w:r>
                    <w:rPr>
                      <w:rFonts w:hint="eastAsia"/>
                      <w:color w:val="auto"/>
                      <w:lang w:val="en-GB"/>
                    </w:rPr>
                    <w:t>排放</w:t>
                  </w:r>
                </w:p>
              </w:tc>
            </w:tr>
          </w:tbl>
          <w:p>
            <w:pPr>
              <w:ind w:firstLine="480"/>
              <w:rPr>
                <w:color w:val="auto"/>
              </w:rPr>
            </w:pPr>
            <w:r>
              <w:rPr>
                <w:rFonts w:hint="eastAsia"/>
                <w:color w:val="auto"/>
              </w:rPr>
              <w:t>由上表可知，项目有组织</w:t>
            </w:r>
            <w:r>
              <w:rPr>
                <w:rFonts w:hint="eastAsia"/>
                <w:color w:val="auto"/>
                <w:lang w:val="en-US" w:eastAsia="zh-CN"/>
              </w:rPr>
              <w:t>粉尘</w:t>
            </w:r>
            <w:r>
              <w:rPr>
                <w:rFonts w:hint="eastAsia"/>
                <w:color w:val="auto"/>
              </w:rPr>
              <w:t>经脉冲布袋除尘器处理后排放浓度31.</w:t>
            </w:r>
            <w:r>
              <w:rPr>
                <w:rFonts w:hint="eastAsia"/>
                <w:color w:val="auto"/>
                <w:lang w:val="en-US" w:eastAsia="zh-CN"/>
              </w:rPr>
              <w:t>5</w:t>
            </w:r>
            <w:r>
              <w:rPr>
                <w:rFonts w:hint="eastAsia"/>
                <w:color w:val="auto"/>
              </w:rPr>
              <w:t>mg/m</w:t>
            </w:r>
            <w:r>
              <w:rPr>
                <w:rFonts w:hint="eastAsia"/>
                <w:color w:val="auto"/>
                <w:vertAlign w:val="superscript"/>
              </w:rPr>
              <w:t>3</w:t>
            </w:r>
            <w:r>
              <w:rPr>
                <w:rFonts w:hint="eastAsia"/>
                <w:color w:val="auto"/>
                <w:lang w:eastAsia="zh-CN"/>
              </w:rPr>
              <w:t>、</w:t>
            </w:r>
            <w:r>
              <w:rPr>
                <w:rFonts w:hint="eastAsia"/>
                <w:color w:val="auto"/>
              </w:rPr>
              <w:t>排放速率0.31</w:t>
            </w:r>
            <w:r>
              <w:rPr>
                <w:rFonts w:hint="eastAsia"/>
                <w:color w:val="auto"/>
                <w:lang w:val="en-US" w:eastAsia="zh-CN"/>
              </w:rPr>
              <w:t>5</w:t>
            </w:r>
            <w:r>
              <w:rPr>
                <w:rFonts w:hint="eastAsia"/>
                <w:color w:val="auto"/>
                <w:lang w:val="en-GB"/>
              </w:rPr>
              <w:t>kg/h</w:t>
            </w:r>
            <w:r>
              <w:rPr>
                <w:rFonts w:hint="eastAsia"/>
                <w:color w:val="auto"/>
              </w:rPr>
              <w:t>，满足《大气污染物综合排放标准》（GB 16297-1996）表2颗粒物二级有组织排放限值，即：颗粒物120mg/m</w:t>
            </w:r>
            <w:r>
              <w:rPr>
                <w:rFonts w:hint="eastAsia"/>
                <w:color w:val="auto"/>
                <w:vertAlign w:val="superscript"/>
              </w:rPr>
              <w:t>3</w:t>
            </w:r>
            <w:r>
              <w:rPr>
                <w:rFonts w:hint="eastAsia"/>
                <w:color w:val="auto"/>
              </w:rPr>
              <w:t>、5.9kg/h。</w:t>
            </w:r>
          </w:p>
          <w:p>
            <w:pPr>
              <w:pStyle w:val="14"/>
              <w:rPr>
                <w:color w:val="auto"/>
              </w:rPr>
            </w:pPr>
            <w:r>
              <w:rPr>
                <w:rFonts w:hint="eastAsia"/>
                <w:color w:val="auto"/>
              </w:rPr>
              <w:t>表4-</w:t>
            </w:r>
            <w:r>
              <w:rPr>
                <w:rFonts w:hint="eastAsia"/>
                <w:color w:val="auto"/>
                <w:lang w:val="en-US" w:eastAsia="zh-CN"/>
              </w:rPr>
              <w:t>2</w:t>
            </w:r>
            <w:r>
              <w:rPr>
                <w:rFonts w:hint="eastAsia"/>
                <w:color w:val="auto"/>
              </w:rPr>
              <w:t xml:space="preserve">   项目无组织粉尘产排情况一览表</w:t>
            </w:r>
          </w:p>
          <w:tbl>
            <w:tblPr>
              <w:tblStyle w:val="10"/>
              <w:tblW w:w="8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1324"/>
              <w:gridCol w:w="4258"/>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25" w:type="dxa"/>
                  <w:vAlign w:val="center"/>
                </w:tcPr>
                <w:p>
                  <w:pPr>
                    <w:pStyle w:val="15"/>
                    <w:rPr>
                      <w:color w:val="auto"/>
                      <w:lang w:val="en-GB"/>
                    </w:rPr>
                  </w:pPr>
                  <w:r>
                    <w:rPr>
                      <w:rFonts w:hint="eastAsia"/>
                      <w:color w:val="auto"/>
                      <w:lang w:val="en-GB"/>
                    </w:rPr>
                    <w:t>污染源</w:t>
                  </w:r>
                </w:p>
              </w:tc>
              <w:tc>
                <w:tcPr>
                  <w:tcW w:w="1324" w:type="dxa"/>
                  <w:vAlign w:val="center"/>
                </w:tcPr>
                <w:p>
                  <w:pPr>
                    <w:pStyle w:val="15"/>
                    <w:rPr>
                      <w:color w:val="auto"/>
                      <w:lang w:val="en-GB"/>
                    </w:rPr>
                  </w:pPr>
                  <w:r>
                    <w:rPr>
                      <w:rFonts w:hint="eastAsia"/>
                      <w:color w:val="auto"/>
                      <w:lang w:val="en-GB"/>
                    </w:rPr>
                    <w:t>产生量（t/a）</w:t>
                  </w:r>
                </w:p>
              </w:tc>
              <w:tc>
                <w:tcPr>
                  <w:tcW w:w="4258" w:type="dxa"/>
                  <w:vAlign w:val="center"/>
                </w:tcPr>
                <w:p>
                  <w:pPr>
                    <w:pStyle w:val="15"/>
                    <w:rPr>
                      <w:color w:val="auto"/>
                      <w:lang w:val="en-GB"/>
                    </w:rPr>
                  </w:pPr>
                  <w:r>
                    <w:rPr>
                      <w:rFonts w:hint="eastAsia"/>
                      <w:color w:val="auto"/>
                      <w:lang w:val="en-GB"/>
                    </w:rPr>
                    <w:t>排放方式</w:t>
                  </w:r>
                </w:p>
              </w:tc>
              <w:tc>
                <w:tcPr>
                  <w:tcW w:w="1565" w:type="dxa"/>
                  <w:vAlign w:val="center"/>
                </w:tcPr>
                <w:p>
                  <w:pPr>
                    <w:pStyle w:val="15"/>
                    <w:rPr>
                      <w:color w:val="auto"/>
                      <w:lang w:val="en-GB"/>
                    </w:rPr>
                  </w:pPr>
                  <w:r>
                    <w:rPr>
                      <w:rFonts w:hint="eastAsia"/>
                      <w:color w:val="auto"/>
                      <w:lang w:val="en-GB"/>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25" w:type="dxa"/>
                  <w:vAlign w:val="center"/>
                </w:tcPr>
                <w:p>
                  <w:pPr>
                    <w:pStyle w:val="15"/>
                    <w:ind w:firstLine="0" w:firstLineChars="0"/>
                    <w:rPr>
                      <w:rFonts w:ascii="Times New Roman" w:hAnsi="Times New Roman" w:eastAsia="宋体" w:cs="Times New Roman"/>
                      <w:color w:val="auto"/>
                      <w:kern w:val="2"/>
                      <w:sz w:val="21"/>
                      <w:szCs w:val="21"/>
                      <w:lang w:val="en-GB" w:eastAsia="zh-CN" w:bidi="ar-SA"/>
                    </w:rPr>
                  </w:pPr>
                  <w:r>
                    <w:rPr>
                      <w:rFonts w:hint="eastAsia"/>
                      <w:color w:val="auto"/>
                    </w:rPr>
                    <w:t>生产粉尘</w:t>
                  </w:r>
                </w:p>
              </w:tc>
              <w:tc>
                <w:tcPr>
                  <w:tcW w:w="1324"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rFonts w:hint="eastAsia"/>
                      <w:color w:val="auto"/>
                    </w:rPr>
                    <w:t>25.2</w:t>
                  </w:r>
                </w:p>
              </w:tc>
              <w:tc>
                <w:tcPr>
                  <w:tcW w:w="4258" w:type="dxa"/>
                  <w:vAlign w:val="center"/>
                </w:tcPr>
                <w:p>
                  <w:pPr>
                    <w:pStyle w:val="15"/>
                    <w:rPr>
                      <w:color w:val="auto"/>
                      <w:lang w:val="en-GB"/>
                    </w:rPr>
                  </w:pPr>
                  <w:r>
                    <w:rPr>
                      <w:rFonts w:hint="eastAsia"/>
                      <w:color w:val="auto"/>
                      <w:lang w:val="en-GB"/>
                    </w:rPr>
                    <w:t>在生产车间内扩散，生产时门窗可密闭，无组织排放粉尘大部分经车间门窗阻隔后沉降在地面，沉降率以8</w:t>
                  </w:r>
                  <w:r>
                    <w:rPr>
                      <w:color w:val="auto"/>
                      <w:lang w:val="en-GB"/>
                    </w:rPr>
                    <w:t>5</w:t>
                  </w:r>
                  <w:r>
                    <w:rPr>
                      <w:rFonts w:hint="eastAsia"/>
                      <w:color w:val="auto"/>
                      <w:lang w:val="en-GB"/>
                    </w:rPr>
                    <w:t>%，定期清扫返回生产工序，少部分逸散出厂房外</w:t>
                  </w:r>
                </w:p>
              </w:tc>
              <w:tc>
                <w:tcPr>
                  <w:tcW w:w="1565" w:type="dxa"/>
                  <w:vAlign w:val="center"/>
                </w:tcPr>
                <w:p>
                  <w:pPr>
                    <w:pStyle w:val="15"/>
                    <w:rPr>
                      <w:color w:val="auto"/>
                    </w:rPr>
                  </w:pPr>
                  <w:r>
                    <w:rPr>
                      <w:rFonts w:hint="eastAsia"/>
                      <w:color w:val="auto"/>
                    </w:rPr>
                    <w:t>25.2</w:t>
                  </w:r>
                </w:p>
              </w:tc>
            </w:tr>
          </w:tbl>
          <w:p>
            <w:pPr>
              <w:ind w:firstLine="480"/>
              <w:rPr>
                <w:color w:val="auto"/>
              </w:rPr>
            </w:pPr>
            <w:r>
              <w:rPr>
                <w:rFonts w:hint="eastAsia"/>
                <w:color w:val="auto"/>
              </w:rPr>
              <w:t>由上表可知，项目无组织粉尘在生产车间内扩散，排放量为25.</w:t>
            </w:r>
            <w:r>
              <w:rPr>
                <w:rFonts w:hint="eastAsia"/>
                <w:color w:val="auto"/>
                <w:lang w:val="en-US" w:eastAsia="zh-CN"/>
              </w:rPr>
              <w:t>2</w:t>
            </w:r>
            <w:r>
              <w:rPr>
                <w:rFonts w:hint="eastAsia"/>
                <w:color w:val="auto"/>
              </w:rPr>
              <w:t>t/a。</w:t>
            </w:r>
          </w:p>
          <w:p>
            <w:pPr>
              <w:bidi w:val="0"/>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锅炉废气</w:t>
            </w:r>
          </w:p>
          <w:p>
            <w:pPr>
              <w:bidi w:val="0"/>
              <w:rPr>
                <w:color w:val="auto"/>
              </w:rPr>
            </w:pPr>
            <w:r>
              <w:rPr>
                <w:rFonts w:hint="eastAsia"/>
                <w:color w:val="auto"/>
                <w:lang w:val="en-US" w:eastAsia="zh-CN"/>
              </w:rPr>
              <w:t>现有项目</w:t>
            </w:r>
            <w:r>
              <w:rPr>
                <w:rFonts w:hint="eastAsia"/>
                <w:color w:val="auto"/>
              </w:rPr>
              <w:t>造粒装置配套建设有4t/h生物质锅炉，锅炉提供蒸汽给造粒装置用于造粒过程。根据建设单位提供资料，</w:t>
            </w:r>
            <w:r>
              <w:rPr>
                <w:rFonts w:hint="eastAsia"/>
                <w:color w:val="auto"/>
                <w:lang w:val="en-US" w:eastAsia="zh-CN"/>
              </w:rPr>
              <w:t>造粒过程需补充少量水分，现有项目补水量约0.15~0.18m</w:t>
            </w:r>
            <w:r>
              <w:rPr>
                <w:rFonts w:hint="eastAsia"/>
                <w:color w:val="auto"/>
                <w:vertAlign w:val="superscript"/>
                <w:lang w:val="en-US" w:eastAsia="zh-CN"/>
              </w:rPr>
              <w:t>3</w:t>
            </w:r>
            <w:r>
              <w:rPr>
                <w:rFonts w:hint="eastAsia"/>
                <w:color w:val="auto"/>
                <w:lang w:val="en-US" w:eastAsia="zh-CN"/>
              </w:rPr>
              <w:t xml:space="preserve"> /t产品，改建项目调整原料结构后，由于拟作为原料使用的一般固废（含磷废渣）有一定的含水率，故改建后补水量降为约0.09~0.1m</w:t>
            </w:r>
            <w:r>
              <w:rPr>
                <w:rFonts w:hint="eastAsia"/>
                <w:color w:val="auto"/>
                <w:vertAlign w:val="superscript"/>
                <w:lang w:val="en-US" w:eastAsia="zh-CN"/>
              </w:rPr>
              <w:t>3</w:t>
            </w:r>
            <w:r>
              <w:rPr>
                <w:rFonts w:hint="eastAsia"/>
                <w:color w:val="auto"/>
                <w:lang w:val="en-US" w:eastAsia="zh-CN"/>
              </w:rPr>
              <w:t xml:space="preserve"> /t产品，故</w:t>
            </w:r>
            <w:r>
              <w:rPr>
                <w:rFonts w:hint="eastAsia"/>
                <w:color w:val="auto"/>
              </w:rPr>
              <w:t>造粒过程单位产品使用蒸汽量</w:t>
            </w:r>
            <w:r>
              <w:rPr>
                <w:rFonts w:hint="eastAsia"/>
                <w:color w:val="auto"/>
                <w:lang w:eastAsia="zh-CN"/>
              </w:rPr>
              <w:t>（</w:t>
            </w:r>
            <w:r>
              <w:rPr>
                <w:rFonts w:hint="eastAsia"/>
                <w:color w:val="auto"/>
                <w:lang w:val="en-US" w:eastAsia="zh-CN"/>
              </w:rPr>
              <w:t>0.11t/t产品</w:t>
            </w:r>
            <w:r>
              <w:rPr>
                <w:rFonts w:hint="eastAsia"/>
                <w:color w:val="auto"/>
                <w:lang w:eastAsia="zh-CN"/>
              </w:rPr>
              <w:t>）</w:t>
            </w:r>
            <w:r>
              <w:rPr>
                <w:rFonts w:hint="eastAsia"/>
                <w:color w:val="auto"/>
              </w:rPr>
              <w:t>不变，</w:t>
            </w:r>
            <w:r>
              <w:rPr>
                <w:rFonts w:hint="eastAsia"/>
                <w:color w:val="auto"/>
                <w:lang w:val="en-US" w:eastAsia="zh-CN"/>
              </w:rPr>
              <w:t>由于项目产品产量不发生改变，</w:t>
            </w:r>
            <w:r>
              <w:rPr>
                <w:rFonts w:hint="eastAsia"/>
                <w:color w:val="auto"/>
              </w:rPr>
              <w:t>故总蒸汽使用量不发生变化，4t/h生物质锅炉废气产排情况不发生变化。</w:t>
            </w:r>
          </w:p>
          <w:p>
            <w:pPr>
              <w:ind w:firstLine="480"/>
              <w:rPr>
                <w:rFonts w:hint="eastAsia"/>
                <w:color w:val="auto"/>
              </w:rPr>
            </w:pPr>
            <w:r>
              <w:rPr>
                <w:rFonts w:hint="eastAsia"/>
                <w:color w:val="auto"/>
              </w:rPr>
              <w:t>生物质锅炉废气经旋风除尘器+水膜脱硫除尘处理达标后通过35m高排气筒（DA002）排放。根据昆明红海磷肥有限责任公司2023年</w:t>
            </w:r>
            <w:r>
              <w:rPr>
                <w:rFonts w:hint="eastAsia"/>
                <w:color w:val="auto"/>
                <w:lang w:val="en-US" w:eastAsia="zh-CN"/>
              </w:rPr>
              <w:t>1-10月</w:t>
            </w:r>
            <w:r>
              <w:rPr>
                <w:rFonts w:hint="eastAsia"/>
                <w:color w:val="auto"/>
              </w:rPr>
              <w:t>自行监测检测报告，项目4t/h生物质锅炉废气</w:t>
            </w:r>
            <w:r>
              <w:rPr>
                <w:rFonts w:hint="eastAsia"/>
                <w:color w:val="auto"/>
                <w:lang w:val="en-US" w:eastAsia="zh-CN"/>
              </w:rPr>
              <w:t>中</w:t>
            </w:r>
            <w:r>
              <w:rPr>
                <w:rFonts w:hint="eastAsia"/>
                <w:color w:val="auto"/>
              </w:rPr>
              <w:t>颗粒物、SO</w:t>
            </w:r>
            <w:r>
              <w:rPr>
                <w:rFonts w:hint="eastAsia"/>
                <w:color w:val="auto"/>
                <w:vertAlign w:val="subscript"/>
              </w:rPr>
              <w:t>2</w:t>
            </w:r>
            <w:r>
              <w:rPr>
                <w:rFonts w:hint="eastAsia"/>
                <w:color w:val="auto"/>
              </w:rPr>
              <w:t>、NO</w:t>
            </w:r>
            <w:r>
              <w:rPr>
                <w:rFonts w:hint="eastAsia"/>
                <w:color w:val="auto"/>
                <w:vertAlign w:val="subscript"/>
              </w:rPr>
              <w:t>x</w:t>
            </w:r>
            <w:r>
              <w:rPr>
                <w:rFonts w:hint="eastAsia"/>
                <w:color w:val="auto"/>
                <w:vertAlign w:val="baseline"/>
                <w:lang w:eastAsia="zh-CN"/>
              </w:rPr>
              <w:t>、</w:t>
            </w:r>
            <w:r>
              <w:rPr>
                <w:rFonts w:hint="eastAsia"/>
                <w:color w:val="auto"/>
                <w:lang w:eastAsia="zh-CN"/>
              </w:rPr>
              <w:t>汞及其化合物</w:t>
            </w:r>
            <w:r>
              <w:rPr>
                <w:rFonts w:hint="eastAsia"/>
                <w:color w:val="auto"/>
              </w:rPr>
              <w:t>排放浓度均满足《锅炉大气污染物排放标准》（GB12371-2014）表2燃煤锅炉标准要求，即：颗粒物≤50mg/m</w:t>
            </w:r>
            <w:r>
              <w:rPr>
                <w:rFonts w:hint="eastAsia"/>
                <w:color w:val="auto"/>
                <w:vertAlign w:val="superscript"/>
              </w:rPr>
              <w:t>3</w:t>
            </w:r>
            <w:r>
              <w:rPr>
                <w:rFonts w:hint="eastAsia"/>
                <w:color w:val="auto"/>
              </w:rPr>
              <w:t>、SO</w:t>
            </w:r>
            <w:r>
              <w:rPr>
                <w:rFonts w:hint="eastAsia"/>
                <w:color w:val="auto"/>
                <w:vertAlign w:val="subscript"/>
              </w:rPr>
              <w:t>2</w:t>
            </w:r>
            <w:r>
              <w:rPr>
                <w:rFonts w:hint="eastAsia"/>
                <w:color w:val="auto"/>
              </w:rPr>
              <w:t>≤300mg/m</w:t>
            </w:r>
            <w:r>
              <w:rPr>
                <w:rFonts w:hint="eastAsia"/>
                <w:color w:val="auto"/>
                <w:vertAlign w:val="superscript"/>
              </w:rPr>
              <w:t>3</w:t>
            </w:r>
            <w:r>
              <w:rPr>
                <w:rFonts w:hint="eastAsia"/>
                <w:color w:val="auto"/>
              </w:rPr>
              <w:t>、NO</w:t>
            </w:r>
            <w:r>
              <w:rPr>
                <w:rFonts w:hint="eastAsia"/>
                <w:color w:val="auto"/>
                <w:vertAlign w:val="subscript"/>
              </w:rPr>
              <w:t>x</w:t>
            </w:r>
            <w:r>
              <w:rPr>
                <w:rFonts w:hint="eastAsia"/>
                <w:color w:val="auto"/>
              </w:rPr>
              <w:t>≤300mg/m</w:t>
            </w:r>
            <w:r>
              <w:rPr>
                <w:rFonts w:hint="eastAsia"/>
                <w:color w:val="auto"/>
                <w:vertAlign w:val="superscript"/>
              </w:rPr>
              <w:t>3</w:t>
            </w:r>
            <w:r>
              <w:rPr>
                <w:rFonts w:hint="eastAsia"/>
                <w:color w:val="auto"/>
                <w:vertAlign w:val="baseline"/>
                <w:lang w:eastAsia="zh-CN"/>
              </w:rPr>
              <w:t>、</w:t>
            </w:r>
            <w:r>
              <w:rPr>
                <w:rFonts w:hint="eastAsia"/>
                <w:color w:val="auto"/>
                <w:lang w:eastAsia="zh-CN"/>
              </w:rPr>
              <w:t>汞及其化合物</w:t>
            </w:r>
            <w:r>
              <w:rPr>
                <w:rFonts w:hint="eastAsia"/>
                <w:color w:val="auto"/>
              </w:rPr>
              <w:t>≤</w:t>
            </w:r>
            <w:r>
              <w:rPr>
                <w:rFonts w:hint="eastAsia"/>
                <w:color w:val="auto"/>
                <w:lang w:val="en-US" w:eastAsia="zh-CN"/>
              </w:rPr>
              <w:t>0.05</w:t>
            </w:r>
            <w:r>
              <w:rPr>
                <w:rFonts w:hint="eastAsia"/>
                <w:color w:val="auto"/>
              </w:rPr>
              <w:t>mg/m</w:t>
            </w:r>
            <w:r>
              <w:rPr>
                <w:rFonts w:hint="eastAsia"/>
                <w:color w:val="auto"/>
                <w:vertAlign w:val="superscript"/>
              </w:rPr>
              <w:t>3</w:t>
            </w:r>
            <w:r>
              <w:rPr>
                <w:rFonts w:hint="eastAsia"/>
                <w:color w:val="auto"/>
              </w:rPr>
              <w:t>。</w:t>
            </w:r>
          </w:p>
          <w:p>
            <w:pPr>
              <w:ind w:firstLine="480"/>
              <w:rPr>
                <w:color w:val="auto"/>
              </w:rPr>
            </w:pPr>
            <w:r>
              <w:rPr>
                <w:rFonts w:hint="eastAsia"/>
                <w:color w:val="auto"/>
              </w:rPr>
              <w:t>根据昆明红海磷肥有限责任公司202</w:t>
            </w:r>
            <w:r>
              <w:rPr>
                <w:rFonts w:hint="eastAsia"/>
                <w:color w:val="auto"/>
                <w:lang w:val="en-US" w:eastAsia="zh-CN"/>
              </w:rPr>
              <w:t>2</w:t>
            </w:r>
            <w:r>
              <w:rPr>
                <w:rFonts w:hint="eastAsia"/>
                <w:color w:val="auto"/>
              </w:rPr>
              <w:t>年</w:t>
            </w:r>
            <w:r>
              <w:rPr>
                <w:rFonts w:hint="eastAsia"/>
                <w:color w:val="auto"/>
                <w:lang w:val="en-US" w:eastAsia="zh-CN"/>
              </w:rPr>
              <w:t>全年</w:t>
            </w:r>
            <w:r>
              <w:rPr>
                <w:rFonts w:hint="eastAsia"/>
                <w:color w:val="auto"/>
              </w:rPr>
              <w:t>自行监测检测报告</w:t>
            </w:r>
            <w:r>
              <w:rPr>
                <w:rFonts w:hint="eastAsia"/>
                <w:color w:val="auto"/>
                <w:lang w:val="en-US" w:eastAsia="zh-CN"/>
              </w:rPr>
              <w:t>统计结果</w:t>
            </w:r>
            <w:r>
              <w:rPr>
                <w:rFonts w:hint="eastAsia"/>
                <w:color w:val="auto"/>
              </w:rPr>
              <w:t>，锅炉废气污染物</w:t>
            </w:r>
            <w:r>
              <w:rPr>
                <w:rFonts w:hint="eastAsia"/>
                <w:color w:val="auto"/>
                <w:lang w:val="en-US" w:eastAsia="zh-CN"/>
              </w:rPr>
              <w:t>实际年</w:t>
            </w:r>
            <w:r>
              <w:rPr>
                <w:rFonts w:hint="eastAsia"/>
                <w:color w:val="auto"/>
              </w:rPr>
              <w:t>排放量为：颗粒物</w:t>
            </w:r>
            <w:r>
              <w:rPr>
                <w:rFonts w:hint="eastAsia"/>
                <w:color w:val="auto"/>
                <w:lang w:val="en-US" w:eastAsia="zh-CN"/>
              </w:rPr>
              <w:t>0.552</w:t>
            </w:r>
            <w:r>
              <w:rPr>
                <w:rFonts w:hint="eastAsia"/>
                <w:color w:val="auto"/>
              </w:rPr>
              <w:t>t/a、SO</w:t>
            </w:r>
            <w:r>
              <w:rPr>
                <w:rFonts w:hint="eastAsia"/>
                <w:color w:val="auto"/>
                <w:vertAlign w:val="subscript"/>
              </w:rPr>
              <w:t>2</w:t>
            </w:r>
            <w:r>
              <w:rPr>
                <w:rFonts w:hint="eastAsia"/>
                <w:color w:val="auto"/>
                <w:lang w:val="en-US" w:eastAsia="zh-CN"/>
              </w:rPr>
              <w:t>0.466</w:t>
            </w:r>
            <w:r>
              <w:rPr>
                <w:rFonts w:hint="eastAsia"/>
                <w:color w:val="auto"/>
              </w:rPr>
              <w:t>t/a、NOx</w:t>
            </w:r>
            <w:r>
              <w:rPr>
                <w:rFonts w:hint="eastAsia"/>
                <w:color w:val="auto"/>
                <w:lang w:val="en-US" w:eastAsia="zh-CN"/>
              </w:rPr>
              <w:t>2.295</w:t>
            </w:r>
            <w:r>
              <w:rPr>
                <w:rFonts w:hint="eastAsia"/>
                <w:color w:val="auto"/>
              </w:rPr>
              <w:t>t/a</w:t>
            </w:r>
            <w:r>
              <w:rPr>
                <w:rFonts w:hint="eastAsia"/>
                <w:color w:val="auto"/>
                <w:lang w:eastAsia="zh-CN"/>
              </w:rPr>
              <w:t>、汞及其化合物</w:t>
            </w:r>
            <w:r>
              <w:rPr>
                <w:rFonts w:hint="eastAsia"/>
                <w:color w:val="auto"/>
                <w:lang w:val="en-US" w:eastAsia="zh-CN"/>
              </w:rPr>
              <w:t>0.387kg</w:t>
            </w:r>
            <w:r>
              <w:rPr>
                <w:rFonts w:hint="eastAsia"/>
                <w:color w:val="auto"/>
              </w:rPr>
              <w:t>/a。</w:t>
            </w:r>
          </w:p>
          <w:p>
            <w:pPr>
              <w:ind w:firstLine="480"/>
              <w:rPr>
                <w:color w:val="auto"/>
              </w:rPr>
            </w:pPr>
            <w:r>
              <w:rPr>
                <w:rFonts w:hint="eastAsia"/>
                <w:color w:val="auto"/>
              </w:rPr>
              <w:t>综上所述，改建项目建成后4t/h生物质锅炉</w:t>
            </w:r>
            <w:r>
              <w:rPr>
                <w:rFonts w:hint="eastAsia"/>
                <w:color w:val="auto"/>
                <w:lang w:val="en-US" w:eastAsia="zh-CN"/>
              </w:rPr>
              <w:t>燃料使用类型及使用量不发生改变，</w:t>
            </w:r>
            <w:r>
              <w:rPr>
                <w:rFonts w:hint="eastAsia"/>
                <w:color w:val="auto"/>
              </w:rPr>
              <w:t>废气污染物能实现达标排放，污染物排放总量不发生变化。</w:t>
            </w:r>
          </w:p>
          <w:p>
            <w:pPr>
              <w:ind w:firstLine="480"/>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lang w:val="en-US" w:eastAsia="zh-CN"/>
              </w:rPr>
              <w:t>造粒</w:t>
            </w:r>
            <w:r>
              <w:rPr>
                <w:rFonts w:hint="eastAsia"/>
                <w:color w:val="auto"/>
              </w:rPr>
              <w:t>烘干废气</w:t>
            </w:r>
          </w:p>
          <w:p>
            <w:pPr>
              <w:ind w:firstLine="480"/>
              <w:rPr>
                <w:color w:val="auto"/>
              </w:rPr>
            </w:pPr>
            <w:r>
              <w:rPr>
                <w:rFonts w:hint="eastAsia"/>
                <w:color w:val="auto"/>
              </w:rPr>
              <w:t>原装置烘干过程主要是降低物料含水率，以达到产品含水率要求，根据建设单位提供的资料，改建项目</w:t>
            </w:r>
            <w:r>
              <w:rPr>
                <w:rFonts w:hint="eastAsia"/>
                <w:color w:val="auto"/>
                <w:lang w:val="en-US" w:eastAsia="zh-CN"/>
              </w:rPr>
              <w:t>拟综合利用的含磷废渣含水率为0.1~40.75%，含水率高于现有项目原料含水率，改建</w:t>
            </w:r>
            <w:r>
              <w:rPr>
                <w:rFonts w:hint="eastAsia"/>
                <w:color w:val="auto"/>
              </w:rPr>
              <w:t>后</w:t>
            </w:r>
            <w:r>
              <w:rPr>
                <w:rFonts w:hint="eastAsia"/>
                <w:color w:val="auto"/>
                <w:lang w:val="en-US" w:eastAsia="zh-CN"/>
              </w:rPr>
              <w:t>将通过减少造粒工序补水量以使后续生产过程物料水分含量在改建前后保持一致，</w:t>
            </w:r>
            <w:r>
              <w:rPr>
                <w:rFonts w:hint="eastAsia"/>
                <w:color w:val="auto"/>
              </w:rPr>
              <w:t>故烘干工段去除水分情况不会发生变化</w:t>
            </w:r>
            <w:r>
              <w:rPr>
                <w:rFonts w:hint="eastAsia"/>
                <w:color w:val="auto"/>
                <w:lang w:eastAsia="zh-CN"/>
              </w:rPr>
              <w:t>，</w:t>
            </w:r>
            <w:r>
              <w:rPr>
                <w:rFonts w:hint="eastAsia"/>
                <w:color w:val="auto"/>
              </w:rPr>
              <w:t>由此可知，烘干工段用煤量保持不变，改建项目建成后不会增加烘干炉的用煤量。</w:t>
            </w:r>
          </w:p>
          <w:p>
            <w:pPr>
              <w:ind w:firstLine="480"/>
              <w:rPr>
                <w:color w:val="auto"/>
              </w:rPr>
            </w:pPr>
            <w:r>
              <w:rPr>
                <w:rFonts w:hint="eastAsia"/>
                <w:color w:val="auto"/>
              </w:rPr>
              <w:t>根据建设单位提供资料，项目烘干</w:t>
            </w:r>
            <w:r>
              <w:rPr>
                <w:rFonts w:hint="eastAsia"/>
                <w:color w:val="auto"/>
                <w:lang w:val="en-US" w:eastAsia="zh-CN"/>
              </w:rPr>
              <w:t>废气</w:t>
            </w:r>
            <w:r>
              <w:rPr>
                <w:rFonts w:hint="eastAsia"/>
                <w:color w:val="auto"/>
              </w:rPr>
              <w:t>通过旋风除尘+重力沉降+</w:t>
            </w:r>
            <w:r>
              <w:rPr>
                <w:rFonts w:hint="eastAsia"/>
                <w:color w:val="auto"/>
                <w:lang w:val="en-US" w:eastAsia="zh-CN"/>
              </w:rPr>
              <w:t>水膜脱硫除尘</w:t>
            </w:r>
            <w:r>
              <w:rPr>
                <w:rFonts w:hint="eastAsia"/>
                <w:color w:val="auto"/>
              </w:rPr>
              <w:t>处理装置处理后通过15m高排气筒（DA009）排放。根据昆明红海磷肥有限责任公司2023年</w:t>
            </w:r>
            <w:r>
              <w:rPr>
                <w:rFonts w:hint="eastAsia"/>
                <w:color w:val="auto"/>
                <w:lang w:val="en-US" w:eastAsia="zh-CN"/>
              </w:rPr>
              <w:t>1-10月</w:t>
            </w:r>
            <w:r>
              <w:rPr>
                <w:rFonts w:hint="eastAsia"/>
                <w:color w:val="auto"/>
              </w:rPr>
              <w:t>自行监测检测报告，项目烘干</w:t>
            </w:r>
            <w:r>
              <w:rPr>
                <w:rFonts w:hint="eastAsia"/>
                <w:color w:val="auto"/>
                <w:lang w:val="en-US" w:eastAsia="zh-CN"/>
              </w:rPr>
              <w:t>废气中</w:t>
            </w:r>
            <w:r>
              <w:rPr>
                <w:rFonts w:hint="eastAsia"/>
                <w:color w:val="auto"/>
              </w:rPr>
              <w:t>颗粒物、SO</w:t>
            </w:r>
            <w:r>
              <w:rPr>
                <w:rFonts w:hint="eastAsia"/>
                <w:color w:val="auto"/>
                <w:vertAlign w:val="subscript"/>
              </w:rPr>
              <w:t xml:space="preserve">2 </w:t>
            </w:r>
            <w:r>
              <w:rPr>
                <w:rFonts w:hint="eastAsia"/>
                <w:color w:val="auto"/>
              </w:rPr>
              <w:t>、NO</w:t>
            </w:r>
            <w:r>
              <w:rPr>
                <w:rFonts w:hint="eastAsia"/>
                <w:color w:val="auto"/>
                <w:vertAlign w:val="subscript"/>
              </w:rPr>
              <w:t xml:space="preserve">x </w:t>
            </w:r>
            <w:r>
              <w:rPr>
                <w:rFonts w:hint="eastAsia"/>
                <w:color w:val="auto"/>
              </w:rPr>
              <w:t>排放浓度</w:t>
            </w:r>
            <w:r>
              <w:rPr>
                <w:rFonts w:hint="eastAsia"/>
                <w:color w:val="auto"/>
                <w:lang w:val="en-US" w:eastAsia="zh-CN"/>
              </w:rPr>
              <w:t>和排放速率均</w:t>
            </w:r>
            <w:r>
              <w:rPr>
                <w:rFonts w:hint="eastAsia"/>
                <w:color w:val="auto"/>
              </w:rPr>
              <w:t>满足</w:t>
            </w:r>
            <w:r>
              <w:rPr>
                <w:rFonts w:hint="eastAsia" w:hAnsi="宋体"/>
                <w:color w:val="auto"/>
              </w:rPr>
              <w:t>《大气污染物综合排放标准》（GB16297-1996）表2二级标准</w:t>
            </w:r>
            <w:r>
              <w:rPr>
                <w:rFonts w:hint="eastAsia" w:hAnsi="宋体"/>
                <w:color w:val="auto"/>
                <w:lang w:val="en-US" w:eastAsia="zh-CN"/>
              </w:rPr>
              <w:t>限值要求</w:t>
            </w:r>
            <w:r>
              <w:rPr>
                <w:rFonts w:hint="eastAsia"/>
                <w:color w:val="auto"/>
              </w:rPr>
              <w:t>，即：颗粒物</w:t>
            </w:r>
            <w:r>
              <w:rPr>
                <w:rFonts w:hint="eastAsia"/>
                <w:color w:val="auto"/>
                <w:lang w:val="en-US" w:eastAsia="zh-CN"/>
              </w:rPr>
              <w:t>12</w:t>
            </w:r>
            <w:r>
              <w:rPr>
                <w:rFonts w:hint="eastAsia"/>
                <w:color w:val="auto"/>
              </w:rPr>
              <w:t>0mg/m</w:t>
            </w:r>
            <w:r>
              <w:rPr>
                <w:rFonts w:hint="eastAsia"/>
                <w:color w:val="auto"/>
                <w:vertAlign w:val="superscript"/>
              </w:rPr>
              <w:t>3</w:t>
            </w:r>
            <w:r>
              <w:rPr>
                <w:rFonts w:hint="eastAsia"/>
                <w:color w:val="auto"/>
              </w:rPr>
              <w:t>、</w:t>
            </w:r>
            <w:r>
              <w:rPr>
                <w:rFonts w:hint="eastAsia"/>
                <w:color w:val="auto"/>
                <w:lang w:val="en-US" w:eastAsia="zh-CN"/>
              </w:rPr>
              <w:t>3.5</w:t>
            </w:r>
            <w:r>
              <w:rPr>
                <w:rFonts w:hint="eastAsia"/>
                <w:color w:val="auto"/>
              </w:rPr>
              <w:t>kg/h</w:t>
            </w:r>
            <w:r>
              <w:rPr>
                <w:rFonts w:hint="eastAsia"/>
                <w:color w:val="auto"/>
                <w:lang w:eastAsia="zh-CN"/>
              </w:rPr>
              <w:t>，</w:t>
            </w:r>
            <w:r>
              <w:rPr>
                <w:rFonts w:hint="eastAsia"/>
                <w:color w:val="auto"/>
              </w:rPr>
              <w:t>SO</w:t>
            </w:r>
            <w:r>
              <w:rPr>
                <w:rFonts w:hint="eastAsia"/>
                <w:color w:val="auto"/>
                <w:vertAlign w:val="subscript"/>
              </w:rPr>
              <w:t>2</w:t>
            </w:r>
            <w:r>
              <w:rPr>
                <w:rFonts w:hint="eastAsia"/>
                <w:color w:val="auto"/>
              </w:rPr>
              <w:t xml:space="preserve"> </w:t>
            </w:r>
            <w:r>
              <w:rPr>
                <w:rFonts w:hint="eastAsia"/>
                <w:color w:val="auto"/>
                <w:lang w:val="en-US" w:eastAsia="zh-CN"/>
              </w:rPr>
              <w:t>5</w:t>
            </w:r>
            <w:r>
              <w:rPr>
                <w:rFonts w:hint="eastAsia"/>
                <w:color w:val="auto"/>
              </w:rPr>
              <w:t>50mg/m</w:t>
            </w:r>
            <w:r>
              <w:rPr>
                <w:rFonts w:hint="eastAsia"/>
                <w:color w:val="auto"/>
                <w:vertAlign w:val="superscript"/>
              </w:rPr>
              <w:t>3</w:t>
            </w:r>
            <w:r>
              <w:rPr>
                <w:rFonts w:hint="eastAsia"/>
                <w:color w:val="auto"/>
                <w:vertAlign w:val="baseline"/>
                <w:lang w:eastAsia="zh-CN"/>
              </w:rPr>
              <w:t>、</w:t>
            </w:r>
            <w:r>
              <w:rPr>
                <w:rFonts w:hint="eastAsia"/>
                <w:color w:val="auto"/>
                <w:vertAlign w:val="baseline"/>
                <w:lang w:val="en-US" w:eastAsia="zh-CN"/>
              </w:rPr>
              <w:t>2.6</w:t>
            </w:r>
            <w:r>
              <w:rPr>
                <w:rFonts w:hint="eastAsia"/>
                <w:color w:val="auto"/>
              </w:rPr>
              <w:t>kg/h</w:t>
            </w:r>
            <w:r>
              <w:rPr>
                <w:rFonts w:hint="eastAsia"/>
                <w:color w:val="auto"/>
                <w:lang w:eastAsia="zh-CN"/>
              </w:rPr>
              <w:t>，</w:t>
            </w:r>
            <w:r>
              <w:rPr>
                <w:rFonts w:hint="eastAsia"/>
                <w:color w:val="auto"/>
              </w:rPr>
              <w:t>NO</w:t>
            </w:r>
            <w:r>
              <w:rPr>
                <w:rFonts w:hint="eastAsia"/>
                <w:color w:val="auto"/>
                <w:vertAlign w:val="subscript"/>
              </w:rPr>
              <w:t xml:space="preserve">x </w:t>
            </w:r>
            <w:r>
              <w:rPr>
                <w:rFonts w:hint="eastAsia"/>
                <w:color w:val="auto"/>
              </w:rPr>
              <w:t>240mg/m</w:t>
            </w:r>
            <w:r>
              <w:rPr>
                <w:rFonts w:hint="eastAsia"/>
                <w:color w:val="auto"/>
                <w:vertAlign w:val="superscript"/>
              </w:rPr>
              <w:t>3</w:t>
            </w:r>
            <w:r>
              <w:rPr>
                <w:rFonts w:hint="eastAsia"/>
                <w:color w:val="auto"/>
                <w:vertAlign w:val="baseline"/>
                <w:lang w:eastAsia="zh-CN"/>
              </w:rPr>
              <w:t>、</w:t>
            </w:r>
            <w:r>
              <w:rPr>
                <w:rFonts w:hint="eastAsia"/>
                <w:color w:val="auto"/>
                <w:vertAlign w:val="baseline"/>
                <w:lang w:val="en-US" w:eastAsia="zh-CN"/>
              </w:rPr>
              <w:t>0.77</w:t>
            </w:r>
            <w:r>
              <w:rPr>
                <w:rFonts w:hint="eastAsia"/>
                <w:color w:val="auto"/>
              </w:rPr>
              <w:t>kg/h。</w:t>
            </w:r>
          </w:p>
          <w:p>
            <w:pPr>
              <w:ind w:firstLine="480"/>
              <w:rPr>
                <w:rFonts w:hint="eastAsia"/>
                <w:color w:val="auto"/>
              </w:rPr>
            </w:pPr>
            <w:r>
              <w:rPr>
                <w:rFonts w:hint="eastAsia"/>
                <w:color w:val="auto"/>
              </w:rPr>
              <w:t>根据昆明红海磷肥有限责任公司202</w:t>
            </w:r>
            <w:r>
              <w:rPr>
                <w:rFonts w:hint="eastAsia"/>
                <w:color w:val="auto"/>
                <w:lang w:val="en-US" w:eastAsia="zh-CN"/>
              </w:rPr>
              <w:t>2</w:t>
            </w:r>
            <w:r>
              <w:rPr>
                <w:rFonts w:hint="eastAsia"/>
                <w:color w:val="auto"/>
              </w:rPr>
              <w:t>年</w:t>
            </w:r>
            <w:r>
              <w:rPr>
                <w:rFonts w:hint="eastAsia"/>
                <w:color w:val="auto"/>
                <w:lang w:val="en-US" w:eastAsia="zh-CN"/>
              </w:rPr>
              <w:t>全年</w:t>
            </w:r>
            <w:r>
              <w:rPr>
                <w:rFonts w:hint="eastAsia"/>
                <w:color w:val="auto"/>
              </w:rPr>
              <w:t>自行监测检测报告</w:t>
            </w:r>
            <w:r>
              <w:rPr>
                <w:rFonts w:hint="eastAsia"/>
                <w:color w:val="auto"/>
                <w:lang w:val="en-US" w:eastAsia="zh-CN"/>
              </w:rPr>
              <w:t>统计结果</w:t>
            </w:r>
            <w:r>
              <w:rPr>
                <w:rFonts w:hint="eastAsia"/>
                <w:color w:val="auto"/>
              </w:rPr>
              <w:t>，</w:t>
            </w:r>
            <w:r>
              <w:rPr>
                <w:rFonts w:hint="eastAsia"/>
                <w:color w:val="auto"/>
                <w:lang w:val="en-US" w:eastAsia="zh-CN"/>
              </w:rPr>
              <w:t>烘干</w:t>
            </w:r>
            <w:r>
              <w:rPr>
                <w:rFonts w:hint="eastAsia"/>
                <w:color w:val="auto"/>
              </w:rPr>
              <w:t>废气污染物</w:t>
            </w:r>
            <w:r>
              <w:rPr>
                <w:rFonts w:hint="eastAsia"/>
                <w:color w:val="auto"/>
                <w:lang w:val="en-US" w:eastAsia="zh-CN"/>
              </w:rPr>
              <w:t>实际年</w:t>
            </w:r>
            <w:r>
              <w:rPr>
                <w:rFonts w:hint="eastAsia"/>
                <w:color w:val="auto"/>
              </w:rPr>
              <w:t>排放量为：颗粒物</w:t>
            </w:r>
            <w:r>
              <w:rPr>
                <w:rFonts w:hint="eastAsia"/>
                <w:color w:val="auto"/>
                <w:lang w:val="en-US" w:eastAsia="zh-CN"/>
              </w:rPr>
              <w:t>4.787</w:t>
            </w:r>
            <w:r>
              <w:rPr>
                <w:rFonts w:hint="eastAsia"/>
                <w:color w:val="auto"/>
              </w:rPr>
              <w:t>t/a、SO</w:t>
            </w:r>
            <w:r>
              <w:rPr>
                <w:rFonts w:hint="eastAsia"/>
                <w:color w:val="auto"/>
                <w:vertAlign w:val="subscript"/>
              </w:rPr>
              <w:t>2</w:t>
            </w:r>
            <w:r>
              <w:rPr>
                <w:rFonts w:hint="eastAsia"/>
                <w:color w:val="auto"/>
                <w:lang w:val="en-US" w:eastAsia="zh-CN"/>
              </w:rPr>
              <w:t>4.756</w:t>
            </w:r>
            <w:r>
              <w:rPr>
                <w:rFonts w:hint="eastAsia"/>
                <w:color w:val="auto"/>
              </w:rPr>
              <w:t>t/a、NOx</w:t>
            </w:r>
            <w:r>
              <w:rPr>
                <w:rFonts w:hint="eastAsia"/>
                <w:color w:val="auto"/>
                <w:lang w:val="en-US" w:eastAsia="zh-CN"/>
              </w:rPr>
              <w:t>1.772</w:t>
            </w:r>
            <w:r>
              <w:rPr>
                <w:rFonts w:hint="eastAsia"/>
                <w:color w:val="auto"/>
              </w:rPr>
              <w:t>t/a。</w:t>
            </w:r>
          </w:p>
          <w:p>
            <w:pPr>
              <w:ind w:firstLine="480"/>
              <w:rPr>
                <w:color w:val="auto"/>
              </w:rPr>
            </w:pPr>
            <w:r>
              <w:rPr>
                <w:rFonts w:hint="eastAsia"/>
                <w:color w:val="auto"/>
              </w:rPr>
              <w:t>综上所述，项目烘干</w:t>
            </w:r>
            <w:r>
              <w:rPr>
                <w:rFonts w:hint="eastAsia"/>
                <w:color w:val="auto"/>
                <w:lang w:val="en-US" w:eastAsia="zh-CN"/>
              </w:rPr>
              <w:t>废气</w:t>
            </w:r>
            <w:r>
              <w:rPr>
                <w:rFonts w:hint="eastAsia"/>
                <w:color w:val="auto"/>
              </w:rPr>
              <w:t>污染物能达标排放，改建完成后污染物排放总量不会增加。</w:t>
            </w:r>
          </w:p>
          <w:p>
            <w:pPr>
              <w:ind w:firstLine="480"/>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非正常排放</w:t>
            </w:r>
          </w:p>
          <w:p>
            <w:pPr>
              <w:ind w:firstLine="480"/>
              <w:rPr>
                <w:color w:val="auto"/>
              </w:rPr>
            </w:pPr>
            <w:r>
              <w:rPr>
                <w:rFonts w:hint="eastAsia"/>
                <w:color w:val="auto"/>
              </w:rPr>
              <w:t>非正常排放主要是指</w:t>
            </w:r>
            <w:r>
              <w:rPr>
                <w:rFonts w:hint="eastAsia"/>
                <w:color w:val="auto"/>
                <w:lang w:val="en-US" w:eastAsia="zh-CN"/>
              </w:rPr>
              <w:t>废气治理设施</w:t>
            </w:r>
            <w:r>
              <w:rPr>
                <w:rFonts w:hint="eastAsia"/>
                <w:color w:val="auto"/>
              </w:rPr>
              <w:t>处理效率降低，导致污染物非正常排放的情况，环评在此取</w:t>
            </w:r>
            <w:r>
              <w:rPr>
                <w:rFonts w:hint="eastAsia"/>
                <w:color w:val="auto"/>
                <w:lang w:val="en-US" w:eastAsia="zh-CN"/>
              </w:rPr>
              <w:t>废气治理设施</w:t>
            </w:r>
            <w:r>
              <w:rPr>
                <w:rFonts w:hint="eastAsia"/>
                <w:color w:val="auto"/>
              </w:rPr>
              <w:t>处理效率降至50%情况下，有组织废气排放情况，则非正常工况下污染物排放源强见下表。</w:t>
            </w:r>
          </w:p>
          <w:p>
            <w:pPr>
              <w:pStyle w:val="14"/>
              <w:rPr>
                <w:color w:val="auto"/>
              </w:rPr>
            </w:pPr>
            <w:r>
              <w:rPr>
                <w:rFonts w:hint="eastAsia"/>
                <w:color w:val="auto"/>
              </w:rPr>
              <w:t>表4-</w:t>
            </w:r>
            <w:r>
              <w:rPr>
                <w:rFonts w:hint="eastAsia"/>
                <w:color w:val="auto"/>
                <w:lang w:val="en-US" w:eastAsia="zh-CN"/>
              </w:rPr>
              <w:t>3</w:t>
            </w:r>
            <w:r>
              <w:rPr>
                <w:rFonts w:hint="eastAsia"/>
                <w:color w:val="auto"/>
              </w:rPr>
              <w:t xml:space="preserve">  有组织废气非正常排放情况一览表</w:t>
            </w:r>
          </w:p>
          <w:tbl>
            <w:tblPr>
              <w:tblStyle w:val="10"/>
              <w:tblW w:w="80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1064"/>
              <w:gridCol w:w="1291"/>
              <w:gridCol w:w="1291"/>
              <w:gridCol w:w="1125"/>
              <w:gridCol w:w="112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Align w:val="center"/>
                </w:tcPr>
                <w:p>
                  <w:pPr>
                    <w:pStyle w:val="15"/>
                    <w:rPr>
                      <w:color w:val="auto"/>
                    </w:rPr>
                  </w:pPr>
                  <w:r>
                    <w:rPr>
                      <w:rFonts w:hint="eastAsia"/>
                      <w:color w:val="auto"/>
                    </w:rPr>
                    <w:t>排放源</w:t>
                  </w:r>
                </w:p>
              </w:tc>
              <w:tc>
                <w:tcPr>
                  <w:tcW w:w="1064" w:type="dxa"/>
                  <w:vAlign w:val="center"/>
                </w:tcPr>
                <w:p>
                  <w:pPr>
                    <w:pStyle w:val="15"/>
                    <w:rPr>
                      <w:color w:val="auto"/>
                    </w:rPr>
                  </w:pPr>
                  <w:r>
                    <w:rPr>
                      <w:rFonts w:hint="eastAsia"/>
                      <w:color w:val="auto"/>
                    </w:rPr>
                    <w:t>污染物</w:t>
                  </w:r>
                </w:p>
              </w:tc>
              <w:tc>
                <w:tcPr>
                  <w:tcW w:w="1291" w:type="dxa"/>
                  <w:vAlign w:val="center"/>
                </w:tcPr>
                <w:p>
                  <w:pPr>
                    <w:pStyle w:val="15"/>
                    <w:rPr>
                      <w:rFonts w:hint="default" w:eastAsia="宋体"/>
                      <w:color w:val="auto"/>
                      <w:lang w:val="en-US" w:eastAsia="zh-CN"/>
                    </w:rPr>
                  </w:pPr>
                  <w:r>
                    <w:rPr>
                      <w:rFonts w:hint="eastAsia"/>
                      <w:color w:val="auto"/>
                      <w:lang w:val="en-US" w:eastAsia="zh-CN"/>
                    </w:rPr>
                    <w:t>治理设施去除效率</w:t>
                  </w:r>
                </w:p>
              </w:tc>
              <w:tc>
                <w:tcPr>
                  <w:tcW w:w="1291" w:type="dxa"/>
                  <w:vAlign w:val="center"/>
                </w:tcPr>
                <w:p>
                  <w:pPr>
                    <w:pStyle w:val="15"/>
                    <w:rPr>
                      <w:color w:val="auto"/>
                    </w:rPr>
                  </w:pPr>
                  <w:r>
                    <w:rPr>
                      <w:rFonts w:hint="eastAsia"/>
                      <w:color w:val="auto"/>
                    </w:rPr>
                    <w:t>排放量（</w:t>
                  </w:r>
                  <w:r>
                    <w:rPr>
                      <w:color w:val="auto"/>
                    </w:rPr>
                    <w:t>t/a</w:t>
                  </w:r>
                  <w:r>
                    <w:rPr>
                      <w:rFonts w:hint="eastAsia"/>
                      <w:color w:val="auto"/>
                    </w:rPr>
                    <w:t>）</w:t>
                  </w:r>
                </w:p>
              </w:tc>
              <w:tc>
                <w:tcPr>
                  <w:tcW w:w="1125" w:type="dxa"/>
                  <w:vAlign w:val="center"/>
                </w:tcPr>
                <w:p>
                  <w:pPr>
                    <w:pStyle w:val="15"/>
                    <w:rPr>
                      <w:rFonts w:hint="default" w:eastAsia="宋体"/>
                      <w:color w:val="auto"/>
                      <w:lang w:val="en-US" w:eastAsia="zh-CN"/>
                    </w:rPr>
                  </w:pPr>
                  <w:r>
                    <w:rPr>
                      <w:rFonts w:hint="eastAsia"/>
                      <w:color w:val="auto"/>
                      <w:lang w:val="en-US" w:eastAsia="zh-CN"/>
                    </w:rPr>
                    <w:t>风机风量（</w:t>
                  </w:r>
                  <w:r>
                    <w:rPr>
                      <w:color w:val="auto"/>
                    </w:rPr>
                    <w:t>m</w:t>
                  </w:r>
                  <w:r>
                    <w:rPr>
                      <w:rFonts w:hint="eastAsia"/>
                      <w:color w:val="auto"/>
                      <w:vertAlign w:val="superscript"/>
                    </w:rPr>
                    <w:t>3</w:t>
                  </w:r>
                  <w:r>
                    <w:rPr>
                      <w:rFonts w:hint="eastAsia"/>
                      <w:color w:val="auto"/>
                      <w:lang w:val="en-US" w:eastAsia="zh-CN"/>
                    </w:rPr>
                    <w:t>/h）</w:t>
                  </w:r>
                </w:p>
              </w:tc>
              <w:tc>
                <w:tcPr>
                  <w:tcW w:w="1125" w:type="dxa"/>
                  <w:vAlign w:val="center"/>
                </w:tcPr>
                <w:p>
                  <w:pPr>
                    <w:pStyle w:val="15"/>
                    <w:rPr>
                      <w:color w:val="auto"/>
                    </w:rPr>
                  </w:pPr>
                  <w:r>
                    <w:rPr>
                      <w:rFonts w:hint="eastAsia"/>
                      <w:color w:val="auto"/>
                    </w:rPr>
                    <w:t>排放浓度（</w:t>
                  </w:r>
                  <w:r>
                    <w:rPr>
                      <w:color w:val="auto"/>
                    </w:rPr>
                    <w:t>mg/m</w:t>
                  </w:r>
                  <w:r>
                    <w:rPr>
                      <w:rFonts w:hint="eastAsia"/>
                      <w:color w:val="auto"/>
                      <w:vertAlign w:val="superscript"/>
                    </w:rPr>
                    <w:t>3</w:t>
                  </w:r>
                  <w:r>
                    <w:rPr>
                      <w:rFonts w:hint="eastAsia"/>
                      <w:color w:val="auto"/>
                    </w:rPr>
                    <w:t>）</w:t>
                  </w:r>
                </w:p>
              </w:tc>
              <w:tc>
                <w:tcPr>
                  <w:tcW w:w="1115" w:type="dxa"/>
                  <w:vAlign w:val="center"/>
                </w:tcPr>
                <w:p>
                  <w:pPr>
                    <w:pStyle w:val="15"/>
                    <w:rPr>
                      <w:color w:val="auto"/>
                    </w:rPr>
                  </w:pPr>
                  <w:r>
                    <w:rPr>
                      <w:rFonts w:hint="eastAsia"/>
                      <w:color w:val="auto"/>
                    </w:rPr>
                    <w:t>排放标准（</w:t>
                  </w:r>
                  <w:r>
                    <w:rPr>
                      <w:color w:val="auto"/>
                    </w:rPr>
                    <w:t>mg/m</w:t>
                  </w:r>
                  <w:r>
                    <w:rPr>
                      <w:rFonts w:hint="eastAsia"/>
                      <w:color w:val="auto"/>
                      <w:vertAlign w:val="superscript"/>
                    </w:rPr>
                    <w:t>3</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Align w:val="center"/>
                </w:tcPr>
                <w:p>
                  <w:pPr>
                    <w:pStyle w:val="15"/>
                    <w:rPr>
                      <w:color w:val="auto"/>
                    </w:rPr>
                  </w:pPr>
                  <w:r>
                    <w:rPr>
                      <w:rFonts w:hint="eastAsia"/>
                      <w:color w:val="auto"/>
                    </w:rPr>
                    <w:t>生产过程</w:t>
                  </w:r>
                </w:p>
              </w:tc>
              <w:tc>
                <w:tcPr>
                  <w:tcW w:w="1064" w:type="dxa"/>
                  <w:vAlign w:val="center"/>
                </w:tcPr>
                <w:p>
                  <w:pPr>
                    <w:pStyle w:val="15"/>
                    <w:rPr>
                      <w:color w:val="auto"/>
                    </w:rPr>
                  </w:pPr>
                  <w:r>
                    <w:rPr>
                      <w:rFonts w:hint="eastAsia"/>
                      <w:color w:val="auto"/>
                    </w:rPr>
                    <w:t>颗粒物</w:t>
                  </w:r>
                </w:p>
              </w:tc>
              <w:tc>
                <w:tcPr>
                  <w:tcW w:w="1291" w:type="dxa"/>
                  <w:vAlign w:val="center"/>
                </w:tcPr>
                <w:p>
                  <w:pPr>
                    <w:pStyle w:val="15"/>
                    <w:rPr>
                      <w:rFonts w:hint="default" w:eastAsia="宋体"/>
                      <w:color w:val="auto"/>
                      <w:lang w:val="en-US" w:eastAsia="zh-CN"/>
                    </w:rPr>
                  </w:pPr>
                  <w:r>
                    <w:rPr>
                      <w:rFonts w:hint="eastAsia"/>
                      <w:color w:val="auto"/>
                      <w:lang w:val="en-US" w:eastAsia="zh-CN"/>
                    </w:rPr>
                    <w:t>49.5%</w:t>
                  </w:r>
                </w:p>
              </w:tc>
              <w:tc>
                <w:tcPr>
                  <w:tcW w:w="1291" w:type="dxa"/>
                  <w:vAlign w:val="center"/>
                </w:tcPr>
                <w:p>
                  <w:pPr>
                    <w:pStyle w:val="15"/>
                    <w:rPr>
                      <w:rFonts w:hint="default" w:eastAsia="宋体"/>
                      <w:color w:val="auto"/>
                      <w:lang w:val="en-US" w:eastAsia="zh-CN"/>
                    </w:rPr>
                  </w:pPr>
                  <w:r>
                    <w:rPr>
                      <w:rFonts w:hint="eastAsia"/>
                      <w:color w:val="auto"/>
                    </w:rPr>
                    <w:t>1</w:t>
                  </w:r>
                  <w:r>
                    <w:rPr>
                      <w:rFonts w:hint="eastAsia"/>
                      <w:color w:val="auto"/>
                      <w:lang w:val="en-US" w:eastAsia="zh-CN"/>
                    </w:rPr>
                    <w:t>10</w:t>
                  </w:r>
                </w:p>
              </w:tc>
              <w:tc>
                <w:tcPr>
                  <w:tcW w:w="1125" w:type="dxa"/>
                  <w:vAlign w:val="center"/>
                </w:tcPr>
                <w:p>
                  <w:pPr>
                    <w:pStyle w:val="15"/>
                    <w:rPr>
                      <w:rFonts w:hint="default" w:eastAsia="宋体"/>
                      <w:color w:val="auto"/>
                      <w:lang w:val="en-US" w:eastAsia="zh-CN"/>
                    </w:rPr>
                  </w:pPr>
                  <w:r>
                    <w:rPr>
                      <w:rFonts w:hint="eastAsia"/>
                      <w:color w:val="auto"/>
                      <w:lang w:val="en-US" w:eastAsia="zh-CN"/>
                    </w:rPr>
                    <w:t>10000</w:t>
                  </w:r>
                </w:p>
              </w:tc>
              <w:tc>
                <w:tcPr>
                  <w:tcW w:w="1125" w:type="dxa"/>
                  <w:vAlign w:val="center"/>
                </w:tcPr>
                <w:p>
                  <w:pPr>
                    <w:pStyle w:val="15"/>
                    <w:rPr>
                      <w:rFonts w:hint="default" w:eastAsia="宋体"/>
                      <w:b/>
                      <w:bCs/>
                      <w:color w:val="auto"/>
                      <w:lang w:val="en-US" w:eastAsia="zh-CN"/>
                    </w:rPr>
                  </w:pPr>
                  <w:r>
                    <w:rPr>
                      <w:rFonts w:hint="eastAsia"/>
                      <w:b/>
                      <w:bCs/>
                      <w:color w:val="auto"/>
                    </w:rPr>
                    <w:t>15</w:t>
                  </w:r>
                  <w:r>
                    <w:rPr>
                      <w:rFonts w:hint="eastAsia"/>
                      <w:b/>
                      <w:bCs/>
                      <w:color w:val="auto"/>
                      <w:lang w:val="en-US" w:eastAsia="zh-CN"/>
                    </w:rPr>
                    <w:t>28</w:t>
                  </w:r>
                </w:p>
              </w:tc>
              <w:tc>
                <w:tcPr>
                  <w:tcW w:w="1115" w:type="dxa"/>
                  <w:vAlign w:val="center"/>
                </w:tcPr>
                <w:p>
                  <w:pPr>
                    <w:pStyle w:val="15"/>
                    <w:rPr>
                      <w:color w:val="auto"/>
                    </w:rPr>
                  </w:pPr>
                  <w:r>
                    <w:rPr>
                      <w:rFonts w:hint="eastAsia"/>
                      <w:color w:val="auto"/>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restart"/>
                  <w:vAlign w:val="center"/>
                </w:tcPr>
                <w:p>
                  <w:pPr>
                    <w:pStyle w:val="15"/>
                    <w:rPr>
                      <w:color w:val="auto"/>
                    </w:rPr>
                  </w:pPr>
                  <w:r>
                    <w:rPr>
                      <w:rFonts w:hint="eastAsia"/>
                      <w:color w:val="auto"/>
                    </w:rPr>
                    <w:t>锅炉废气</w:t>
                  </w:r>
                </w:p>
              </w:tc>
              <w:tc>
                <w:tcPr>
                  <w:tcW w:w="1064" w:type="dxa"/>
                  <w:vAlign w:val="center"/>
                </w:tcPr>
                <w:p>
                  <w:pPr>
                    <w:pStyle w:val="15"/>
                    <w:rPr>
                      <w:color w:val="auto"/>
                    </w:rPr>
                  </w:pPr>
                  <w:r>
                    <w:rPr>
                      <w:rFonts w:hint="eastAsia"/>
                      <w:color w:val="auto"/>
                    </w:rPr>
                    <w:t>颗粒物</w:t>
                  </w:r>
                </w:p>
              </w:tc>
              <w:tc>
                <w:tcPr>
                  <w:tcW w:w="1291" w:type="dxa"/>
                  <w:vAlign w:val="center"/>
                </w:tcPr>
                <w:p>
                  <w:pPr>
                    <w:pStyle w:val="15"/>
                    <w:rPr>
                      <w:rFonts w:hint="default" w:eastAsia="宋体"/>
                      <w:color w:val="auto"/>
                      <w:lang w:val="en-US" w:eastAsia="zh-CN"/>
                    </w:rPr>
                  </w:pPr>
                  <w:r>
                    <w:rPr>
                      <w:rFonts w:hint="eastAsia"/>
                      <w:color w:val="auto"/>
                      <w:lang w:val="en-US" w:eastAsia="zh-CN"/>
                    </w:rPr>
                    <w:t>35%</w:t>
                  </w:r>
                </w:p>
              </w:tc>
              <w:tc>
                <w:tcPr>
                  <w:tcW w:w="1291" w:type="dxa"/>
                  <w:vAlign w:val="center"/>
                </w:tcPr>
                <w:p>
                  <w:pPr>
                    <w:pStyle w:val="15"/>
                    <w:rPr>
                      <w:rFonts w:hint="default" w:eastAsia="宋体"/>
                      <w:color w:val="auto"/>
                      <w:lang w:val="en-US" w:eastAsia="zh-CN"/>
                    </w:rPr>
                  </w:pPr>
                  <w:r>
                    <w:rPr>
                      <w:rFonts w:hint="eastAsia"/>
                      <w:color w:val="auto"/>
                      <w:lang w:val="en-US" w:eastAsia="zh-CN"/>
                    </w:rPr>
                    <w:t>1.196</w:t>
                  </w:r>
                </w:p>
              </w:tc>
              <w:tc>
                <w:tcPr>
                  <w:tcW w:w="1125" w:type="dxa"/>
                  <w:vMerge w:val="restart"/>
                  <w:vAlign w:val="center"/>
                </w:tcPr>
                <w:p>
                  <w:pPr>
                    <w:pStyle w:val="15"/>
                    <w:rPr>
                      <w:rFonts w:hint="default"/>
                      <w:color w:val="auto"/>
                      <w:lang w:val="en-US" w:eastAsia="zh-CN"/>
                    </w:rPr>
                  </w:pPr>
                  <w:r>
                    <w:rPr>
                      <w:rFonts w:hint="eastAsia"/>
                      <w:color w:val="auto"/>
                      <w:lang w:val="en-US" w:eastAsia="zh-CN"/>
                    </w:rPr>
                    <w:t>7000</w:t>
                  </w:r>
                </w:p>
              </w:tc>
              <w:tc>
                <w:tcPr>
                  <w:tcW w:w="1125" w:type="dxa"/>
                  <w:vAlign w:val="center"/>
                </w:tcPr>
                <w:p>
                  <w:pPr>
                    <w:pStyle w:val="15"/>
                    <w:rPr>
                      <w:rFonts w:hint="default" w:eastAsia="宋体"/>
                      <w:b/>
                      <w:bCs/>
                      <w:color w:val="auto"/>
                      <w:lang w:val="en-US" w:eastAsia="zh-CN"/>
                    </w:rPr>
                  </w:pPr>
                  <w:r>
                    <w:rPr>
                      <w:rFonts w:hint="eastAsia"/>
                      <w:b w:val="0"/>
                      <w:bCs w:val="0"/>
                      <w:color w:val="auto"/>
                      <w:lang w:val="en-US" w:eastAsia="zh-CN"/>
                    </w:rPr>
                    <w:t>23.73</w:t>
                  </w:r>
                </w:p>
              </w:tc>
              <w:tc>
                <w:tcPr>
                  <w:tcW w:w="1115" w:type="dxa"/>
                  <w:vAlign w:val="center"/>
                </w:tcPr>
                <w:p>
                  <w:pPr>
                    <w:pStyle w:val="15"/>
                    <w:rPr>
                      <w:color w:val="auto"/>
                    </w:rPr>
                  </w:pPr>
                  <w:r>
                    <w:rPr>
                      <w:rFonts w:hint="eastAsia"/>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continue"/>
                  <w:vAlign w:val="center"/>
                </w:tcPr>
                <w:p>
                  <w:pPr>
                    <w:pStyle w:val="15"/>
                    <w:rPr>
                      <w:color w:val="auto"/>
                    </w:rPr>
                  </w:pPr>
                </w:p>
              </w:tc>
              <w:tc>
                <w:tcPr>
                  <w:tcW w:w="1064" w:type="dxa"/>
                  <w:vAlign w:val="center"/>
                </w:tcPr>
                <w:p>
                  <w:pPr>
                    <w:pStyle w:val="15"/>
                    <w:rPr>
                      <w:color w:val="auto"/>
                    </w:rPr>
                  </w:pPr>
                  <w:r>
                    <w:rPr>
                      <w:rFonts w:hint="eastAsia"/>
                      <w:color w:val="auto"/>
                    </w:rPr>
                    <w:t>SO</w:t>
                  </w:r>
                  <w:r>
                    <w:rPr>
                      <w:rFonts w:hint="eastAsia"/>
                      <w:color w:val="auto"/>
                      <w:vertAlign w:val="subscript"/>
                    </w:rPr>
                    <w:t>2</w:t>
                  </w:r>
                </w:p>
              </w:tc>
              <w:tc>
                <w:tcPr>
                  <w:tcW w:w="1291" w:type="dxa"/>
                  <w:vAlign w:val="center"/>
                </w:tcPr>
                <w:p>
                  <w:pPr>
                    <w:pStyle w:val="15"/>
                    <w:rPr>
                      <w:rFonts w:hint="default" w:eastAsia="宋体"/>
                      <w:color w:val="auto"/>
                      <w:lang w:val="en-US" w:eastAsia="zh-CN"/>
                    </w:rPr>
                  </w:pPr>
                  <w:r>
                    <w:rPr>
                      <w:rFonts w:hint="eastAsia"/>
                      <w:color w:val="auto"/>
                      <w:lang w:val="en-US" w:eastAsia="zh-CN"/>
                    </w:rPr>
                    <w:t>40%</w:t>
                  </w:r>
                </w:p>
              </w:tc>
              <w:tc>
                <w:tcPr>
                  <w:tcW w:w="1291" w:type="dxa"/>
                  <w:vAlign w:val="center"/>
                </w:tcPr>
                <w:p>
                  <w:pPr>
                    <w:pStyle w:val="15"/>
                    <w:rPr>
                      <w:rFonts w:hint="default" w:eastAsia="宋体"/>
                      <w:color w:val="auto"/>
                      <w:lang w:val="en-US" w:eastAsia="zh-CN"/>
                    </w:rPr>
                  </w:pPr>
                  <w:r>
                    <w:rPr>
                      <w:rFonts w:hint="eastAsia"/>
                      <w:color w:val="auto"/>
                      <w:lang w:val="en-US" w:eastAsia="zh-CN"/>
                    </w:rPr>
                    <w:t>1.398</w:t>
                  </w:r>
                </w:p>
              </w:tc>
              <w:tc>
                <w:tcPr>
                  <w:tcW w:w="1125" w:type="dxa"/>
                  <w:vMerge w:val="continue"/>
                  <w:vAlign w:val="center"/>
                </w:tcPr>
                <w:p>
                  <w:pPr>
                    <w:pStyle w:val="15"/>
                    <w:rPr>
                      <w:rFonts w:hint="eastAsia"/>
                      <w:color w:val="auto"/>
                    </w:rPr>
                  </w:pPr>
                </w:p>
              </w:tc>
              <w:tc>
                <w:tcPr>
                  <w:tcW w:w="1125" w:type="dxa"/>
                  <w:vAlign w:val="center"/>
                </w:tcPr>
                <w:p>
                  <w:pPr>
                    <w:pStyle w:val="15"/>
                    <w:rPr>
                      <w:rFonts w:hint="default" w:eastAsia="宋体"/>
                      <w:color w:val="auto"/>
                      <w:lang w:val="en-US" w:eastAsia="zh-CN"/>
                    </w:rPr>
                  </w:pPr>
                  <w:r>
                    <w:rPr>
                      <w:rFonts w:hint="eastAsia"/>
                      <w:color w:val="auto"/>
                      <w:lang w:val="en-US" w:eastAsia="zh-CN"/>
                    </w:rPr>
                    <w:t>27.74</w:t>
                  </w:r>
                </w:p>
              </w:tc>
              <w:tc>
                <w:tcPr>
                  <w:tcW w:w="1115" w:type="dxa"/>
                  <w:vAlign w:val="center"/>
                </w:tcPr>
                <w:p>
                  <w:pPr>
                    <w:pStyle w:val="15"/>
                    <w:rPr>
                      <w:color w:val="auto"/>
                    </w:rPr>
                  </w:pPr>
                  <w:r>
                    <w:rPr>
                      <w:rFonts w:hint="eastAsia"/>
                      <w:color w:val="auto"/>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continue"/>
                  <w:vAlign w:val="center"/>
                </w:tcPr>
                <w:p>
                  <w:pPr>
                    <w:pStyle w:val="15"/>
                    <w:rPr>
                      <w:color w:val="auto"/>
                    </w:rPr>
                  </w:pPr>
                </w:p>
              </w:tc>
              <w:tc>
                <w:tcPr>
                  <w:tcW w:w="1064"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NO</w:t>
                  </w:r>
                  <w:r>
                    <w:rPr>
                      <w:rFonts w:hint="eastAsia"/>
                      <w:color w:val="auto"/>
                      <w:vertAlign w:val="subscript"/>
                    </w:rPr>
                    <w:t>x</w:t>
                  </w:r>
                  <w:r>
                    <w:rPr>
                      <w:rFonts w:hint="eastAsia"/>
                      <w:color w:val="auto"/>
                    </w:rPr>
                    <w:t xml:space="preserve"> </w:t>
                  </w:r>
                </w:p>
              </w:tc>
              <w:tc>
                <w:tcPr>
                  <w:tcW w:w="1291"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w:t>
                  </w:r>
                </w:p>
              </w:tc>
              <w:tc>
                <w:tcPr>
                  <w:tcW w:w="1291"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2.295</w:t>
                  </w:r>
                </w:p>
              </w:tc>
              <w:tc>
                <w:tcPr>
                  <w:tcW w:w="1125" w:type="dxa"/>
                  <w:vMerge w:val="continue"/>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p>
              </w:tc>
              <w:tc>
                <w:tcPr>
                  <w:tcW w:w="1125"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lang w:val="en-US" w:eastAsia="zh-CN"/>
                    </w:rPr>
                    <w:t>45.54</w:t>
                  </w:r>
                </w:p>
              </w:tc>
              <w:tc>
                <w:tcPr>
                  <w:tcW w:w="1115"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continue"/>
                  <w:vAlign w:val="center"/>
                </w:tcPr>
                <w:p>
                  <w:pPr>
                    <w:pStyle w:val="15"/>
                    <w:rPr>
                      <w:color w:val="auto"/>
                    </w:rPr>
                  </w:pPr>
                </w:p>
              </w:tc>
              <w:tc>
                <w:tcPr>
                  <w:tcW w:w="1064" w:type="dxa"/>
                  <w:vAlign w:val="center"/>
                </w:tcPr>
                <w:p>
                  <w:pPr>
                    <w:pStyle w:val="15"/>
                    <w:bidi w:val="0"/>
                    <w:rPr>
                      <w:color w:val="auto"/>
                    </w:rPr>
                  </w:pPr>
                  <w:r>
                    <w:rPr>
                      <w:rFonts w:hint="eastAsia"/>
                      <w:color w:val="auto"/>
                    </w:rPr>
                    <w:t>汞及其化合物</w:t>
                  </w:r>
                </w:p>
              </w:tc>
              <w:tc>
                <w:tcPr>
                  <w:tcW w:w="1291" w:type="dxa"/>
                  <w:vAlign w:val="center"/>
                </w:tcPr>
                <w:p>
                  <w:pPr>
                    <w:pStyle w:val="15"/>
                    <w:rPr>
                      <w:rFonts w:hint="default" w:eastAsia="宋体"/>
                      <w:color w:val="auto"/>
                      <w:lang w:val="en-US" w:eastAsia="zh-CN"/>
                    </w:rPr>
                  </w:pPr>
                  <w:r>
                    <w:rPr>
                      <w:rFonts w:hint="eastAsia"/>
                      <w:color w:val="auto"/>
                      <w:lang w:val="en-US" w:eastAsia="zh-CN"/>
                    </w:rPr>
                    <w:t>/</w:t>
                  </w:r>
                </w:p>
              </w:tc>
              <w:tc>
                <w:tcPr>
                  <w:tcW w:w="1291" w:type="dxa"/>
                  <w:vAlign w:val="center"/>
                </w:tcPr>
                <w:p>
                  <w:pPr>
                    <w:pStyle w:val="15"/>
                    <w:rPr>
                      <w:rFonts w:hint="default"/>
                      <w:color w:val="auto"/>
                      <w:lang w:val="en-US" w:eastAsia="zh-CN"/>
                    </w:rPr>
                  </w:pPr>
                  <w:r>
                    <w:rPr>
                      <w:rFonts w:hint="eastAsia"/>
                      <w:color w:val="auto"/>
                      <w:lang w:val="en-US" w:eastAsia="zh-CN"/>
                    </w:rPr>
                    <w:t>0.387kg/a</w:t>
                  </w:r>
                </w:p>
              </w:tc>
              <w:tc>
                <w:tcPr>
                  <w:tcW w:w="1125" w:type="dxa"/>
                  <w:vMerge w:val="continue"/>
                  <w:vAlign w:val="center"/>
                </w:tcPr>
                <w:p>
                  <w:pPr>
                    <w:pStyle w:val="15"/>
                    <w:rPr>
                      <w:rFonts w:hint="eastAsia"/>
                      <w:color w:val="auto"/>
                    </w:rPr>
                  </w:pPr>
                </w:p>
              </w:tc>
              <w:tc>
                <w:tcPr>
                  <w:tcW w:w="1125" w:type="dxa"/>
                  <w:vAlign w:val="center"/>
                </w:tcPr>
                <w:p>
                  <w:pPr>
                    <w:pStyle w:val="15"/>
                    <w:rPr>
                      <w:rFonts w:hint="default" w:eastAsia="宋体"/>
                      <w:color w:val="auto"/>
                      <w:lang w:val="en-US" w:eastAsia="zh-CN"/>
                    </w:rPr>
                  </w:pPr>
                  <w:r>
                    <w:rPr>
                      <w:rFonts w:hint="eastAsia"/>
                      <w:color w:val="auto"/>
                      <w:lang w:val="en-US" w:eastAsia="zh-CN"/>
                    </w:rPr>
                    <w:t>0.0078</w:t>
                  </w:r>
                </w:p>
              </w:tc>
              <w:tc>
                <w:tcPr>
                  <w:tcW w:w="1115" w:type="dxa"/>
                  <w:vAlign w:val="center"/>
                </w:tcPr>
                <w:p>
                  <w:pPr>
                    <w:pStyle w:val="15"/>
                    <w:rPr>
                      <w:rFonts w:hint="default" w:eastAsia="宋体"/>
                      <w:color w:val="auto"/>
                      <w:lang w:val="en-US" w:eastAsia="zh-CN"/>
                    </w:rPr>
                  </w:pPr>
                  <w:r>
                    <w:rPr>
                      <w:rFonts w:hint="eastAsia"/>
                      <w:color w:val="auto"/>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restart"/>
                  <w:vAlign w:val="center"/>
                </w:tcPr>
                <w:p>
                  <w:pPr>
                    <w:pStyle w:val="15"/>
                    <w:rPr>
                      <w:color w:val="auto"/>
                    </w:rPr>
                  </w:pPr>
                  <w:r>
                    <w:rPr>
                      <w:rFonts w:hint="eastAsia"/>
                      <w:color w:val="auto"/>
                    </w:rPr>
                    <w:t>烘干废气</w:t>
                  </w:r>
                </w:p>
              </w:tc>
              <w:tc>
                <w:tcPr>
                  <w:tcW w:w="1064" w:type="dxa"/>
                  <w:vAlign w:val="center"/>
                </w:tcPr>
                <w:p>
                  <w:pPr>
                    <w:pStyle w:val="15"/>
                    <w:rPr>
                      <w:color w:val="auto"/>
                    </w:rPr>
                  </w:pPr>
                  <w:r>
                    <w:rPr>
                      <w:rFonts w:hint="eastAsia"/>
                      <w:color w:val="auto"/>
                    </w:rPr>
                    <w:t>颗粒物</w:t>
                  </w:r>
                </w:p>
              </w:tc>
              <w:tc>
                <w:tcPr>
                  <w:tcW w:w="1291" w:type="dxa"/>
                  <w:vAlign w:val="center"/>
                </w:tcPr>
                <w:p>
                  <w:pPr>
                    <w:pStyle w:val="15"/>
                    <w:rPr>
                      <w:rFonts w:hint="default" w:eastAsia="宋体"/>
                      <w:color w:val="auto"/>
                      <w:lang w:val="en-US" w:eastAsia="zh-CN"/>
                    </w:rPr>
                  </w:pPr>
                  <w:r>
                    <w:rPr>
                      <w:rFonts w:hint="eastAsia"/>
                      <w:color w:val="auto"/>
                      <w:lang w:val="en-US" w:eastAsia="zh-CN"/>
                    </w:rPr>
                    <w:t>45%</w:t>
                  </w:r>
                </w:p>
              </w:tc>
              <w:tc>
                <w:tcPr>
                  <w:tcW w:w="1291" w:type="dxa"/>
                  <w:vAlign w:val="center"/>
                </w:tcPr>
                <w:p>
                  <w:pPr>
                    <w:pStyle w:val="15"/>
                    <w:rPr>
                      <w:rFonts w:hint="default" w:eastAsia="宋体"/>
                      <w:color w:val="auto"/>
                      <w:lang w:val="en-US" w:eastAsia="zh-CN"/>
                    </w:rPr>
                  </w:pPr>
                  <w:r>
                    <w:rPr>
                      <w:rFonts w:hint="eastAsia"/>
                      <w:color w:val="auto"/>
                      <w:lang w:val="en-US" w:eastAsia="zh-CN"/>
                    </w:rPr>
                    <w:t>26.33</w:t>
                  </w:r>
                </w:p>
              </w:tc>
              <w:tc>
                <w:tcPr>
                  <w:tcW w:w="1125" w:type="dxa"/>
                  <w:vMerge w:val="restart"/>
                  <w:vAlign w:val="center"/>
                </w:tcPr>
                <w:p>
                  <w:pPr>
                    <w:pStyle w:val="15"/>
                    <w:rPr>
                      <w:rFonts w:hint="default" w:eastAsia="宋体"/>
                      <w:color w:val="auto"/>
                      <w:lang w:val="en-US" w:eastAsia="zh-CN"/>
                    </w:rPr>
                  </w:pPr>
                  <w:r>
                    <w:rPr>
                      <w:rFonts w:hint="eastAsia"/>
                      <w:color w:val="auto"/>
                      <w:lang w:val="en-US" w:eastAsia="zh-CN"/>
                    </w:rPr>
                    <w:t>30000</w:t>
                  </w:r>
                </w:p>
              </w:tc>
              <w:tc>
                <w:tcPr>
                  <w:tcW w:w="1125" w:type="dxa"/>
                  <w:vAlign w:val="center"/>
                </w:tcPr>
                <w:p>
                  <w:pPr>
                    <w:pStyle w:val="15"/>
                    <w:rPr>
                      <w:rFonts w:hint="default" w:eastAsia="宋体"/>
                      <w:color w:val="auto"/>
                      <w:lang w:val="en-US" w:eastAsia="zh-CN"/>
                    </w:rPr>
                  </w:pPr>
                  <w:r>
                    <w:rPr>
                      <w:rFonts w:hint="eastAsia"/>
                      <w:b/>
                      <w:bCs/>
                      <w:color w:val="auto"/>
                      <w:lang w:val="en-US" w:eastAsia="zh-CN"/>
                    </w:rPr>
                    <w:t>121.89</w:t>
                  </w:r>
                </w:p>
              </w:tc>
              <w:tc>
                <w:tcPr>
                  <w:tcW w:w="1115" w:type="dxa"/>
                  <w:vAlign w:val="center"/>
                </w:tcPr>
                <w:p>
                  <w:pPr>
                    <w:pStyle w:val="15"/>
                    <w:rPr>
                      <w:color w:val="auto"/>
                    </w:rPr>
                  </w:pPr>
                  <w:r>
                    <w:rPr>
                      <w:rFonts w:hint="eastAsia"/>
                      <w:color w:val="auto"/>
                      <w:lang w:val="en-US" w:eastAsia="zh-CN"/>
                    </w:rPr>
                    <w:t>12</w:t>
                  </w: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continue"/>
                  <w:vAlign w:val="center"/>
                </w:tcPr>
                <w:p>
                  <w:pPr>
                    <w:pStyle w:val="15"/>
                    <w:rPr>
                      <w:color w:val="auto"/>
                    </w:rPr>
                  </w:pPr>
                </w:p>
              </w:tc>
              <w:tc>
                <w:tcPr>
                  <w:tcW w:w="1064" w:type="dxa"/>
                  <w:vAlign w:val="center"/>
                </w:tcPr>
                <w:p>
                  <w:pPr>
                    <w:pStyle w:val="15"/>
                    <w:rPr>
                      <w:color w:val="auto"/>
                    </w:rPr>
                  </w:pPr>
                  <w:r>
                    <w:rPr>
                      <w:rFonts w:hint="eastAsia"/>
                      <w:color w:val="auto"/>
                    </w:rPr>
                    <w:t>SO</w:t>
                  </w:r>
                  <w:r>
                    <w:rPr>
                      <w:rFonts w:hint="eastAsia"/>
                      <w:color w:val="auto"/>
                      <w:vertAlign w:val="subscript"/>
                    </w:rPr>
                    <w:t>2</w:t>
                  </w:r>
                </w:p>
              </w:tc>
              <w:tc>
                <w:tcPr>
                  <w:tcW w:w="1291" w:type="dxa"/>
                  <w:vAlign w:val="center"/>
                </w:tcPr>
                <w:p>
                  <w:pPr>
                    <w:pStyle w:val="15"/>
                    <w:rPr>
                      <w:rFonts w:hint="default" w:eastAsia="宋体"/>
                      <w:color w:val="auto"/>
                      <w:lang w:val="en-US" w:eastAsia="zh-CN"/>
                    </w:rPr>
                  </w:pPr>
                  <w:r>
                    <w:rPr>
                      <w:rFonts w:hint="eastAsia"/>
                      <w:color w:val="auto"/>
                      <w:lang w:val="en-US" w:eastAsia="zh-CN"/>
                    </w:rPr>
                    <w:t>40%</w:t>
                  </w:r>
                </w:p>
              </w:tc>
              <w:tc>
                <w:tcPr>
                  <w:tcW w:w="1291" w:type="dxa"/>
                  <w:vAlign w:val="center"/>
                </w:tcPr>
                <w:p>
                  <w:pPr>
                    <w:pStyle w:val="15"/>
                    <w:rPr>
                      <w:rFonts w:hint="default" w:eastAsia="宋体"/>
                      <w:color w:val="auto"/>
                      <w:lang w:val="en-US" w:eastAsia="zh-CN"/>
                    </w:rPr>
                  </w:pPr>
                  <w:r>
                    <w:rPr>
                      <w:rFonts w:hint="eastAsia"/>
                      <w:color w:val="auto"/>
                      <w:lang w:val="en-US" w:eastAsia="zh-CN"/>
                    </w:rPr>
                    <w:t>14.268</w:t>
                  </w:r>
                </w:p>
              </w:tc>
              <w:tc>
                <w:tcPr>
                  <w:tcW w:w="1125" w:type="dxa"/>
                  <w:vMerge w:val="continue"/>
                  <w:vAlign w:val="center"/>
                </w:tcPr>
                <w:p>
                  <w:pPr>
                    <w:pStyle w:val="15"/>
                    <w:rPr>
                      <w:rFonts w:hint="eastAsia"/>
                      <w:color w:val="auto"/>
                    </w:rPr>
                  </w:pPr>
                </w:p>
              </w:tc>
              <w:tc>
                <w:tcPr>
                  <w:tcW w:w="1125" w:type="dxa"/>
                  <w:vAlign w:val="center"/>
                </w:tcPr>
                <w:p>
                  <w:pPr>
                    <w:pStyle w:val="15"/>
                    <w:rPr>
                      <w:rFonts w:hint="default" w:eastAsia="宋体"/>
                      <w:color w:val="auto"/>
                      <w:lang w:val="en-US" w:eastAsia="zh-CN"/>
                    </w:rPr>
                  </w:pPr>
                  <w:r>
                    <w:rPr>
                      <w:rFonts w:hint="eastAsia"/>
                      <w:color w:val="auto"/>
                      <w:lang w:val="en-US" w:eastAsia="zh-CN"/>
                    </w:rPr>
                    <w:t>66.06</w:t>
                  </w:r>
                </w:p>
              </w:tc>
              <w:tc>
                <w:tcPr>
                  <w:tcW w:w="1115" w:type="dxa"/>
                  <w:vAlign w:val="center"/>
                </w:tcPr>
                <w:p>
                  <w:pPr>
                    <w:pStyle w:val="15"/>
                    <w:rPr>
                      <w:color w:val="auto"/>
                    </w:rPr>
                  </w:pPr>
                  <w:r>
                    <w:rPr>
                      <w:rFonts w:hint="eastAsia"/>
                      <w:color w:val="auto"/>
                      <w:lang w:val="en-US" w:eastAsia="zh-CN"/>
                    </w:rPr>
                    <w:t>5</w:t>
                  </w:r>
                  <w:r>
                    <w:rPr>
                      <w:rFonts w:hint="eastAsia"/>
                      <w:color w:val="auto"/>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59" w:type="dxa"/>
                  <w:vMerge w:val="continue"/>
                  <w:vAlign w:val="center"/>
                </w:tcPr>
                <w:p>
                  <w:pPr>
                    <w:pStyle w:val="15"/>
                    <w:rPr>
                      <w:color w:val="auto"/>
                    </w:rPr>
                  </w:pPr>
                </w:p>
              </w:tc>
              <w:tc>
                <w:tcPr>
                  <w:tcW w:w="1064" w:type="dxa"/>
                  <w:vAlign w:val="center"/>
                </w:tcPr>
                <w:p>
                  <w:pPr>
                    <w:pStyle w:val="15"/>
                    <w:rPr>
                      <w:color w:val="auto"/>
                    </w:rPr>
                  </w:pPr>
                  <w:r>
                    <w:rPr>
                      <w:rFonts w:hint="eastAsia"/>
                      <w:color w:val="auto"/>
                    </w:rPr>
                    <w:t>NO</w:t>
                  </w:r>
                  <w:r>
                    <w:rPr>
                      <w:rFonts w:hint="eastAsia"/>
                      <w:color w:val="auto"/>
                      <w:vertAlign w:val="subscript"/>
                    </w:rPr>
                    <w:t>x</w:t>
                  </w:r>
                  <w:r>
                    <w:rPr>
                      <w:rFonts w:hint="eastAsia"/>
                      <w:color w:val="auto"/>
                    </w:rPr>
                    <w:t xml:space="preserve"> </w:t>
                  </w:r>
                </w:p>
              </w:tc>
              <w:tc>
                <w:tcPr>
                  <w:tcW w:w="1291" w:type="dxa"/>
                  <w:vAlign w:val="center"/>
                </w:tcPr>
                <w:p>
                  <w:pPr>
                    <w:pStyle w:val="15"/>
                    <w:rPr>
                      <w:rFonts w:hint="eastAsia" w:eastAsia="宋体"/>
                      <w:color w:val="auto"/>
                      <w:lang w:val="en-US" w:eastAsia="zh-CN"/>
                    </w:rPr>
                  </w:pPr>
                  <w:r>
                    <w:rPr>
                      <w:rFonts w:hint="eastAsia"/>
                      <w:color w:val="auto"/>
                      <w:lang w:val="en-US" w:eastAsia="zh-CN"/>
                    </w:rPr>
                    <w:t>/</w:t>
                  </w:r>
                </w:p>
              </w:tc>
              <w:tc>
                <w:tcPr>
                  <w:tcW w:w="1291" w:type="dxa"/>
                  <w:vAlign w:val="center"/>
                </w:tcPr>
                <w:p>
                  <w:pPr>
                    <w:pStyle w:val="15"/>
                    <w:rPr>
                      <w:rFonts w:hint="default" w:eastAsia="宋体"/>
                      <w:color w:val="auto"/>
                      <w:lang w:val="en-US" w:eastAsia="zh-CN"/>
                    </w:rPr>
                  </w:pPr>
                  <w:r>
                    <w:rPr>
                      <w:rFonts w:hint="eastAsia"/>
                      <w:color w:val="auto"/>
                      <w:lang w:val="en-US" w:eastAsia="zh-CN"/>
                    </w:rPr>
                    <w:t>1.772</w:t>
                  </w:r>
                </w:p>
              </w:tc>
              <w:tc>
                <w:tcPr>
                  <w:tcW w:w="1125" w:type="dxa"/>
                  <w:vMerge w:val="continue"/>
                  <w:vAlign w:val="center"/>
                </w:tcPr>
                <w:p>
                  <w:pPr>
                    <w:pStyle w:val="15"/>
                    <w:rPr>
                      <w:rFonts w:hint="eastAsia"/>
                      <w:color w:val="auto"/>
                    </w:rPr>
                  </w:pPr>
                </w:p>
              </w:tc>
              <w:tc>
                <w:tcPr>
                  <w:tcW w:w="1125" w:type="dxa"/>
                  <w:vAlign w:val="center"/>
                </w:tcPr>
                <w:p>
                  <w:pPr>
                    <w:pStyle w:val="15"/>
                    <w:rPr>
                      <w:rFonts w:hint="default" w:eastAsia="宋体"/>
                      <w:color w:val="auto"/>
                      <w:lang w:val="en-US" w:eastAsia="zh-CN"/>
                    </w:rPr>
                  </w:pPr>
                  <w:r>
                    <w:rPr>
                      <w:rFonts w:hint="eastAsia"/>
                      <w:color w:val="auto"/>
                      <w:lang w:val="en-US" w:eastAsia="zh-CN"/>
                    </w:rPr>
                    <w:t>8.204</w:t>
                  </w:r>
                </w:p>
              </w:tc>
              <w:tc>
                <w:tcPr>
                  <w:tcW w:w="1115" w:type="dxa"/>
                  <w:vAlign w:val="center"/>
                </w:tcPr>
                <w:p>
                  <w:pPr>
                    <w:pStyle w:val="15"/>
                    <w:rPr>
                      <w:color w:val="auto"/>
                    </w:rPr>
                  </w:pPr>
                  <w:r>
                    <w:rPr>
                      <w:rFonts w:hint="eastAsia"/>
                      <w:color w:val="auto"/>
                    </w:rPr>
                    <w:t>240</w:t>
                  </w:r>
                </w:p>
              </w:tc>
            </w:tr>
          </w:tbl>
          <w:p>
            <w:pPr>
              <w:ind w:firstLine="480"/>
              <w:rPr>
                <w:color w:val="auto"/>
              </w:rPr>
            </w:pPr>
            <w:r>
              <w:rPr>
                <w:rFonts w:hint="eastAsia"/>
                <w:color w:val="auto"/>
              </w:rPr>
              <w:t>根据上表可知，发生非正常排放时项目区外排废气污染物排放量、排放浓度均显著增大，其中颗粒物将出现超标排放情况，故建设单位应加强对环保设施的日常检修维护，保证环保设施的处理效率</w:t>
            </w:r>
            <w:r>
              <w:rPr>
                <w:rFonts w:hint="eastAsia"/>
                <w:color w:val="auto"/>
                <w:lang w:eastAsia="zh-CN"/>
              </w:rPr>
              <w:t>，</w:t>
            </w:r>
            <w:r>
              <w:rPr>
                <w:rFonts w:hint="eastAsia"/>
                <w:color w:val="auto"/>
                <w:lang w:val="en-US" w:eastAsia="zh-CN"/>
              </w:rPr>
              <w:t>若出现颗粒物排放异常情况应及时暂停生产并对废气治理设施进行检修，直至废气治理设施恢复正常方可恢复生产</w:t>
            </w:r>
            <w:r>
              <w:rPr>
                <w:rFonts w:hint="eastAsia"/>
                <w:color w:val="auto"/>
              </w:rPr>
              <w:t>。</w:t>
            </w:r>
          </w:p>
          <w:p>
            <w:pPr>
              <w:ind w:firstLine="480"/>
              <w:rPr>
                <w:rFonts w:ascii="宋体" w:hAnsi="宋体" w:cs="宋体"/>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废气排放口基本信息</w:t>
            </w:r>
          </w:p>
          <w:p>
            <w:pPr>
              <w:widowControl/>
              <w:ind w:firstLine="480"/>
              <w:jc w:val="left"/>
              <w:rPr>
                <w:rFonts w:ascii="宋体" w:hAnsi="宋体" w:cs="宋体"/>
                <w:color w:val="auto"/>
              </w:rPr>
            </w:pPr>
            <w:r>
              <w:rPr>
                <w:rFonts w:hint="eastAsia" w:ascii="宋体" w:hAnsi="宋体" w:cs="宋体"/>
                <w:color w:val="auto"/>
                <w:kern w:val="0"/>
              </w:rPr>
              <w:t>本项目废气治理排放口基本信息见下表。</w:t>
            </w:r>
          </w:p>
          <w:p>
            <w:pPr>
              <w:pStyle w:val="14"/>
              <w:rPr>
                <w:rFonts w:ascii="宋体" w:hAnsi="宋体" w:cs="宋体"/>
                <w:color w:val="auto"/>
                <w:szCs w:val="22"/>
              </w:rPr>
            </w:pPr>
            <w:r>
              <w:rPr>
                <w:rFonts w:hint="eastAsia"/>
                <w:color w:val="auto"/>
              </w:rPr>
              <w:t>表4-</w:t>
            </w:r>
            <w:r>
              <w:rPr>
                <w:rFonts w:hint="eastAsia"/>
                <w:color w:val="auto"/>
                <w:lang w:val="en-US" w:eastAsia="zh-CN"/>
              </w:rPr>
              <w:t>4</w:t>
            </w:r>
            <w:r>
              <w:rPr>
                <w:rFonts w:hint="eastAsia"/>
                <w:color w:val="auto"/>
              </w:rPr>
              <w:t xml:space="preserve">  废气排放口基本信息一览表</w:t>
            </w:r>
          </w:p>
          <w:tbl>
            <w:tblPr>
              <w:tblStyle w:val="10"/>
              <w:tblW w:w="8162"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74"/>
              <w:gridCol w:w="736"/>
              <w:gridCol w:w="1664"/>
              <w:gridCol w:w="1596"/>
              <w:gridCol w:w="940"/>
              <w:gridCol w:w="849"/>
              <w:gridCol w:w="170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70" w:hRule="atLeast"/>
                <w:jc w:val="center"/>
              </w:trPr>
              <w:tc>
                <w:tcPr>
                  <w:tcW w:w="1410" w:type="dxa"/>
                  <w:gridSpan w:val="2"/>
                  <w:vAlign w:val="center"/>
                </w:tcPr>
                <w:p>
                  <w:pPr>
                    <w:pStyle w:val="15"/>
                    <w:rPr>
                      <w:color w:val="auto"/>
                    </w:rPr>
                  </w:pPr>
                  <w:r>
                    <w:rPr>
                      <w:rFonts w:hint="eastAsia"/>
                      <w:color w:val="auto"/>
                    </w:rPr>
                    <w:t>产污环节</w:t>
                  </w:r>
                </w:p>
              </w:tc>
              <w:tc>
                <w:tcPr>
                  <w:tcW w:w="1664" w:type="dxa"/>
                  <w:tcBorders>
                    <w:right w:val="single" w:color="auto" w:sz="4" w:space="0"/>
                  </w:tcBorders>
                  <w:vAlign w:val="center"/>
                </w:tcPr>
                <w:p>
                  <w:pPr>
                    <w:pStyle w:val="15"/>
                    <w:rPr>
                      <w:rFonts w:hint="default" w:eastAsia="宋体"/>
                      <w:color w:val="auto"/>
                      <w:lang w:val="en-US" w:eastAsia="zh-CN"/>
                    </w:rPr>
                  </w:pPr>
                  <w:r>
                    <w:rPr>
                      <w:rFonts w:hint="eastAsia"/>
                      <w:color w:val="auto"/>
                    </w:rPr>
                    <w:t>破碎、筛分、造粒、</w:t>
                  </w:r>
                  <w:r>
                    <w:rPr>
                      <w:rFonts w:hint="eastAsia"/>
                      <w:color w:val="auto"/>
                      <w:lang w:val="en-US" w:eastAsia="zh-CN"/>
                    </w:rPr>
                    <w:t>等生产工序</w:t>
                  </w:r>
                </w:p>
              </w:tc>
              <w:tc>
                <w:tcPr>
                  <w:tcW w:w="1596" w:type="dxa"/>
                  <w:tcBorders>
                    <w:right w:val="single" w:color="auto" w:sz="4" w:space="0"/>
                  </w:tcBorders>
                  <w:vAlign w:val="center"/>
                </w:tcPr>
                <w:p>
                  <w:pPr>
                    <w:pStyle w:val="15"/>
                    <w:rPr>
                      <w:color w:val="auto"/>
                    </w:rPr>
                  </w:pPr>
                  <w:r>
                    <w:rPr>
                      <w:rFonts w:hint="eastAsia"/>
                      <w:color w:val="auto"/>
                    </w:rPr>
                    <w:t>4t/h生物质锅炉</w:t>
                  </w:r>
                </w:p>
              </w:tc>
              <w:tc>
                <w:tcPr>
                  <w:tcW w:w="1789" w:type="dxa"/>
                  <w:gridSpan w:val="2"/>
                  <w:tcBorders>
                    <w:left w:val="single" w:color="auto" w:sz="4" w:space="0"/>
                  </w:tcBorders>
                  <w:vAlign w:val="center"/>
                </w:tcPr>
                <w:p>
                  <w:pPr>
                    <w:pStyle w:val="15"/>
                    <w:rPr>
                      <w:rFonts w:hint="eastAsia" w:eastAsia="宋体"/>
                      <w:color w:val="auto"/>
                      <w:lang w:eastAsia="zh-CN"/>
                    </w:rPr>
                  </w:pPr>
                  <w:r>
                    <w:rPr>
                      <w:rFonts w:hint="eastAsia"/>
                      <w:color w:val="auto"/>
                    </w:rPr>
                    <w:t>烘干</w:t>
                  </w:r>
                  <w:r>
                    <w:rPr>
                      <w:rFonts w:hint="eastAsia"/>
                      <w:color w:val="auto"/>
                      <w:lang w:val="en-US" w:eastAsia="zh-CN"/>
                    </w:rPr>
                    <w:t>炉</w:t>
                  </w:r>
                </w:p>
              </w:tc>
              <w:tc>
                <w:tcPr>
                  <w:tcW w:w="1703" w:type="dxa"/>
                  <w:tcBorders>
                    <w:left w:val="single" w:color="auto" w:sz="4" w:space="0"/>
                  </w:tcBorders>
                  <w:vAlign w:val="center"/>
                </w:tcPr>
                <w:p>
                  <w:pPr>
                    <w:pStyle w:val="15"/>
                    <w:rPr>
                      <w:rFonts w:hint="default" w:eastAsia="宋体"/>
                      <w:color w:val="auto"/>
                      <w:lang w:val="en-US" w:eastAsia="zh-CN"/>
                    </w:rPr>
                  </w:pPr>
                  <w:r>
                    <w:rPr>
                      <w:rFonts w:hint="eastAsia"/>
                      <w:color w:val="auto"/>
                      <w:lang w:val="en-US" w:eastAsia="zh-CN"/>
                    </w:rPr>
                    <w:t>收集设施未捕集到的废气等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65" w:hRule="atLeast"/>
                <w:jc w:val="center"/>
              </w:trPr>
              <w:tc>
                <w:tcPr>
                  <w:tcW w:w="1410" w:type="dxa"/>
                  <w:gridSpan w:val="2"/>
                  <w:vAlign w:val="center"/>
                </w:tcPr>
                <w:p>
                  <w:pPr>
                    <w:pStyle w:val="15"/>
                    <w:rPr>
                      <w:color w:val="auto"/>
                    </w:rPr>
                  </w:pPr>
                  <w:r>
                    <w:rPr>
                      <w:rFonts w:hint="eastAsia"/>
                      <w:color w:val="auto"/>
                    </w:rPr>
                    <w:t>污染物种类</w:t>
                  </w:r>
                </w:p>
              </w:tc>
              <w:tc>
                <w:tcPr>
                  <w:tcW w:w="1664" w:type="dxa"/>
                  <w:tcBorders>
                    <w:right w:val="single" w:color="auto" w:sz="4" w:space="0"/>
                  </w:tcBorders>
                  <w:vAlign w:val="center"/>
                </w:tcPr>
                <w:p>
                  <w:pPr>
                    <w:pStyle w:val="15"/>
                    <w:rPr>
                      <w:color w:val="auto"/>
                    </w:rPr>
                  </w:pPr>
                  <w:r>
                    <w:rPr>
                      <w:rFonts w:hint="eastAsia"/>
                      <w:color w:val="auto"/>
                    </w:rPr>
                    <w:t>颗粒物</w:t>
                  </w:r>
                </w:p>
              </w:tc>
              <w:tc>
                <w:tcPr>
                  <w:tcW w:w="1596" w:type="dxa"/>
                  <w:tcBorders>
                    <w:right w:val="single" w:color="auto" w:sz="4" w:space="0"/>
                  </w:tcBorders>
                  <w:vAlign w:val="center"/>
                </w:tcPr>
                <w:p>
                  <w:pPr>
                    <w:pStyle w:val="15"/>
                    <w:rPr>
                      <w:rFonts w:hint="default" w:eastAsia="宋体"/>
                      <w:color w:val="auto"/>
                      <w:lang w:val="en-US" w:eastAsia="zh-CN"/>
                    </w:rPr>
                  </w:pPr>
                  <w:r>
                    <w:rPr>
                      <w:rFonts w:hint="eastAsia"/>
                      <w:color w:val="auto"/>
                    </w:rPr>
                    <w:t>颗粒物</w:t>
                  </w:r>
                  <w:r>
                    <w:rPr>
                      <w:rFonts w:hint="eastAsia"/>
                      <w:color w:val="auto"/>
                      <w:lang w:eastAsia="zh-CN"/>
                    </w:rPr>
                    <w:t>、</w:t>
                  </w:r>
                  <w:r>
                    <w:rPr>
                      <w:rFonts w:hint="eastAsia"/>
                      <w:color w:val="auto"/>
                    </w:rPr>
                    <w:t>二氧化硫</w:t>
                  </w:r>
                  <w:r>
                    <w:rPr>
                      <w:rFonts w:hint="eastAsia"/>
                      <w:color w:val="auto"/>
                      <w:lang w:eastAsia="zh-CN"/>
                    </w:rPr>
                    <w:t>、</w:t>
                  </w:r>
                  <w:r>
                    <w:rPr>
                      <w:rFonts w:hint="eastAsia"/>
                      <w:color w:val="auto"/>
                    </w:rPr>
                    <w:t>氮氧化物</w:t>
                  </w:r>
                  <w:r>
                    <w:rPr>
                      <w:rFonts w:hint="eastAsia"/>
                      <w:color w:val="auto"/>
                      <w:lang w:eastAsia="zh-CN"/>
                    </w:rPr>
                    <w:t>、</w:t>
                  </w:r>
                  <w:r>
                    <w:rPr>
                      <w:rFonts w:hint="eastAsia"/>
                      <w:color w:val="auto"/>
                      <w:lang w:val="en-US" w:eastAsia="zh-CN"/>
                    </w:rPr>
                    <w:t>烟气黑度、汞及其化合物</w:t>
                  </w:r>
                </w:p>
              </w:tc>
              <w:tc>
                <w:tcPr>
                  <w:tcW w:w="1789" w:type="dxa"/>
                  <w:gridSpan w:val="2"/>
                  <w:tcBorders>
                    <w:left w:val="single" w:color="auto" w:sz="4" w:space="0"/>
                  </w:tcBorders>
                  <w:vAlign w:val="center"/>
                </w:tcPr>
                <w:p>
                  <w:pPr>
                    <w:pStyle w:val="15"/>
                    <w:rPr>
                      <w:color w:val="auto"/>
                    </w:rPr>
                  </w:pPr>
                  <w:r>
                    <w:rPr>
                      <w:rFonts w:hint="eastAsia"/>
                      <w:color w:val="auto"/>
                    </w:rPr>
                    <w:t>颗粒物</w:t>
                  </w:r>
                  <w:r>
                    <w:rPr>
                      <w:rFonts w:hint="eastAsia"/>
                      <w:color w:val="auto"/>
                      <w:lang w:eastAsia="zh-CN"/>
                    </w:rPr>
                    <w:t>、</w:t>
                  </w:r>
                  <w:r>
                    <w:rPr>
                      <w:rFonts w:hint="eastAsia"/>
                      <w:color w:val="auto"/>
                    </w:rPr>
                    <w:t>二氧化硫</w:t>
                  </w:r>
                  <w:r>
                    <w:rPr>
                      <w:rFonts w:hint="eastAsia"/>
                      <w:color w:val="auto"/>
                      <w:lang w:eastAsia="zh-CN"/>
                    </w:rPr>
                    <w:t>、</w:t>
                  </w:r>
                  <w:r>
                    <w:rPr>
                      <w:rFonts w:hint="eastAsia"/>
                      <w:color w:val="auto"/>
                    </w:rPr>
                    <w:t>氮氧化物</w:t>
                  </w:r>
                </w:p>
              </w:tc>
              <w:tc>
                <w:tcPr>
                  <w:tcW w:w="1703" w:type="dxa"/>
                  <w:tcBorders>
                    <w:left w:val="single" w:color="auto" w:sz="4" w:space="0"/>
                  </w:tcBorders>
                  <w:vAlign w:val="center"/>
                </w:tcPr>
                <w:p>
                  <w:pPr>
                    <w:pStyle w:val="15"/>
                    <w:rPr>
                      <w:rFonts w:hint="eastAsia"/>
                      <w:color w:val="auto"/>
                    </w:rPr>
                  </w:pPr>
                  <w:r>
                    <w:rPr>
                      <w:rFonts w:hint="eastAsia"/>
                      <w:color w:val="auto"/>
                    </w:rPr>
                    <w:t>颗粒物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325" w:hRule="atLeast"/>
                <w:jc w:val="center"/>
              </w:trPr>
              <w:tc>
                <w:tcPr>
                  <w:tcW w:w="1410" w:type="dxa"/>
                  <w:gridSpan w:val="2"/>
                  <w:vAlign w:val="center"/>
                </w:tcPr>
                <w:p>
                  <w:pPr>
                    <w:pStyle w:val="15"/>
                    <w:rPr>
                      <w:color w:val="auto"/>
                    </w:rPr>
                  </w:pPr>
                  <w:r>
                    <w:rPr>
                      <w:rFonts w:hint="eastAsia"/>
                      <w:color w:val="auto"/>
                    </w:rPr>
                    <w:t>排放形式</w:t>
                  </w:r>
                </w:p>
              </w:tc>
              <w:tc>
                <w:tcPr>
                  <w:tcW w:w="1664" w:type="dxa"/>
                  <w:vAlign w:val="center"/>
                </w:tcPr>
                <w:p>
                  <w:pPr>
                    <w:pStyle w:val="15"/>
                    <w:rPr>
                      <w:color w:val="auto"/>
                    </w:rPr>
                  </w:pPr>
                  <w:r>
                    <w:rPr>
                      <w:rFonts w:hint="eastAsia"/>
                      <w:color w:val="auto"/>
                    </w:rPr>
                    <w:t>有组织</w:t>
                  </w:r>
                </w:p>
              </w:tc>
              <w:tc>
                <w:tcPr>
                  <w:tcW w:w="1596" w:type="dxa"/>
                  <w:vAlign w:val="center"/>
                </w:tcPr>
                <w:p>
                  <w:pPr>
                    <w:pStyle w:val="15"/>
                    <w:rPr>
                      <w:color w:val="auto"/>
                    </w:rPr>
                  </w:pPr>
                  <w:r>
                    <w:rPr>
                      <w:rFonts w:hint="eastAsia"/>
                      <w:color w:val="auto"/>
                    </w:rPr>
                    <w:t>有组织</w:t>
                  </w:r>
                </w:p>
              </w:tc>
              <w:tc>
                <w:tcPr>
                  <w:tcW w:w="1789" w:type="dxa"/>
                  <w:gridSpan w:val="2"/>
                  <w:vAlign w:val="center"/>
                </w:tcPr>
                <w:p>
                  <w:pPr>
                    <w:pStyle w:val="15"/>
                    <w:rPr>
                      <w:color w:val="auto"/>
                    </w:rPr>
                  </w:pPr>
                  <w:r>
                    <w:rPr>
                      <w:rFonts w:hint="eastAsia"/>
                      <w:color w:val="auto"/>
                    </w:rPr>
                    <w:t>有组织</w:t>
                  </w:r>
                </w:p>
              </w:tc>
              <w:tc>
                <w:tcPr>
                  <w:tcW w:w="1703" w:type="dxa"/>
                  <w:vAlign w:val="center"/>
                </w:tcPr>
                <w:p>
                  <w:pPr>
                    <w:pStyle w:val="15"/>
                    <w:rPr>
                      <w:rFonts w:hint="eastAsia" w:eastAsia="宋体"/>
                      <w:color w:val="auto"/>
                      <w:lang w:val="en-US" w:eastAsia="zh-CN"/>
                    </w:rPr>
                  </w:pPr>
                  <w:r>
                    <w:rPr>
                      <w:rFonts w:hint="eastAsia"/>
                      <w:color w:val="auto"/>
                      <w:lang w:val="en-US" w:eastAsia="zh-CN"/>
                    </w:rPr>
                    <w:t>无组织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43" w:hRule="atLeast"/>
                <w:jc w:val="center"/>
              </w:trPr>
              <w:tc>
                <w:tcPr>
                  <w:tcW w:w="674" w:type="dxa"/>
                  <w:vMerge w:val="restart"/>
                  <w:vAlign w:val="center"/>
                </w:tcPr>
                <w:p>
                  <w:pPr>
                    <w:pStyle w:val="15"/>
                    <w:rPr>
                      <w:color w:val="auto"/>
                    </w:rPr>
                  </w:pPr>
                  <w:r>
                    <w:rPr>
                      <w:rFonts w:hint="eastAsia"/>
                      <w:color w:val="auto"/>
                    </w:rPr>
                    <w:t>排气筒坐标</w:t>
                  </w:r>
                </w:p>
              </w:tc>
              <w:tc>
                <w:tcPr>
                  <w:tcW w:w="736" w:type="dxa"/>
                  <w:vAlign w:val="center"/>
                </w:tcPr>
                <w:p>
                  <w:pPr>
                    <w:pStyle w:val="15"/>
                    <w:rPr>
                      <w:color w:val="auto"/>
                    </w:rPr>
                  </w:pPr>
                  <w:r>
                    <w:rPr>
                      <w:rFonts w:hint="eastAsia"/>
                      <w:color w:val="auto"/>
                    </w:rPr>
                    <w:t>经度</w:t>
                  </w:r>
                </w:p>
              </w:tc>
              <w:tc>
                <w:tcPr>
                  <w:tcW w:w="1664" w:type="dxa"/>
                  <w:vAlign w:val="center"/>
                </w:tcPr>
                <w:p>
                  <w:pPr>
                    <w:pStyle w:val="15"/>
                    <w:rPr>
                      <w:color w:val="auto"/>
                    </w:rPr>
                  </w:pPr>
                  <w:r>
                    <w:rPr>
                      <w:rFonts w:hint="eastAsia"/>
                      <w:color w:val="auto"/>
                    </w:rPr>
                    <w:t>102°40′55.85″</w:t>
                  </w:r>
                </w:p>
              </w:tc>
              <w:tc>
                <w:tcPr>
                  <w:tcW w:w="1596" w:type="dxa"/>
                  <w:vAlign w:val="center"/>
                </w:tcPr>
                <w:p>
                  <w:pPr>
                    <w:pStyle w:val="15"/>
                    <w:rPr>
                      <w:color w:val="auto"/>
                    </w:rPr>
                  </w:pPr>
                  <w:r>
                    <w:rPr>
                      <w:rFonts w:hint="eastAsia"/>
                      <w:color w:val="auto"/>
                    </w:rPr>
                    <w:t>102°40′54.66″</w:t>
                  </w:r>
                </w:p>
              </w:tc>
              <w:tc>
                <w:tcPr>
                  <w:tcW w:w="1789" w:type="dxa"/>
                  <w:gridSpan w:val="2"/>
                  <w:vAlign w:val="center"/>
                </w:tcPr>
                <w:p>
                  <w:pPr>
                    <w:pStyle w:val="15"/>
                    <w:rPr>
                      <w:color w:val="auto"/>
                    </w:rPr>
                  </w:pPr>
                  <w:r>
                    <w:rPr>
                      <w:rFonts w:hint="eastAsia"/>
                      <w:color w:val="auto"/>
                    </w:rPr>
                    <w:t>102°40′54.91″</w:t>
                  </w:r>
                </w:p>
              </w:tc>
              <w:tc>
                <w:tcPr>
                  <w:tcW w:w="1703" w:type="dxa"/>
                  <w:vAlign w:val="center"/>
                </w:tcPr>
                <w:p>
                  <w:pPr>
                    <w:pStyle w:val="15"/>
                    <w:rPr>
                      <w:rFonts w:hint="eastAsia" w:eastAsia="宋体"/>
                      <w:color w:val="auto"/>
                      <w:lang w:val="en-US" w:eastAsia="zh-CN"/>
                    </w:rPr>
                  </w:pPr>
                  <w:r>
                    <w:rPr>
                      <w:rFonts w:hint="eastAsia"/>
                      <w:color w:val="auto"/>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jc w:val="center"/>
              </w:trPr>
              <w:tc>
                <w:tcPr>
                  <w:tcW w:w="674" w:type="dxa"/>
                  <w:vMerge w:val="continue"/>
                  <w:vAlign w:val="center"/>
                </w:tcPr>
                <w:p>
                  <w:pPr>
                    <w:pStyle w:val="15"/>
                    <w:rPr>
                      <w:color w:val="auto"/>
                    </w:rPr>
                  </w:pPr>
                </w:p>
              </w:tc>
              <w:tc>
                <w:tcPr>
                  <w:tcW w:w="736" w:type="dxa"/>
                  <w:vAlign w:val="center"/>
                </w:tcPr>
                <w:p>
                  <w:pPr>
                    <w:pStyle w:val="15"/>
                    <w:rPr>
                      <w:color w:val="auto"/>
                    </w:rPr>
                  </w:pPr>
                  <w:r>
                    <w:rPr>
                      <w:rFonts w:hint="eastAsia"/>
                      <w:color w:val="auto"/>
                    </w:rPr>
                    <w:t>纬度</w:t>
                  </w:r>
                </w:p>
              </w:tc>
              <w:tc>
                <w:tcPr>
                  <w:tcW w:w="1664" w:type="dxa"/>
                  <w:vAlign w:val="center"/>
                </w:tcPr>
                <w:p>
                  <w:pPr>
                    <w:pStyle w:val="15"/>
                    <w:rPr>
                      <w:color w:val="auto"/>
                    </w:rPr>
                  </w:pPr>
                  <w:r>
                    <w:rPr>
                      <w:rFonts w:hint="eastAsia"/>
                      <w:color w:val="auto"/>
                    </w:rPr>
                    <w:t>24°39′30.89″</w:t>
                  </w:r>
                </w:p>
              </w:tc>
              <w:tc>
                <w:tcPr>
                  <w:tcW w:w="1596" w:type="dxa"/>
                  <w:vAlign w:val="center"/>
                </w:tcPr>
                <w:p>
                  <w:pPr>
                    <w:pStyle w:val="15"/>
                    <w:rPr>
                      <w:color w:val="auto"/>
                    </w:rPr>
                  </w:pPr>
                  <w:r>
                    <w:rPr>
                      <w:rFonts w:hint="eastAsia"/>
                      <w:color w:val="auto"/>
                    </w:rPr>
                    <w:t>24°39′32.8″</w:t>
                  </w:r>
                </w:p>
              </w:tc>
              <w:tc>
                <w:tcPr>
                  <w:tcW w:w="1789" w:type="dxa"/>
                  <w:gridSpan w:val="2"/>
                  <w:vAlign w:val="center"/>
                </w:tcPr>
                <w:p>
                  <w:pPr>
                    <w:pStyle w:val="15"/>
                    <w:rPr>
                      <w:color w:val="auto"/>
                    </w:rPr>
                  </w:pPr>
                  <w:r>
                    <w:rPr>
                      <w:rFonts w:hint="eastAsia"/>
                      <w:color w:val="auto"/>
                    </w:rPr>
                    <w:t>24°39′32.47″</w:t>
                  </w:r>
                </w:p>
              </w:tc>
              <w:tc>
                <w:tcPr>
                  <w:tcW w:w="1703" w:type="dxa"/>
                  <w:vAlign w:val="center"/>
                </w:tcPr>
                <w:p>
                  <w:pPr>
                    <w:pStyle w:val="15"/>
                    <w:rPr>
                      <w:rFonts w:hint="eastAsia" w:eastAsia="宋体"/>
                      <w:color w:val="auto"/>
                      <w:lang w:val="en-US" w:eastAsia="zh-CN"/>
                    </w:rPr>
                  </w:pPr>
                  <w:r>
                    <w:rPr>
                      <w:rFonts w:hint="eastAsia"/>
                      <w:color w:val="auto"/>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22" w:hRule="atLeast"/>
                <w:jc w:val="center"/>
              </w:trPr>
              <w:tc>
                <w:tcPr>
                  <w:tcW w:w="1410" w:type="dxa"/>
                  <w:gridSpan w:val="2"/>
                  <w:vAlign w:val="center"/>
                </w:tcPr>
                <w:p>
                  <w:pPr>
                    <w:pStyle w:val="15"/>
                    <w:rPr>
                      <w:color w:val="auto"/>
                    </w:rPr>
                  </w:pPr>
                  <w:r>
                    <w:rPr>
                      <w:rFonts w:hint="eastAsia"/>
                      <w:color w:val="auto"/>
                    </w:rPr>
                    <w:t>排放口编号</w:t>
                  </w:r>
                </w:p>
              </w:tc>
              <w:tc>
                <w:tcPr>
                  <w:tcW w:w="1664" w:type="dxa"/>
                  <w:vAlign w:val="center"/>
                </w:tcPr>
                <w:p>
                  <w:pPr>
                    <w:pStyle w:val="15"/>
                    <w:rPr>
                      <w:color w:val="auto"/>
                    </w:rPr>
                  </w:pPr>
                  <w:r>
                    <w:rPr>
                      <w:rFonts w:hint="eastAsia"/>
                      <w:color w:val="auto"/>
                    </w:rPr>
                    <w:t>DA010</w:t>
                  </w:r>
                </w:p>
              </w:tc>
              <w:tc>
                <w:tcPr>
                  <w:tcW w:w="1596" w:type="dxa"/>
                  <w:vAlign w:val="center"/>
                </w:tcPr>
                <w:p>
                  <w:pPr>
                    <w:pStyle w:val="15"/>
                    <w:rPr>
                      <w:color w:val="auto"/>
                    </w:rPr>
                  </w:pPr>
                  <w:r>
                    <w:rPr>
                      <w:rFonts w:hint="eastAsia"/>
                      <w:color w:val="auto"/>
                    </w:rPr>
                    <w:t>DA002</w:t>
                  </w:r>
                </w:p>
              </w:tc>
              <w:tc>
                <w:tcPr>
                  <w:tcW w:w="1789" w:type="dxa"/>
                  <w:gridSpan w:val="2"/>
                  <w:vAlign w:val="center"/>
                </w:tcPr>
                <w:p>
                  <w:pPr>
                    <w:pStyle w:val="15"/>
                    <w:rPr>
                      <w:color w:val="auto"/>
                    </w:rPr>
                  </w:pPr>
                  <w:r>
                    <w:rPr>
                      <w:rFonts w:hint="eastAsia"/>
                      <w:color w:val="auto"/>
                    </w:rPr>
                    <w:t>DA009</w:t>
                  </w:r>
                </w:p>
              </w:tc>
              <w:tc>
                <w:tcPr>
                  <w:tcW w:w="1703" w:type="dxa"/>
                  <w:vAlign w:val="center"/>
                </w:tcPr>
                <w:p>
                  <w:pPr>
                    <w:pStyle w:val="15"/>
                    <w:rPr>
                      <w:rFonts w:hint="eastAsia" w:eastAsia="宋体"/>
                      <w:color w:val="auto"/>
                      <w:lang w:val="en-US" w:eastAsia="zh-CN"/>
                    </w:rPr>
                  </w:pPr>
                  <w:r>
                    <w:rPr>
                      <w:rFonts w:hint="eastAsia"/>
                      <w:color w:val="auto"/>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jc w:val="center"/>
              </w:trPr>
              <w:tc>
                <w:tcPr>
                  <w:tcW w:w="1410" w:type="dxa"/>
                  <w:gridSpan w:val="2"/>
                  <w:vAlign w:val="center"/>
                </w:tcPr>
                <w:p>
                  <w:pPr>
                    <w:pStyle w:val="15"/>
                    <w:rPr>
                      <w:color w:val="auto"/>
                    </w:rPr>
                  </w:pPr>
                  <w:r>
                    <w:rPr>
                      <w:rFonts w:hint="eastAsia"/>
                      <w:color w:val="auto"/>
                    </w:rPr>
                    <w:t>高度m</w:t>
                  </w:r>
                </w:p>
              </w:tc>
              <w:tc>
                <w:tcPr>
                  <w:tcW w:w="1664" w:type="dxa"/>
                  <w:vAlign w:val="center"/>
                </w:tcPr>
                <w:p>
                  <w:pPr>
                    <w:pStyle w:val="15"/>
                    <w:rPr>
                      <w:color w:val="auto"/>
                    </w:rPr>
                  </w:pPr>
                  <w:r>
                    <w:rPr>
                      <w:rFonts w:hint="eastAsia"/>
                      <w:color w:val="auto"/>
                    </w:rPr>
                    <w:t>20</w:t>
                  </w:r>
                </w:p>
              </w:tc>
              <w:tc>
                <w:tcPr>
                  <w:tcW w:w="1596" w:type="dxa"/>
                  <w:vAlign w:val="center"/>
                </w:tcPr>
                <w:p>
                  <w:pPr>
                    <w:pStyle w:val="15"/>
                    <w:rPr>
                      <w:color w:val="auto"/>
                    </w:rPr>
                  </w:pPr>
                  <w:r>
                    <w:rPr>
                      <w:rFonts w:hint="eastAsia"/>
                      <w:color w:val="auto"/>
                    </w:rPr>
                    <w:t>35</w:t>
                  </w:r>
                </w:p>
              </w:tc>
              <w:tc>
                <w:tcPr>
                  <w:tcW w:w="1789" w:type="dxa"/>
                  <w:gridSpan w:val="2"/>
                  <w:vAlign w:val="center"/>
                </w:tcPr>
                <w:p>
                  <w:pPr>
                    <w:pStyle w:val="15"/>
                    <w:rPr>
                      <w:color w:val="auto"/>
                    </w:rPr>
                  </w:pPr>
                  <w:r>
                    <w:rPr>
                      <w:rFonts w:hint="eastAsia"/>
                      <w:color w:val="auto"/>
                    </w:rPr>
                    <w:t>15</w:t>
                  </w:r>
                </w:p>
              </w:tc>
              <w:tc>
                <w:tcPr>
                  <w:tcW w:w="1703" w:type="dxa"/>
                  <w:vAlign w:val="center"/>
                </w:tcPr>
                <w:p>
                  <w:pPr>
                    <w:pStyle w:val="15"/>
                    <w:rPr>
                      <w:rFonts w:hint="eastAsia" w:eastAsia="宋体"/>
                      <w:color w:val="auto"/>
                      <w:lang w:val="en-US" w:eastAsia="zh-CN"/>
                    </w:rPr>
                  </w:pPr>
                  <w:r>
                    <w:rPr>
                      <w:rFonts w:hint="eastAsia"/>
                      <w:color w:val="auto"/>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jc w:val="center"/>
              </w:trPr>
              <w:tc>
                <w:tcPr>
                  <w:tcW w:w="1410" w:type="dxa"/>
                  <w:gridSpan w:val="2"/>
                  <w:vAlign w:val="center"/>
                </w:tcPr>
                <w:p>
                  <w:pPr>
                    <w:pStyle w:val="15"/>
                    <w:rPr>
                      <w:color w:val="auto"/>
                    </w:rPr>
                  </w:pPr>
                  <w:r>
                    <w:rPr>
                      <w:rFonts w:hint="eastAsia"/>
                      <w:color w:val="auto"/>
                    </w:rPr>
                    <w:t>内径m</w:t>
                  </w:r>
                </w:p>
              </w:tc>
              <w:tc>
                <w:tcPr>
                  <w:tcW w:w="1664" w:type="dxa"/>
                  <w:vAlign w:val="center"/>
                </w:tcPr>
                <w:p>
                  <w:pPr>
                    <w:pStyle w:val="15"/>
                    <w:rPr>
                      <w:color w:val="auto"/>
                    </w:rPr>
                  </w:pPr>
                  <w:r>
                    <w:rPr>
                      <w:rFonts w:hint="eastAsia"/>
                      <w:color w:val="auto"/>
                    </w:rPr>
                    <w:t>0.43</w:t>
                  </w:r>
                </w:p>
              </w:tc>
              <w:tc>
                <w:tcPr>
                  <w:tcW w:w="1596" w:type="dxa"/>
                  <w:vAlign w:val="center"/>
                </w:tcPr>
                <w:p>
                  <w:pPr>
                    <w:pStyle w:val="15"/>
                    <w:rPr>
                      <w:color w:val="auto"/>
                    </w:rPr>
                  </w:pPr>
                  <w:r>
                    <w:rPr>
                      <w:rFonts w:hint="eastAsia"/>
                      <w:color w:val="auto"/>
                    </w:rPr>
                    <w:t>0.53</w:t>
                  </w:r>
                </w:p>
              </w:tc>
              <w:tc>
                <w:tcPr>
                  <w:tcW w:w="1789" w:type="dxa"/>
                  <w:gridSpan w:val="2"/>
                  <w:vAlign w:val="center"/>
                </w:tcPr>
                <w:p>
                  <w:pPr>
                    <w:pStyle w:val="15"/>
                    <w:rPr>
                      <w:color w:val="auto"/>
                    </w:rPr>
                  </w:pPr>
                  <w:r>
                    <w:rPr>
                      <w:rFonts w:hint="eastAsia"/>
                      <w:color w:val="auto"/>
                    </w:rPr>
                    <w:t>1.5</w:t>
                  </w:r>
                </w:p>
              </w:tc>
              <w:tc>
                <w:tcPr>
                  <w:tcW w:w="1703" w:type="dxa"/>
                  <w:vAlign w:val="center"/>
                </w:tcPr>
                <w:p>
                  <w:pPr>
                    <w:pStyle w:val="15"/>
                    <w:rPr>
                      <w:rFonts w:hint="eastAsia" w:eastAsia="宋体"/>
                      <w:color w:val="auto"/>
                      <w:lang w:val="en-US" w:eastAsia="zh-CN"/>
                    </w:rPr>
                  </w:pPr>
                  <w:r>
                    <w:rPr>
                      <w:rFonts w:hint="eastAsia"/>
                      <w:color w:val="auto"/>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jc w:val="center"/>
              </w:trPr>
              <w:tc>
                <w:tcPr>
                  <w:tcW w:w="1410" w:type="dxa"/>
                  <w:gridSpan w:val="2"/>
                  <w:vAlign w:val="center"/>
                </w:tcPr>
                <w:p>
                  <w:pPr>
                    <w:pStyle w:val="15"/>
                    <w:rPr>
                      <w:color w:val="auto"/>
                    </w:rPr>
                  </w:pPr>
                  <w:r>
                    <w:rPr>
                      <w:rFonts w:hint="eastAsia"/>
                      <w:color w:val="auto"/>
                    </w:rPr>
                    <w:t>排放温度</w:t>
                  </w:r>
                </w:p>
              </w:tc>
              <w:tc>
                <w:tcPr>
                  <w:tcW w:w="1664" w:type="dxa"/>
                  <w:vAlign w:val="center"/>
                </w:tcPr>
                <w:p>
                  <w:pPr>
                    <w:pStyle w:val="15"/>
                    <w:rPr>
                      <w:color w:val="auto"/>
                    </w:rPr>
                  </w:pPr>
                  <w:r>
                    <w:rPr>
                      <w:rFonts w:hint="eastAsia"/>
                      <w:color w:val="auto"/>
                    </w:rPr>
                    <w:t>29.6℃</w:t>
                  </w:r>
                </w:p>
              </w:tc>
              <w:tc>
                <w:tcPr>
                  <w:tcW w:w="1596" w:type="dxa"/>
                  <w:vAlign w:val="center"/>
                </w:tcPr>
                <w:p>
                  <w:pPr>
                    <w:pStyle w:val="15"/>
                    <w:rPr>
                      <w:color w:val="auto"/>
                    </w:rPr>
                  </w:pPr>
                  <w:r>
                    <w:rPr>
                      <w:rFonts w:hint="eastAsia"/>
                      <w:color w:val="auto"/>
                    </w:rPr>
                    <w:t>46℃</w:t>
                  </w:r>
                </w:p>
              </w:tc>
              <w:tc>
                <w:tcPr>
                  <w:tcW w:w="1789" w:type="dxa"/>
                  <w:gridSpan w:val="2"/>
                  <w:vAlign w:val="center"/>
                </w:tcPr>
                <w:p>
                  <w:pPr>
                    <w:pStyle w:val="15"/>
                    <w:rPr>
                      <w:color w:val="auto"/>
                    </w:rPr>
                  </w:pPr>
                  <w:r>
                    <w:rPr>
                      <w:rFonts w:hint="eastAsia"/>
                      <w:color w:val="auto"/>
                    </w:rPr>
                    <w:t>62℃</w:t>
                  </w:r>
                </w:p>
              </w:tc>
              <w:tc>
                <w:tcPr>
                  <w:tcW w:w="1703" w:type="dxa"/>
                  <w:vAlign w:val="center"/>
                </w:tcPr>
                <w:p>
                  <w:pPr>
                    <w:pStyle w:val="15"/>
                    <w:rPr>
                      <w:rFonts w:hint="eastAsia" w:eastAsia="宋体"/>
                      <w:color w:val="auto"/>
                      <w:lang w:val="en-US" w:eastAsia="zh-CN"/>
                    </w:rPr>
                  </w:pPr>
                  <w:r>
                    <w:rPr>
                      <w:rFonts w:hint="eastAsia"/>
                      <w:color w:val="auto"/>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jc w:val="center"/>
              </w:trPr>
              <w:tc>
                <w:tcPr>
                  <w:tcW w:w="1410" w:type="dxa"/>
                  <w:gridSpan w:val="2"/>
                  <w:vAlign w:val="center"/>
                </w:tcPr>
                <w:p>
                  <w:pPr>
                    <w:pStyle w:val="15"/>
                    <w:rPr>
                      <w:color w:val="auto"/>
                    </w:rPr>
                  </w:pPr>
                  <w:r>
                    <w:rPr>
                      <w:rFonts w:hint="eastAsia"/>
                      <w:color w:val="auto"/>
                    </w:rPr>
                    <w:t>排放口类型</w:t>
                  </w:r>
                </w:p>
              </w:tc>
              <w:tc>
                <w:tcPr>
                  <w:tcW w:w="1664" w:type="dxa"/>
                  <w:vAlign w:val="center"/>
                </w:tcPr>
                <w:p>
                  <w:pPr>
                    <w:pStyle w:val="15"/>
                    <w:rPr>
                      <w:color w:val="auto"/>
                    </w:rPr>
                  </w:pPr>
                  <w:r>
                    <w:rPr>
                      <w:rFonts w:hint="eastAsia"/>
                      <w:color w:val="auto"/>
                    </w:rPr>
                    <w:t>主要排放口</w:t>
                  </w:r>
                </w:p>
              </w:tc>
              <w:tc>
                <w:tcPr>
                  <w:tcW w:w="1596" w:type="dxa"/>
                  <w:vAlign w:val="center"/>
                </w:tcPr>
                <w:p>
                  <w:pPr>
                    <w:pStyle w:val="15"/>
                    <w:rPr>
                      <w:color w:val="auto"/>
                    </w:rPr>
                  </w:pPr>
                  <w:r>
                    <w:rPr>
                      <w:rFonts w:hint="eastAsia"/>
                      <w:color w:val="auto"/>
                    </w:rPr>
                    <w:t>一般排放口</w:t>
                  </w:r>
                </w:p>
              </w:tc>
              <w:tc>
                <w:tcPr>
                  <w:tcW w:w="1789" w:type="dxa"/>
                  <w:gridSpan w:val="2"/>
                  <w:vAlign w:val="center"/>
                </w:tcPr>
                <w:p>
                  <w:pPr>
                    <w:pStyle w:val="15"/>
                    <w:rPr>
                      <w:color w:val="auto"/>
                    </w:rPr>
                  </w:pPr>
                  <w:r>
                    <w:rPr>
                      <w:rFonts w:hint="eastAsia"/>
                      <w:color w:val="auto"/>
                    </w:rPr>
                    <w:t>主要排放口</w:t>
                  </w:r>
                </w:p>
              </w:tc>
              <w:tc>
                <w:tcPr>
                  <w:tcW w:w="1703" w:type="dxa"/>
                  <w:vAlign w:val="center"/>
                </w:tcPr>
                <w:p>
                  <w:pPr>
                    <w:pStyle w:val="15"/>
                    <w:rPr>
                      <w:rFonts w:hint="eastAsia" w:eastAsia="宋体"/>
                      <w:color w:val="auto"/>
                      <w:lang w:val="en-US" w:eastAsia="zh-CN"/>
                    </w:rPr>
                  </w:pPr>
                  <w:r>
                    <w:rPr>
                      <w:rFonts w:hint="eastAsia"/>
                      <w:color w:val="auto"/>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jc w:val="center"/>
              </w:trPr>
              <w:tc>
                <w:tcPr>
                  <w:tcW w:w="1410" w:type="dxa"/>
                  <w:gridSpan w:val="2"/>
                  <w:vAlign w:val="center"/>
                </w:tcPr>
                <w:p>
                  <w:pPr>
                    <w:pStyle w:val="15"/>
                    <w:rPr>
                      <w:color w:val="auto"/>
                    </w:rPr>
                  </w:pPr>
                  <w:r>
                    <w:rPr>
                      <w:rFonts w:hint="eastAsia"/>
                      <w:color w:val="auto"/>
                    </w:rPr>
                    <w:t>执行标准</w:t>
                  </w:r>
                </w:p>
              </w:tc>
              <w:tc>
                <w:tcPr>
                  <w:tcW w:w="1664" w:type="dxa"/>
                  <w:vAlign w:val="center"/>
                </w:tcPr>
                <w:p>
                  <w:pPr>
                    <w:pStyle w:val="15"/>
                    <w:rPr>
                      <w:color w:val="auto"/>
                    </w:rPr>
                  </w:pPr>
                  <w:r>
                    <w:rPr>
                      <w:color w:val="auto"/>
                    </w:rPr>
                    <w:t>《大气污染物综合排放标准》（GB16297-1996）</w:t>
                  </w:r>
                  <w:r>
                    <w:rPr>
                      <w:rFonts w:hint="eastAsia"/>
                      <w:color w:val="auto"/>
                      <w:lang w:val="en-US" w:eastAsia="zh-CN"/>
                    </w:rPr>
                    <w:t>表2</w:t>
                  </w:r>
                  <w:r>
                    <w:rPr>
                      <w:color w:val="auto"/>
                    </w:rPr>
                    <w:t>二级标准</w:t>
                  </w:r>
                </w:p>
              </w:tc>
              <w:tc>
                <w:tcPr>
                  <w:tcW w:w="1596" w:type="dxa"/>
                  <w:vAlign w:val="center"/>
                </w:tcPr>
                <w:p>
                  <w:pPr>
                    <w:pStyle w:val="15"/>
                    <w:rPr>
                      <w:color w:val="auto"/>
                    </w:rPr>
                  </w:pPr>
                  <w:r>
                    <w:rPr>
                      <w:rFonts w:hint="eastAsia"/>
                      <w:color w:val="auto"/>
                    </w:rPr>
                    <w:t>《锅炉大气污染物排放标准》（GB12371-2014）表2燃煤锅炉标准</w:t>
                  </w:r>
                </w:p>
              </w:tc>
              <w:tc>
                <w:tcPr>
                  <w:tcW w:w="1789" w:type="dxa"/>
                  <w:gridSpan w:val="2"/>
                  <w:vAlign w:val="center"/>
                </w:tcPr>
                <w:p>
                  <w:pPr>
                    <w:pStyle w:val="15"/>
                    <w:rPr>
                      <w:color w:val="auto"/>
                    </w:rPr>
                  </w:pPr>
                  <w:r>
                    <w:rPr>
                      <w:rFonts w:hint="eastAsia"/>
                      <w:color w:val="auto"/>
                    </w:rPr>
                    <w:t>《大气污染物综合排放标准》（GB16297-1996）表2二级标准</w:t>
                  </w:r>
                </w:p>
              </w:tc>
              <w:tc>
                <w:tcPr>
                  <w:tcW w:w="1703" w:type="dxa"/>
                  <w:vAlign w:val="center"/>
                </w:tcPr>
                <w:p>
                  <w:pPr>
                    <w:pStyle w:val="15"/>
                    <w:rPr>
                      <w:rFonts w:hint="eastAsia" w:eastAsia="宋体"/>
                      <w:color w:val="auto"/>
                      <w:lang w:val="en-US" w:eastAsia="zh-CN"/>
                    </w:rPr>
                  </w:pPr>
                  <w:r>
                    <w:rPr>
                      <w:rFonts w:hint="eastAsia"/>
                      <w:color w:val="auto"/>
                    </w:rPr>
                    <w:t>《大气污染物综合排放标准》（GB16297-1996）</w:t>
                  </w:r>
                  <w:r>
                    <w:rPr>
                      <w:rFonts w:hint="eastAsia"/>
                      <w:color w:val="auto"/>
                      <w:lang w:val="en-US" w:eastAsia="zh-CN"/>
                    </w:rPr>
                    <w:t>表2无组织排放监控浓度限值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90" w:hRule="atLeast"/>
                <w:jc w:val="center"/>
              </w:trPr>
              <w:tc>
                <w:tcPr>
                  <w:tcW w:w="674" w:type="dxa"/>
                  <w:vMerge w:val="restart"/>
                  <w:tcBorders>
                    <w:right w:val="single" w:color="auto" w:sz="4" w:space="0"/>
                  </w:tcBorders>
                  <w:vAlign w:val="center"/>
                </w:tcPr>
                <w:p>
                  <w:pPr>
                    <w:pStyle w:val="15"/>
                    <w:rPr>
                      <w:color w:val="auto"/>
                    </w:rPr>
                  </w:pPr>
                  <w:r>
                    <w:rPr>
                      <w:rFonts w:hint="eastAsia"/>
                      <w:color w:val="auto"/>
                    </w:rPr>
                    <w:t>监测要求</w:t>
                  </w:r>
                </w:p>
              </w:tc>
              <w:tc>
                <w:tcPr>
                  <w:tcW w:w="736" w:type="dxa"/>
                  <w:tcBorders>
                    <w:left w:val="single" w:color="auto" w:sz="4" w:space="0"/>
                    <w:bottom w:val="single" w:color="auto" w:sz="4" w:space="0"/>
                  </w:tcBorders>
                  <w:vAlign w:val="center"/>
                </w:tcPr>
                <w:p>
                  <w:pPr>
                    <w:pStyle w:val="15"/>
                    <w:rPr>
                      <w:color w:val="auto"/>
                    </w:rPr>
                  </w:pPr>
                  <w:r>
                    <w:rPr>
                      <w:color w:val="auto"/>
                    </w:rPr>
                    <w:t>监测点位</w:t>
                  </w:r>
                </w:p>
              </w:tc>
              <w:tc>
                <w:tcPr>
                  <w:tcW w:w="1664" w:type="dxa"/>
                  <w:vAlign w:val="center"/>
                </w:tcPr>
                <w:p>
                  <w:pPr>
                    <w:pStyle w:val="15"/>
                    <w:rPr>
                      <w:color w:val="auto"/>
                    </w:rPr>
                  </w:pPr>
                  <w:r>
                    <w:rPr>
                      <w:color w:val="auto"/>
                    </w:rPr>
                    <w:t>排气筒取样口</w:t>
                  </w:r>
                </w:p>
              </w:tc>
              <w:tc>
                <w:tcPr>
                  <w:tcW w:w="1596" w:type="dxa"/>
                  <w:vAlign w:val="center"/>
                </w:tcPr>
                <w:p>
                  <w:pPr>
                    <w:pStyle w:val="15"/>
                    <w:rPr>
                      <w:color w:val="auto"/>
                    </w:rPr>
                  </w:pPr>
                  <w:r>
                    <w:rPr>
                      <w:color w:val="auto"/>
                    </w:rPr>
                    <w:t>排气筒取样口</w:t>
                  </w:r>
                </w:p>
              </w:tc>
              <w:tc>
                <w:tcPr>
                  <w:tcW w:w="1789" w:type="dxa"/>
                  <w:gridSpan w:val="2"/>
                  <w:vAlign w:val="center"/>
                </w:tcPr>
                <w:p>
                  <w:pPr>
                    <w:pStyle w:val="15"/>
                    <w:rPr>
                      <w:color w:val="auto"/>
                    </w:rPr>
                  </w:pPr>
                  <w:r>
                    <w:rPr>
                      <w:color w:val="auto"/>
                    </w:rPr>
                    <w:t>排气筒取样口</w:t>
                  </w:r>
                </w:p>
              </w:tc>
              <w:tc>
                <w:tcPr>
                  <w:tcW w:w="1703" w:type="dxa"/>
                  <w:vAlign w:val="center"/>
                </w:tcPr>
                <w:p>
                  <w:pPr>
                    <w:pStyle w:val="15"/>
                    <w:rPr>
                      <w:rFonts w:hint="default" w:eastAsia="宋体"/>
                      <w:color w:val="auto"/>
                      <w:lang w:val="en-US" w:eastAsia="zh-CN"/>
                    </w:rPr>
                  </w:pPr>
                  <w:r>
                    <w:rPr>
                      <w:rFonts w:hint="eastAsia"/>
                      <w:color w:val="auto"/>
                      <w:lang w:val="en-US" w:eastAsia="zh-CN"/>
                    </w:rPr>
                    <w:t>厂区上风向、下风向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jc w:val="center"/>
              </w:trPr>
              <w:tc>
                <w:tcPr>
                  <w:tcW w:w="674" w:type="dxa"/>
                  <w:vMerge w:val="continue"/>
                  <w:tcBorders>
                    <w:right w:val="single" w:color="auto" w:sz="4" w:space="0"/>
                  </w:tcBorders>
                  <w:vAlign w:val="center"/>
                </w:tcPr>
                <w:p>
                  <w:pPr>
                    <w:pStyle w:val="15"/>
                    <w:rPr>
                      <w:color w:val="auto"/>
                    </w:rPr>
                  </w:pPr>
                </w:p>
              </w:tc>
              <w:tc>
                <w:tcPr>
                  <w:tcW w:w="736" w:type="dxa"/>
                  <w:tcBorders>
                    <w:top w:val="single" w:color="auto" w:sz="4" w:space="0"/>
                    <w:left w:val="single" w:color="auto" w:sz="4" w:space="0"/>
                    <w:bottom w:val="single" w:color="auto" w:sz="4" w:space="0"/>
                  </w:tcBorders>
                  <w:vAlign w:val="center"/>
                </w:tcPr>
                <w:p>
                  <w:pPr>
                    <w:pStyle w:val="15"/>
                    <w:rPr>
                      <w:color w:val="auto"/>
                    </w:rPr>
                  </w:pPr>
                  <w:r>
                    <w:rPr>
                      <w:color w:val="auto"/>
                    </w:rPr>
                    <w:t>监测因子</w:t>
                  </w:r>
                </w:p>
              </w:tc>
              <w:tc>
                <w:tcPr>
                  <w:tcW w:w="1664" w:type="dxa"/>
                  <w:vAlign w:val="center"/>
                </w:tcPr>
                <w:p>
                  <w:pPr>
                    <w:pStyle w:val="15"/>
                    <w:rPr>
                      <w:color w:val="auto"/>
                    </w:rPr>
                  </w:pPr>
                  <w:r>
                    <w:rPr>
                      <w:color w:val="auto"/>
                    </w:rPr>
                    <w:t>颗粒物</w:t>
                  </w:r>
                </w:p>
              </w:tc>
              <w:tc>
                <w:tcPr>
                  <w:tcW w:w="1596" w:type="dxa"/>
                  <w:vAlign w:val="center"/>
                </w:tcPr>
                <w:p>
                  <w:pPr>
                    <w:pStyle w:val="15"/>
                    <w:rPr>
                      <w:color w:val="auto"/>
                    </w:rPr>
                  </w:pPr>
                  <w:r>
                    <w:rPr>
                      <w:rFonts w:hint="eastAsia"/>
                      <w:color w:val="auto"/>
                    </w:rPr>
                    <w:t>颗粒物</w:t>
                  </w:r>
                  <w:r>
                    <w:rPr>
                      <w:rFonts w:hint="eastAsia"/>
                      <w:color w:val="auto"/>
                      <w:lang w:eastAsia="zh-CN"/>
                    </w:rPr>
                    <w:t>、</w:t>
                  </w:r>
                  <w:r>
                    <w:rPr>
                      <w:rFonts w:hint="eastAsia"/>
                      <w:color w:val="auto"/>
                    </w:rPr>
                    <w:t>二氧化硫</w:t>
                  </w:r>
                  <w:r>
                    <w:rPr>
                      <w:rFonts w:hint="eastAsia"/>
                      <w:color w:val="auto"/>
                      <w:lang w:eastAsia="zh-CN"/>
                    </w:rPr>
                    <w:t>、</w:t>
                  </w:r>
                  <w:r>
                    <w:rPr>
                      <w:rFonts w:hint="eastAsia"/>
                      <w:color w:val="auto"/>
                    </w:rPr>
                    <w:t>氮氧化物</w:t>
                  </w:r>
                  <w:r>
                    <w:rPr>
                      <w:rFonts w:hint="eastAsia"/>
                      <w:color w:val="auto"/>
                      <w:lang w:eastAsia="zh-CN"/>
                    </w:rPr>
                    <w:t>、</w:t>
                  </w:r>
                  <w:r>
                    <w:rPr>
                      <w:rFonts w:hint="eastAsia"/>
                      <w:color w:val="auto"/>
                      <w:lang w:val="en-US" w:eastAsia="zh-CN"/>
                    </w:rPr>
                    <w:t>烟气黑度、汞及其化合物</w:t>
                  </w:r>
                </w:p>
              </w:tc>
              <w:tc>
                <w:tcPr>
                  <w:tcW w:w="940" w:type="dxa"/>
                  <w:vAlign w:val="center"/>
                </w:tcPr>
                <w:p>
                  <w:pPr>
                    <w:pStyle w:val="15"/>
                    <w:rPr>
                      <w:color w:val="auto"/>
                    </w:rPr>
                  </w:pPr>
                  <w:r>
                    <w:rPr>
                      <w:color w:val="auto"/>
                    </w:rPr>
                    <w:t>颗粒物</w:t>
                  </w:r>
                </w:p>
              </w:tc>
              <w:tc>
                <w:tcPr>
                  <w:tcW w:w="849" w:type="dxa"/>
                  <w:vAlign w:val="center"/>
                </w:tcPr>
                <w:p>
                  <w:pPr>
                    <w:pStyle w:val="15"/>
                    <w:rPr>
                      <w:color w:val="auto"/>
                    </w:rPr>
                  </w:pPr>
                  <w:r>
                    <w:rPr>
                      <w:color w:val="auto"/>
                    </w:rPr>
                    <w:t>二氧化硫</w:t>
                  </w:r>
                  <w:r>
                    <w:rPr>
                      <w:rFonts w:hint="eastAsia"/>
                      <w:color w:val="auto"/>
                      <w:lang w:eastAsia="zh-CN"/>
                    </w:rPr>
                    <w:t>、</w:t>
                  </w:r>
                  <w:r>
                    <w:rPr>
                      <w:color w:val="auto"/>
                    </w:rPr>
                    <w:t>氮氧化物</w:t>
                  </w:r>
                </w:p>
              </w:tc>
              <w:tc>
                <w:tcPr>
                  <w:tcW w:w="1703" w:type="dxa"/>
                  <w:vAlign w:val="center"/>
                </w:tcPr>
                <w:p>
                  <w:pPr>
                    <w:pStyle w:val="15"/>
                    <w:rPr>
                      <w:color w:val="auto"/>
                    </w:rPr>
                  </w:pPr>
                  <w:r>
                    <w:rPr>
                      <w:rFonts w:hint="eastAsia"/>
                      <w:color w:val="auto"/>
                    </w:rPr>
                    <w:t>颗粒物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jc w:val="center"/>
              </w:trPr>
              <w:tc>
                <w:tcPr>
                  <w:tcW w:w="674" w:type="dxa"/>
                  <w:vMerge w:val="continue"/>
                  <w:tcBorders>
                    <w:right w:val="single" w:color="auto" w:sz="4" w:space="0"/>
                  </w:tcBorders>
                  <w:vAlign w:val="center"/>
                </w:tcPr>
                <w:p>
                  <w:pPr>
                    <w:pStyle w:val="15"/>
                    <w:rPr>
                      <w:color w:val="auto"/>
                    </w:rPr>
                  </w:pPr>
                </w:p>
              </w:tc>
              <w:tc>
                <w:tcPr>
                  <w:tcW w:w="736" w:type="dxa"/>
                  <w:tcBorders>
                    <w:top w:val="single" w:color="auto" w:sz="4" w:space="0"/>
                    <w:left w:val="single" w:color="auto" w:sz="4" w:space="0"/>
                    <w:bottom w:val="single" w:color="auto" w:sz="4" w:space="0"/>
                  </w:tcBorders>
                  <w:vAlign w:val="center"/>
                </w:tcPr>
                <w:p>
                  <w:pPr>
                    <w:pStyle w:val="15"/>
                    <w:rPr>
                      <w:color w:val="auto"/>
                    </w:rPr>
                  </w:pPr>
                  <w:r>
                    <w:rPr>
                      <w:color w:val="auto"/>
                    </w:rPr>
                    <w:t>监测频次</w:t>
                  </w:r>
                </w:p>
              </w:tc>
              <w:tc>
                <w:tcPr>
                  <w:tcW w:w="1664" w:type="dxa"/>
                  <w:vAlign w:val="center"/>
                </w:tcPr>
                <w:p>
                  <w:pPr>
                    <w:pStyle w:val="15"/>
                    <w:rPr>
                      <w:rFonts w:hint="eastAsia" w:eastAsia="宋体"/>
                      <w:color w:val="auto"/>
                      <w:lang w:eastAsia="zh-CN"/>
                    </w:rPr>
                  </w:pPr>
                  <w:r>
                    <w:rPr>
                      <w:rFonts w:hint="eastAsia"/>
                      <w:color w:val="auto"/>
                      <w:lang w:val="en-US" w:eastAsia="zh-CN"/>
                    </w:rPr>
                    <w:t>自动在线监测</w:t>
                  </w:r>
                </w:p>
              </w:tc>
              <w:tc>
                <w:tcPr>
                  <w:tcW w:w="1596" w:type="dxa"/>
                  <w:vAlign w:val="center"/>
                </w:tcPr>
                <w:p>
                  <w:pPr>
                    <w:pStyle w:val="15"/>
                    <w:rPr>
                      <w:rFonts w:hint="eastAsia"/>
                      <w:color w:val="auto"/>
                    </w:rPr>
                  </w:pPr>
                  <w:r>
                    <w:rPr>
                      <w:rFonts w:hint="eastAsia"/>
                      <w:color w:val="auto"/>
                    </w:rPr>
                    <w:t>1次/月</w:t>
                  </w:r>
                </w:p>
              </w:tc>
              <w:tc>
                <w:tcPr>
                  <w:tcW w:w="940" w:type="dxa"/>
                  <w:vAlign w:val="center"/>
                </w:tcPr>
                <w:p>
                  <w:pPr>
                    <w:pStyle w:val="15"/>
                    <w:rPr>
                      <w:color w:val="auto"/>
                    </w:rPr>
                  </w:pPr>
                  <w:r>
                    <w:rPr>
                      <w:rFonts w:hint="eastAsia"/>
                      <w:color w:val="auto"/>
                      <w:lang w:val="en-US" w:eastAsia="zh-CN"/>
                    </w:rPr>
                    <w:t>自动在线监测</w:t>
                  </w:r>
                </w:p>
              </w:tc>
              <w:tc>
                <w:tcPr>
                  <w:tcW w:w="849" w:type="dxa"/>
                  <w:vAlign w:val="center"/>
                </w:tcPr>
                <w:p>
                  <w:pPr>
                    <w:pStyle w:val="15"/>
                    <w:rPr>
                      <w:color w:val="auto"/>
                    </w:rPr>
                  </w:pPr>
                  <w:r>
                    <w:rPr>
                      <w:rFonts w:hint="eastAsia"/>
                      <w:color w:val="auto"/>
                    </w:rPr>
                    <w:t>1次/月</w:t>
                  </w:r>
                </w:p>
              </w:tc>
              <w:tc>
                <w:tcPr>
                  <w:tcW w:w="1703" w:type="dxa"/>
                  <w:vAlign w:val="center"/>
                </w:tcPr>
                <w:p>
                  <w:pPr>
                    <w:pStyle w:val="15"/>
                    <w:rPr>
                      <w:rFonts w:hint="eastAsia" w:eastAsia="宋体"/>
                      <w:color w:val="auto"/>
                      <w:lang w:val="en-US" w:eastAsia="zh-CN"/>
                    </w:rPr>
                  </w:pPr>
                  <w:r>
                    <w:rPr>
                      <w:rFonts w:hint="eastAsia"/>
                      <w:color w:val="auto"/>
                    </w:rPr>
                    <w:t>1次/</w:t>
                  </w:r>
                  <w:r>
                    <w:rPr>
                      <w:rFonts w:hint="eastAsia"/>
                      <w:color w:val="auto"/>
                      <w:lang w:val="en-US" w:eastAsia="zh-CN"/>
                    </w:rPr>
                    <w:t>季</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Ex>
              <w:trPr>
                <w:trHeight w:val="285" w:hRule="atLeast"/>
                <w:jc w:val="center"/>
              </w:trPr>
              <w:tc>
                <w:tcPr>
                  <w:tcW w:w="674" w:type="dxa"/>
                  <w:vMerge w:val="continue"/>
                  <w:tcBorders>
                    <w:right w:val="single" w:color="auto" w:sz="4" w:space="0"/>
                  </w:tcBorders>
                  <w:vAlign w:val="center"/>
                </w:tcPr>
                <w:p>
                  <w:pPr>
                    <w:pStyle w:val="15"/>
                    <w:rPr>
                      <w:color w:val="auto"/>
                    </w:rPr>
                  </w:pPr>
                </w:p>
              </w:tc>
              <w:tc>
                <w:tcPr>
                  <w:tcW w:w="7488" w:type="dxa"/>
                  <w:gridSpan w:val="6"/>
                  <w:tcBorders>
                    <w:top w:val="single" w:color="auto" w:sz="4" w:space="0"/>
                    <w:left w:val="single" w:color="auto" w:sz="4" w:space="0"/>
                    <w:bottom w:val="single" w:color="auto" w:sz="4" w:space="0"/>
                  </w:tcBorders>
                  <w:vAlign w:val="center"/>
                </w:tcPr>
                <w:p>
                  <w:pPr>
                    <w:pStyle w:val="15"/>
                    <w:jc w:val="left"/>
                    <w:rPr>
                      <w:color w:val="auto"/>
                    </w:rPr>
                  </w:pPr>
                  <w:r>
                    <w:rPr>
                      <w:color w:val="auto"/>
                    </w:rPr>
                    <w:t>监测要求参照《</w:t>
                  </w:r>
                  <w:r>
                    <w:rPr>
                      <w:rFonts w:hint="eastAsia"/>
                      <w:color w:val="auto"/>
                    </w:rPr>
                    <w:t>排污单位自行监测技术指南 工业固体废物和危险废物治理</w:t>
                  </w:r>
                  <w:r>
                    <w:rPr>
                      <w:color w:val="auto"/>
                    </w:rPr>
                    <w:t>》</w:t>
                  </w:r>
                  <w:r>
                    <w:rPr>
                      <w:rFonts w:hint="eastAsia"/>
                      <w:color w:val="auto"/>
                    </w:rPr>
                    <w:t>（HJ 1250—2022）</w:t>
                  </w:r>
                  <w:r>
                    <w:rPr>
                      <w:color w:val="auto"/>
                    </w:rPr>
                    <w:t>、</w:t>
                  </w:r>
                  <w:r>
                    <w:rPr>
                      <w:rFonts w:hint="eastAsia"/>
                      <w:color w:val="auto"/>
                      <w:lang w:val="en-US" w:eastAsia="zh-CN"/>
                    </w:rPr>
                    <w:t>现有项目排污许可证</w:t>
                  </w:r>
                  <w:r>
                    <w:rPr>
                      <w:color w:val="auto"/>
                    </w:rPr>
                    <w:t>确定</w:t>
                  </w:r>
                  <w:r>
                    <w:rPr>
                      <w:rFonts w:hint="eastAsia"/>
                      <w:color w:val="auto"/>
                    </w:rPr>
                    <w:t>。</w:t>
                  </w:r>
                </w:p>
              </w:tc>
            </w:tr>
          </w:tbl>
          <w:p>
            <w:pPr>
              <w:bidi w:val="0"/>
              <w:rPr>
                <w:rFonts w:hint="default"/>
                <w:color w:val="auto"/>
                <w:lang w:val="en-US" w:eastAsia="zh-CN"/>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lang w:val="en-US" w:eastAsia="zh-CN"/>
              </w:rPr>
              <w:t>措施可行性分析</w:t>
            </w:r>
          </w:p>
          <w:p>
            <w:pPr>
              <w:bidi w:val="0"/>
              <w:rPr>
                <w:rFonts w:hint="default"/>
                <w:color w:val="auto"/>
                <w:lang w:val="en-US" w:eastAsia="zh-CN"/>
              </w:rPr>
            </w:pPr>
            <w:r>
              <w:rPr>
                <w:rFonts w:hint="eastAsia"/>
                <w:color w:val="auto"/>
                <w:lang w:val="en-US" w:eastAsia="zh-CN"/>
              </w:rPr>
              <w:t>根据项目排污许可证，项目所使用废气治理措施均为相关排污许可证申请与核发技术规范中的可行技术，且根据项目自行监测报告及在线监测系统数据，现有项目有组织废气经废气治理措施处理后均能实现达标排放，故项目区现有废气治理措施是可行的。</w:t>
            </w:r>
          </w:p>
          <w:p>
            <w:pPr>
              <w:bidi w:val="0"/>
              <w:rPr>
                <w:rFonts w:hint="default"/>
                <w:color w:val="auto"/>
                <w:lang w:val="en-US" w:eastAsia="zh-CN"/>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lang w:val="en-US" w:eastAsia="zh-CN"/>
              </w:rPr>
              <w:t>环境影响分析</w:t>
            </w:r>
          </w:p>
          <w:p>
            <w:pPr>
              <w:bidi w:val="0"/>
              <w:rPr>
                <w:rFonts w:hint="eastAsia"/>
                <w:color w:val="auto"/>
              </w:rPr>
            </w:pPr>
            <w:r>
              <w:rPr>
                <w:rFonts w:hint="eastAsia"/>
                <w:color w:val="auto"/>
                <w:lang w:val="en-US" w:eastAsia="zh-CN"/>
              </w:rPr>
              <w:t>改建项目依托现有复合肥生产线生产设备及废气治理措施，根据现有项目自行监测报告及在线监测系统数据，现有项目有组织废气经废气治理措施处理后均能实现达标排放，厂区无组织废气均实现达标排放，改建项目建成后不增加废气产排污种类及排放量，故改建项目的建设对周围大气环境没有大的影响。</w:t>
            </w:r>
          </w:p>
          <w:p>
            <w:pPr>
              <w:ind w:firstLine="0" w:firstLineChars="0"/>
              <w:rPr>
                <w:color w:val="auto"/>
              </w:rPr>
            </w:pPr>
            <w:r>
              <w:rPr>
                <w:rFonts w:hint="eastAsia"/>
                <w:color w:val="auto"/>
              </w:rPr>
              <w:t>二、水环境影响分析和保护措施</w:t>
            </w:r>
          </w:p>
          <w:p>
            <w:pPr>
              <w:ind w:firstLine="480"/>
              <w:rPr>
                <w:color w:val="auto"/>
              </w:rPr>
            </w:pPr>
            <w:r>
              <w:rPr>
                <w:rFonts w:hint="eastAsia"/>
                <w:color w:val="auto"/>
              </w:rPr>
              <w:t>1、改建项目废水产排情况</w:t>
            </w:r>
          </w:p>
          <w:p>
            <w:pPr>
              <w:ind w:firstLine="480"/>
              <w:rPr>
                <w:color w:val="auto"/>
              </w:rPr>
            </w:pPr>
            <w:r>
              <w:rPr>
                <w:rFonts w:hint="eastAsia"/>
                <w:color w:val="auto"/>
              </w:rPr>
              <w:t>改建项目不新增劳动定员，不调整产品类型，故不新增生活污水，运营期废水主要为原料堆场渗滤液。</w:t>
            </w:r>
          </w:p>
          <w:p>
            <w:pPr>
              <w:ind w:firstLine="480"/>
              <w:rPr>
                <w:color w:val="auto"/>
              </w:rPr>
            </w:pPr>
            <w:r>
              <w:rPr>
                <w:rFonts w:hint="eastAsia"/>
                <w:color w:val="auto"/>
              </w:rPr>
              <w:t>（1）原料堆场渗滤液</w:t>
            </w:r>
          </w:p>
          <w:p>
            <w:pPr>
              <w:ind w:firstLine="480"/>
              <w:rPr>
                <w:color w:val="auto"/>
              </w:rPr>
            </w:pPr>
            <w:r>
              <w:rPr>
                <w:rFonts w:hint="eastAsia"/>
                <w:color w:val="auto"/>
              </w:rPr>
              <w:t>项目原料在原料堆存堆放时会产生少量淋沥液，由于在产废企业已经进行过压滤，原料堆场设置封闭堆场防止雨水淋漓，根据项目生产规模和建设单位经验估算，原料在堆场堆存时产生渗滤液按使用原料中水份1%计算，即26.4t/a，0.088t/d。渗滤液全部进入渗滤液水池中，沉淀处理后回用于原料堆场洒水降尘用水，不外排。</w:t>
            </w:r>
          </w:p>
          <w:p>
            <w:pPr>
              <w:ind w:firstLine="480"/>
              <w:rPr>
                <w:rFonts w:hint="eastAsia"/>
                <w:color w:val="auto"/>
              </w:rPr>
            </w:pPr>
            <w:r>
              <w:rPr>
                <w:color w:val="auto"/>
              </w:rPr>
              <mc:AlternateContent>
                <mc:Choice Requires="wps">
                  <w:drawing>
                    <wp:anchor distT="0" distB="0" distL="114300" distR="114300" simplePos="0" relativeHeight="251667456" behindDoc="0" locked="0" layoutInCell="1" allowOverlap="1">
                      <wp:simplePos x="0" y="0"/>
                      <wp:positionH relativeFrom="column">
                        <wp:posOffset>320040</wp:posOffset>
                      </wp:positionH>
                      <wp:positionV relativeFrom="paragraph">
                        <wp:posOffset>279400</wp:posOffset>
                      </wp:positionV>
                      <wp:extent cx="4199255" cy="754380"/>
                      <wp:effectExtent l="4445" t="4445" r="17780" b="18415"/>
                      <wp:wrapNone/>
                      <wp:docPr id="12" name="矩形 12"/>
                      <wp:cNvGraphicFramePr/>
                      <a:graphic xmlns:a="http://schemas.openxmlformats.org/drawingml/2006/main">
                        <a:graphicData uri="http://schemas.microsoft.com/office/word/2010/wordprocessingShape">
                          <wps:wsp>
                            <wps:cNvSpPr/>
                            <wps:spPr>
                              <a:xfrm>
                                <a:off x="1685925" y="6962140"/>
                                <a:ext cx="4199255" cy="754380"/>
                              </a:xfrm>
                              <a:prstGeom prst="rect">
                                <a:avLst/>
                              </a:prstGeom>
                              <a:noFill/>
                              <a:ln w="635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2pt;margin-top:22pt;height:59.4pt;width:330.65pt;z-index:251667456;v-text-anchor:middle;mso-width-relative:page;mso-height-relative:page;" filled="f" stroked="t" coordsize="21600,21600" o:gfxdata="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wtWgn1wAA&#10;AAkBAAAPAAAAAAAAAAEAIAAAACIAAABkcnMvZG93bnJldi54bWxQSwECFAAUAAAACACHTuJAsXHk&#10;PVgCAACKBAAADgAAAAAAAAABACAAAAAmAQAAZHJzL2Uyb0RvYy54bWxQSwUGAAAAAAYABgBZAQAA&#10;8AUAAAAA&#10;">
                      <v:fill on="f" focussize="0,0"/>
                      <v:stroke weight="0.5pt" color="#000000 [3213]" miterlimit="8" joinstyle="miter"/>
                      <v:imagedata o:title=""/>
                      <o:lock v:ext="edit" aspectratio="f"/>
                    </v:rect>
                  </w:pict>
                </mc:Fallback>
              </mc:AlternateContent>
            </w:r>
            <w:r>
              <w:rPr>
                <w:rFonts w:hint="eastAsia"/>
                <w:color w:val="auto"/>
              </w:rPr>
              <w:t>（2）水平衡</w:t>
            </w:r>
          </w:p>
          <w:p>
            <w:pPr>
              <w:ind w:firstLine="480"/>
              <w:rPr>
                <w:color w:val="auto"/>
              </w:rPr>
            </w:pPr>
            <w:r>
              <w:rPr>
                <w:color w:val="auto"/>
              </w:rPr>
              <mc:AlternateContent>
                <mc:Choice Requires="wps">
                  <w:drawing>
                    <wp:anchor distT="0" distB="0" distL="114300" distR="114300" simplePos="0" relativeHeight="251666432" behindDoc="0" locked="0" layoutInCell="1" allowOverlap="1">
                      <wp:simplePos x="0" y="0"/>
                      <wp:positionH relativeFrom="column">
                        <wp:posOffset>2654300</wp:posOffset>
                      </wp:positionH>
                      <wp:positionV relativeFrom="paragraph">
                        <wp:posOffset>120650</wp:posOffset>
                      </wp:positionV>
                      <wp:extent cx="546735" cy="26543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46735"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t>0.088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pt;margin-top:9.5pt;height:20.9pt;width:43.05pt;z-index:251666432;mso-width-relative:page;mso-height-relative:page;" filled="f" stroked="f" coordsize="21600,21600" o:gfxdata="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WfC5u&#10;2gAAAAkBAAAPAAAAAAAAAAEAIAAAACIAAABkcnMvZG93bnJldi54bWxQSwECFAAUAAAACACHTuJA&#10;79sNkB8CAAAZBAAADgAAAAAAAAABACAAAAApAQAAZHJzL2Uyb0RvYy54bWxQSwUGAAAAAAYABgBZ&#10;AQAAugUAAAAA&#10;">
                      <v:fill on="f" focussize="0,0"/>
                      <v:stroke on="f" weight="0.5pt"/>
                      <v:imagedata o:title=""/>
                      <o:lock v:ext="edit" aspectratio="f"/>
                      <v:textbox>
                        <w:txbxContent>
                          <w:p>
                            <w:pPr>
                              <w:pStyle w:val="15"/>
                            </w:pPr>
                            <w:r>
                              <w:rPr>
                                <w:rFonts w:hint="eastAsia"/>
                              </w:rPr>
                              <w:t>0.088</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1233170</wp:posOffset>
                      </wp:positionH>
                      <wp:positionV relativeFrom="paragraph">
                        <wp:posOffset>102235</wp:posOffset>
                      </wp:positionV>
                      <wp:extent cx="546735" cy="265430"/>
                      <wp:effectExtent l="0" t="0" r="0" b="0"/>
                      <wp:wrapNone/>
                      <wp:docPr id="10" name="文本框 10"/>
                      <wp:cNvGraphicFramePr/>
                      <a:graphic xmlns:a="http://schemas.openxmlformats.org/drawingml/2006/main">
                        <a:graphicData uri="http://schemas.microsoft.com/office/word/2010/wordprocessingShape">
                          <wps:wsp>
                            <wps:cNvSpPr txBox="1"/>
                            <wps:spPr>
                              <a:xfrm>
                                <a:off x="2694305" y="7145020"/>
                                <a:ext cx="546735"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t>0.088</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1pt;margin-top:8.05pt;height:20.9pt;width:43.05pt;z-index:251665408;mso-width-relative:page;mso-height-relative:page;" filled="f" stroked="f" coordsize="21600,21600" o:gfxdata="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Bx8atoAAAAJAQAADwAAAAAAAAABACAAAAAiAAAAZHJzL2Rvd25yZXYueG1sUEsBAhQA&#10;FAAAAAgAh07iQCrOn8opAgAAJQQAAA4AAAAAAAAAAQAgAAAAKQEAAGRycy9lMm9Eb2MueG1sUEsF&#10;BgAAAAAGAAYAWQEAAMQFAAAAAA==&#10;">
                      <v:fill on="f" focussize="0,0"/>
                      <v:stroke on="f" weight="0.5pt"/>
                      <v:imagedata o:title=""/>
                      <o:lock v:ext="edit" aspectratio="f"/>
                      <v:textbox>
                        <w:txbxContent>
                          <w:p>
                            <w:pPr>
                              <w:pStyle w:val="15"/>
                            </w:pPr>
                            <w:r>
                              <w:rPr>
                                <w:rFonts w:hint="eastAsia"/>
                              </w:rPr>
                              <w:t>0.088</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433070</wp:posOffset>
                      </wp:positionH>
                      <wp:positionV relativeFrom="paragraph">
                        <wp:posOffset>127000</wp:posOffset>
                      </wp:positionV>
                      <wp:extent cx="769620" cy="436880"/>
                      <wp:effectExtent l="4445" t="4445" r="18415" b="15875"/>
                      <wp:wrapNone/>
                      <wp:docPr id="2" name="文本框 2"/>
                      <wp:cNvGraphicFramePr/>
                      <a:graphic xmlns:a="http://schemas.openxmlformats.org/drawingml/2006/main">
                        <a:graphicData uri="http://schemas.microsoft.com/office/word/2010/wordprocessingShape">
                          <wps:wsp>
                            <wps:cNvSpPr txBox="1"/>
                            <wps:spPr>
                              <a:xfrm>
                                <a:off x="1630680" y="6973570"/>
                                <a:ext cx="769620" cy="4368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t>原料堆场渗滤液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1pt;margin-top:10pt;height:34.4pt;width:60.6pt;z-index:251659264;mso-width-relative:page;mso-height-relative:page;" fillcolor="#FFFFFF [3201]" filled="t" stroked="t" coordsize="21600,21600" o:gfxdata="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HW/Z21AAAAAgBAAAPAAAAAAAAAAEAIAAAACIA&#10;AABkcnMvZG93bnJldi54bWxQSwECFAAUAAAACACHTuJAQmh/+0YCAAB0BAAADgAAAAAAAAABACAA&#10;AAAjAQAAZHJzL2Uyb0RvYy54bWxQSwUGAAAAAAYABgBZAQAA2wUAAAAA&#10;">
                      <v:fill on="t" focussize="0,0"/>
                      <v:stroke weight="0.5pt" color="#000000 [3204]" joinstyle="round"/>
                      <v:imagedata o:title=""/>
                      <o:lock v:ext="edit" aspectratio="f"/>
                      <v:textbox>
                        <w:txbxContent>
                          <w:p>
                            <w:pPr>
                              <w:pStyle w:val="15"/>
                            </w:pPr>
                            <w:r>
                              <w:rPr>
                                <w:rFonts w:hint="eastAsia"/>
                              </w:rPr>
                              <w:t>原料堆场渗滤液</w:t>
                            </w:r>
                          </w:p>
                        </w:txbxContent>
                      </v:textbox>
                    </v:shap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3253105</wp:posOffset>
                      </wp:positionH>
                      <wp:positionV relativeFrom="paragraph">
                        <wp:posOffset>125730</wp:posOffset>
                      </wp:positionV>
                      <wp:extent cx="1102995" cy="436880"/>
                      <wp:effectExtent l="4445" t="4445" r="5080" b="15875"/>
                      <wp:wrapNone/>
                      <wp:docPr id="5" name="文本框 5"/>
                      <wp:cNvGraphicFramePr/>
                      <a:graphic xmlns:a="http://schemas.openxmlformats.org/drawingml/2006/main">
                        <a:graphicData uri="http://schemas.microsoft.com/office/word/2010/wordprocessingShape">
                          <wps:wsp>
                            <wps:cNvSpPr txBox="1"/>
                            <wps:spPr>
                              <a:xfrm>
                                <a:off x="0" y="0"/>
                                <a:ext cx="1102995" cy="4368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t>回用于原料堆场洒水降尘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15pt;margin-top:9.9pt;height:34.4pt;width:86.85pt;z-index:251662336;mso-width-relative:page;mso-height-relative:page;" fillcolor="#FFFFFF [3201]" filled="t" stroked="t" coordsize="21600,21600" o:gfxdata="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Xnqj11QAAAAkBAAAPAAAAAAAAAAEAIAAAACIAAABkcnMv&#10;ZG93bnJldi54bWxQSwECFAAUAAAACACHTuJA+dno2D8CAABpBAAADgAAAAAAAAABACAAAAAkAQAA&#10;ZHJzL2Uyb0RvYy54bWxQSwUGAAAAAAYABgBZAQAA1QUAAAAA&#10;">
                      <v:fill on="t" focussize="0,0"/>
                      <v:stroke weight="0.5pt" color="#000000 [3204]" joinstyle="round"/>
                      <v:imagedata o:title=""/>
                      <o:lock v:ext="edit" aspectratio="f"/>
                      <v:textbox>
                        <w:txbxContent>
                          <w:p>
                            <w:pPr>
                              <w:pStyle w:val="15"/>
                            </w:pPr>
                            <w:r>
                              <w:rPr>
                                <w:rFonts w:hint="eastAsia"/>
                              </w:rPr>
                              <w:t>回用于原料堆场洒水降尘</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1853565</wp:posOffset>
                      </wp:positionH>
                      <wp:positionV relativeFrom="paragraph">
                        <wp:posOffset>123190</wp:posOffset>
                      </wp:positionV>
                      <wp:extent cx="769620" cy="436880"/>
                      <wp:effectExtent l="4445" t="4445" r="18415" b="15875"/>
                      <wp:wrapNone/>
                      <wp:docPr id="3" name="文本框 3"/>
                      <wp:cNvGraphicFramePr/>
                      <a:graphic xmlns:a="http://schemas.openxmlformats.org/drawingml/2006/main">
                        <a:graphicData uri="http://schemas.microsoft.com/office/word/2010/wordprocessingShape">
                          <wps:wsp>
                            <wps:cNvSpPr txBox="1"/>
                            <wps:spPr>
                              <a:xfrm>
                                <a:off x="0" y="0"/>
                                <a:ext cx="769620" cy="4368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rPr>
                                    <w:t>渗滤液收集池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95pt;margin-top:9.7pt;height:34.4pt;width:60.6pt;z-index:251660288;mso-width-relative:page;mso-height-relative:page;" fillcolor="#FFFFFF [3201]" filled="t" stroked="t" coordsize="21600,21600" o:gfxdata="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Sn9/k1gAAAAkBAAAPAAAAAAAAAAEAIAAAACIAAABkcnMv&#10;ZG93bnJldi54bWxQSwECFAAUAAAACACHTuJAMnGltj4CAABoBAAADgAAAAAAAAABACAAAAAlAQAA&#10;ZHJzL2Uyb0RvYy54bWxQSwUGAAAAAAYABgBZAQAA1QUAAAAA&#10;">
                      <v:fill on="t" focussize="0,0"/>
                      <v:stroke weight="0.5pt" color="#000000 [3204]" joinstyle="round"/>
                      <v:imagedata o:title=""/>
                      <o:lock v:ext="edit" aspectratio="f"/>
                      <v:textbox>
                        <w:txbxContent>
                          <w:p>
                            <w:pPr>
                              <w:pStyle w:val="15"/>
                            </w:pPr>
                            <w:r>
                              <w:rPr>
                                <w:rFonts w:hint="eastAsia"/>
                              </w:rPr>
                              <w:t>渗滤液收集池</w:t>
                            </w:r>
                          </w:p>
                        </w:txbxContent>
                      </v:textbox>
                    </v:shape>
                  </w:pict>
                </mc:Fallback>
              </mc:AlternateContent>
            </w:r>
          </w:p>
          <w:p>
            <w:pPr>
              <w:ind w:firstLine="0" w:firstLineChars="0"/>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2623185</wp:posOffset>
                      </wp:positionH>
                      <wp:positionV relativeFrom="paragraph">
                        <wp:posOffset>78740</wp:posOffset>
                      </wp:positionV>
                      <wp:extent cx="629920" cy="2540"/>
                      <wp:effectExtent l="0" t="48895" r="10160" b="55245"/>
                      <wp:wrapNone/>
                      <wp:docPr id="7" name="直接箭头连接符 7"/>
                      <wp:cNvGraphicFramePr/>
                      <a:graphic xmlns:a="http://schemas.openxmlformats.org/drawingml/2006/main">
                        <a:graphicData uri="http://schemas.microsoft.com/office/word/2010/wordprocessingShape">
                          <wps:wsp>
                            <wps:cNvCnPr/>
                            <wps:spPr>
                              <a:xfrm>
                                <a:off x="3920490" y="7251700"/>
                                <a:ext cx="629920" cy="254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06.55pt;margin-top:6.2pt;height:0.2pt;width:49.6pt;z-index:251664384;mso-width-relative:page;mso-height-relative:page;" filled="f" stroked="t" coordsize="21600,21600" o:gfxdata="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gsFi1gAAAAkBAAAPAAAAAAAAAAEAIAAAACIAAABkcnMvZG93bnJldi54bWxQSwEC&#10;FAAUAAAACACHTuJAt7C52vYBAACfAwAADgAAAAAAAAABACAAAAAlAQAAZHJzL2Uyb0RvYy54bWxQ&#10;SwUGAAAAAAYABgBZAQAAjQUAAAAA&#10;">
                      <v:fill on="f" focussize="0,0"/>
                      <v:stroke weight="1pt" color="#000000 [3213]" miterlimit="8" joinstyle="miter" endarrow="open"/>
                      <v:imagedata o:title=""/>
                      <o:lock v:ext="edit" aspectratio="f"/>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1202690</wp:posOffset>
                      </wp:positionH>
                      <wp:positionV relativeFrom="paragraph">
                        <wp:posOffset>78740</wp:posOffset>
                      </wp:positionV>
                      <wp:extent cx="650875" cy="3810"/>
                      <wp:effectExtent l="0" t="50165" r="4445" b="52705"/>
                      <wp:wrapNone/>
                      <wp:docPr id="6" name="直接箭头连接符 6"/>
                      <wp:cNvGraphicFramePr/>
                      <a:graphic xmlns:a="http://schemas.openxmlformats.org/drawingml/2006/main">
                        <a:graphicData uri="http://schemas.microsoft.com/office/word/2010/wordprocessingShape">
                          <wps:wsp>
                            <wps:cNvCnPr/>
                            <wps:spPr>
                              <a:xfrm flipV="1">
                                <a:off x="2499995" y="7255510"/>
                                <a:ext cx="650875" cy="381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y;margin-left:94.7pt;margin-top:6.2pt;height:0.3pt;width:51.25pt;z-index:251663360;mso-width-relative:page;mso-height-relative:page;" filled="f" stroked="t" coordsize="21600,21600" o:gfxdata="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zhLptoAAAAJAQAADwAAAAAAAAABACAAAAAiAAAAZHJzL2Rvd25y&#10;ZXYueG1sUEsBAhQAFAAAAAgAh07iQFLvbNj8AQAAqQMAAA4AAAAAAAAAAQAgAAAAKQEAAGRycy9l&#10;Mm9Eb2MueG1sUEsFBgAAAAAGAAYAWQEAAJcFAAAAAA==&#10;">
                      <v:fill on="f" focussize="0,0"/>
                      <v:stroke weight="1pt" color="#000000 [3213]" miterlimit="8" joinstyle="miter" endarrow="open"/>
                      <v:imagedata o:title=""/>
                      <o:lock v:ext="edit" aspectratio="f"/>
                    </v:shape>
                  </w:pict>
                </mc:Fallback>
              </mc:AlternateContent>
            </w:r>
            <w:r>
              <w:rPr>
                <w:rFonts w:hint="eastAsia"/>
                <w:color w:val="auto"/>
              </w:rPr>
              <w:t xml:space="preserve">   </w:t>
            </w:r>
          </w:p>
          <w:p>
            <w:pPr>
              <w:ind w:firstLine="0" w:firstLineChars="0"/>
              <w:jc w:val="center"/>
              <w:rPr>
                <w:color w:val="auto"/>
              </w:rPr>
            </w:pPr>
          </w:p>
          <w:p>
            <w:pPr>
              <w:ind w:firstLine="0" w:firstLineChars="0"/>
              <w:jc w:val="center"/>
              <w:rPr>
                <w:b/>
                <w:bCs/>
                <w:color w:val="auto"/>
              </w:rPr>
            </w:pPr>
            <w:r>
              <w:rPr>
                <w:rFonts w:hint="eastAsia"/>
                <w:b/>
                <w:bCs/>
                <w:color w:val="auto"/>
              </w:rPr>
              <w:t>图4-1   项目区水平衡图   单位：t/d</w:t>
            </w:r>
          </w:p>
          <w:p>
            <w:pPr>
              <w:ind w:firstLine="480"/>
              <w:rPr>
                <w:color w:val="auto"/>
              </w:rPr>
            </w:pPr>
            <w:r>
              <w:rPr>
                <w:rFonts w:hint="eastAsia"/>
                <w:color w:val="auto"/>
              </w:rPr>
              <w:t>2、废水回用可行性分析</w:t>
            </w:r>
          </w:p>
          <w:p>
            <w:pPr>
              <w:ind w:firstLine="480"/>
              <w:rPr>
                <w:color w:val="auto"/>
              </w:rPr>
            </w:pPr>
            <w:r>
              <w:rPr>
                <w:rFonts w:hint="eastAsia"/>
                <w:color w:val="auto"/>
              </w:rPr>
              <w:t>项目拟新建2m</w:t>
            </w:r>
            <w:r>
              <w:rPr>
                <w:rFonts w:hint="eastAsia"/>
                <w:color w:val="auto"/>
                <w:vertAlign w:val="superscript"/>
              </w:rPr>
              <w:t>3</w:t>
            </w:r>
            <w:r>
              <w:rPr>
                <w:rFonts w:hint="eastAsia"/>
                <w:color w:val="auto"/>
              </w:rPr>
              <w:t>渗滤液收集池，根据计算项目区日产生渗滤液0.088t/d，渗滤液收集池可以满足渗滤液22天的收集处理需求，可以满足近两个月储存量。</w:t>
            </w:r>
          </w:p>
          <w:p>
            <w:pPr>
              <w:ind w:firstLine="480"/>
              <w:rPr>
                <w:color w:val="auto"/>
              </w:rPr>
            </w:pPr>
            <w:r>
              <w:rPr>
                <w:rFonts w:hint="eastAsia"/>
                <w:color w:val="auto"/>
              </w:rPr>
              <w:t>项目原料堆场全部进行地面硬化和防渗处理，原料渗滤液用于原料堆场洒水降尘后，部分在地表自然蒸发，部分附在物料表层进入烘干机受热蒸发。即使有少量未蒸发水份，经过地面汇集后会又再次进入渗滤液收集池，在再次洒水降尘过程中蒸发消耗。根据建设单位提供资料，原料堆场进行全封闭管理，每天需要对堆料进行洒水降尘，防止堆料产生扬尘，用水量约为0.2m</w:t>
            </w:r>
            <w:r>
              <w:rPr>
                <w:rFonts w:hint="eastAsia"/>
                <w:color w:val="auto"/>
                <w:vertAlign w:val="superscript"/>
              </w:rPr>
              <w:t>3</w:t>
            </w:r>
            <w:r>
              <w:rPr>
                <w:rFonts w:hint="eastAsia"/>
                <w:color w:val="auto"/>
              </w:rPr>
              <w:t>/d，项目废水产生量约0.088m</w:t>
            </w:r>
            <w:r>
              <w:rPr>
                <w:rFonts w:hint="eastAsia"/>
                <w:color w:val="auto"/>
                <w:vertAlign w:val="superscript"/>
              </w:rPr>
              <w:t>3</w:t>
            </w:r>
            <w:r>
              <w:rPr>
                <w:rFonts w:hint="eastAsia"/>
                <w:color w:val="auto"/>
              </w:rPr>
              <w:t>/d，可以全部回用于料场洒水降尘使用，不外排。</w:t>
            </w:r>
          </w:p>
          <w:p>
            <w:pPr>
              <w:ind w:firstLine="480"/>
              <w:rPr>
                <w:color w:val="auto"/>
              </w:rPr>
            </w:pPr>
            <w:r>
              <w:rPr>
                <w:rFonts w:hint="eastAsia"/>
                <w:color w:val="auto"/>
              </w:rPr>
              <w:t>本项目废水主要为原料渗滤液，污染物较为单一，主要污染物为SS</w:t>
            </w:r>
            <w:r>
              <w:rPr>
                <w:rFonts w:hint="eastAsia"/>
                <w:color w:val="auto"/>
                <w:lang w:val="en-US" w:eastAsia="zh-CN"/>
              </w:rPr>
              <w:t>等</w:t>
            </w:r>
            <w:r>
              <w:rPr>
                <w:rFonts w:hint="eastAsia"/>
                <w:color w:val="auto"/>
              </w:rPr>
              <w:t>，污染浓度不高，可以作为</w:t>
            </w:r>
            <w:r>
              <w:rPr>
                <w:rFonts w:hint="eastAsia"/>
                <w:color w:val="auto"/>
                <w:lang w:val="en-US" w:eastAsia="zh-CN"/>
              </w:rPr>
              <w:t>新建</w:t>
            </w:r>
            <w:r>
              <w:rPr>
                <w:rFonts w:hint="eastAsia"/>
                <w:color w:val="auto"/>
              </w:rPr>
              <w:t>原料洒水降尘使用。作为洒水降尘用水部分自然蒸发，部分随物料进入烘干机烘干，不外排，项目产生废水全部回用是可行的。</w:t>
            </w:r>
          </w:p>
          <w:p>
            <w:pPr>
              <w:ind w:firstLine="0" w:firstLineChars="0"/>
              <w:rPr>
                <w:color w:val="auto"/>
              </w:rPr>
            </w:pPr>
            <w:r>
              <w:rPr>
                <w:rFonts w:hint="eastAsia"/>
                <w:color w:val="auto"/>
              </w:rPr>
              <w:t>三、运营期声</w:t>
            </w:r>
            <w:r>
              <w:rPr>
                <w:color w:val="auto"/>
              </w:rPr>
              <w:t>环境影响和保护措施</w:t>
            </w:r>
          </w:p>
          <w:p>
            <w:pPr>
              <w:ind w:firstLine="480"/>
              <w:rPr>
                <w:color w:val="auto"/>
              </w:rPr>
            </w:pPr>
            <w:r>
              <w:rPr>
                <w:rFonts w:hint="eastAsia"/>
                <w:color w:val="auto"/>
              </w:rPr>
              <w:t>1、改建项目运营期噪声源强</w:t>
            </w:r>
          </w:p>
          <w:p>
            <w:pPr>
              <w:widowControl/>
              <w:snapToGrid w:val="0"/>
              <w:ind w:firstLine="480"/>
              <w:rPr>
                <w:color w:val="auto"/>
              </w:rPr>
            </w:pPr>
            <w:r>
              <w:rPr>
                <w:rFonts w:hint="eastAsia"/>
                <w:color w:val="auto"/>
              </w:rPr>
              <w:t>改建项目不新增生产设备，生产设备均依托原有，</w:t>
            </w:r>
            <w:r>
              <w:rPr>
                <w:color w:val="auto"/>
              </w:rPr>
              <w:t>项目噪声主要为运营过程</w:t>
            </w:r>
            <w:r>
              <w:rPr>
                <w:rFonts w:hint="eastAsia"/>
                <w:color w:val="auto"/>
              </w:rPr>
              <w:t>生产</w:t>
            </w:r>
            <w:r>
              <w:rPr>
                <w:color w:val="auto"/>
              </w:rPr>
              <w:t>设备噪声，源强值约</w:t>
            </w:r>
            <w:r>
              <w:rPr>
                <w:rFonts w:hint="eastAsia"/>
                <w:color w:val="auto"/>
              </w:rPr>
              <w:t>85</w:t>
            </w:r>
            <w:r>
              <w:rPr>
                <w:color w:val="auto"/>
              </w:rPr>
              <w:t>~</w:t>
            </w:r>
            <w:r>
              <w:rPr>
                <w:rFonts w:hint="eastAsia"/>
                <w:color w:val="auto"/>
              </w:rPr>
              <w:t>105</w:t>
            </w:r>
            <w:r>
              <w:rPr>
                <w:color w:val="auto"/>
              </w:rPr>
              <w:t>dB (A)</w:t>
            </w:r>
            <w:r>
              <w:rPr>
                <w:rFonts w:hint="eastAsia"/>
                <w:color w:val="auto"/>
              </w:rPr>
              <w:t>，</w:t>
            </w:r>
            <w:r>
              <w:rPr>
                <w:color w:val="auto"/>
              </w:rPr>
              <w:t>主要产噪</w:t>
            </w:r>
            <w:r>
              <w:rPr>
                <w:rFonts w:hint="eastAsia"/>
                <w:color w:val="auto"/>
              </w:rPr>
              <w:t>设备</w:t>
            </w:r>
            <w:r>
              <w:rPr>
                <w:color w:val="auto"/>
              </w:rPr>
              <w:t>噪声源强</w:t>
            </w:r>
            <w:r>
              <w:rPr>
                <w:rFonts w:hint="eastAsia"/>
                <w:color w:val="auto"/>
              </w:rPr>
              <w:t>详见下表。</w:t>
            </w:r>
          </w:p>
          <w:p>
            <w:pPr>
              <w:pStyle w:val="14"/>
              <w:rPr>
                <w:color w:val="auto"/>
              </w:rPr>
            </w:pPr>
            <w:r>
              <w:rPr>
                <w:rFonts w:hint="eastAsia"/>
                <w:color w:val="auto"/>
              </w:rPr>
              <w:t>表4-</w:t>
            </w:r>
            <w:r>
              <w:rPr>
                <w:rFonts w:hint="eastAsia"/>
                <w:color w:val="auto"/>
                <w:lang w:val="en-US" w:eastAsia="zh-CN"/>
              </w:rPr>
              <w:t>5</w:t>
            </w:r>
            <w:r>
              <w:rPr>
                <w:rFonts w:hint="eastAsia"/>
                <w:color w:val="auto"/>
              </w:rPr>
              <w:t xml:space="preserve">  主要产噪设备噪声源强表</w:t>
            </w:r>
          </w:p>
          <w:tbl>
            <w:tblPr>
              <w:tblStyle w:val="10"/>
              <w:tblW w:w="81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1732"/>
              <w:gridCol w:w="2672"/>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9" w:type="dxa"/>
                  <w:vAlign w:val="center"/>
                </w:tcPr>
                <w:p>
                  <w:pPr>
                    <w:pStyle w:val="15"/>
                    <w:rPr>
                      <w:color w:val="auto"/>
                    </w:rPr>
                  </w:pPr>
                  <w:r>
                    <w:rPr>
                      <w:color w:val="auto"/>
                    </w:rPr>
                    <w:t>设备名称</w:t>
                  </w:r>
                </w:p>
              </w:tc>
              <w:tc>
                <w:tcPr>
                  <w:tcW w:w="1732" w:type="dxa"/>
                  <w:vAlign w:val="center"/>
                </w:tcPr>
                <w:p>
                  <w:pPr>
                    <w:pStyle w:val="15"/>
                    <w:rPr>
                      <w:color w:val="auto"/>
                    </w:rPr>
                  </w:pPr>
                  <w:r>
                    <w:rPr>
                      <w:color w:val="auto"/>
                    </w:rPr>
                    <w:t>数量（台）</w:t>
                  </w:r>
                </w:p>
              </w:tc>
              <w:tc>
                <w:tcPr>
                  <w:tcW w:w="2672" w:type="dxa"/>
                  <w:vAlign w:val="center"/>
                </w:tcPr>
                <w:p>
                  <w:pPr>
                    <w:pStyle w:val="15"/>
                    <w:rPr>
                      <w:color w:val="auto"/>
                    </w:rPr>
                  </w:pPr>
                  <w:r>
                    <w:rPr>
                      <w:rFonts w:hint="eastAsia"/>
                      <w:color w:val="auto"/>
                    </w:rPr>
                    <w:t>单台设备噪声源强dB（A）</w:t>
                  </w:r>
                </w:p>
              </w:tc>
              <w:tc>
                <w:tcPr>
                  <w:tcW w:w="1359" w:type="dxa"/>
                  <w:vAlign w:val="center"/>
                </w:tcPr>
                <w:p>
                  <w:pPr>
                    <w:pStyle w:val="15"/>
                    <w:rPr>
                      <w:color w:val="auto"/>
                    </w:rPr>
                  </w:pPr>
                  <w:r>
                    <w:rPr>
                      <w:rFonts w:hint="eastAsia"/>
                      <w:color w:val="auto"/>
                    </w:rPr>
                    <w:t>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9" w:type="dxa"/>
                  <w:vAlign w:val="center"/>
                </w:tcPr>
                <w:p>
                  <w:pPr>
                    <w:pStyle w:val="15"/>
                    <w:rPr>
                      <w:color w:val="auto"/>
                    </w:rPr>
                  </w:pPr>
                  <w:r>
                    <w:rPr>
                      <w:rFonts w:hint="eastAsia"/>
                      <w:color w:val="auto"/>
                    </w:rPr>
                    <w:t>破碎机</w:t>
                  </w:r>
                </w:p>
              </w:tc>
              <w:tc>
                <w:tcPr>
                  <w:tcW w:w="1732" w:type="dxa"/>
                  <w:vAlign w:val="center"/>
                </w:tcPr>
                <w:p>
                  <w:pPr>
                    <w:pStyle w:val="15"/>
                    <w:rPr>
                      <w:color w:val="auto"/>
                    </w:rPr>
                  </w:pPr>
                  <w:r>
                    <w:rPr>
                      <w:color w:val="auto"/>
                    </w:rPr>
                    <w:t>1</w:t>
                  </w:r>
                </w:p>
              </w:tc>
              <w:tc>
                <w:tcPr>
                  <w:tcW w:w="2672" w:type="dxa"/>
                  <w:vAlign w:val="center"/>
                </w:tcPr>
                <w:p>
                  <w:pPr>
                    <w:pStyle w:val="15"/>
                    <w:rPr>
                      <w:color w:val="auto"/>
                    </w:rPr>
                  </w:pPr>
                  <w:r>
                    <w:rPr>
                      <w:rFonts w:hint="eastAsia"/>
                      <w:color w:val="auto"/>
                    </w:rPr>
                    <w:t>10</w:t>
                  </w:r>
                  <w:r>
                    <w:rPr>
                      <w:color w:val="auto"/>
                    </w:rPr>
                    <w:t>5</w:t>
                  </w:r>
                </w:p>
              </w:tc>
              <w:tc>
                <w:tcPr>
                  <w:tcW w:w="1359" w:type="dxa"/>
                  <w:vMerge w:val="restart"/>
                  <w:vAlign w:val="center"/>
                </w:tcPr>
                <w:p>
                  <w:pPr>
                    <w:pStyle w:val="15"/>
                    <w:rPr>
                      <w:color w:val="auto"/>
                    </w:rPr>
                  </w:pPr>
                  <w:r>
                    <w:rPr>
                      <w:rFonts w:hint="eastAsia"/>
                      <w:color w:val="auto"/>
                    </w:rPr>
                    <w:t>基础减震、厂房隔声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9" w:type="dxa"/>
                  <w:vAlign w:val="center"/>
                </w:tcPr>
                <w:p>
                  <w:pPr>
                    <w:pStyle w:val="15"/>
                    <w:rPr>
                      <w:color w:val="auto"/>
                    </w:rPr>
                  </w:pPr>
                  <w:r>
                    <w:rPr>
                      <w:rFonts w:hint="eastAsia"/>
                      <w:color w:val="auto"/>
                    </w:rPr>
                    <w:t>粉碎机</w:t>
                  </w:r>
                </w:p>
              </w:tc>
              <w:tc>
                <w:tcPr>
                  <w:tcW w:w="1732" w:type="dxa"/>
                  <w:vAlign w:val="center"/>
                </w:tcPr>
                <w:p>
                  <w:pPr>
                    <w:pStyle w:val="15"/>
                    <w:rPr>
                      <w:color w:val="auto"/>
                    </w:rPr>
                  </w:pPr>
                  <w:r>
                    <w:rPr>
                      <w:color w:val="auto"/>
                    </w:rPr>
                    <w:t>1</w:t>
                  </w:r>
                </w:p>
              </w:tc>
              <w:tc>
                <w:tcPr>
                  <w:tcW w:w="2672" w:type="dxa"/>
                  <w:vAlign w:val="center"/>
                </w:tcPr>
                <w:p>
                  <w:pPr>
                    <w:pStyle w:val="15"/>
                    <w:rPr>
                      <w:color w:val="auto"/>
                    </w:rPr>
                  </w:pPr>
                  <w:r>
                    <w:rPr>
                      <w:rFonts w:hint="eastAsia"/>
                      <w:color w:val="auto"/>
                    </w:rPr>
                    <w:t>95</w:t>
                  </w:r>
                </w:p>
              </w:tc>
              <w:tc>
                <w:tcPr>
                  <w:tcW w:w="1359"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9" w:type="dxa"/>
                  <w:vAlign w:val="center"/>
                </w:tcPr>
                <w:p>
                  <w:pPr>
                    <w:pStyle w:val="15"/>
                    <w:rPr>
                      <w:color w:val="auto"/>
                    </w:rPr>
                  </w:pPr>
                  <w:r>
                    <w:rPr>
                      <w:rFonts w:hint="eastAsia"/>
                      <w:color w:val="auto"/>
                    </w:rPr>
                    <w:t>对辊式造粒机</w:t>
                  </w:r>
                </w:p>
              </w:tc>
              <w:tc>
                <w:tcPr>
                  <w:tcW w:w="1732" w:type="dxa"/>
                  <w:vAlign w:val="center"/>
                </w:tcPr>
                <w:p>
                  <w:pPr>
                    <w:pStyle w:val="15"/>
                    <w:rPr>
                      <w:color w:val="auto"/>
                    </w:rPr>
                  </w:pPr>
                  <w:r>
                    <w:rPr>
                      <w:color w:val="auto"/>
                    </w:rPr>
                    <w:t>1</w:t>
                  </w:r>
                </w:p>
              </w:tc>
              <w:tc>
                <w:tcPr>
                  <w:tcW w:w="2672" w:type="dxa"/>
                  <w:vAlign w:val="center"/>
                </w:tcPr>
                <w:p>
                  <w:pPr>
                    <w:pStyle w:val="15"/>
                    <w:rPr>
                      <w:color w:val="auto"/>
                    </w:rPr>
                  </w:pPr>
                  <w:r>
                    <w:rPr>
                      <w:rFonts w:hint="eastAsia"/>
                      <w:color w:val="auto"/>
                    </w:rPr>
                    <w:t>9</w:t>
                  </w:r>
                  <w:r>
                    <w:rPr>
                      <w:color w:val="auto"/>
                    </w:rPr>
                    <w:t>0</w:t>
                  </w:r>
                </w:p>
              </w:tc>
              <w:tc>
                <w:tcPr>
                  <w:tcW w:w="1359"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9" w:type="dxa"/>
                  <w:vAlign w:val="center"/>
                </w:tcPr>
                <w:p>
                  <w:pPr>
                    <w:pStyle w:val="15"/>
                    <w:rPr>
                      <w:color w:val="auto"/>
                    </w:rPr>
                  </w:pPr>
                  <w:r>
                    <w:rPr>
                      <w:rFonts w:hint="eastAsia"/>
                      <w:color w:val="auto"/>
                    </w:rPr>
                    <w:t>粗分振动筛</w:t>
                  </w:r>
                </w:p>
              </w:tc>
              <w:tc>
                <w:tcPr>
                  <w:tcW w:w="1732" w:type="dxa"/>
                  <w:vAlign w:val="center"/>
                </w:tcPr>
                <w:p>
                  <w:pPr>
                    <w:pStyle w:val="15"/>
                    <w:rPr>
                      <w:color w:val="auto"/>
                    </w:rPr>
                  </w:pPr>
                  <w:r>
                    <w:rPr>
                      <w:color w:val="auto"/>
                    </w:rPr>
                    <w:t>1</w:t>
                  </w:r>
                </w:p>
              </w:tc>
              <w:tc>
                <w:tcPr>
                  <w:tcW w:w="2672" w:type="dxa"/>
                  <w:vAlign w:val="center"/>
                </w:tcPr>
                <w:p>
                  <w:pPr>
                    <w:pStyle w:val="15"/>
                    <w:rPr>
                      <w:color w:val="auto"/>
                    </w:rPr>
                  </w:pPr>
                  <w:r>
                    <w:rPr>
                      <w:rFonts w:hint="eastAsia"/>
                      <w:color w:val="auto"/>
                    </w:rPr>
                    <w:t>9</w:t>
                  </w:r>
                  <w:r>
                    <w:rPr>
                      <w:color w:val="auto"/>
                    </w:rPr>
                    <w:t>0</w:t>
                  </w:r>
                </w:p>
              </w:tc>
              <w:tc>
                <w:tcPr>
                  <w:tcW w:w="1359"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9" w:type="dxa"/>
                  <w:vAlign w:val="center"/>
                </w:tcPr>
                <w:p>
                  <w:pPr>
                    <w:pStyle w:val="15"/>
                    <w:rPr>
                      <w:color w:val="auto"/>
                    </w:rPr>
                  </w:pPr>
                  <w:r>
                    <w:rPr>
                      <w:rFonts w:hint="eastAsia"/>
                      <w:color w:val="auto"/>
                    </w:rPr>
                    <w:t>烘干机</w:t>
                  </w:r>
                </w:p>
              </w:tc>
              <w:tc>
                <w:tcPr>
                  <w:tcW w:w="1732" w:type="dxa"/>
                  <w:vAlign w:val="center"/>
                </w:tcPr>
                <w:p>
                  <w:pPr>
                    <w:pStyle w:val="15"/>
                    <w:rPr>
                      <w:color w:val="auto"/>
                    </w:rPr>
                  </w:pPr>
                  <w:r>
                    <w:rPr>
                      <w:color w:val="auto"/>
                    </w:rPr>
                    <w:t>1</w:t>
                  </w:r>
                </w:p>
              </w:tc>
              <w:tc>
                <w:tcPr>
                  <w:tcW w:w="2672" w:type="dxa"/>
                  <w:vAlign w:val="center"/>
                </w:tcPr>
                <w:p>
                  <w:pPr>
                    <w:pStyle w:val="15"/>
                    <w:rPr>
                      <w:color w:val="auto"/>
                    </w:rPr>
                  </w:pPr>
                  <w:r>
                    <w:rPr>
                      <w:rFonts w:hint="eastAsia"/>
                      <w:color w:val="auto"/>
                    </w:rPr>
                    <w:t>8</w:t>
                  </w:r>
                  <w:r>
                    <w:rPr>
                      <w:color w:val="auto"/>
                    </w:rPr>
                    <w:t>5</w:t>
                  </w:r>
                </w:p>
              </w:tc>
              <w:tc>
                <w:tcPr>
                  <w:tcW w:w="1359" w:type="dxa"/>
                  <w:vMerge w:val="continue"/>
                  <w:vAlign w:val="center"/>
                </w:tcPr>
                <w:p>
                  <w:pPr>
                    <w:pStyle w:val="15"/>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409" w:type="dxa"/>
                  <w:vAlign w:val="center"/>
                </w:tcPr>
                <w:p>
                  <w:pPr>
                    <w:pStyle w:val="15"/>
                    <w:rPr>
                      <w:color w:val="auto"/>
                    </w:rPr>
                  </w:pPr>
                  <w:r>
                    <w:rPr>
                      <w:rFonts w:hint="eastAsia"/>
                      <w:color w:val="auto"/>
                    </w:rPr>
                    <w:t>成品振动筛</w:t>
                  </w:r>
                </w:p>
              </w:tc>
              <w:tc>
                <w:tcPr>
                  <w:tcW w:w="1732" w:type="dxa"/>
                  <w:vAlign w:val="center"/>
                </w:tcPr>
                <w:p>
                  <w:pPr>
                    <w:pStyle w:val="15"/>
                    <w:rPr>
                      <w:color w:val="auto"/>
                    </w:rPr>
                  </w:pPr>
                  <w:r>
                    <w:rPr>
                      <w:rFonts w:hint="eastAsia"/>
                      <w:color w:val="auto"/>
                    </w:rPr>
                    <w:t>1</w:t>
                  </w:r>
                </w:p>
              </w:tc>
              <w:tc>
                <w:tcPr>
                  <w:tcW w:w="2672" w:type="dxa"/>
                  <w:vAlign w:val="center"/>
                </w:tcPr>
                <w:p>
                  <w:pPr>
                    <w:pStyle w:val="15"/>
                    <w:rPr>
                      <w:color w:val="auto"/>
                    </w:rPr>
                  </w:pPr>
                  <w:r>
                    <w:rPr>
                      <w:color w:val="auto"/>
                    </w:rPr>
                    <w:t>90</w:t>
                  </w:r>
                </w:p>
              </w:tc>
              <w:tc>
                <w:tcPr>
                  <w:tcW w:w="1359" w:type="dxa"/>
                  <w:vMerge w:val="continue"/>
                  <w:vAlign w:val="center"/>
                </w:tcPr>
                <w:p>
                  <w:pPr>
                    <w:pStyle w:val="15"/>
                    <w:rPr>
                      <w:color w:val="auto"/>
                    </w:rPr>
                  </w:pPr>
                </w:p>
              </w:tc>
            </w:tr>
          </w:tbl>
          <w:p>
            <w:pPr>
              <w:ind w:firstLine="480"/>
              <w:rPr>
                <w:color w:val="auto"/>
              </w:rPr>
            </w:pPr>
            <w:r>
              <w:rPr>
                <w:rFonts w:hint="eastAsia"/>
                <w:color w:val="auto"/>
              </w:rPr>
              <w:t>2、噪声影响分析及保护措施</w:t>
            </w:r>
          </w:p>
          <w:p>
            <w:pPr>
              <w:ind w:firstLine="480"/>
              <w:rPr>
                <w:color w:val="auto"/>
              </w:rPr>
            </w:pPr>
            <w:r>
              <w:rPr>
                <w:rFonts w:hint="eastAsia"/>
                <w:color w:val="auto"/>
              </w:rPr>
              <w:t>根据昆明红海磷肥有限责任公司2023年自行监测（10月）检测报告（报告编号:中佰检字〔2023〕-10006），项目厂界四周噪声监测结果见下表</w:t>
            </w:r>
            <w:r>
              <w:rPr>
                <w:color w:val="auto"/>
              </w:rPr>
              <w:t>。</w:t>
            </w:r>
            <w:bookmarkStart w:id="7" w:name="_Toc445467570"/>
            <w:bookmarkStart w:id="8" w:name="_Toc414902435"/>
            <w:bookmarkStart w:id="9" w:name="_Toc420431044"/>
          </w:p>
          <w:bookmarkEnd w:id="7"/>
          <w:bookmarkEnd w:id="8"/>
          <w:bookmarkEnd w:id="9"/>
          <w:p>
            <w:pPr>
              <w:pStyle w:val="14"/>
              <w:rPr>
                <w:color w:val="auto"/>
              </w:rPr>
            </w:pPr>
            <w:r>
              <w:rPr>
                <w:color w:val="auto"/>
              </w:rPr>
              <w:t>表</w:t>
            </w:r>
            <w:r>
              <w:rPr>
                <w:rFonts w:hint="eastAsia"/>
                <w:color w:val="auto"/>
              </w:rPr>
              <w:t>4-</w:t>
            </w:r>
            <w:r>
              <w:rPr>
                <w:rFonts w:hint="eastAsia"/>
                <w:color w:val="auto"/>
                <w:lang w:val="en-US" w:eastAsia="zh-CN"/>
              </w:rPr>
              <w:t>6</w:t>
            </w:r>
            <w:r>
              <w:rPr>
                <w:rFonts w:hint="eastAsia"/>
                <w:color w:val="auto"/>
              </w:rPr>
              <w:t xml:space="preserve"> </w:t>
            </w:r>
            <w:r>
              <w:rPr>
                <w:color w:val="auto"/>
              </w:rPr>
              <w:tab/>
            </w:r>
            <w:r>
              <w:rPr>
                <w:rFonts w:hint="eastAsia"/>
                <w:color w:val="auto"/>
              </w:rPr>
              <w:t>厂界噪声自行监测结果</w:t>
            </w:r>
          </w:p>
          <w:tbl>
            <w:tblPr>
              <w:tblStyle w:val="11"/>
              <w:tblW w:w="8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438"/>
              <w:gridCol w:w="2259"/>
              <w:gridCol w:w="1615"/>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Align w:val="center"/>
                </w:tcPr>
                <w:p>
                  <w:pPr>
                    <w:pStyle w:val="15"/>
                    <w:rPr>
                      <w:color w:val="auto"/>
                    </w:rPr>
                  </w:pPr>
                  <w:r>
                    <w:rPr>
                      <w:rFonts w:hint="eastAsia"/>
                      <w:color w:val="auto"/>
                    </w:rPr>
                    <w:t>监测日期</w:t>
                  </w:r>
                </w:p>
              </w:tc>
              <w:tc>
                <w:tcPr>
                  <w:tcW w:w="1438" w:type="dxa"/>
                  <w:vAlign w:val="center"/>
                </w:tcPr>
                <w:p>
                  <w:pPr>
                    <w:pStyle w:val="15"/>
                    <w:rPr>
                      <w:color w:val="auto"/>
                    </w:rPr>
                  </w:pPr>
                  <w:r>
                    <w:rPr>
                      <w:rFonts w:hint="eastAsia"/>
                      <w:color w:val="auto"/>
                    </w:rPr>
                    <w:t>监测点位</w:t>
                  </w:r>
                </w:p>
              </w:tc>
              <w:tc>
                <w:tcPr>
                  <w:tcW w:w="2259" w:type="dxa"/>
                  <w:vAlign w:val="center"/>
                </w:tcPr>
                <w:p>
                  <w:pPr>
                    <w:pStyle w:val="15"/>
                    <w:rPr>
                      <w:color w:val="auto"/>
                    </w:rPr>
                  </w:pPr>
                  <w:r>
                    <w:rPr>
                      <w:rFonts w:hint="eastAsia"/>
                      <w:color w:val="auto"/>
                    </w:rPr>
                    <w:t>监测时间</w:t>
                  </w:r>
                </w:p>
              </w:tc>
              <w:tc>
                <w:tcPr>
                  <w:tcW w:w="1615" w:type="dxa"/>
                  <w:vAlign w:val="center"/>
                </w:tcPr>
                <w:p>
                  <w:pPr>
                    <w:pStyle w:val="15"/>
                    <w:rPr>
                      <w:color w:val="auto"/>
                    </w:rPr>
                  </w:pPr>
                  <w:r>
                    <w:rPr>
                      <w:rFonts w:hint="eastAsia"/>
                      <w:color w:val="auto"/>
                    </w:rPr>
                    <w:t>等效声级（Leq）</w:t>
                  </w:r>
                </w:p>
              </w:tc>
              <w:tc>
                <w:tcPr>
                  <w:tcW w:w="1603" w:type="dxa"/>
                  <w:vAlign w:val="center"/>
                </w:tcPr>
                <w:p>
                  <w:pPr>
                    <w:pStyle w:val="15"/>
                    <w:rPr>
                      <w:color w:val="auto"/>
                    </w:rPr>
                  </w:pPr>
                  <w:r>
                    <w:rPr>
                      <w:rFonts w:hint="eastAsia"/>
                      <w:color w:val="auto"/>
                    </w:rPr>
                    <w:t>主要声源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restart"/>
                  <w:vAlign w:val="center"/>
                </w:tcPr>
                <w:p>
                  <w:pPr>
                    <w:pStyle w:val="15"/>
                    <w:rPr>
                      <w:color w:val="auto"/>
                    </w:rPr>
                  </w:pPr>
                  <w:r>
                    <w:rPr>
                      <w:rFonts w:hint="eastAsia"/>
                      <w:color w:val="auto"/>
                    </w:rPr>
                    <w:t>2023.10.17</w:t>
                  </w:r>
                </w:p>
              </w:tc>
              <w:tc>
                <w:tcPr>
                  <w:tcW w:w="1438" w:type="dxa"/>
                  <w:vMerge w:val="restart"/>
                  <w:vAlign w:val="center"/>
                </w:tcPr>
                <w:p>
                  <w:pPr>
                    <w:pStyle w:val="15"/>
                    <w:rPr>
                      <w:color w:val="auto"/>
                    </w:rPr>
                  </w:pPr>
                  <w:r>
                    <w:rPr>
                      <w:rFonts w:hint="eastAsia"/>
                      <w:color w:val="auto"/>
                    </w:rPr>
                    <w:t>厂界东</w:t>
                  </w:r>
                </w:p>
              </w:tc>
              <w:tc>
                <w:tcPr>
                  <w:tcW w:w="2259" w:type="dxa"/>
                  <w:vAlign w:val="center"/>
                </w:tcPr>
                <w:p>
                  <w:pPr>
                    <w:pStyle w:val="15"/>
                    <w:rPr>
                      <w:color w:val="auto"/>
                    </w:rPr>
                  </w:pPr>
                  <w:r>
                    <w:rPr>
                      <w:rFonts w:hint="eastAsia"/>
                      <w:color w:val="auto"/>
                    </w:rPr>
                    <w:t>昼间（12:48~12:58）</w:t>
                  </w:r>
                </w:p>
              </w:tc>
              <w:tc>
                <w:tcPr>
                  <w:tcW w:w="1615" w:type="dxa"/>
                  <w:vAlign w:val="center"/>
                </w:tcPr>
                <w:p>
                  <w:pPr>
                    <w:pStyle w:val="15"/>
                    <w:rPr>
                      <w:color w:val="auto"/>
                    </w:rPr>
                  </w:pPr>
                  <w:r>
                    <w:rPr>
                      <w:rFonts w:hint="eastAsia"/>
                      <w:color w:val="auto"/>
                    </w:rPr>
                    <w:t>55.7</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continue"/>
                  <w:vAlign w:val="center"/>
                </w:tcPr>
                <w:p>
                  <w:pPr>
                    <w:pStyle w:val="15"/>
                    <w:rPr>
                      <w:color w:val="auto"/>
                    </w:rPr>
                  </w:pPr>
                </w:p>
              </w:tc>
              <w:tc>
                <w:tcPr>
                  <w:tcW w:w="2259" w:type="dxa"/>
                  <w:vAlign w:val="center"/>
                </w:tcPr>
                <w:p>
                  <w:pPr>
                    <w:pStyle w:val="15"/>
                    <w:rPr>
                      <w:color w:val="auto"/>
                    </w:rPr>
                  </w:pPr>
                  <w:r>
                    <w:rPr>
                      <w:rFonts w:hint="eastAsia"/>
                      <w:color w:val="auto"/>
                    </w:rPr>
                    <w:t>夜间（22:07~22:17）</w:t>
                  </w:r>
                </w:p>
              </w:tc>
              <w:tc>
                <w:tcPr>
                  <w:tcW w:w="1615" w:type="dxa"/>
                  <w:vAlign w:val="center"/>
                </w:tcPr>
                <w:p>
                  <w:pPr>
                    <w:pStyle w:val="15"/>
                    <w:rPr>
                      <w:color w:val="auto"/>
                    </w:rPr>
                  </w:pPr>
                  <w:r>
                    <w:rPr>
                      <w:rFonts w:hint="eastAsia"/>
                      <w:color w:val="auto"/>
                    </w:rPr>
                    <w:t>46.1</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restart"/>
                  <w:vAlign w:val="center"/>
                </w:tcPr>
                <w:p>
                  <w:pPr>
                    <w:pStyle w:val="15"/>
                    <w:rPr>
                      <w:color w:val="auto"/>
                    </w:rPr>
                  </w:pPr>
                  <w:r>
                    <w:rPr>
                      <w:rFonts w:hint="eastAsia"/>
                      <w:color w:val="auto"/>
                    </w:rPr>
                    <w:t>厂界南</w:t>
                  </w:r>
                </w:p>
              </w:tc>
              <w:tc>
                <w:tcPr>
                  <w:tcW w:w="2259" w:type="dxa"/>
                  <w:vAlign w:val="center"/>
                </w:tcPr>
                <w:p>
                  <w:pPr>
                    <w:pStyle w:val="15"/>
                    <w:rPr>
                      <w:color w:val="auto"/>
                    </w:rPr>
                  </w:pPr>
                  <w:r>
                    <w:rPr>
                      <w:rFonts w:hint="eastAsia"/>
                      <w:color w:val="auto"/>
                    </w:rPr>
                    <w:t>昼间（13:06~13:16）</w:t>
                  </w:r>
                </w:p>
              </w:tc>
              <w:tc>
                <w:tcPr>
                  <w:tcW w:w="1615" w:type="dxa"/>
                  <w:vAlign w:val="center"/>
                </w:tcPr>
                <w:p>
                  <w:pPr>
                    <w:pStyle w:val="15"/>
                    <w:rPr>
                      <w:color w:val="auto"/>
                    </w:rPr>
                  </w:pPr>
                  <w:r>
                    <w:rPr>
                      <w:rFonts w:hint="eastAsia"/>
                      <w:color w:val="auto"/>
                    </w:rPr>
                    <w:t>54.5</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continue"/>
                  <w:vAlign w:val="center"/>
                </w:tcPr>
                <w:p>
                  <w:pPr>
                    <w:pStyle w:val="15"/>
                    <w:rPr>
                      <w:color w:val="auto"/>
                    </w:rPr>
                  </w:pPr>
                </w:p>
              </w:tc>
              <w:tc>
                <w:tcPr>
                  <w:tcW w:w="2259" w:type="dxa"/>
                  <w:vAlign w:val="center"/>
                </w:tcPr>
                <w:p>
                  <w:pPr>
                    <w:pStyle w:val="15"/>
                    <w:rPr>
                      <w:color w:val="auto"/>
                    </w:rPr>
                  </w:pPr>
                  <w:r>
                    <w:rPr>
                      <w:rFonts w:hint="eastAsia"/>
                      <w:color w:val="auto"/>
                    </w:rPr>
                    <w:t>夜间（22:24~22:34）</w:t>
                  </w:r>
                </w:p>
              </w:tc>
              <w:tc>
                <w:tcPr>
                  <w:tcW w:w="1615" w:type="dxa"/>
                  <w:vAlign w:val="center"/>
                </w:tcPr>
                <w:p>
                  <w:pPr>
                    <w:pStyle w:val="15"/>
                    <w:rPr>
                      <w:color w:val="auto"/>
                    </w:rPr>
                  </w:pPr>
                  <w:r>
                    <w:rPr>
                      <w:rFonts w:hint="eastAsia"/>
                      <w:color w:val="auto"/>
                    </w:rPr>
                    <w:t>44.7</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restart"/>
                  <w:vAlign w:val="center"/>
                </w:tcPr>
                <w:p>
                  <w:pPr>
                    <w:pStyle w:val="15"/>
                    <w:rPr>
                      <w:color w:val="auto"/>
                    </w:rPr>
                  </w:pPr>
                  <w:r>
                    <w:rPr>
                      <w:rFonts w:hint="eastAsia"/>
                      <w:color w:val="auto"/>
                    </w:rPr>
                    <w:t>厂界西</w:t>
                  </w:r>
                </w:p>
              </w:tc>
              <w:tc>
                <w:tcPr>
                  <w:tcW w:w="2259" w:type="dxa"/>
                  <w:vAlign w:val="center"/>
                </w:tcPr>
                <w:p>
                  <w:pPr>
                    <w:pStyle w:val="15"/>
                    <w:rPr>
                      <w:color w:val="auto"/>
                    </w:rPr>
                  </w:pPr>
                  <w:r>
                    <w:rPr>
                      <w:rFonts w:hint="eastAsia"/>
                      <w:color w:val="auto"/>
                    </w:rPr>
                    <w:t>昼间（13:23~13:33）</w:t>
                  </w:r>
                </w:p>
              </w:tc>
              <w:tc>
                <w:tcPr>
                  <w:tcW w:w="1615" w:type="dxa"/>
                  <w:vAlign w:val="center"/>
                </w:tcPr>
                <w:p>
                  <w:pPr>
                    <w:pStyle w:val="15"/>
                    <w:rPr>
                      <w:color w:val="auto"/>
                    </w:rPr>
                  </w:pPr>
                  <w:r>
                    <w:rPr>
                      <w:rFonts w:hint="eastAsia"/>
                      <w:color w:val="auto"/>
                    </w:rPr>
                    <w:t>55.4</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continue"/>
                  <w:vAlign w:val="center"/>
                </w:tcPr>
                <w:p>
                  <w:pPr>
                    <w:pStyle w:val="15"/>
                    <w:rPr>
                      <w:color w:val="auto"/>
                    </w:rPr>
                  </w:pPr>
                </w:p>
              </w:tc>
              <w:tc>
                <w:tcPr>
                  <w:tcW w:w="2259" w:type="dxa"/>
                  <w:vAlign w:val="center"/>
                </w:tcPr>
                <w:p>
                  <w:pPr>
                    <w:pStyle w:val="15"/>
                    <w:rPr>
                      <w:color w:val="auto"/>
                    </w:rPr>
                  </w:pPr>
                  <w:r>
                    <w:rPr>
                      <w:rFonts w:hint="eastAsia"/>
                      <w:color w:val="auto"/>
                    </w:rPr>
                    <w:t>夜间（22:39~22:49）</w:t>
                  </w:r>
                </w:p>
              </w:tc>
              <w:tc>
                <w:tcPr>
                  <w:tcW w:w="1615" w:type="dxa"/>
                  <w:vAlign w:val="center"/>
                </w:tcPr>
                <w:p>
                  <w:pPr>
                    <w:pStyle w:val="15"/>
                    <w:rPr>
                      <w:color w:val="auto"/>
                    </w:rPr>
                  </w:pPr>
                  <w:r>
                    <w:rPr>
                      <w:rFonts w:hint="eastAsia"/>
                      <w:color w:val="auto"/>
                    </w:rPr>
                    <w:t>45.0</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restart"/>
                  <w:vAlign w:val="center"/>
                </w:tcPr>
                <w:p>
                  <w:pPr>
                    <w:pStyle w:val="15"/>
                    <w:rPr>
                      <w:color w:val="auto"/>
                    </w:rPr>
                  </w:pPr>
                  <w:r>
                    <w:rPr>
                      <w:rFonts w:hint="eastAsia"/>
                      <w:color w:val="auto"/>
                    </w:rPr>
                    <w:t>厂界北</w:t>
                  </w:r>
                </w:p>
              </w:tc>
              <w:tc>
                <w:tcPr>
                  <w:tcW w:w="2259" w:type="dxa"/>
                  <w:vAlign w:val="center"/>
                </w:tcPr>
                <w:p>
                  <w:pPr>
                    <w:pStyle w:val="15"/>
                    <w:rPr>
                      <w:color w:val="auto"/>
                    </w:rPr>
                  </w:pPr>
                  <w:r>
                    <w:rPr>
                      <w:rFonts w:hint="eastAsia"/>
                      <w:color w:val="auto"/>
                    </w:rPr>
                    <w:t>昼间（13:39~13:49）</w:t>
                  </w:r>
                </w:p>
              </w:tc>
              <w:tc>
                <w:tcPr>
                  <w:tcW w:w="1615" w:type="dxa"/>
                  <w:vAlign w:val="center"/>
                </w:tcPr>
                <w:p>
                  <w:pPr>
                    <w:pStyle w:val="15"/>
                    <w:rPr>
                      <w:color w:val="auto"/>
                    </w:rPr>
                  </w:pPr>
                  <w:r>
                    <w:rPr>
                      <w:rFonts w:hint="eastAsia"/>
                      <w:color w:val="auto"/>
                    </w:rPr>
                    <w:t>54.9</w:t>
                  </w:r>
                </w:p>
              </w:tc>
              <w:tc>
                <w:tcPr>
                  <w:tcW w:w="1603" w:type="dxa"/>
                  <w:vAlign w:val="center"/>
                </w:tcPr>
                <w:p>
                  <w:pPr>
                    <w:pStyle w:val="15"/>
                    <w:rPr>
                      <w:color w:val="auto"/>
                    </w:rPr>
                  </w:pPr>
                  <w:r>
                    <w:rPr>
                      <w:rFonts w:hint="eastAsia"/>
                      <w:color w:val="auto"/>
                    </w:rPr>
                    <w:t>工业噪声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31" w:type="dxa"/>
                  <w:vMerge w:val="continue"/>
                  <w:vAlign w:val="center"/>
                </w:tcPr>
                <w:p>
                  <w:pPr>
                    <w:pStyle w:val="15"/>
                    <w:rPr>
                      <w:color w:val="auto"/>
                    </w:rPr>
                  </w:pPr>
                </w:p>
              </w:tc>
              <w:tc>
                <w:tcPr>
                  <w:tcW w:w="1438" w:type="dxa"/>
                  <w:vMerge w:val="continue"/>
                  <w:vAlign w:val="center"/>
                </w:tcPr>
                <w:p>
                  <w:pPr>
                    <w:pStyle w:val="15"/>
                    <w:rPr>
                      <w:color w:val="auto"/>
                    </w:rPr>
                  </w:pPr>
                </w:p>
              </w:tc>
              <w:tc>
                <w:tcPr>
                  <w:tcW w:w="2259" w:type="dxa"/>
                  <w:vAlign w:val="center"/>
                </w:tcPr>
                <w:p>
                  <w:pPr>
                    <w:pStyle w:val="15"/>
                    <w:rPr>
                      <w:color w:val="auto"/>
                    </w:rPr>
                  </w:pPr>
                  <w:r>
                    <w:rPr>
                      <w:rFonts w:hint="eastAsia"/>
                      <w:color w:val="auto"/>
                    </w:rPr>
                    <w:t>夜间（22:55~23:05）</w:t>
                  </w:r>
                </w:p>
              </w:tc>
              <w:tc>
                <w:tcPr>
                  <w:tcW w:w="1615" w:type="dxa"/>
                  <w:vAlign w:val="center"/>
                </w:tcPr>
                <w:p>
                  <w:pPr>
                    <w:pStyle w:val="15"/>
                    <w:rPr>
                      <w:color w:val="auto"/>
                    </w:rPr>
                  </w:pPr>
                  <w:r>
                    <w:rPr>
                      <w:rFonts w:hint="eastAsia"/>
                      <w:color w:val="auto"/>
                    </w:rPr>
                    <w:t>45.6</w:t>
                  </w:r>
                </w:p>
              </w:tc>
              <w:tc>
                <w:tcPr>
                  <w:tcW w:w="1603" w:type="dxa"/>
                  <w:vAlign w:val="center"/>
                </w:tcPr>
                <w:p>
                  <w:pPr>
                    <w:pStyle w:val="15"/>
                    <w:rPr>
                      <w:color w:val="auto"/>
                    </w:rPr>
                  </w:pPr>
                  <w:r>
                    <w:rPr>
                      <w:rFonts w:hint="eastAsia"/>
                      <w:color w:val="auto"/>
                    </w:rPr>
                    <w:t>工业噪声</w:t>
                  </w:r>
                </w:p>
              </w:tc>
            </w:tr>
          </w:tbl>
          <w:p>
            <w:pPr>
              <w:ind w:firstLine="480"/>
              <w:rPr>
                <w:color w:val="auto"/>
              </w:rPr>
            </w:pPr>
            <w:r>
              <w:rPr>
                <w:rFonts w:hint="eastAsia"/>
                <w:color w:val="auto"/>
              </w:rPr>
              <w:t>由上表监测结果可知，项目运营期厂界四周噪声满足《工业企业厂界环境噪声排放标准》（GB12348-2008）3类标准，厂界噪声能实现达标排放；厂界周边50m范围内无声环境敏感点</w:t>
            </w:r>
            <w:r>
              <w:rPr>
                <w:color w:val="auto"/>
              </w:rPr>
              <w:t>。</w:t>
            </w:r>
          </w:p>
          <w:p>
            <w:pPr>
              <w:ind w:firstLine="480"/>
              <w:rPr>
                <w:color w:val="auto"/>
              </w:rPr>
            </w:pPr>
            <w:r>
              <w:rPr>
                <w:rFonts w:hint="eastAsia"/>
                <w:color w:val="auto"/>
              </w:rPr>
              <w:t>3、运营期噪声</w:t>
            </w:r>
            <w:r>
              <w:rPr>
                <w:color w:val="auto"/>
              </w:rPr>
              <w:t>监测要求</w:t>
            </w:r>
          </w:p>
          <w:p>
            <w:pPr>
              <w:ind w:firstLine="480"/>
              <w:rPr>
                <w:color w:val="auto"/>
              </w:rPr>
            </w:pPr>
            <w:r>
              <w:rPr>
                <w:rFonts w:hint="eastAsia"/>
                <w:color w:val="auto"/>
              </w:rPr>
              <w:t>根据</w:t>
            </w:r>
            <w:r>
              <w:rPr>
                <w:rFonts w:hint="eastAsia"/>
                <w:color w:val="auto"/>
                <w:lang w:val="en-US" w:eastAsia="zh-CN"/>
              </w:rPr>
              <w:t>《</w:t>
            </w:r>
            <w:r>
              <w:rPr>
                <w:rFonts w:hint="eastAsia"/>
                <w:color w:val="auto"/>
              </w:rPr>
              <w:t>排污许可证申请与核发技术规范 工业噪声</w:t>
            </w:r>
            <w:r>
              <w:rPr>
                <w:rFonts w:hint="eastAsia"/>
                <w:color w:val="auto"/>
                <w:lang w:val="en-US" w:eastAsia="zh-CN"/>
              </w:rPr>
              <w:t>》</w:t>
            </w:r>
            <w:r>
              <w:rPr>
                <w:rFonts w:hint="eastAsia"/>
                <w:color w:val="auto"/>
              </w:rPr>
              <w:t>（HJ 1301—2023），具体监测内容见下表。</w:t>
            </w:r>
          </w:p>
          <w:p>
            <w:pPr>
              <w:pStyle w:val="14"/>
              <w:rPr>
                <w:color w:val="auto"/>
              </w:rPr>
            </w:pPr>
            <w:r>
              <w:rPr>
                <w:rFonts w:hint="eastAsia"/>
                <w:color w:val="auto"/>
              </w:rPr>
              <w:t>表4-</w:t>
            </w:r>
            <w:r>
              <w:rPr>
                <w:rFonts w:hint="eastAsia"/>
                <w:color w:val="auto"/>
                <w:lang w:val="en-US" w:eastAsia="zh-CN"/>
              </w:rPr>
              <w:t>7</w:t>
            </w:r>
            <w:r>
              <w:rPr>
                <w:rFonts w:hint="eastAsia"/>
                <w:color w:val="auto"/>
              </w:rPr>
              <w:t xml:space="preserve">  运营期噪声自行监测计划表</w:t>
            </w:r>
          </w:p>
          <w:tbl>
            <w:tblPr>
              <w:tblStyle w:val="10"/>
              <w:tblW w:w="8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1467"/>
              <w:gridCol w:w="1274"/>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0" w:type="dxa"/>
                  <w:vAlign w:val="center"/>
                </w:tcPr>
                <w:p>
                  <w:pPr>
                    <w:pStyle w:val="15"/>
                    <w:rPr>
                      <w:color w:val="auto"/>
                    </w:rPr>
                  </w:pPr>
                  <w:r>
                    <w:rPr>
                      <w:color w:val="auto"/>
                    </w:rPr>
                    <w:t>监测</w:t>
                  </w:r>
                  <w:r>
                    <w:rPr>
                      <w:rFonts w:hint="eastAsia"/>
                      <w:color w:val="auto"/>
                    </w:rPr>
                    <w:t>点位</w:t>
                  </w:r>
                </w:p>
              </w:tc>
              <w:tc>
                <w:tcPr>
                  <w:tcW w:w="1467" w:type="dxa"/>
                  <w:vAlign w:val="center"/>
                </w:tcPr>
                <w:p>
                  <w:pPr>
                    <w:pStyle w:val="15"/>
                    <w:rPr>
                      <w:color w:val="auto"/>
                    </w:rPr>
                  </w:pPr>
                  <w:r>
                    <w:rPr>
                      <w:color w:val="auto"/>
                    </w:rPr>
                    <w:t>监测</w:t>
                  </w:r>
                  <w:r>
                    <w:rPr>
                      <w:rFonts w:hint="eastAsia"/>
                      <w:color w:val="auto"/>
                    </w:rPr>
                    <w:t>内容</w:t>
                  </w:r>
                </w:p>
              </w:tc>
              <w:tc>
                <w:tcPr>
                  <w:tcW w:w="1274" w:type="dxa"/>
                  <w:vAlign w:val="center"/>
                </w:tcPr>
                <w:p>
                  <w:pPr>
                    <w:pStyle w:val="15"/>
                    <w:rPr>
                      <w:color w:val="auto"/>
                    </w:rPr>
                  </w:pPr>
                  <w:r>
                    <w:rPr>
                      <w:color w:val="auto"/>
                    </w:rPr>
                    <w:t>监测频</w:t>
                  </w:r>
                  <w:r>
                    <w:rPr>
                      <w:rFonts w:hint="eastAsia"/>
                      <w:color w:val="auto"/>
                    </w:rPr>
                    <w:t>次</w:t>
                  </w:r>
                </w:p>
              </w:tc>
              <w:tc>
                <w:tcPr>
                  <w:tcW w:w="3342" w:type="dxa"/>
                  <w:vAlign w:val="center"/>
                </w:tcPr>
                <w:p>
                  <w:pPr>
                    <w:pStyle w:val="15"/>
                    <w:rPr>
                      <w:color w:val="auto"/>
                    </w:rPr>
                  </w:pPr>
                  <w:r>
                    <w:rPr>
                      <w:color w:val="auto"/>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90" w:type="dxa"/>
                  <w:vAlign w:val="center"/>
                </w:tcPr>
                <w:p>
                  <w:pPr>
                    <w:pStyle w:val="15"/>
                    <w:rPr>
                      <w:color w:val="auto"/>
                    </w:rPr>
                  </w:pPr>
                  <w:r>
                    <w:rPr>
                      <w:color w:val="auto"/>
                    </w:rPr>
                    <w:t>厂界东南西北外1m处各设1个</w:t>
                  </w:r>
                  <w:r>
                    <w:rPr>
                      <w:rFonts w:hint="eastAsia"/>
                      <w:color w:val="auto"/>
                    </w:rPr>
                    <w:t>监测点</w:t>
                  </w:r>
                </w:p>
              </w:tc>
              <w:tc>
                <w:tcPr>
                  <w:tcW w:w="1467" w:type="dxa"/>
                  <w:vAlign w:val="center"/>
                </w:tcPr>
                <w:p>
                  <w:pPr>
                    <w:pStyle w:val="15"/>
                    <w:rPr>
                      <w:color w:val="auto"/>
                    </w:rPr>
                  </w:pPr>
                  <w:r>
                    <w:rPr>
                      <w:rFonts w:hint="eastAsia"/>
                      <w:color w:val="auto"/>
                    </w:rPr>
                    <w:t>等效 A 声级 Leq(A)</w:t>
                  </w:r>
                </w:p>
              </w:tc>
              <w:tc>
                <w:tcPr>
                  <w:tcW w:w="1274" w:type="dxa"/>
                  <w:vAlign w:val="center"/>
                </w:tcPr>
                <w:p>
                  <w:pPr>
                    <w:pStyle w:val="15"/>
                    <w:rPr>
                      <w:color w:val="auto"/>
                    </w:rPr>
                  </w:pPr>
                  <w:r>
                    <w:rPr>
                      <w:rFonts w:hint="eastAsia"/>
                      <w:color w:val="auto"/>
                    </w:rPr>
                    <w:t>1次/季</w:t>
                  </w:r>
                </w:p>
              </w:tc>
              <w:tc>
                <w:tcPr>
                  <w:tcW w:w="3342" w:type="dxa"/>
                  <w:vAlign w:val="center"/>
                </w:tcPr>
                <w:p>
                  <w:pPr>
                    <w:pStyle w:val="15"/>
                    <w:rPr>
                      <w:color w:val="auto"/>
                    </w:rPr>
                  </w:pPr>
                  <w:r>
                    <w:rPr>
                      <w:color w:val="auto"/>
                    </w:rPr>
                    <w:t>《工业企业厂界环境噪声排放标准》（GB12348-2008）</w:t>
                  </w:r>
                  <w:r>
                    <w:rPr>
                      <w:rFonts w:hint="eastAsia"/>
                      <w:color w:val="auto"/>
                    </w:rPr>
                    <w:t>3</w:t>
                  </w:r>
                  <w:r>
                    <w:rPr>
                      <w:color w:val="auto"/>
                    </w:rPr>
                    <w:t>类标准</w:t>
                  </w:r>
                </w:p>
              </w:tc>
            </w:tr>
          </w:tbl>
          <w:p>
            <w:pPr>
              <w:ind w:firstLine="0" w:firstLineChars="0"/>
              <w:rPr>
                <w:color w:val="auto"/>
              </w:rPr>
            </w:pPr>
            <w:r>
              <w:rPr>
                <w:rFonts w:hint="eastAsia"/>
                <w:color w:val="auto"/>
              </w:rPr>
              <w:t>四、运营期固体废物环境影响和保护措施</w:t>
            </w:r>
          </w:p>
          <w:p>
            <w:pPr>
              <w:ind w:firstLine="480"/>
              <w:rPr>
                <w:color w:val="auto"/>
              </w:rPr>
            </w:pPr>
            <w:r>
              <w:rPr>
                <w:rFonts w:hint="eastAsia"/>
                <w:color w:val="auto"/>
              </w:rPr>
              <w:t>1、固废产排情况</w:t>
            </w:r>
          </w:p>
          <w:p>
            <w:pPr>
              <w:ind w:firstLine="480"/>
              <w:rPr>
                <w:color w:val="auto"/>
              </w:rPr>
            </w:pPr>
            <w:r>
              <w:rPr>
                <w:rFonts w:hint="eastAsia"/>
                <w:color w:val="auto"/>
              </w:rPr>
              <w:t>改建项目</w:t>
            </w:r>
            <w:r>
              <w:rPr>
                <w:rFonts w:hint="eastAsia"/>
                <w:color w:val="auto"/>
                <w:lang w:val="en-US" w:eastAsia="zh-CN"/>
              </w:rPr>
              <w:t>不新增</w:t>
            </w:r>
            <w:r>
              <w:rPr>
                <w:rFonts w:hint="eastAsia"/>
                <w:color w:val="auto"/>
              </w:rPr>
              <w:t>一般固体废物和危险废物</w:t>
            </w:r>
            <w:r>
              <w:rPr>
                <w:rFonts w:hint="eastAsia"/>
                <w:color w:val="auto"/>
                <w:lang w:val="en-US" w:eastAsia="zh-CN"/>
              </w:rPr>
              <w:t>种类</w:t>
            </w:r>
            <w:r>
              <w:rPr>
                <w:rFonts w:hint="eastAsia"/>
                <w:color w:val="auto"/>
              </w:rPr>
              <w:t>。项目不新增劳动定员，故不新增生活垃圾。</w:t>
            </w:r>
          </w:p>
          <w:p>
            <w:pPr>
              <w:ind w:firstLine="480"/>
              <w:rPr>
                <w:color w:val="auto"/>
              </w:rPr>
            </w:pPr>
            <w:r>
              <w:rPr>
                <w:rFonts w:hint="eastAsia"/>
                <w:color w:val="auto"/>
              </w:rPr>
              <w:t>2、</w:t>
            </w:r>
            <w:r>
              <w:rPr>
                <w:color w:val="auto"/>
              </w:rPr>
              <w:t>项目固废管理要求</w:t>
            </w:r>
          </w:p>
          <w:p>
            <w:pPr>
              <w:ind w:firstLine="480"/>
              <w:rPr>
                <w:color w:val="auto"/>
              </w:rPr>
            </w:pPr>
            <w:r>
              <w:rPr>
                <w:rFonts w:hint="eastAsia"/>
                <w:color w:val="auto"/>
              </w:rPr>
              <w:t>（1）一般工业固体废物</w:t>
            </w:r>
            <w:r>
              <w:rPr>
                <w:color w:val="auto"/>
              </w:rPr>
              <w:t>管理要求</w:t>
            </w:r>
          </w:p>
          <w:p>
            <w:pPr>
              <w:ind w:firstLine="480"/>
              <w:rPr>
                <w:color w:val="auto"/>
              </w:rPr>
            </w:pPr>
            <w:r>
              <w:rPr>
                <w:rFonts w:hint="eastAsia"/>
                <w:color w:val="auto"/>
              </w:rPr>
              <w:t>本项目所收集含磷固废属于一般工业固体废物，拟新建一座含磷固废原料堆场贮存含磷固废，含磷固废进行分区储存</w:t>
            </w:r>
            <w:r>
              <w:rPr>
                <w:color w:val="auto"/>
              </w:rPr>
              <w:t>。</w:t>
            </w:r>
            <w:r>
              <w:rPr>
                <w:rFonts w:hint="eastAsia"/>
                <w:color w:val="auto"/>
              </w:rPr>
              <w:t>参照《一般工业固体废物贮存和填埋污染控制标准》（GB18599-2020），中水除杂废渣、磷石膏、黄磷渣、富钙镁磷矿原料临时储存区需按照该标准中I类场要求进行建设，硫酸亚铁除杂废渣原料临时储存区需按照该标准中II类场要求进行建设。</w:t>
            </w:r>
          </w:p>
          <w:p>
            <w:pPr>
              <w:ind w:firstLine="480"/>
              <w:rPr>
                <w:color w:val="auto"/>
              </w:rPr>
            </w:pPr>
            <w:r>
              <w:rPr>
                <w:rFonts w:hint="eastAsia"/>
                <w:color w:val="auto"/>
              </w:rPr>
              <w:t>①I类场技术要求</w:t>
            </w:r>
          </w:p>
          <w:p>
            <w:pPr>
              <w:ind w:firstLine="480"/>
              <w:rPr>
                <w:color w:val="auto"/>
              </w:rPr>
            </w:pPr>
            <w:r>
              <w:rPr>
                <w:rFonts w:hint="eastAsia"/>
                <w:color w:val="auto"/>
              </w:rPr>
              <w:t>可采用改性压实粘土类衬层或具有同等以上隔水效力的其他材料防渗衬层，其防渗性能应至少相当于渗透系数为1.0×10</w:t>
            </w:r>
            <w:r>
              <w:rPr>
                <w:rFonts w:hint="eastAsia"/>
                <w:color w:val="auto"/>
                <w:vertAlign w:val="superscript"/>
              </w:rPr>
              <w:t>-5</w:t>
            </w:r>
            <w:r>
              <w:rPr>
                <w:rFonts w:hint="eastAsia"/>
                <w:color w:val="auto"/>
              </w:rPr>
              <w:t>cm/s且厚度为 0.75 m的天然基础层；</w:t>
            </w:r>
          </w:p>
          <w:p>
            <w:pPr>
              <w:ind w:firstLine="480"/>
              <w:rPr>
                <w:color w:val="auto"/>
              </w:rPr>
            </w:pPr>
            <w:r>
              <w:rPr>
                <w:rFonts w:hint="eastAsia"/>
                <w:color w:val="auto"/>
              </w:rPr>
              <w:t>②II类场技术要求</w:t>
            </w:r>
          </w:p>
          <w:p>
            <w:pPr>
              <w:ind w:firstLine="480"/>
              <w:rPr>
                <w:color w:val="auto"/>
              </w:rPr>
            </w:pPr>
            <w:r>
              <w:rPr>
                <w:rFonts w:hint="eastAsia"/>
                <w:color w:val="auto"/>
              </w:rPr>
              <w:t>应采用单人工复合衬层作为防渗衬层，并符合以下技术要求：</w:t>
            </w:r>
          </w:p>
          <w:p>
            <w:pPr>
              <w:ind w:firstLine="480"/>
              <w:rPr>
                <w:color w:val="auto"/>
              </w:rPr>
            </w:pPr>
            <w:r>
              <w:rPr>
                <w:rFonts w:hint="eastAsia"/>
                <w:color w:val="auto"/>
              </w:rPr>
              <w:t>a）人工合成材料应采用高密度聚乙烯膜，厚度不小于1.5 mm，并满足GB/T 17643规定的技术指标要求。采用其他人工合成材料的，其防渗性能至少相当于1.5 mm高密度聚乙烯膜的防渗性能。</w:t>
            </w:r>
          </w:p>
          <w:p>
            <w:pPr>
              <w:ind w:firstLine="480"/>
              <w:rPr>
                <w:color w:val="auto"/>
              </w:rPr>
            </w:pPr>
            <w:r>
              <w:rPr>
                <w:rFonts w:hint="eastAsia"/>
                <w:color w:val="auto"/>
              </w:rPr>
              <w:t>b）粘土衬层厚度应不小于0.75 m，且经压实、人工改性等措施处理后的饱和渗透系数不应大于1.0×10</w:t>
            </w:r>
            <w:r>
              <w:rPr>
                <w:rFonts w:hint="eastAsia"/>
                <w:color w:val="auto"/>
                <w:vertAlign w:val="superscript"/>
              </w:rPr>
              <w:t xml:space="preserve">-7 </w:t>
            </w:r>
            <w:r>
              <w:rPr>
                <w:rFonts w:hint="eastAsia"/>
                <w:color w:val="auto"/>
              </w:rPr>
              <w:t>cm/s。使用其他粘土类防渗衬层材料时，应具有同等以上隔水效力。</w:t>
            </w:r>
          </w:p>
          <w:p>
            <w:pPr>
              <w:ind w:firstLine="480"/>
              <w:rPr>
                <w:color w:val="auto"/>
              </w:rPr>
            </w:pPr>
            <w:r>
              <w:rPr>
                <w:rFonts w:hint="eastAsia"/>
                <w:color w:val="auto"/>
              </w:rPr>
              <w:t>II类场基础层表面应与地下水年最高水位保持1.5 m以上的距离。当场区基础层表面与地下水年最高水位距离不足1.5 m时，应建设地下水导排系统。地下水导排系统应确保II类场运行期地下水水位维持在基础层表面1.5 m以下。</w:t>
            </w:r>
          </w:p>
          <w:p>
            <w:pPr>
              <w:ind w:firstLine="480"/>
              <w:rPr>
                <w:color w:val="auto"/>
              </w:rPr>
            </w:pPr>
            <w:r>
              <w:rPr>
                <w:rFonts w:hint="eastAsia"/>
                <w:color w:val="auto"/>
              </w:rPr>
              <w:t>II类场应设置渗漏监控系统，监控防渗衬层的完整性。渗漏监控系统的构成包括但不限于防渗衬层渗漏监测设备、地下水监测井。</w:t>
            </w:r>
          </w:p>
          <w:p>
            <w:pPr>
              <w:ind w:firstLine="480"/>
              <w:rPr>
                <w:color w:val="auto"/>
              </w:rPr>
            </w:pPr>
            <w:r>
              <w:rPr>
                <w:rFonts w:hint="eastAsia"/>
                <w:color w:val="auto"/>
              </w:rPr>
              <w:t>同时所收集含磷固废的贮存应满足防渗漏、防雨淋、防扬尘等环境保护要求。</w:t>
            </w:r>
          </w:p>
          <w:p>
            <w:pPr>
              <w:ind w:firstLine="480"/>
              <w:rPr>
                <w:color w:val="auto"/>
              </w:rPr>
            </w:pPr>
            <w:r>
              <w:rPr>
                <w:color w:val="auto"/>
              </w:rPr>
              <w:t>（2）危险废物管理要求</w:t>
            </w:r>
          </w:p>
          <w:p>
            <w:pPr>
              <w:ind w:firstLine="480"/>
              <w:rPr>
                <w:color w:val="auto"/>
              </w:rPr>
            </w:pPr>
            <w:r>
              <w:rPr>
                <w:rFonts w:hint="eastAsia"/>
                <w:color w:val="auto"/>
              </w:rPr>
              <w:t>①危险废物收集</w:t>
            </w:r>
          </w:p>
          <w:p>
            <w:pPr>
              <w:ind w:firstLine="480"/>
              <w:rPr>
                <w:color w:val="auto"/>
              </w:rPr>
            </w:pPr>
            <w:r>
              <w:rPr>
                <w:rFonts w:hint="eastAsia"/>
                <w:color w:val="auto"/>
              </w:rPr>
              <w:t>危险废物根据《危险废物贮存污染控制标准》（GB 18597-2023）的相关规定分类收集，采用专用运输工具运输至危废暂存间。</w:t>
            </w:r>
          </w:p>
          <w:p>
            <w:pPr>
              <w:ind w:firstLine="480"/>
              <w:rPr>
                <w:color w:val="auto"/>
              </w:rPr>
            </w:pPr>
            <w:r>
              <w:rPr>
                <w:rFonts w:hint="eastAsia"/>
                <w:color w:val="auto"/>
              </w:rPr>
              <w:t>②危险废物暂存场所</w:t>
            </w:r>
          </w:p>
          <w:p>
            <w:pPr>
              <w:ind w:firstLine="480"/>
              <w:rPr>
                <w:color w:val="auto"/>
              </w:rPr>
            </w:pPr>
            <w:r>
              <w:rPr>
                <w:rFonts w:hint="eastAsia"/>
                <w:color w:val="auto"/>
              </w:rPr>
              <w:t>a.一般要求：</w:t>
            </w:r>
            <w:r>
              <w:rPr>
                <w:rFonts w:hint="eastAsia"/>
                <w:color w:val="auto"/>
                <w:lang w:val="en-US" w:eastAsia="zh-CN"/>
              </w:rPr>
              <w:t>现有项目</w:t>
            </w:r>
            <w:r>
              <w:rPr>
                <w:rFonts w:hint="eastAsia"/>
                <w:color w:val="auto"/>
              </w:rPr>
              <w:t>使用专用的危险废物贮存设施，</w:t>
            </w:r>
            <w:r>
              <w:rPr>
                <w:rFonts w:hint="eastAsia"/>
                <w:color w:val="auto"/>
                <w:lang w:val="en-US" w:eastAsia="zh-CN"/>
              </w:rPr>
              <w:t>且</w:t>
            </w:r>
            <w:r>
              <w:rPr>
                <w:rFonts w:hint="eastAsia"/>
                <w:color w:val="auto"/>
              </w:rPr>
              <w:t>按</w:t>
            </w:r>
            <w:r>
              <w:rPr>
                <w:color w:val="auto"/>
              </w:rPr>
              <w:t>《危险废物贮存污染控制标准》（GB 18597—2023）</w:t>
            </w:r>
            <w:r>
              <w:rPr>
                <w:rFonts w:hint="eastAsia"/>
                <w:color w:val="auto"/>
              </w:rPr>
              <w:t>相关要求设置危废暂存设施，危废暂存间进行</w:t>
            </w:r>
            <w:r>
              <w:rPr>
                <w:rFonts w:hint="eastAsia"/>
                <w:color w:val="auto"/>
                <w:lang w:val="en-US" w:eastAsia="zh-CN"/>
              </w:rPr>
              <w:t>了</w:t>
            </w:r>
            <w:r>
              <w:rPr>
                <w:rFonts w:hint="eastAsia"/>
                <w:color w:val="auto"/>
              </w:rPr>
              <w:t>防渗处理</w:t>
            </w:r>
            <w:r>
              <w:rPr>
                <w:rFonts w:hint="eastAsia"/>
                <w:color w:val="auto"/>
                <w:lang w:eastAsia="zh-CN"/>
              </w:rPr>
              <w:t>。</w:t>
            </w:r>
            <w:r>
              <w:rPr>
                <w:rFonts w:hint="eastAsia"/>
                <w:color w:val="auto"/>
                <w:lang w:val="en-US" w:eastAsia="zh-CN"/>
              </w:rPr>
              <w:t>现有项目危废暂存场所满足相关要求，故改建项目依托现有危废暂存场所可行</w:t>
            </w:r>
            <w:r>
              <w:rPr>
                <w:rFonts w:hint="eastAsia"/>
                <w:color w:val="auto"/>
              </w:rPr>
              <w:t>。</w:t>
            </w:r>
          </w:p>
          <w:p>
            <w:pPr>
              <w:ind w:firstLine="480"/>
              <w:rPr>
                <w:color w:val="auto"/>
              </w:rPr>
            </w:pPr>
            <w:r>
              <w:rPr>
                <w:rFonts w:hint="eastAsia"/>
                <w:color w:val="auto"/>
              </w:rPr>
              <w:t>b.堆放要求：危废暂存设施地面与裙脚用坚固、防渗的材料建造，建筑材料与危险废物相容；危废暂存设施衬里要能够覆盖危险废物或其溶出物可能涉及到的范围；危废暂存设施衬里材料与堆放危险废物相容；危废暂存设施内清理出来的泄漏物，一律按危险废物处理；使用符合标准的容器盛装危险废物；装载危险废物的容器必须完好无损；危险废物贮存设施四周应设置围墙或其他防护栅栏，并且将房门上锁，禁止无关人员进入；危险废物仓库应有专人专管，做好危险废物情况记录，记录上须注明危险废物名称、来源、数量和包装容器的类别、入库日期、存放库位、废物出库日期及接收单位名称。</w:t>
            </w:r>
          </w:p>
          <w:p>
            <w:pPr>
              <w:ind w:firstLine="480"/>
              <w:rPr>
                <w:color w:val="auto"/>
                <w:lang w:val="zh-CN"/>
              </w:rPr>
            </w:pPr>
            <w:r>
              <w:rPr>
                <w:rFonts w:hint="eastAsia"/>
                <w:color w:val="auto"/>
              </w:rPr>
              <w:t>根据现场踏勘，项目区危废暂存间的建设基本满足相关标准、规范要求</w:t>
            </w:r>
            <w:r>
              <w:rPr>
                <w:rFonts w:hint="eastAsia"/>
                <w:color w:val="auto"/>
                <w:lang w:eastAsia="zh-CN"/>
              </w:rPr>
              <w:t>，</w:t>
            </w:r>
            <w:r>
              <w:rPr>
                <w:rFonts w:hint="eastAsia"/>
                <w:color w:val="auto"/>
                <w:lang w:val="en-US" w:eastAsia="zh-CN"/>
              </w:rPr>
              <w:t>依托可行</w:t>
            </w:r>
            <w:r>
              <w:rPr>
                <w:rFonts w:hint="eastAsia"/>
                <w:color w:val="auto"/>
              </w:rPr>
              <w:t>。</w:t>
            </w:r>
          </w:p>
          <w:p>
            <w:pPr>
              <w:ind w:firstLine="0" w:firstLineChars="0"/>
              <w:rPr>
                <w:color w:val="auto"/>
              </w:rPr>
            </w:pPr>
            <w:r>
              <w:rPr>
                <w:rFonts w:hint="eastAsia"/>
                <w:color w:val="auto"/>
              </w:rPr>
              <w:t>五、运营期地下水及土壤防渗措施</w:t>
            </w:r>
          </w:p>
          <w:p>
            <w:pPr>
              <w:ind w:firstLine="480"/>
              <w:rPr>
                <w:color w:val="auto"/>
              </w:rPr>
            </w:pPr>
            <w:r>
              <w:rPr>
                <w:rFonts w:hint="eastAsia"/>
                <w:color w:val="auto"/>
              </w:rPr>
              <w:t>1、污染源及污染途径分析</w:t>
            </w:r>
          </w:p>
          <w:p>
            <w:pPr>
              <w:ind w:firstLine="480"/>
              <w:rPr>
                <w:color w:val="auto"/>
              </w:rPr>
            </w:pPr>
            <w:r>
              <w:rPr>
                <w:rFonts w:hint="eastAsia"/>
                <w:color w:val="auto"/>
              </w:rPr>
              <w:t>项目可能对地下水及土壤造成污染的途径主要为危险废物暂存场所及含磷固废原料堆场对地下水及土壤造成污染。具体分析如下：</w:t>
            </w:r>
          </w:p>
          <w:p>
            <w:pPr>
              <w:ind w:firstLine="480"/>
              <w:rPr>
                <w:color w:val="auto"/>
              </w:rPr>
            </w:pPr>
            <w:r>
              <w:rPr>
                <w:rFonts w:hint="eastAsia"/>
                <w:color w:val="auto"/>
              </w:rPr>
              <w:t>本项目拟采购含磷废渣作为复合肥生产原料，所收集含磷固废属于一般工业固体废物，拟新建一座含磷固废原料堆场贮存含磷固废，并进行分区储存</w:t>
            </w:r>
            <w:r>
              <w:rPr>
                <w:color w:val="auto"/>
              </w:rPr>
              <w:t>。</w:t>
            </w:r>
            <w:r>
              <w:rPr>
                <w:rFonts w:hint="eastAsia"/>
                <w:color w:val="auto"/>
              </w:rPr>
              <w:t>参照《一般工业固体废物贮存和填埋污染控制标准》（GB18599-2020），中水除杂废渣、磷石膏、黄磷渣、富钙镁磷矿原料临时储存区需按照该标准中I类场要求进行建设，硫酸亚铁除杂废渣原料临时储存区需按照该标准中II类场要求进行建设。</w:t>
            </w:r>
          </w:p>
          <w:p>
            <w:pPr>
              <w:ind w:firstLine="480"/>
              <w:rPr>
                <w:color w:val="auto"/>
              </w:rPr>
            </w:pPr>
            <w:r>
              <w:rPr>
                <w:rFonts w:hint="eastAsia"/>
                <w:color w:val="auto"/>
              </w:rPr>
              <w:t>危废暂存间</w:t>
            </w:r>
            <w:r>
              <w:rPr>
                <w:rFonts w:hint="eastAsia"/>
                <w:color w:val="auto"/>
                <w:lang w:val="en-US" w:eastAsia="zh-CN"/>
              </w:rPr>
              <w:t>已</w:t>
            </w:r>
            <w:r>
              <w:rPr>
                <w:rFonts w:hint="eastAsia"/>
                <w:color w:val="auto"/>
              </w:rPr>
              <w:t>按</w:t>
            </w:r>
            <w:r>
              <w:rPr>
                <w:color w:val="auto"/>
              </w:rPr>
              <w:t>《危险废物贮存污染控制标准》（GB 18597—2023）</w:t>
            </w:r>
            <w:r>
              <w:rPr>
                <w:rFonts w:hint="eastAsia"/>
                <w:color w:val="auto"/>
                <w:lang w:val="en-US" w:eastAsia="zh-CN"/>
              </w:rPr>
              <w:t>建设</w:t>
            </w:r>
            <w:r>
              <w:rPr>
                <w:rFonts w:hint="eastAsia"/>
                <w:color w:val="auto"/>
              </w:rPr>
              <w:t>，满足“三防”要求，建设单位在项目运营期从源头控制、过程防控等方面进一步加强对土壤环境的保护措施。本项目在源头控制上采取分区防渗等措施，生产过程中加强监管，不会对地下水、土壤造成明显影响。</w:t>
            </w:r>
          </w:p>
          <w:p>
            <w:pPr>
              <w:ind w:firstLine="480"/>
              <w:rPr>
                <w:color w:val="auto"/>
              </w:rPr>
            </w:pPr>
            <w:r>
              <w:rPr>
                <w:rFonts w:hint="eastAsia"/>
                <w:color w:val="auto"/>
              </w:rPr>
              <w:t>2、防渗措施</w:t>
            </w:r>
          </w:p>
          <w:p>
            <w:pPr>
              <w:ind w:firstLine="480"/>
              <w:rPr>
                <w:color w:val="auto"/>
              </w:rPr>
            </w:pPr>
            <w:r>
              <w:rPr>
                <w:rFonts w:hint="eastAsia"/>
                <w:color w:val="auto"/>
              </w:rPr>
              <w:t>根据项目各功能单元是否可能对地下水、土壤造成污染及其风险程度，将项目所在区域划分为重点防渗区、一般防渗区和简单防渗区。重点防渗区是可能会对地下水造成污染，风险程度较高或污染物浓度较高，需要重点防治或者需要重点保护的区域，一般防渗区是可能会对地下水造成污染，但危害性或风险程度相对较低的区域，简单防渗区为不会对地下水造成污染的区域。</w:t>
            </w:r>
            <w:r>
              <w:rPr>
                <w:color w:val="auto"/>
              </w:rPr>
              <w:t>根据《环境影响评价技术导则 地下水环境》（HJ610-2016）厂区可划分为重点防渗区、一般防渗区和简单防渗区。</w:t>
            </w:r>
          </w:p>
          <w:p>
            <w:pPr>
              <w:ind w:firstLine="480"/>
              <w:rPr>
                <w:color w:val="auto"/>
              </w:rPr>
            </w:pPr>
            <w:r>
              <w:rPr>
                <w:color w:val="auto"/>
              </w:rPr>
              <w:t>项目</w:t>
            </w:r>
            <w:r>
              <w:rPr>
                <w:rFonts w:hint="eastAsia"/>
                <w:color w:val="auto"/>
              </w:rPr>
              <w:t>危废暂存间、含磷固废原料堆场</w:t>
            </w:r>
            <w:r>
              <w:rPr>
                <w:color w:val="auto"/>
              </w:rPr>
              <w:t>划分为重点防渗区；</w:t>
            </w:r>
            <w:r>
              <w:rPr>
                <w:rFonts w:hint="eastAsia"/>
                <w:color w:val="auto"/>
              </w:rPr>
              <w:t>生活垃圾暂存点</w:t>
            </w:r>
            <w:r>
              <w:rPr>
                <w:rFonts w:hint="eastAsia"/>
                <w:color w:val="auto"/>
                <w:lang w:eastAsia="zh-CN"/>
              </w:rPr>
              <w:t>、</w:t>
            </w:r>
            <w:r>
              <w:rPr>
                <w:rFonts w:hint="eastAsia"/>
                <w:color w:val="auto"/>
              </w:rPr>
              <w:t>道路等</w:t>
            </w:r>
            <w:r>
              <w:rPr>
                <w:color w:val="auto"/>
              </w:rPr>
              <w:t>划分为简单防渗区。</w:t>
            </w:r>
          </w:p>
          <w:p>
            <w:pPr>
              <w:ind w:firstLine="480"/>
              <w:rPr>
                <w:color w:val="auto"/>
              </w:rPr>
            </w:pPr>
            <w:r>
              <w:rPr>
                <w:color w:val="auto"/>
              </w:rPr>
              <w:t>①对于重点防渗区，</w:t>
            </w:r>
            <w:r>
              <w:rPr>
                <w:rFonts w:hint="eastAsia"/>
                <w:color w:val="auto"/>
              </w:rPr>
              <w:t>危废</w:t>
            </w:r>
            <w:r>
              <w:rPr>
                <w:color w:val="auto"/>
              </w:rPr>
              <w:t>暂存间按</w:t>
            </w:r>
            <w:r>
              <w:rPr>
                <w:rFonts w:hint="eastAsia"/>
                <w:color w:val="auto"/>
              </w:rPr>
              <w:t>照</w:t>
            </w:r>
            <w:r>
              <w:rPr>
                <w:color w:val="auto"/>
              </w:rPr>
              <w:t>《危险废物贮存污染控制标准》（GB 18597—2023）</w:t>
            </w:r>
            <w:r>
              <w:rPr>
                <w:rFonts w:hint="eastAsia"/>
                <w:color w:val="auto"/>
                <w:lang w:val="en-US" w:eastAsia="zh-CN"/>
              </w:rPr>
              <w:t>建设</w:t>
            </w:r>
            <w:r>
              <w:rPr>
                <w:rFonts w:hint="eastAsia"/>
                <w:color w:val="auto"/>
              </w:rPr>
              <w:t>；含磷固废原料堆场进行分区，参照《一般工业固体废物贮存和填埋污染控制标准》（GB18599-2020），中水除杂废渣、磷石膏、黄磷渣、富钙镁磷矿原料临时储存区需按照该标准中I类场要求进行建设，硫酸亚铁除杂废渣原料临时储存区需按照该标准中II类场要求进行建设。</w:t>
            </w:r>
          </w:p>
          <w:p>
            <w:pPr>
              <w:ind w:firstLine="480"/>
              <w:rPr>
                <w:color w:val="auto"/>
              </w:rPr>
            </w:pPr>
            <w:r>
              <w:rPr>
                <w:color w:val="auto"/>
              </w:rPr>
              <w:t>②对于一般防渗区，参照《环境影响评价技术导则-地下水环境》（HJ610-2016）中一般防渗区的防渗要求进行防渗设计，防渗层的防渗性能</w:t>
            </w:r>
            <w:r>
              <w:rPr>
                <w:rFonts w:hint="eastAsia"/>
                <w:color w:val="auto"/>
              </w:rPr>
              <w:t>应等效于厚度≥1.5m、渗透系数≤1.0×10</w:t>
            </w:r>
            <w:r>
              <w:rPr>
                <w:rFonts w:hint="eastAsia"/>
                <w:color w:val="auto"/>
                <w:vertAlign w:val="superscript"/>
              </w:rPr>
              <w:t>-7</w:t>
            </w:r>
            <w:r>
              <w:rPr>
                <w:rFonts w:hint="eastAsia"/>
                <w:color w:val="auto"/>
              </w:rPr>
              <w:t>cm/s的黏土层的防渗性能。</w:t>
            </w:r>
          </w:p>
          <w:p>
            <w:pPr>
              <w:ind w:firstLine="480"/>
              <w:rPr>
                <w:color w:val="auto"/>
              </w:rPr>
            </w:pPr>
            <w:r>
              <w:rPr>
                <w:color w:val="auto"/>
              </w:rPr>
              <w:t>③对于简单防渗区，不采取专门针对地下水污染的防治措施，地面可采用混凝土硬化。</w:t>
            </w:r>
          </w:p>
          <w:p>
            <w:pPr>
              <w:ind w:firstLine="480"/>
              <w:rPr>
                <w:color w:val="auto"/>
              </w:rPr>
            </w:pPr>
            <w:r>
              <w:rPr>
                <w:rFonts w:hint="eastAsia"/>
                <w:color w:val="auto"/>
                <w:lang w:val="en-US" w:eastAsia="zh-CN"/>
              </w:rPr>
              <w:t>根据现场踏勘及建设单位提供资料，</w:t>
            </w:r>
            <w:r>
              <w:rPr>
                <w:rFonts w:hint="eastAsia"/>
                <w:color w:val="auto"/>
              </w:rPr>
              <w:t>危废</w:t>
            </w:r>
            <w:r>
              <w:rPr>
                <w:color w:val="auto"/>
              </w:rPr>
              <w:t>暂存间</w:t>
            </w:r>
            <w:r>
              <w:rPr>
                <w:rFonts w:hint="eastAsia"/>
                <w:color w:val="auto"/>
                <w:lang w:val="en-US" w:eastAsia="zh-CN"/>
              </w:rPr>
              <w:t>已</w:t>
            </w:r>
            <w:r>
              <w:rPr>
                <w:color w:val="auto"/>
              </w:rPr>
              <w:t>按</w:t>
            </w:r>
            <w:r>
              <w:rPr>
                <w:rFonts w:hint="eastAsia"/>
                <w:color w:val="auto"/>
              </w:rPr>
              <w:t>照</w:t>
            </w:r>
            <w:r>
              <w:rPr>
                <w:color w:val="auto"/>
              </w:rPr>
              <w:t>《危险废物贮存污染控制标准》（GB 18597—2023）</w:t>
            </w:r>
            <w:r>
              <w:rPr>
                <w:rFonts w:hint="eastAsia"/>
                <w:color w:val="auto"/>
                <w:lang w:val="en-US" w:eastAsia="zh-CN"/>
              </w:rPr>
              <w:t>建设，满足重点防渗区防渗要求；</w:t>
            </w:r>
            <w:r>
              <w:rPr>
                <w:rFonts w:hint="eastAsia"/>
                <w:color w:val="auto"/>
              </w:rPr>
              <w:t>生活垃圾暂存点</w:t>
            </w:r>
            <w:r>
              <w:rPr>
                <w:rFonts w:hint="eastAsia"/>
                <w:color w:val="auto"/>
                <w:lang w:eastAsia="zh-CN"/>
              </w:rPr>
              <w:t>、</w:t>
            </w:r>
            <w:r>
              <w:rPr>
                <w:rFonts w:hint="eastAsia"/>
                <w:color w:val="auto"/>
              </w:rPr>
              <w:t>道路等</w:t>
            </w:r>
            <w:r>
              <w:rPr>
                <w:rFonts w:hint="eastAsia"/>
                <w:color w:val="auto"/>
                <w:lang w:val="en-US" w:eastAsia="zh-CN"/>
              </w:rPr>
              <w:t>均采用了混凝土硬化，满足简单防渗区防渗要求；环评要求建设单位严格按照相关防渗要求对</w:t>
            </w:r>
            <w:r>
              <w:rPr>
                <w:rFonts w:hint="eastAsia"/>
                <w:color w:val="auto"/>
              </w:rPr>
              <w:t>含磷固废原料堆场</w:t>
            </w:r>
            <w:r>
              <w:rPr>
                <w:rFonts w:hint="eastAsia"/>
                <w:color w:val="auto"/>
                <w:lang w:val="en-US" w:eastAsia="zh-CN"/>
              </w:rPr>
              <w:t>进行防渗处理</w:t>
            </w:r>
            <w:r>
              <w:rPr>
                <w:rFonts w:hint="eastAsia"/>
                <w:color w:val="auto"/>
              </w:rPr>
              <w:t>。</w:t>
            </w:r>
          </w:p>
          <w:p>
            <w:pPr>
              <w:ind w:firstLine="0" w:firstLineChars="0"/>
              <w:rPr>
                <w:color w:val="auto"/>
              </w:rPr>
            </w:pPr>
            <w:r>
              <w:rPr>
                <w:rFonts w:hint="eastAsia"/>
                <w:color w:val="auto"/>
              </w:rPr>
              <w:t>六、环境风险影响分析</w:t>
            </w:r>
          </w:p>
          <w:p>
            <w:pPr>
              <w:ind w:firstLine="480"/>
              <w:rPr>
                <w:color w:val="auto"/>
              </w:rPr>
            </w:pPr>
            <w:r>
              <w:rPr>
                <w:rFonts w:hint="eastAsia"/>
                <w:color w:val="auto"/>
              </w:rPr>
              <w:t>1、</w:t>
            </w:r>
            <w:r>
              <w:rPr>
                <w:color w:val="auto"/>
              </w:rPr>
              <w:t>环境风险评价目的和评价内容</w:t>
            </w:r>
          </w:p>
          <w:p>
            <w:pPr>
              <w:ind w:firstLine="480"/>
              <w:rPr>
                <w:color w:val="auto"/>
              </w:rPr>
            </w:pPr>
            <w:r>
              <w:rPr>
                <w:color w:val="auto"/>
              </w:rPr>
              <w:t>环境风险评价目的是分析和预测建设项目存在的潜在危险、有害因素，项目建设期和</w:t>
            </w:r>
            <w:r>
              <w:rPr>
                <w:rFonts w:hint="eastAsia"/>
                <w:color w:val="auto"/>
              </w:rPr>
              <w:t>运营期</w:t>
            </w:r>
            <w:r>
              <w:rPr>
                <w:color w:val="auto"/>
              </w:rPr>
              <w:t>可能发生的突发性事件或事故（一般不包括人为破坏及自然灾害），引起有毒有害和易燃易爆等物质泄露，所造成的人身安全与环境影响和损害程度，提出合理可行的防范、应急与减缓措施，以使建设项目事故率、损失和环境影响程度达到可接受水平。</w:t>
            </w:r>
          </w:p>
          <w:p>
            <w:pPr>
              <w:ind w:firstLine="480"/>
              <w:rPr>
                <w:color w:val="auto"/>
              </w:rPr>
            </w:pPr>
            <w:r>
              <w:rPr>
                <w:color w:val="auto"/>
              </w:rPr>
              <w:t>根据《建设项目环境风险评价技术导则》（HJ 169-2018），本次风险评价的主要内容是：通过分析项目涉及主要物质的危险性，识别主要危险单元、进行环境风险潜势初判，找出风险事故原因及其对环境产生的影响，最后提出风险防范措施和应急预案。</w:t>
            </w:r>
          </w:p>
          <w:p>
            <w:pPr>
              <w:ind w:firstLine="480"/>
              <w:rPr>
                <w:color w:val="auto"/>
              </w:rPr>
            </w:pPr>
            <w:r>
              <w:rPr>
                <w:rFonts w:hint="eastAsia"/>
                <w:color w:val="auto"/>
              </w:rPr>
              <w:t>2、</w:t>
            </w:r>
            <w:r>
              <w:rPr>
                <w:color w:val="auto"/>
              </w:rPr>
              <w:t>风险源及风险物质调查</w:t>
            </w:r>
          </w:p>
          <w:p>
            <w:pPr>
              <w:ind w:firstLine="480"/>
              <w:rPr>
                <w:color w:val="auto"/>
              </w:rPr>
            </w:pPr>
            <w:r>
              <w:rPr>
                <w:rFonts w:hint="eastAsia"/>
                <w:color w:val="auto"/>
              </w:rPr>
              <w:t>本次改建项目不涉及</w:t>
            </w:r>
            <w:r>
              <w:rPr>
                <w:color w:val="auto"/>
              </w:rPr>
              <w:t>《建设项目环境风险评价技术导则》（HJ169-2018）附录B</w:t>
            </w:r>
            <w:r>
              <w:rPr>
                <w:rFonts w:hint="eastAsia"/>
                <w:color w:val="auto"/>
              </w:rPr>
              <w:t>中危险物质</w:t>
            </w:r>
            <w:r>
              <w:rPr>
                <w:color w:val="auto"/>
              </w:rPr>
              <w:t>。</w:t>
            </w:r>
            <w:r>
              <w:rPr>
                <w:rFonts w:hint="eastAsia"/>
                <w:color w:val="auto"/>
              </w:rPr>
              <w:t>故无需开展环境风险评价。</w:t>
            </w:r>
          </w:p>
          <w:p>
            <w:pPr>
              <w:ind w:firstLine="0" w:firstLineChars="0"/>
              <w:rPr>
                <w:color w:val="auto"/>
              </w:rPr>
            </w:pPr>
            <w:r>
              <w:rPr>
                <w:rFonts w:hint="eastAsia"/>
                <w:color w:val="auto"/>
              </w:rPr>
              <w:t>七、“以新带老”措施</w:t>
            </w:r>
          </w:p>
          <w:p>
            <w:pPr>
              <w:ind w:firstLine="480"/>
              <w:rPr>
                <w:color w:val="auto"/>
              </w:rPr>
            </w:pPr>
            <w:r>
              <w:rPr>
                <w:rFonts w:hint="eastAsia"/>
                <w:color w:val="auto"/>
              </w:rPr>
              <w:t>项目不涉及“以新带老”措施。</w:t>
            </w: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p>
            <w:pPr>
              <w:ind w:firstLine="480"/>
              <w:rPr>
                <w:color w:val="auto"/>
              </w:rPr>
            </w:pPr>
          </w:p>
        </w:tc>
      </w:tr>
    </w:tbl>
    <w:p>
      <w:pPr>
        <w:adjustRightInd w:val="0"/>
        <w:snapToGrid w:val="0"/>
        <w:ind w:firstLine="562"/>
        <w:rPr>
          <w:b/>
          <w:color w:val="auto"/>
          <w:kern w:val="0"/>
          <w:sz w:val="28"/>
          <w:szCs w:val="28"/>
        </w:rPr>
        <w:sectPr>
          <w:pgSz w:w="11907" w:h="16840"/>
          <w:pgMar w:top="1701" w:right="1531" w:bottom="1701" w:left="1531" w:header="851" w:footer="851" w:gutter="0"/>
          <w:cols w:space="720" w:num="1"/>
          <w:docGrid w:linePitch="312" w:charSpace="0"/>
        </w:sectPr>
      </w:pPr>
    </w:p>
    <w:p>
      <w:pPr>
        <w:pStyle w:val="2"/>
        <w:spacing w:after="240"/>
        <w:jc w:val="left"/>
        <w:rPr>
          <w:color w:val="auto"/>
        </w:rPr>
      </w:pPr>
      <w:bookmarkStart w:id="10" w:name="_Toc26682"/>
      <w:bookmarkStart w:id="11" w:name="_Hlk54167917"/>
      <w:r>
        <w:rPr>
          <w:color w:val="auto"/>
        </w:rPr>
        <w:t>五、环境保护措施监督检查清单</w:t>
      </w:r>
      <w:bookmarkEnd w:id="10"/>
      <w:bookmarkEnd w:id="11"/>
    </w:p>
    <w:tbl>
      <w:tblPr>
        <w:tblStyle w:val="10"/>
        <w:tblW w:w="905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1473"/>
        <w:gridCol w:w="1473"/>
        <w:gridCol w:w="2112"/>
        <w:gridCol w:w="25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97" w:type="dxa"/>
            <w:tcBorders>
              <w:tl2br w:val="single" w:color="auto" w:sz="4" w:space="0"/>
            </w:tcBorders>
            <w:vAlign w:val="center"/>
          </w:tcPr>
          <w:p>
            <w:pPr>
              <w:pStyle w:val="15"/>
              <w:jc w:val="right"/>
              <w:rPr>
                <w:color w:val="auto"/>
              </w:rPr>
            </w:pPr>
            <w:r>
              <w:rPr>
                <w:rFonts w:hint="eastAsia"/>
                <w:color w:val="auto"/>
              </w:rPr>
              <w:t xml:space="preserve">    </w:t>
            </w:r>
            <w:r>
              <w:rPr>
                <w:color w:val="auto"/>
              </w:rPr>
              <w:t>内容</w:t>
            </w:r>
          </w:p>
          <w:p>
            <w:pPr>
              <w:pStyle w:val="15"/>
              <w:jc w:val="left"/>
              <w:rPr>
                <w:color w:val="auto"/>
              </w:rPr>
            </w:pPr>
            <w:r>
              <w:rPr>
                <w:color w:val="auto"/>
              </w:rPr>
              <w:t>要素</w:t>
            </w:r>
          </w:p>
        </w:tc>
        <w:tc>
          <w:tcPr>
            <w:tcW w:w="1473" w:type="dxa"/>
            <w:vAlign w:val="center"/>
          </w:tcPr>
          <w:p>
            <w:pPr>
              <w:pStyle w:val="15"/>
              <w:rPr>
                <w:color w:val="auto"/>
              </w:rPr>
            </w:pPr>
            <w:r>
              <w:rPr>
                <w:color w:val="auto"/>
              </w:rPr>
              <w:t>排放口(编号、</w:t>
            </w:r>
          </w:p>
          <w:p>
            <w:pPr>
              <w:pStyle w:val="15"/>
              <w:rPr>
                <w:color w:val="auto"/>
              </w:rPr>
            </w:pPr>
            <w:r>
              <w:rPr>
                <w:color w:val="auto"/>
              </w:rPr>
              <w:t>名称)/污染源</w:t>
            </w:r>
          </w:p>
        </w:tc>
        <w:tc>
          <w:tcPr>
            <w:tcW w:w="1473" w:type="dxa"/>
            <w:vAlign w:val="center"/>
          </w:tcPr>
          <w:p>
            <w:pPr>
              <w:pStyle w:val="15"/>
              <w:rPr>
                <w:color w:val="auto"/>
              </w:rPr>
            </w:pPr>
            <w:r>
              <w:rPr>
                <w:color w:val="auto"/>
              </w:rPr>
              <w:t>污染物项目</w:t>
            </w:r>
          </w:p>
        </w:tc>
        <w:tc>
          <w:tcPr>
            <w:tcW w:w="2112" w:type="dxa"/>
            <w:vAlign w:val="center"/>
          </w:tcPr>
          <w:p>
            <w:pPr>
              <w:pStyle w:val="15"/>
              <w:rPr>
                <w:color w:val="auto"/>
              </w:rPr>
            </w:pPr>
            <w:r>
              <w:rPr>
                <w:color w:val="auto"/>
              </w:rPr>
              <w:t>环境保护措施</w:t>
            </w:r>
          </w:p>
        </w:tc>
        <w:tc>
          <w:tcPr>
            <w:tcW w:w="2500" w:type="dxa"/>
            <w:vAlign w:val="center"/>
          </w:tcPr>
          <w:p>
            <w:pPr>
              <w:pStyle w:val="15"/>
              <w:rPr>
                <w:color w:val="auto"/>
              </w:rPr>
            </w:pPr>
            <w:r>
              <w:rPr>
                <w:color w:val="auto"/>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97" w:type="dxa"/>
            <w:vMerge w:val="restart"/>
            <w:vAlign w:val="center"/>
          </w:tcPr>
          <w:p>
            <w:pPr>
              <w:pStyle w:val="15"/>
              <w:rPr>
                <w:color w:val="auto"/>
              </w:rPr>
            </w:pPr>
            <w:r>
              <w:rPr>
                <w:color w:val="auto"/>
              </w:rPr>
              <w:t>大气环境</w:t>
            </w:r>
          </w:p>
        </w:tc>
        <w:tc>
          <w:tcPr>
            <w:tcW w:w="1473" w:type="dxa"/>
            <w:vAlign w:val="center"/>
          </w:tcPr>
          <w:p>
            <w:pPr>
              <w:pStyle w:val="15"/>
              <w:rPr>
                <w:color w:val="auto"/>
              </w:rPr>
            </w:pPr>
            <w:r>
              <w:rPr>
                <w:rFonts w:hint="eastAsia"/>
                <w:color w:val="auto"/>
              </w:rPr>
              <w:t>生产过程有组织粉尘（DA010）</w:t>
            </w:r>
          </w:p>
        </w:tc>
        <w:tc>
          <w:tcPr>
            <w:tcW w:w="1473" w:type="dxa"/>
            <w:vAlign w:val="center"/>
          </w:tcPr>
          <w:p>
            <w:pPr>
              <w:pStyle w:val="15"/>
              <w:rPr>
                <w:color w:val="auto"/>
              </w:rPr>
            </w:pPr>
            <w:r>
              <w:rPr>
                <w:rFonts w:hint="eastAsia"/>
                <w:color w:val="auto"/>
              </w:rPr>
              <w:t>颗粒物</w:t>
            </w:r>
          </w:p>
        </w:tc>
        <w:tc>
          <w:tcPr>
            <w:tcW w:w="2112" w:type="dxa"/>
            <w:vAlign w:val="center"/>
          </w:tcPr>
          <w:p>
            <w:pPr>
              <w:pStyle w:val="15"/>
              <w:rPr>
                <w:color w:val="auto"/>
              </w:rPr>
            </w:pPr>
            <w:r>
              <w:rPr>
                <w:rFonts w:hint="eastAsia"/>
                <w:color w:val="auto"/>
              </w:rPr>
              <w:t>经脉冲布袋除尘器处理达标后经20m高排气筒排放</w:t>
            </w:r>
          </w:p>
        </w:tc>
        <w:tc>
          <w:tcPr>
            <w:tcW w:w="2500" w:type="dxa"/>
            <w:vAlign w:val="center"/>
          </w:tcPr>
          <w:p>
            <w:pPr>
              <w:pStyle w:val="15"/>
              <w:rPr>
                <w:color w:val="auto"/>
              </w:rPr>
            </w:pPr>
            <w:r>
              <w:rPr>
                <w:color w:val="auto"/>
              </w:rPr>
              <w:t>《大气污染物综合排放标准》（GB16297-1996）二级标准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97" w:type="dxa"/>
            <w:vMerge w:val="continue"/>
            <w:vAlign w:val="center"/>
          </w:tcPr>
          <w:p>
            <w:pPr>
              <w:pStyle w:val="15"/>
              <w:rPr>
                <w:color w:val="auto"/>
              </w:rPr>
            </w:pPr>
          </w:p>
        </w:tc>
        <w:tc>
          <w:tcPr>
            <w:tcW w:w="1473" w:type="dxa"/>
            <w:vAlign w:val="center"/>
          </w:tcPr>
          <w:p>
            <w:pPr>
              <w:pStyle w:val="15"/>
              <w:rPr>
                <w:color w:val="auto"/>
              </w:rPr>
            </w:pPr>
            <w:r>
              <w:rPr>
                <w:rFonts w:hint="eastAsia"/>
                <w:color w:val="auto"/>
              </w:rPr>
              <w:t>锅炉废气（DA002）</w:t>
            </w:r>
          </w:p>
        </w:tc>
        <w:tc>
          <w:tcPr>
            <w:tcW w:w="1473" w:type="dxa"/>
            <w:vAlign w:val="center"/>
          </w:tcPr>
          <w:p>
            <w:pPr>
              <w:pStyle w:val="15"/>
              <w:rPr>
                <w:rFonts w:hint="default" w:eastAsia="宋体"/>
                <w:color w:val="auto"/>
                <w:vertAlign w:val="baseline"/>
                <w:lang w:val="en-US" w:eastAsia="zh-CN"/>
              </w:rPr>
            </w:pPr>
            <w:r>
              <w:rPr>
                <w:rFonts w:hint="eastAsia"/>
                <w:color w:val="auto"/>
              </w:rPr>
              <w:t>颗粒物、SO</w:t>
            </w:r>
            <w:r>
              <w:rPr>
                <w:rFonts w:hint="eastAsia"/>
                <w:color w:val="auto"/>
                <w:vertAlign w:val="subscript"/>
              </w:rPr>
              <w:t>2</w:t>
            </w:r>
            <w:r>
              <w:rPr>
                <w:rFonts w:hint="eastAsia"/>
                <w:color w:val="auto"/>
              </w:rPr>
              <w:t>、NO</w:t>
            </w:r>
            <w:r>
              <w:rPr>
                <w:rFonts w:hint="eastAsia"/>
                <w:color w:val="auto"/>
                <w:vertAlign w:val="subscript"/>
              </w:rPr>
              <w:t>x</w:t>
            </w:r>
            <w:r>
              <w:rPr>
                <w:rFonts w:hint="eastAsia"/>
                <w:color w:val="auto"/>
                <w:vertAlign w:val="baseline"/>
                <w:lang w:eastAsia="zh-CN"/>
              </w:rPr>
              <w:t>、</w:t>
            </w:r>
            <w:r>
              <w:rPr>
                <w:rFonts w:hint="eastAsia"/>
                <w:color w:val="auto"/>
                <w:vertAlign w:val="baseline"/>
                <w:lang w:val="en-US" w:eastAsia="zh-CN"/>
              </w:rPr>
              <w:t>汞及其化合物、烟气黑度</w:t>
            </w:r>
          </w:p>
        </w:tc>
        <w:tc>
          <w:tcPr>
            <w:tcW w:w="2112" w:type="dxa"/>
            <w:vAlign w:val="center"/>
          </w:tcPr>
          <w:p>
            <w:pPr>
              <w:pStyle w:val="15"/>
              <w:rPr>
                <w:color w:val="auto"/>
              </w:rPr>
            </w:pPr>
            <w:r>
              <w:rPr>
                <w:rFonts w:hint="eastAsia"/>
                <w:color w:val="auto"/>
              </w:rPr>
              <w:t>经旋风除尘器+</w:t>
            </w:r>
            <w:r>
              <w:rPr>
                <w:rFonts w:hint="eastAsia"/>
                <w:color w:val="auto"/>
                <w:lang w:val="en-US" w:eastAsia="zh-CN"/>
              </w:rPr>
              <w:t>水膜脱硫除尘</w:t>
            </w:r>
            <w:r>
              <w:rPr>
                <w:rFonts w:hint="eastAsia"/>
                <w:color w:val="auto"/>
              </w:rPr>
              <w:t>处理达标后通过35m高排气筒排放</w:t>
            </w:r>
          </w:p>
        </w:tc>
        <w:tc>
          <w:tcPr>
            <w:tcW w:w="2500" w:type="dxa"/>
            <w:vAlign w:val="center"/>
          </w:tcPr>
          <w:p>
            <w:pPr>
              <w:pStyle w:val="15"/>
              <w:rPr>
                <w:color w:val="auto"/>
              </w:rPr>
            </w:pPr>
            <w:r>
              <w:rPr>
                <w:rFonts w:hint="eastAsia"/>
                <w:color w:val="auto"/>
              </w:rPr>
              <w:t>参照执行《锅炉大气污染物排放标准》（GB12371-2014）表2燃煤锅炉标准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97" w:type="dxa"/>
            <w:vMerge w:val="continue"/>
            <w:vAlign w:val="center"/>
          </w:tcPr>
          <w:p>
            <w:pPr>
              <w:pStyle w:val="15"/>
              <w:rPr>
                <w:color w:val="auto"/>
              </w:rPr>
            </w:pPr>
          </w:p>
        </w:tc>
        <w:tc>
          <w:tcPr>
            <w:tcW w:w="1473" w:type="dxa"/>
            <w:vAlign w:val="center"/>
          </w:tcPr>
          <w:p>
            <w:pPr>
              <w:pStyle w:val="15"/>
              <w:rPr>
                <w:color w:val="auto"/>
              </w:rPr>
            </w:pPr>
            <w:r>
              <w:rPr>
                <w:rFonts w:hint="eastAsia"/>
                <w:color w:val="auto"/>
              </w:rPr>
              <w:t>烘干废气（DA009）</w:t>
            </w:r>
          </w:p>
        </w:tc>
        <w:tc>
          <w:tcPr>
            <w:tcW w:w="1473" w:type="dxa"/>
            <w:vAlign w:val="center"/>
          </w:tcPr>
          <w:p>
            <w:pPr>
              <w:pStyle w:val="15"/>
              <w:rPr>
                <w:color w:val="auto"/>
              </w:rPr>
            </w:pPr>
            <w:r>
              <w:rPr>
                <w:rFonts w:hint="eastAsia"/>
                <w:color w:val="auto"/>
              </w:rPr>
              <w:t>颗粒物、SO</w:t>
            </w:r>
            <w:r>
              <w:rPr>
                <w:rFonts w:hint="eastAsia"/>
                <w:color w:val="auto"/>
                <w:vertAlign w:val="subscript"/>
              </w:rPr>
              <w:t>2</w:t>
            </w:r>
            <w:r>
              <w:rPr>
                <w:rFonts w:hint="eastAsia"/>
                <w:color w:val="auto"/>
              </w:rPr>
              <w:t>、NO</w:t>
            </w:r>
            <w:r>
              <w:rPr>
                <w:rFonts w:hint="eastAsia"/>
                <w:color w:val="auto"/>
                <w:vertAlign w:val="subscript"/>
              </w:rPr>
              <w:t>x</w:t>
            </w:r>
          </w:p>
        </w:tc>
        <w:tc>
          <w:tcPr>
            <w:tcW w:w="2112" w:type="dxa"/>
            <w:vAlign w:val="center"/>
          </w:tcPr>
          <w:p>
            <w:pPr>
              <w:pStyle w:val="15"/>
              <w:rPr>
                <w:color w:val="auto"/>
              </w:rPr>
            </w:pPr>
            <w:r>
              <w:rPr>
                <w:rFonts w:hint="eastAsia"/>
                <w:color w:val="auto"/>
              </w:rPr>
              <w:t>经旋风除尘器+重力沉降室+</w:t>
            </w:r>
            <w:r>
              <w:rPr>
                <w:rFonts w:hint="eastAsia"/>
                <w:color w:val="auto"/>
                <w:lang w:val="en-US" w:eastAsia="zh-CN"/>
              </w:rPr>
              <w:t>水膜脱硫除尘</w:t>
            </w:r>
            <w:r>
              <w:rPr>
                <w:rFonts w:hint="eastAsia"/>
                <w:color w:val="auto"/>
              </w:rPr>
              <w:t>处理装置处理后通过15m高排气筒排放</w:t>
            </w:r>
          </w:p>
        </w:tc>
        <w:tc>
          <w:tcPr>
            <w:tcW w:w="2500" w:type="dxa"/>
            <w:vAlign w:val="center"/>
          </w:tcPr>
          <w:p>
            <w:pPr>
              <w:pStyle w:val="15"/>
              <w:rPr>
                <w:color w:val="auto"/>
              </w:rPr>
            </w:pPr>
            <w:r>
              <w:rPr>
                <w:rFonts w:hint="eastAsia"/>
                <w:color w:val="auto"/>
              </w:rPr>
              <w:t>执行《大气污染物综合排放标准》（GB16297-1996）表2二级标准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97" w:type="dxa"/>
            <w:vMerge w:val="continue"/>
            <w:vAlign w:val="center"/>
          </w:tcPr>
          <w:p>
            <w:pPr>
              <w:pStyle w:val="15"/>
              <w:rPr>
                <w:color w:val="auto"/>
              </w:rPr>
            </w:pPr>
          </w:p>
        </w:tc>
        <w:tc>
          <w:tcPr>
            <w:tcW w:w="1473" w:type="dxa"/>
            <w:vAlign w:val="center"/>
          </w:tcPr>
          <w:p>
            <w:pPr>
              <w:pStyle w:val="15"/>
              <w:rPr>
                <w:color w:val="auto"/>
              </w:rPr>
            </w:pPr>
            <w:r>
              <w:rPr>
                <w:rFonts w:hint="eastAsia"/>
                <w:color w:val="auto"/>
              </w:rPr>
              <w:t>生产过程无组织粉尘</w:t>
            </w:r>
          </w:p>
        </w:tc>
        <w:tc>
          <w:tcPr>
            <w:tcW w:w="1473" w:type="dxa"/>
            <w:vAlign w:val="center"/>
          </w:tcPr>
          <w:p>
            <w:pPr>
              <w:pStyle w:val="15"/>
              <w:rPr>
                <w:color w:val="auto"/>
              </w:rPr>
            </w:pPr>
            <w:r>
              <w:rPr>
                <w:rFonts w:hint="eastAsia"/>
                <w:color w:val="auto"/>
              </w:rPr>
              <w:t>颗粒物</w:t>
            </w:r>
          </w:p>
        </w:tc>
        <w:tc>
          <w:tcPr>
            <w:tcW w:w="2112" w:type="dxa"/>
            <w:vAlign w:val="center"/>
          </w:tcPr>
          <w:p>
            <w:pPr>
              <w:pStyle w:val="15"/>
              <w:rPr>
                <w:color w:val="auto"/>
              </w:rPr>
            </w:pPr>
            <w:r>
              <w:rPr>
                <w:rFonts w:hint="eastAsia"/>
                <w:color w:val="auto"/>
              </w:rPr>
              <w:t>皮带输送密闭</w:t>
            </w:r>
            <w:r>
              <w:rPr>
                <w:rFonts w:hint="eastAsia"/>
                <w:color w:val="auto"/>
                <w:lang w:eastAsia="zh-CN"/>
              </w:rPr>
              <w:t>、</w:t>
            </w:r>
            <w:r>
              <w:rPr>
                <w:rFonts w:hint="eastAsia"/>
                <w:color w:val="auto"/>
              </w:rPr>
              <w:t>在大气环境中自然稀释扩散</w:t>
            </w:r>
          </w:p>
        </w:tc>
        <w:tc>
          <w:tcPr>
            <w:tcW w:w="2500" w:type="dxa"/>
            <w:vAlign w:val="center"/>
          </w:tcPr>
          <w:p>
            <w:pPr>
              <w:pStyle w:val="15"/>
              <w:rPr>
                <w:color w:val="auto"/>
              </w:rPr>
            </w:pPr>
            <w:r>
              <w:rPr>
                <w:rFonts w:hint="eastAsia"/>
                <w:color w:val="auto"/>
              </w:rPr>
              <w:t>《大气污染物综合排放标准》（GB16297-1996）表2无组织排放标准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97" w:type="dxa"/>
            <w:vAlign w:val="center"/>
          </w:tcPr>
          <w:p>
            <w:pPr>
              <w:pStyle w:val="15"/>
              <w:rPr>
                <w:color w:val="auto"/>
              </w:rPr>
            </w:pPr>
            <w:r>
              <w:rPr>
                <w:color w:val="auto"/>
              </w:rPr>
              <w:t>地表水环境</w:t>
            </w:r>
          </w:p>
        </w:tc>
        <w:tc>
          <w:tcPr>
            <w:tcW w:w="1473" w:type="dxa"/>
            <w:vAlign w:val="center"/>
          </w:tcPr>
          <w:p>
            <w:pPr>
              <w:pStyle w:val="15"/>
              <w:rPr>
                <w:color w:val="auto"/>
              </w:rPr>
            </w:pPr>
            <w:r>
              <w:rPr>
                <w:rFonts w:hint="eastAsia"/>
                <w:color w:val="auto"/>
              </w:rPr>
              <w:t>原料堆场渗滤液</w:t>
            </w:r>
          </w:p>
        </w:tc>
        <w:tc>
          <w:tcPr>
            <w:tcW w:w="1473" w:type="dxa"/>
            <w:vAlign w:val="center"/>
          </w:tcPr>
          <w:p>
            <w:pPr>
              <w:pStyle w:val="15"/>
              <w:rPr>
                <w:rFonts w:hint="eastAsia" w:eastAsia="宋体"/>
                <w:color w:val="auto"/>
                <w:lang w:val="en-US" w:eastAsia="zh-CN"/>
              </w:rPr>
            </w:pPr>
            <w:r>
              <w:rPr>
                <w:rFonts w:hint="eastAsia"/>
                <w:color w:val="auto"/>
              </w:rPr>
              <w:t>SS</w:t>
            </w:r>
            <w:r>
              <w:rPr>
                <w:rFonts w:hint="eastAsia"/>
                <w:color w:val="auto"/>
                <w:lang w:val="en-US" w:eastAsia="zh-CN"/>
              </w:rPr>
              <w:t>等</w:t>
            </w:r>
          </w:p>
        </w:tc>
        <w:tc>
          <w:tcPr>
            <w:tcW w:w="2112" w:type="dxa"/>
            <w:vAlign w:val="center"/>
          </w:tcPr>
          <w:p>
            <w:pPr>
              <w:pStyle w:val="15"/>
              <w:rPr>
                <w:color w:val="auto"/>
              </w:rPr>
            </w:pPr>
            <w:r>
              <w:rPr>
                <w:rFonts w:hint="eastAsia"/>
                <w:color w:val="auto"/>
              </w:rPr>
              <w:t>进入渗滤液水池，沉淀处理后回用于原料堆场洒水降尘。</w:t>
            </w:r>
          </w:p>
        </w:tc>
        <w:tc>
          <w:tcPr>
            <w:tcW w:w="2500" w:type="dxa"/>
            <w:vAlign w:val="center"/>
          </w:tcPr>
          <w:p>
            <w:pPr>
              <w:pStyle w:val="15"/>
              <w:rPr>
                <w:color w:val="auto"/>
              </w:rPr>
            </w:pPr>
            <w:r>
              <w:rPr>
                <w:rFonts w:hint="eastAsia"/>
                <w:color w:val="auto"/>
              </w:rPr>
              <w:t>全部回用，不外排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97" w:type="dxa"/>
            <w:vAlign w:val="center"/>
          </w:tcPr>
          <w:p>
            <w:pPr>
              <w:pStyle w:val="15"/>
              <w:rPr>
                <w:color w:val="auto"/>
              </w:rPr>
            </w:pPr>
            <w:r>
              <w:rPr>
                <w:color w:val="auto"/>
              </w:rPr>
              <w:t>声环境</w:t>
            </w:r>
          </w:p>
        </w:tc>
        <w:tc>
          <w:tcPr>
            <w:tcW w:w="1473" w:type="dxa"/>
            <w:vAlign w:val="center"/>
          </w:tcPr>
          <w:p>
            <w:pPr>
              <w:pStyle w:val="15"/>
              <w:rPr>
                <w:color w:val="auto"/>
              </w:rPr>
            </w:pPr>
            <w:r>
              <w:rPr>
                <w:color w:val="auto"/>
              </w:rPr>
              <w:t>设备噪声</w:t>
            </w:r>
          </w:p>
        </w:tc>
        <w:tc>
          <w:tcPr>
            <w:tcW w:w="1473" w:type="dxa"/>
            <w:vAlign w:val="center"/>
          </w:tcPr>
          <w:p>
            <w:pPr>
              <w:pStyle w:val="15"/>
              <w:rPr>
                <w:color w:val="auto"/>
              </w:rPr>
            </w:pPr>
            <w:r>
              <w:rPr>
                <w:color w:val="auto"/>
              </w:rPr>
              <w:t>噪声</w:t>
            </w:r>
          </w:p>
        </w:tc>
        <w:tc>
          <w:tcPr>
            <w:tcW w:w="2112" w:type="dxa"/>
            <w:vAlign w:val="center"/>
          </w:tcPr>
          <w:p>
            <w:pPr>
              <w:pStyle w:val="15"/>
              <w:rPr>
                <w:color w:val="auto"/>
              </w:rPr>
            </w:pPr>
            <w:r>
              <w:rPr>
                <w:rFonts w:hint="eastAsia"/>
                <w:color w:val="auto"/>
              </w:rPr>
              <w:t>基础减震、厂房隔声</w:t>
            </w:r>
          </w:p>
        </w:tc>
        <w:tc>
          <w:tcPr>
            <w:tcW w:w="2500" w:type="dxa"/>
            <w:vAlign w:val="center"/>
          </w:tcPr>
          <w:p>
            <w:pPr>
              <w:pStyle w:val="15"/>
              <w:rPr>
                <w:color w:val="auto"/>
              </w:rPr>
            </w:pPr>
            <w:r>
              <w:rPr>
                <w:color w:val="auto"/>
              </w:rPr>
              <w:t>《工业企业厂界环境噪声排放标准》（GB12348-2008）</w:t>
            </w:r>
            <w:r>
              <w:rPr>
                <w:rFonts w:hint="eastAsia"/>
                <w:color w:val="auto"/>
              </w:rPr>
              <w:t>3</w:t>
            </w:r>
            <w:r>
              <w:rPr>
                <w:color w:val="auto"/>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97" w:type="dxa"/>
            <w:vAlign w:val="center"/>
          </w:tcPr>
          <w:p>
            <w:pPr>
              <w:pStyle w:val="15"/>
              <w:rPr>
                <w:color w:val="auto"/>
              </w:rPr>
            </w:pPr>
            <w:r>
              <w:rPr>
                <w:color w:val="auto"/>
              </w:rPr>
              <w:t>电磁辐射</w:t>
            </w:r>
          </w:p>
        </w:tc>
        <w:tc>
          <w:tcPr>
            <w:tcW w:w="1473" w:type="dxa"/>
            <w:vAlign w:val="center"/>
          </w:tcPr>
          <w:p>
            <w:pPr>
              <w:pStyle w:val="15"/>
              <w:rPr>
                <w:color w:val="auto"/>
              </w:rPr>
            </w:pPr>
            <w:r>
              <w:rPr>
                <w:color w:val="auto"/>
              </w:rPr>
              <w:t>/</w:t>
            </w:r>
          </w:p>
        </w:tc>
        <w:tc>
          <w:tcPr>
            <w:tcW w:w="1473" w:type="dxa"/>
            <w:vAlign w:val="center"/>
          </w:tcPr>
          <w:p>
            <w:pPr>
              <w:pStyle w:val="15"/>
              <w:rPr>
                <w:color w:val="auto"/>
              </w:rPr>
            </w:pPr>
            <w:r>
              <w:rPr>
                <w:color w:val="auto"/>
              </w:rPr>
              <w:t>/</w:t>
            </w:r>
          </w:p>
        </w:tc>
        <w:tc>
          <w:tcPr>
            <w:tcW w:w="2112" w:type="dxa"/>
            <w:vAlign w:val="center"/>
          </w:tcPr>
          <w:p>
            <w:pPr>
              <w:pStyle w:val="15"/>
              <w:rPr>
                <w:color w:val="auto"/>
              </w:rPr>
            </w:pPr>
            <w:r>
              <w:rPr>
                <w:color w:val="auto"/>
              </w:rPr>
              <w:t>/</w:t>
            </w:r>
          </w:p>
        </w:tc>
        <w:tc>
          <w:tcPr>
            <w:tcW w:w="2500" w:type="dxa"/>
            <w:vAlign w:val="center"/>
          </w:tcPr>
          <w:p>
            <w:pPr>
              <w:pStyle w:val="15"/>
              <w:rPr>
                <w:color w:val="auto"/>
              </w:rPr>
            </w:pPr>
            <w:r>
              <w:rPr>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497" w:type="dxa"/>
            <w:vAlign w:val="center"/>
          </w:tcPr>
          <w:p>
            <w:pPr>
              <w:pStyle w:val="15"/>
              <w:rPr>
                <w:color w:val="auto"/>
              </w:rPr>
            </w:pPr>
            <w:r>
              <w:rPr>
                <w:color w:val="auto"/>
              </w:rPr>
              <w:t>固体废物</w:t>
            </w:r>
          </w:p>
        </w:tc>
        <w:tc>
          <w:tcPr>
            <w:tcW w:w="7558" w:type="dxa"/>
            <w:gridSpan w:val="4"/>
            <w:vAlign w:val="center"/>
          </w:tcPr>
          <w:p>
            <w:pPr>
              <w:pStyle w:val="15"/>
              <w:jc w:val="left"/>
              <w:rPr>
                <w:color w:val="auto"/>
              </w:rPr>
            </w:pPr>
            <w:r>
              <w:rPr>
                <w:rFonts w:hint="eastAsia"/>
                <w:color w:val="auto"/>
              </w:rPr>
              <w:t>改建项目</w:t>
            </w:r>
            <w:r>
              <w:rPr>
                <w:rFonts w:hint="eastAsia"/>
                <w:color w:val="auto"/>
                <w:lang w:val="en-US" w:eastAsia="zh-CN"/>
              </w:rPr>
              <w:t>不新增</w:t>
            </w:r>
            <w:r>
              <w:rPr>
                <w:rFonts w:hint="eastAsia"/>
                <w:color w:val="auto"/>
              </w:rPr>
              <w:t>一般固体废物和危险废物</w:t>
            </w:r>
            <w:r>
              <w:rPr>
                <w:rFonts w:hint="eastAsia"/>
                <w:color w:val="auto"/>
                <w:lang w:val="en-US" w:eastAsia="zh-CN"/>
              </w:rPr>
              <w:t>种类；</w:t>
            </w:r>
            <w:r>
              <w:rPr>
                <w:rFonts w:hint="eastAsia"/>
                <w:color w:val="auto"/>
              </w:rPr>
              <w:t>项目不新增劳动定员，故不新增生活垃圾。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497" w:type="dxa"/>
            <w:vAlign w:val="center"/>
          </w:tcPr>
          <w:p>
            <w:pPr>
              <w:pStyle w:val="15"/>
              <w:rPr>
                <w:color w:val="auto"/>
              </w:rPr>
            </w:pPr>
            <w:r>
              <w:rPr>
                <w:color w:val="auto"/>
              </w:rPr>
              <w:t>土壤及地下水污染防治措施</w:t>
            </w:r>
          </w:p>
        </w:tc>
        <w:tc>
          <w:tcPr>
            <w:tcW w:w="7558" w:type="dxa"/>
            <w:gridSpan w:val="4"/>
            <w:vAlign w:val="center"/>
          </w:tcPr>
          <w:p>
            <w:pPr>
              <w:pStyle w:val="15"/>
              <w:rPr>
                <w:color w:val="auto"/>
              </w:rPr>
            </w:pPr>
            <w:r>
              <w:rPr>
                <w:rFonts w:hint="eastAsia"/>
                <w:color w:val="auto"/>
              </w:rPr>
              <w:t>含磷固废原料堆场进行分区，参照《一般工业固体废物贮存和填埋污染控制标准》（GB18599-2020），中水除杂废渣、磷石膏、黄磷渣、富钙镁磷矿原料临时储存区需按照该标准中I类场要求进行建设，硫酸亚铁除杂废渣原料临时储存区需按照该标准中II类场要求进行建设。</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97" w:type="dxa"/>
            <w:vAlign w:val="center"/>
          </w:tcPr>
          <w:p>
            <w:pPr>
              <w:pStyle w:val="15"/>
              <w:rPr>
                <w:color w:val="auto"/>
              </w:rPr>
            </w:pPr>
            <w:r>
              <w:rPr>
                <w:color w:val="auto"/>
              </w:rPr>
              <w:t>生态保护措施</w:t>
            </w:r>
          </w:p>
        </w:tc>
        <w:tc>
          <w:tcPr>
            <w:tcW w:w="7558" w:type="dxa"/>
            <w:gridSpan w:val="4"/>
            <w:vAlign w:val="center"/>
          </w:tcPr>
          <w:p>
            <w:pPr>
              <w:pStyle w:val="15"/>
              <w:rPr>
                <w:color w:val="auto"/>
              </w:rPr>
            </w:pP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497" w:type="dxa"/>
            <w:vAlign w:val="center"/>
          </w:tcPr>
          <w:p>
            <w:pPr>
              <w:pStyle w:val="15"/>
              <w:rPr>
                <w:color w:val="auto"/>
              </w:rPr>
            </w:pPr>
            <w:r>
              <w:rPr>
                <w:color w:val="auto"/>
              </w:rPr>
              <w:t>环境风险</w:t>
            </w:r>
          </w:p>
          <w:p>
            <w:pPr>
              <w:pStyle w:val="15"/>
              <w:rPr>
                <w:color w:val="auto"/>
              </w:rPr>
            </w:pPr>
            <w:r>
              <w:rPr>
                <w:color w:val="auto"/>
              </w:rPr>
              <w:t>防范措施</w:t>
            </w:r>
          </w:p>
        </w:tc>
        <w:tc>
          <w:tcPr>
            <w:tcW w:w="7558" w:type="dxa"/>
            <w:gridSpan w:val="4"/>
            <w:vAlign w:val="center"/>
          </w:tcPr>
          <w:p>
            <w:pPr>
              <w:pStyle w:val="15"/>
              <w:rPr>
                <w:color w:val="auto"/>
              </w:rPr>
            </w:pPr>
            <w:r>
              <w:rPr>
                <w:rFonts w:hint="eastAsia"/>
                <w:color w:val="auto"/>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497" w:type="dxa"/>
            <w:vAlign w:val="center"/>
          </w:tcPr>
          <w:p>
            <w:pPr>
              <w:pStyle w:val="15"/>
              <w:rPr>
                <w:color w:val="auto"/>
              </w:rPr>
            </w:pPr>
            <w:r>
              <w:rPr>
                <w:color w:val="auto"/>
              </w:rPr>
              <w:t>其他环境</w:t>
            </w:r>
          </w:p>
          <w:p>
            <w:pPr>
              <w:pStyle w:val="15"/>
              <w:rPr>
                <w:color w:val="auto"/>
              </w:rPr>
            </w:pPr>
            <w:r>
              <w:rPr>
                <w:color w:val="auto"/>
              </w:rPr>
              <w:t>管理要求</w:t>
            </w:r>
          </w:p>
        </w:tc>
        <w:tc>
          <w:tcPr>
            <w:tcW w:w="7558" w:type="dxa"/>
            <w:gridSpan w:val="4"/>
            <w:vAlign w:val="center"/>
          </w:tcPr>
          <w:p>
            <w:pPr>
              <w:pStyle w:val="15"/>
              <w:rPr>
                <w:rFonts w:hint="eastAsia" w:eastAsia="宋体"/>
                <w:color w:val="auto"/>
                <w:lang w:val="en-US" w:eastAsia="zh-CN"/>
              </w:rPr>
            </w:pPr>
            <w:r>
              <w:rPr>
                <w:rFonts w:hint="eastAsia"/>
                <w:color w:val="auto"/>
                <w:lang w:val="en-US" w:eastAsia="zh-CN"/>
              </w:rPr>
              <w:t>按照相关要求开展突发环境事件</w:t>
            </w:r>
            <w:r>
              <w:rPr>
                <w:rFonts w:hint="eastAsia"/>
                <w:color w:val="auto"/>
              </w:rPr>
              <w:t>应急预案、排污许可</w:t>
            </w:r>
            <w:r>
              <w:rPr>
                <w:rFonts w:hint="eastAsia"/>
                <w:color w:val="auto"/>
                <w:lang w:val="en-US" w:eastAsia="zh-CN"/>
              </w:rPr>
              <w:t>变更</w:t>
            </w:r>
            <w:r>
              <w:rPr>
                <w:rFonts w:hint="eastAsia"/>
                <w:color w:val="auto"/>
              </w:rPr>
              <w:t>、</w:t>
            </w:r>
            <w:r>
              <w:rPr>
                <w:rFonts w:hint="eastAsia"/>
                <w:color w:val="auto"/>
                <w:lang w:val="en-US" w:eastAsia="zh-CN"/>
              </w:rPr>
              <w:t>竣工环保验收</w:t>
            </w:r>
            <w:r>
              <w:rPr>
                <w:rFonts w:hint="eastAsia"/>
                <w:color w:val="auto"/>
              </w:rPr>
              <w:t>、自行监测</w:t>
            </w:r>
            <w:r>
              <w:rPr>
                <w:rFonts w:hint="eastAsia"/>
                <w:color w:val="auto"/>
                <w:lang w:val="en-US" w:eastAsia="zh-CN"/>
              </w:rPr>
              <w:t>等。</w:t>
            </w:r>
          </w:p>
        </w:tc>
      </w:tr>
    </w:tbl>
    <w:p>
      <w:pPr>
        <w:ind w:firstLine="0" w:firstLineChars="0"/>
        <w:jc w:val="left"/>
        <w:outlineLvl w:val="0"/>
        <w:rPr>
          <w:rStyle w:val="16"/>
          <w:color w:val="auto"/>
        </w:rPr>
      </w:pPr>
      <w:r>
        <w:rPr>
          <w:snapToGrid w:val="0"/>
          <w:color w:val="auto"/>
        </w:rPr>
        <w:br w:type="page"/>
      </w:r>
      <w:bookmarkStart w:id="12" w:name="_Toc31737"/>
      <w:r>
        <w:rPr>
          <w:rStyle w:val="16"/>
          <w:color w:val="auto"/>
        </w:rPr>
        <w:t>六、结论</w:t>
      </w:r>
      <w:bookmarkEnd w:id="12"/>
    </w:p>
    <w:tbl>
      <w:tblPr>
        <w:tblStyle w:val="10"/>
        <w:tblW w:w="886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86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1991" w:hRule="atLeast"/>
          <w:jc w:val="center"/>
        </w:trPr>
        <w:tc>
          <w:tcPr>
            <w:tcW w:w="8865" w:type="dxa"/>
          </w:tcPr>
          <w:p>
            <w:pPr>
              <w:ind w:firstLine="480"/>
              <w:rPr>
                <w:color w:val="auto"/>
              </w:rPr>
            </w:pPr>
            <w:r>
              <w:rPr>
                <w:rFonts w:hint="eastAsia"/>
                <w:color w:val="auto"/>
              </w:rPr>
              <w:t>本项目为</w:t>
            </w:r>
            <w:r>
              <w:rPr>
                <w:rFonts w:hint="eastAsia"/>
                <w:color w:val="auto"/>
                <w:lang w:eastAsia="zh-CN"/>
              </w:rPr>
              <w:t>一般工业固废综合利用项目</w:t>
            </w:r>
            <w:r>
              <w:rPr>
                <w:rFonts w:hint="eastAsia"/>
                <w:color w:val="auto"/>
              </w:rPr>
              <w:t>，项目建设符合国家产业政策及相关规划，选址可行。建设项目污染物的排放量较小，在按照环评要求采取了污染防治措施及管理措施后，废气、废水、噪声对周围环境的影响较小，固体废物合理处置，项目的运营不会改变周围环境的功能，对环境的影响可以接受。 建设项目在认真落实了本报告表提出的各项环保对策措施的条件下，加强环境管理，保证污染物达标排放，从环境保护的角度分析，建设项目环境影响可行。</w:t>
            </w:r>
          </w:p>
          <w:p>
            <w:pPr>
              <w:ind w:firstLine="480"/>
              <w:rPr>
                <w:color w:val="auto"/>
              </w:rPr>
            </w:pPr>
          </w:p>
        </w:tc>
      </w:tr>
    </w:tbl>
    <w:p>
      <w:pPr>
        <w:ind w:firstLine="640"/>
        <w:rPr>
          <w:rFonts w:eastAsia="黑体"/>
          <w:snapToGrid w:val="0"/>
          <w:color w:val="auto"/>
          <w:sz w:val="32"/>
          <w:szCs w:val="32"/>
        </w:rPr>
        <w:sectPr>
          <w:footerReference r:id="rId10" w:type="default"/>
          <w:pgSz w:w="11906" w:h="16838"/>
          <w:pgMar w:top="1701" w:right="1531" w:bottom="1701" w:left="1531" w:header="851" w:footer="851" w:gutter="0"/>
          <w:cols w:space="720" w:num="1"/>
          <w:docGrid w:linePitch="312" w:charSpace="0"/>
        </w:sectPr>
      </w:pPr>
    </w:p>
    <w:p>
      <w:pPr>
        <w:adjustRightInd w:val="0"/>
        <w:snapToGrid w:val="0"/>
        <w:ind w:firstLine="0" w:firstLineChars="0"/>
        <w:outlineLvl w:val="0"/>
        <w:rPr>
          <w:rFonts w:eastAsia="黑体"/>
          <w:snapToGrid w:val="0"/>
          <w:color w:val="auto"/>
          <w:sz w:val="32"/>
          <w:szCs w:val="32"/>
        </w:rPr>
      </w:pPr>
      <w:bookmarkStart w:id="13" w:name="_Toc24138"/>
      <w:r>
        <w:rPr>
          <w:rFonts w:eastAsia="黑体"/>
          <w:snapToGrid w:val="0"/>
          <w:color w:val="auto"/>
          <w:sz w:val="32"/>
          <w:szCs w:val="32"/>
        </w:rPr>
        <w:t>附表</w:t>
      </w:r>
      <w:bookmarkEnd w:id="13"/>
    </w:p>
    <w:p>
      <w:pPr>
        <w:adjustRightInd w:val="0"/>
        <w:snapToGrid w:val="0"/>
        <w:spacing w:line="552" w:lineRule="auto"/>
        <w:ind w:firstLine="0" w:firstLineChars="0"/>
        <w:jc w:val="center"/>
        <w:outlineLvl w:val="0"/>
        <w:rPr>
          <w:rFonts w:eastAsia="方正小标宋_GBK"/>
          <w:snapToGrid w:val="0"/>
          <w:color w:val="auto"/>
          <w:sz w:val="38"/>
          <w:szCs w:val="38"/>
        </w:rPr>
      </w:pPr>
      <w:bookmarkStart w:id="14" w:name="_Toc1117"/>
      <w:r>
        <w:rPr>
          <w:rFonts w:hint="eastAsia" w:ascii="方正小标宋_GBK" w:hAnsi="方正小标宋_GBK" w:eastAsia="方正小标宋_GBK" w:cs="方正小标宋_GBK"/>
          <w:b/>
          <w:bCs/>
          <w:snapToGrid w:val="0"/>
          <w:color w:val="auto"/>
          <w:sz w:val="38"/>
          <w:szCs w:val="38"/>
        </w:rPr>
        <w:t>建设项目污染物排放量汇总表</w:t>
      </w:r>
      <w:bookmarkEnd w:id="14"/>
    </w:p>
    <w:tbl>
      <w:tblPr>
        <w:tblStyle w:val="10"/>
        <w:tblW w:w="13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792"/>
        <w:gridCol w:w="1535"/>
        <w:gridCol w:w="1218"/>
        <w:gridCol w:w="1644"/>
        <w:gridCol w:w="1503"/>
        <w:gridCol w:w="1705"/>
        <w:gridCol w:w="1714"/>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207" w:type="dxa"/>
            <w:tcBorders>
              <w:tl2br w:val="single" w:color="auto" w:sz="4" w:space="0"/>
            </w:tcBorders>
            <w:tcMar>
              <w:left w:w="28" w:type="dxa"/>
              <w:right w:w="28" w:type="dxa"/>
            </w:tcMar>
            <w:vAlign w:val="center"/>
          </w:tcPr>
          <w:p>
            <w:pPr>
              <w:pStyle w:val="15"/>
              <w:jc w:val="right"/>
              <w:rPr>
                <w:rFonts w:eastAsia="黑体"/>
                <w:color w:val="auto"/>
              </w:rPr>
            </w:pPr>
            <w:r>
              <w:rPr>
                <w:rFonts w:eastAsia="黑体"/>
                <w:color w:val="auto"/>
              </w:rPr>
              <w:t>项目</w:t>
            </w:r>
          </w:p>
          <w:p>
            <w:pPr>
              <w:pStyle w:val="15"/>
              <w:rPr>
                <w:rFonts w:eastAsia="黑体"/>
                <w:color w:val="auto"/>
              </w:rPr>
            </w:pPr>
          </w:p>
          <w:p>
            <w:pPr>
              <w:pStyle w:val="15"/>
              <w:jc w:val="left"/>
              <w:rPr>
                <w:rFonts w:eastAsia="黑体"/>
                <w:color w:val="auto"/>
              </w:rPr>
            </w:pPr>
            <w:r>
              <w:rPr>
                <w:rFonts w:eastAsia="黑体"/>
                <w:color w:val="auto"/>
              </w:rPr>
              <w:t>分类</w:t>
            </w:r>
          </w:p>
        </w:tc>
        <w:tc>
          <w:tcPr>
            <w:tcW w:w="1792" w:type="dxa"/>
            <w:tcMar>
              <w:left w:w="28" w:type="dxa"/>
              <w:right w:w="28" w:type="dxa"/>
            </w:tcMar>
            <w:vAlign w:val="center"/>
          </w:tcPr>
          <w:p>
            <w:pPr>
              <w:pStyle w:val="15"/>
              <w:rPr>
                <w:rFonts w:eastAsia="黑体"/>
                <w:color w:val="auto"/>
              </w:rPr>
            </w:pPr>
            <w:r>
              <w:rPr>
                <w:rFonts w:eastAsia="黑体"/>
                <w:color w:val="auto"/>
              </w:rPr>
              <w:t>污染物名称</w:t>
            </w:r>
          </w:p>
        </w:tc>
        <w:tc>
          <w:tcPr>
            <w:tcW w:w="1535" w:type="dxa"/>
            <w:tcMar>
              <w:left w:w="28" w:type="dxa"/>
              <w:right w:w="28" w:type="dxa"/>
            </w:tcMar>
            <w:vAlign w:val="center"/>
          </w:tcPr>
          <w:p>
            <w:pPr>
              <w:pStyle w:val="15"/>
              <w:rPr>
                <w:rFonts w:eastAsia="黑体"/>
                <w:color w:val="auto"/>
              </w:rPr>
            </w:pPr>
            <w:r>
              <w:rPr>
                <w:rFonts w:eastAsia="黑体"/>
                <w:color w:val="auto"/>
              </w:rPr>
              <w:t>现有工程</w:t>
            </w:r>
          </w:p>
          <w:p>
            <w:pPr>
              <w:pStyle w:val="15"/>
              <w:rPr>
                <w:rFonts w:eastAsia="黑体"/>
                <w:color w:val="auto"/>
              </w:rPr>
            </w:pPr>
            <w:r>
              <w:rPr>
                <w:rFonts w:eastAsia="黑体"/>
                <w:color w:val="auto"/>
              </w:rPr>
              <w:t>排放量（固体废物产生量）</w:t>
            </w:r>
            <w:r>
              <w:rPr>
                <w:rFonts w:eastAsia="黑体"/>
                <w:color w:val="auto"/>
              </w:rPr>
              <w:fldChar w:fldCharType="begin"/>
            </w:r>
            <w:r>
              <w:rPr>
                <w:rFonts w:eastAsia="黑体"/>
                <w:color w:val="auto"/>
              </w:rPr>
              <w:instrText xml:space="preserve"> = 1 \* GB3 \* MERGEFORMAT </w:instrText>
            </w:r>
            <w:r>
              <w:rPr>
                <w:rFonts w:eastAsia="黑体"/>
                <w:color w:val="auto"/>
              </w:rPr>
              <w:fldChar w:fldCharType="separate"/>
            </w:r>
            <w:r>
              <w:rPr>
                <w:rFonts w:eastAsia="黑体"/>
                <w:color w:val="auto"/>
              </w:rPr>
              <w:t>①</w:t>
            </w:r>
            <w:r>
              <w:rPr>
                <w:rFonts w:eastAsia="黑体"/>
                <w:color w:val="auto"/>
              </w:rPr>
              <w:fldChar w:fldCharType="end"/>
            </w:r>
          </w:p>
        </w:tc>
        <w:tc>
          <w:tcPr>
            <w:tcW w:w="1218" w:type="dxa"/>
            <w:tcMar>
              <w:left w:w="28" w:type="dxa"/>
              <w:right w:w="28" w:type="dxa"/>
            </w:tcMar>
            <w:vAlign w:val="center"/>
          </w:tcPr>
          <w:p>
            <w:pPr>
              <w:pStyle w:val="15"/>
              <w:rPr>
                <w:rFonts w:eastAsia="黑体"/>
                <w:color w:val="auto"/>
              </w:rPr>
            </w:pPr>
            <w:r>
              <w:rPr>
                <w:rFonts w:eastAsia="黑体"/>
                <w:color w:val="auto"/>
              </w:rPr>
              <w:t>现有工程</w:t>
            </w:r>
          </w:p>
          <w:p>
            <w:pPr>
              <w:pStyle w:val="15"/>
              <w:rPr>
                <w:rFonts w:eastAsia="黑体"/>
                <w:color w:val="auto"/>
              </w:rPr>
            </w:pPr>
            <w:r>
              <w:rPr>
                <w:rFonts w:eastAsia="黑体"/>
                <w:color w:val="auto"/>
              </w:rPr>
              <w:t>许可排放量</w:t>
            </w:r>
          </w:p>
          <w:p>
            <w:pPr>
              <w:pStyle w:val="15"/>
              <w:rPr>
                <w:rFonts w:eastAsia="黑体"/>
                <w:color w:val="auto"/>
              </w:rPr>
            </w:pPr>
            <w:r>
              <w:rPr>
                <w:rFonts w:eastAsia="黑体"/>
                <w:color w:val="auto"/>
              </w:rPr>
              <w:fldChar w:fldCharType="begin"/>
            </w:r>
            <w:r>
              <w:rPr>
                <w:rFonts w:eastAsia="黑体"/>
                <w:color w:val="auto"/>
              </w:rPr>
              <w:instrText xml:space="preserve"> = 2 \* GB3 \* MERGEFORMAT </w:instrText>
            </w:r>
            <w:r>
              <w:rPr>
                <w:rFonts w:eastAsia="黑体"/>
                <w:color w:val="auto"/>
              </w:rPr>
              <w:fldChar w:fldCharType="separate"/>
            </w:r>
            <w:r>
              <w:rPr>
                <w:rFonts w:eastAsia="黑体"/>
                <w:color w:val="auto"/>
              </w:rPr>
              <w:t>②</w:t>
            </w:r>
            <w:r>
              <w:rPr>
                <w:rFonts w:eastAsia="黑体"/>
                <w:color w:val="auto"/>
              </w:rPr>
              <w:fldChar w:fldCharType="end"/>
            </w:r>
          </w:p>
        </w:tc>
        <w:tc>
          <w:tcPr>
            <w:tcW w:w="1644" w:type="dxa"/>
            <w:tcMar>
              <w:left w:w="28" w:type="dxa"/>
              <w:right w:w="28" w:type="dxa"/>
            </w:tcMar>
            <w:vAlign w:val="center"/>
          </w:tcPr>
          <w:p>
            <w:pPr>
              <w:pStyle w:val="15"/>
              <w:rPr>
                <w:rFonts w:eastAsia="黑体"/>
                <w:color w:val="auto"/>
              </w:rPr>
            </w:pPr>
            <w:r>
              <w:rPr>
                <w:rFonts w:eastAsia="黑体"/>
                <w:color w:val="auto"/>
              </w:rPr>
              <w:t>在建工程</w:t>
            </w:r>
          </w:p>
          <w:p>
            <w:pPr>
              <w:pStyle w:val="15"/>
              <w:rPr>
                <w:rFonts w:eastAsia="黑体"/>
                <w:color w:val="auto"/>
              </w:rPr>
            </w:pPr>
            <w:r>
              <w:rPr>
                <w:rFonts w:eastAsia="黑体"/>
                <w:color w:val="auto"/>
              </w:rPr>
              <w:t>排放量（固体废物产生量）</w:t>
            </w:r>
            <w:r>
              <w:rPr>
                <w:rFonts w:eastAsia="黑体"/>
                <w:color w:val="auto"/>
              </w:rPr>
              <w:fldChar w:fldCharType="begin"/>
            </w:r>
            <w:r>
              <w:rPr>
                <w:rFonts w:eastAsia="黑体"/>
                <w:color w:val="auto"/>
              </w:rPr>
              <w:instrText xml:space="preserve"> = 3 \* GB3 \* MERGEFORMAT </w:instrText>
            </w:r>
            <w:r>
              <w:rPr>
                <w:rFonts w:eastAsia="黑体"/>
                <w:color w:val="auto"/>
              </w:rPr>
              <w:fldChar w:fldCharType="separate"/>
            </w:r>
            <w:r>
              <w:rPr>
                <w:rFonts w:eastAsia="黑体"/>
                <w:color w:val="auto"/>
              </w:rPr>
              <w:t>③</w:t>
            </w:r>
            <w:r>
              <w:rPr>
                <w:rFonts w:eastAsia="黑体"/>
                <w:color w:val="auto"/>
              </w:rPr>
              <w:fldChar w:fldCharType="end"/>
            </w:r>
          </w:p>
        </w:tc>
        <w:tc>
          <w:tcPr>
            <w:tcW w:w="1503" w:type="dxa"/>
            <w:tcMar>
              <w:left w:w="28" w:type="dxa"/>
              <w:right w:w="28" w:type="dxa"/>
            </w:tcMar>
            <w:vAlign w:val="center"/>
          </w:tcPr>
          <w:p>
            <w:pPr>
              <w:pStyle w:val="15"/>
              <w:rPr>
                <w:rFonts w:eastAsia="黑体"/>
                <w:color w:val="auto"/>
              </w:rPr>
            </w:pPr>
            <w:r>
              <w:rPr>
                <w:rFonts w:eastAsia="黑体"/>
                <w:color w:val="auto"/>
              </w:rPr>
              <w:t>本项目</w:t>
            </w:r>
          </w:p>
          <w:p>
            <w:pPr>
              <w:pStyle w:val="15"/>
              <w:rPr>
                <w:rFonts w:eastAsia="黑体"/>
                <w:color w:val="auto"/>
              </w:rPr>
            </w:pPr>
            <w:r>
              <w:rPr>
                <w:rFonts w:eastAsia="黑体"/>
                <w:color w:val="auto"/>
              </w:rPr>
              <w:t>排放量（固体废物产生量）</w:t>
            </w:r>
            <w:r>
              <w:rPr>
                <w:rFonts w:eastAsia="黑体"/>
                <w:color w:val="auto"/>
              </w:rPr>
              <w:fldChar w:fldCharType="begin"/>
            </w:r>
            <w:r>
              <w:rPr>
                <w:rFonts w:eastAsia="黑体"/>
                <w:color w:val="auto"/>
              </w:rPr>
              <w:instrText xml:space="preserve"> = 4 \* GB3 \* MERGEFORMAT </w:instrText>
            </w:r>
            <w:r>
              <w:rPr>
                <w:rFonts w:eastAsia="黑体"/>
                <w:color w:val="auto"/>
              </w:rPr>
              <w:fldChar w:fldCharType="separate"/>
            </w:r>
            <w:r>
              <w:rPr>
                <w:rFonts w:eastAsia="黑体"/>
                <w:color w:val="auto"/>
              </w:rPr>
              <w:t>④</w:t>
            </w:r>
            <w:r>
              <w:rPr>
                <w:rFonts w:eastAsia="黑体"/>
                <w:color w:val="auto"/>
              </w:rPr>
              <w:fldChar w:fldCharType="end"/>
            </w:r>
          </w:p>
        </w:tc>
        <w:tc>
          <w:tcPr>
            <w:tcW w:w="1705" w:type="dxa"/>
            <w:tcMar>
              <w:left w:w="28" w:type="dxa"/>
              <w:right w:w="28" w:type="dxa"/>
            </w:tcMar>
            <w:vAlign w:val="center"/>
          </w:tcPr>
          <w:p>
            <w:pPr>
              <w:pStyle w:val="15"/>
              <w:rPr>
                <w:rFonts w:eastAsia="黑体"/>
                <w:color w:val="auto"/>
              </w:rPr>
            </w:pPr>
            <w:r>
              <w:rPr>
                <w:rFonts w:eastAsia="黑体"/>
                <w:color w:val="auto"/>
              </w:rPr>
              <w:t>以新带老削减量</w:t>
            </w:r>
          </w:p>
          <w:p>
            <w:pPr>
              <w:pStyle w:val="15"/>
              <w:rPr>
                <w:rFonts w:eastAsia="黑体"/>
                <w:color w:val="auto"/>
              </w:rPr>
            </w:pPr>
            <w:r>
              <w:rPr>
                <w:rFonts w:eastAsia="黑体"/>
                <w:color w:val="auto"/>
              </w:rPr>
              <w:t>（新建项目不填）</w:t>
            </w:r>
            <w:r>
              <w:rPr>
                <w:rFonts w:eastAsia="黑体"/>
                <w:color w:val="auto"/>
              </w:rPr>
              <w:fldChar w:fldCharType="begin"/>
            </w:r>
            <w:r>
              <w:rPr>
                <w:rFonts w:eastAsia="黑体"/>
                <w:color w:val="auto"/>
              </w:rPr>
              <w:instrText xml:space="preserve"> = 5 \* GB3 \* MERGEFORMAT </w:instrText>
            </w:r>
            <w:r>
              <w:rPr>
                <w:rFonts w:eastAsia="黑体"/>
                <w:color w:val="auto"/>
              </w:rPr>
              <w:fldChar w:fldCharType="separate"/>
            </w:r>
            <w:r>
              <w:rPr>
                <w:rFonts w:eastAsia="黑体"/>
                <w:color w:val="auto"/>
              </w:rPr>
              <w:t>⑤</w:t>
            </w:r>
            <w:r>
              <w:rPr>
                <w:rFonts w:eastAsia="黑体"/>
                <w:color w:val="auto"/>
              </w:rPr>
              <w:fldChar w:fldCharType="end"/>
            </w:r>
          </w:p>
        </w:tc>
        <w:tc>
          <w:tcPr>
            <w:tcW w:w="1714" w:type="dxa"/>
            <w:tcMar>
              <w:left w:w="28" w:type="dxa"/>
              <w:right w:w="28" w:type="dxa"/>
            </w:tcMar>
            <w:vAlign w:val="center"/>
          </w:tcPr>
          <w:p>
            <w:pPr>
              <w:pStyle w:val="15"/>
              <w:rPr>
                <w:rFonts w:eastAsia="黑体"/>
                <w:color w:val="auto"/>
              </w:rPr>
            </w:pPr>
            <w:r>
              <w:rPr>
                <w:rFonts w:eastAsia="黑体"/>
                <w:color w:val="auto"/>
              </w:rPr>
              <w:t>本项目建成后</w:t>
            </w:r>
          </w:p>
          <w:p>
            <w:pPr>
              <w:pStyle w:val="15"/>
              <w:rPr>
                <w:rFonts w:eastAsia="黑体"/>
                <w:color w:val="auto"/>
              </w:rPr>
            </w:pPr>
            <w:r>
              <w:rPr>
                <w:rFonts w:eastAsia="黑体"/>
                <w:color w:val="auto"/>
              </w:rPr>
              <w:t>全厂排放量（固体废物产生量）</w:t>
            </w:r>
            <w:r>
              <w:rPr>
                <w:rFonts w:eastAsia="黑体"/>
                <w:color w:val="auto"/>
              </w:rPr>
              <w:fldChar w:fldCharType="begin"/>
            </w:r>
            <w:r>
              <w:rPr>
                <w:rFonts w:eastAsia="黑体"/>
                <w:color w:val="auto"/>
              </w:rPr>
              <w:instrText xml:space="preserve"> = 6 \* GB3 \* MERGEFORMAT </w:instrText>
            </w:r>
            <w:r>
              <w:rPr>
                <w:rFonts w:eastAsia="黑体"/>
                <w:color w:val="auto"/>
              </w:rPr>
              <w:fldChar w:fldCharType="separate"/>
            </w:r>
            <w:r>
              <w:rPr>
                <w:rFonts w:eastAsia="黑体"/>
                <w:color w:val="auto"/>
              </w:rPr>
              <w:t>⑥</w:t>
            </w:r>
            <w:r>
              <w:rPr>
                <w:rFonts w:eastAsia="黑体"/>
                <w:color w:val="auto"/>
              </w:rPr>
              <w:fldChar w:fldCharType="end"/>
            </w:r>
          </w:p>
        </w:tc>
        <w:tc>
          <w:tcPr>
            <w:tcW w:w="1506" w:type="dxa"/>
            <w:tcMar>
              <w:left w:w="28" w:type="dxa"/>
              <w:right w:w="28" w:type="dxa"/>
            </w:tcMar>
            <w:vAlign w:val="center"/>
          </w:tcPr>
          <w:p>
            <w:pPr>
              <w:pStyle w:val="15"/>
              <w:rPr>
                <w:rFonts w:eastAsia="黑体"/>
                <w:color w:val="auto"/>
              </w:rPr>
            </w:pPr>
            <w:r>
              <w:rPr>
                <w:rFonts w:eastAsia="黑体"/>
                <w:color w:val="auto"/>
              </w:rPr>
              <w:t>变化量</w:t>
            </w:r>
          </w:p>
          <w:p>
            <w:pPr>
              <w:pStyle w:val="15"/>
              <w:rPr>
                <w:rFonts w:eastAsia="黑体"/>
                <w:color w:val="auto"/>
              </w:rPr>
            </w:pPr>
            <w:r>
              <w:rPr>
                <w:rFonts w:eastAsia="黑体"/>
                <w:color w:val="auto"/>
              </w:rPr>
              <w:fldChar w:fldCharType="begin"/>
            </w:r>
            <w:r>
              <w:rPr>
                <w:rFonts w:eastAsia="黑体"/>
                <w:color w:val="auto"/>
              </w:rPr>
              <w:instrText xml:space="preserve"> = 7 \* GB3 \* MERGEFORMAT </w:instrText>
            </w:r>
            <w:r>
              <w:rPr>
                <w:rFonts w:eastAsia="黑体"/>
                <w:color w:val="auto"/>
              </w:rPr>
              <w:fldChar w:fldCharType="separate"/>
            </w:r>
            <w:r>
              <w:rPr>
                <w:rFonts w:eastAsia="黑体"/>
                <w:color w:val="auto"/>
              </w:rPr>
              <w:t>⑦</w:t>
            </w:r>
            <w:r>
              <w:rPr>
                <w:rFonts w:eastAsia="黑体"/>
                <w:color w:val="auto"/>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07" w:type="dxa"/>
            <w:vMerge w:val="restart"/>
            <w:vAlign w:val="center"/>
          </w:tcPr>
          <w:p>
            <w:pPr>
              <w:pStyle w:val="15"/>
              <w:rPr>
                <w:color w:val="auto"/>
              </w:rPr>
            </w:pPr>
            <w:r>
              <w:rPr>
                <w:color w:val="auto"/>
              </w:rPr>
              <w:t>废气</w:t>
            </w:r>
          </w:p>
        </w:tc>
        <w:tc>
          <w:tcPr>
            <w:tcW w:w="1792" w:type="dxa"/>
            <w:vAlign w:val="center"/>
          </w:tcPr>
          <w:p>
            <w:pPr>
              <w:pStyle w:val="15"/>
              <w:rPr>
                <w:color w:val="auto"/>
              </w:rPr>
            </w:pPr>
            <w:r>
              <w:rPr>
                <w:rFonts w:hint="eastAsia"/>
                <w:color w:val="auto"/>
              </w:rPr>
              <w:t>颗粒物</w:t>
            </w:r>
          </w:p>
        </w:tc>
        <w:tc>
          <w:tcPr>
            <w:tcW w:w="1535" w:type="dxa"/>
            <w:vAlign w:val="center"/>
          </w:tcPr>
          <w:p>
            <w:pPr>
              <w:pStyle w:val="15"/>
              <w:rPr>
                <w:rFonts w:hint="default" w:eastAsia="宋体"/>
                <w:color w:val="auto"/>
                <w:lang w:val="en-US" w:eastAsia="zh-CN"/>
              </w:rPr>
            </w:pPr>
            <w:r>
              <w:rPr>
                <w:rFonts w:hint="eastAsia"/>
                <w:color w:val="auto"/>
                <w:lang w:val="en-US" w:eastAsia="zh-CN"/>
              </w:rPr>
              <w:t>11.323</w:t>
            </w:r>
          </w:p>
        </w:tc>
        <w:tc>
          <w:tcPr>
            <w:tcW w:w="1218" w:type="dxa"/>
            <w:vAlign w:val="center"/>
          </w:tcPr>
          <w:p>
            <w:pPr>
              <w:pStyle w:val="15"/>
              <w:rPr>
                <w:color w:val="auto"/>
              </w:rPr>
            </w:pPr>
            <w:r>
              <w:rPr>
                <w:rFonts w:hint="eastAsia"/>
                <w:color w:val="auto"/>
              </w:rPr>
              <w:t>21.97</w:t>
            </w:r>
          </w:p>
        </w:tc>
        <w:tc>
          <w:tcPr>
            <w:tcW w:w="1644" w:type="dxa"/>
            <w:vAlign w:val="center"/>
          </w:tcPr>
          <w:p>
            <w:pPr>
              <w:pStyle w:val="15"/>
              <w:rPr>
                <w:color w:val="auto"/>
              </w:rPr>
            </w:pPr>
            <w:r>
              <w:rPr>
                <w:color w:val="auto"/>
              </w:rPr>
              <w:t>/</w:t>
            </w:r>
          </w:p>
        </w:tc>
        <w:tc>
          <w:tcPr>
            <w:tcW w:w="1503" w:type="dxa"/>
            <w:vAlign w:val="center"/>
          </w:tcPr>
          <w:p>
            <w:pPr>
              <w:pStyle w:val="15"/>
              <w:rPr>
                <w:color w:val="auto"/>
              </w:rPr>
            </w:pPr>
            <w:r>
              <w:rPr>
                <w:rFonts w:hint="eastAsia"/>
                <w:color w:val="auto"/>
              </w:rPr>
              <w:t>0</w:t>
            </w:r>
          </w:p>
        </w:tc>
        <w:tc>
          <w:tcPr>
            <w:tcW w:w="1705" w:type="dxa"/>
            <w:vAlign w:val="center"/>
          </w:tcPr>
          <w:p>
            <w:pPr>
              <w:pStyle w:val="15"/>
              <w:rPr>
                <w:color w:val="auto"/>
              </w:rPr>
            </w:pPr>
            <w:r>
              <w:rPr>
                <w:rFonts w:hint="eastAsia"/>
                <w:color w:val="auto"/>
              </w:rPr>
              <w:t>0</w:t>
            </w:r>
          </w:p>
        </w:tc>
        <w:tc>
          <w:tcPr>
            <w:tcW w:w="1714" w:type="dxa"/>
            <w:vAlign w:val="center"/>
          </w:tcPr>
          <w:p>
            <w:pPr>
              <w:pStyle w:val="15"/>
              <w:rPr>
                <w:color w:val="auto"/>
              </w:rPr>
            </w:pPr>
            <w:r>
              <w:rPr>
                <w:rFonts w:hint="eastAsia"/>
                <w:color w:val="auto"/>
              </w:rPr>
              <w:t>21.97</w:t>
            </w:r>
          </w:p>
        </w:tc>
        <w:tc>
          <w:tcPr>
            <w:tcW w:w="1506"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07" w:type="dxa"/>
            <w:vMerge w:val="continue"/>
            <w:vAlign w:val="center"/>
          </w:tcPr>
          <w:p>
            <w:pPr>
              <w:pStyle w:val="15"/>
              <w:rPr>
                <w:color w:val="auto"/>
              </w:rPr>
            </w:pPr>
          </w:p>
        </w:tc>
        <w:tc>
          <w:tcPr>
            <w:tcW w:w="1792" w:type="dxa"/>
            <w:vAlign w:val="center"/>
          </w:tcPr>
          <w:p>
            <w:pPr>
              <w:pStyle w:val="15"/>
              <w:rPr>
                <w:color w:val="auto"/>
              </w:rPr>
            </w:pPr>
            <w:r>
              <w:rPr>
                <w:rFonts w:hint="eastAsia"/>
                <w:color w:val="auto"/>
              </w:rPr>
              <w:t>SO</w:t>
            </w:r>
            <w:r>
              <w:rPr>
                <w:rFonts w:hint="eastAsia"/>
                <w:color w:val="auto"/>
                <w:vertAlign w:val="subscript"/>
              </w:rPr>
              <w:t>2</w:t>
            </w:r>
          </w:p>
        </w:tc>
        <w:tc>
          <w:tcPr>
            <w:tcW w:w="1535" w:type="dxa"/>
            <w:vAlign w:val="center"/>
          </w:tcPr>
          <w:p>
            <w:pPr>
              <w:pStyle w:val="15"/>
              <w:rPr>
                <w:rFonts w:hint="default" w:eastAsia="宋体"/>
                <w:color w:val="auto"/>
                <w:lang w:val="en-US" w:eastAsia="zh-CN"/>
              </w:rPr>
            </w:pPr>
            <w:r>
              <w:rPr>
                <w:rFonts w:hint="eastAsia"/>
                <w:color w:val="auto"/>
                <w:lang w:val="en-US" w:eastAsia="zh-CN"/>
              </w:rPr>
              <w:t>6.792</w:t>
            </w:r>
          </w:p>
        </w:tc>
        <w:tc>
          <w:tcPr>
            <w:tcW w:w="1218" w:type="dxa"/>
            <w:vAlign w:val="center"/>
          </w:tcPr>
          <w:p>
            <w:pPr>
              <w:pStyle w:val="15"/>
              <w:rPr>
                <w:color w:val="auto"/>
              </w:rPr>
            </w:pPr>
            <w:r>
              <w:rPr>
                <w:rFonts w:hint="eastAsia"/>
                <w:color w:val="auto"/>
              </w:rPr>
              <w:t>10.91</w:t>
            </w:r>
          </w:p>
        </w:tc>
        <w:tc>
          <w:tcPr>
            <w:tcW w:w="1644" w:type="dxa"/>
            <w:vAlign w:val="center"/>
          </w:tcPr>
          <w:p>
            <w:pPr>
              <w:pStyle w:val="15"/>
              <w:rPr>
                <w:color w:val="auto"/>
              </w:rPr>
            </w:pPr>
            <w:r>
              <w:rPr>
                <w:color w:val="auto"/>
              </w:rPr>
              <w:t>/</w:t>
            </w:r>
          </w:p>
        </w:tc>
        <w:tc>
          <w:tcPr>
            <w:tcW w:w="1503" w:type="dxa"/>
            <w:vAlign w:val="center"/>
          </w:tcPr>
          <w:p>
            <w:pPr>
              <w:pStyle w:val="15"/>
              <w:rPr>
                <w:color w:val="auto"/>
              </w:rPr>
            </w:pPr>
            <w:r>
              <w:rPr>
                <w:rFonts w:hint="eastAsia"/>
                <w:color w:val="auto"/>
              </w:rPr>
              <w:t>0</w:t>
            </w:r>
          </w:p>
        </w:tc>
        <w:tc>
          <w:tcPr>
            <w:tcW w:w="1705" w:type="dxa"/>
            <w:vAlign w:val="center"/>
          </w:tcPr>
          <w:p>
            <w:pPr>
              <w:pStyle w:val="15"/>
              <w:rPr>
                <w:color w:val="auto"/>
              </w:rPr>
            </w:pPr>
            <w:r>
              <w:rPr>
                <w:rFonts w:hint="eastAsia"/>
                <w:color w:val="auto"/>
              </w:rPr>
              <w:t>0</w:t>
            </w:r>
          </w:p>
        </w:tc>
        <w:tc>
          <w:tcPr>
            <w:tcW w:w="1714" w:type="dxa"/>
            <w:vAlign w:val="center"/>
          </w:tcPr>
          <w:p>
            <w:pPr>
              <w:pStyle w:val="15"/>
              <w:rPr>
                <w:color w:val="auto"/>
              </w:rPr>
            </w:pPr>
            <w:r>
              <w:rPr>
                <w:rFonts w:hint="eastAsia"/>
                <w:color w:val="auto"/>
              </w:rPr>
              <w:t>10.91</w:t>
            </w:r>
          </w:p>
        </w:tc>
        <w:tc>
          <w:tcPr>
            <w:tcW w:w="1506"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07" w:type="dxa"/>
            <w:vMerge w:val="continue"/>
            <w:vAlign w:val="center"/>
          </w:tcPr>
          <w:p>
            <w:pPr>
              <w:pStyle w:val="15"/>
              <w:rPr>
                <w:color w:val="auto"/>
              </w:rPr>
            </w:pPr>
          </w:p>
        </w:tc>
        <w:tc>
          <w:tcPr>
            <w:tcW w:w="1792" w:type="dxa"/>
            <w:vAlign w:val="center"/>
          </w:tcPr>
          <w:p>
            <w:pPr>
              <w:pStyle w:val="15"/>
              <w:rPr>
                <w:color w:val="auto"/>
              </w:rPr>
            </w:pPr>
            <w:r>
              <w:rPr>
                <w:rFonts w:hint="eastAsia"/>
                <w:color w:val="auto"/>
              </w:rPr>
              <w:t>NO</w:t>
            </w:r>
            <w:r>
              <w:rPr>
                <w:rFonts w:hint="eastAsia"/>
                <w:color w:val="auto"/>
                <w:vertAlign w:val="subscript"/>
              </w:rPr>
              <w:t>x</w:t>
            </w:r>
          </w:p>
        </w:tc>
        <w:tc>
          <w:tcPr>
            <w:tcW w:w="1535" w:type="dxa"/>
            <w:vAlign w:val="center"/>
          </w:tcPr>
          <w:p>
            <w:pPr>
              <w:pStyle w:val="15"/>
              <w:rPr>
                <w:rFonts w:hint="default" w:eastAsia="宋体"/>
                <w:color w:val="auto"/>
                <w:lang w:val="en-US" w:eastAsia="zh-CN"/>
              </w:rPr>
            </w:pPr>
            <w:r>
              <w:rPr>
                <w:rFonts w:hint="eastAsia"/>
                <w:color w:val="auto"/>
                <w:lang w:val="en-US" w:eastAsia="zh-CN"/>
              </w:rPr>
              <w:t>4.895</w:t>
            </w:r>
          </w:p>
        </w:tc>
        <w:tc>
          <w:tcPr>
            <w:tcW w:w="1218" w:type="dxa"/>
            <w:vAlign w:val="center"/>
          </w:tcPr>
          <w:p>
            <w:pPr>
              <w:pStyle w:val="15"/>
              <w:rPr>
                <w:color w:val="auto"/>
              </w:rPr>
            </w:pPr>
            <w:r>
              <w:rPr>
                <w:rFonts w:hint="eastAsia"/>
                <w:color w:val="auto"/>
              </w:rPr>
              <w:t>87.44</w:t>
            </w:r>
          </w:p>
        </w:tc>
        <w:tc>
          <w:tcPr>
            <w:tcW w:w="1644" w:type="dxa"/>
            <w:vAlign w:val="center"/>
          </w:tcPr>
          <w:p>
            <w:pPr>
              <w:pStyle w:val="15"/>
              <w:rPr>
                <w:color w:val="auto"/>
              </w:rPr>
            </w:pPr>
            <w:r>
              <w:rPr>
                <w:color w:val="auto"/>
              </w:rPr>
              <w:t>/</w:t>
            </w:r>
          </w:p>
        </w:tc>
        <w:tc>
          <w:tcPr>
            <w:tcW w:w="1503" w:type="dxa"/>
            <w:vAlign w:val="center"/>
          </w:tcPr>
          <w:p>
            <w:pPr>
              <w:pStyle w:val="15"/>
              <w:rPr>
                <w:color w:val="auto"/>
              </w:rPr>
            </w:pPr>
            <w:r>
              <w:rPr>
                <w:rFonts w:hint="eastAsia"/>
                <w:color w:val="auto"/>
              </w:rPr>
              <w:t>0</w:t>
            </w:r>
          </w:p>
        </w:tc>
        <w:tc>
          <w:tcPr>
            <w:tcW w:w="1705" w:type="dxa"/>
            <w:vAlign w:val="center"/>
          </w:tcPr>
          <w:p>
            <w:pPr>
              <w:pStyle w:val="15"/>
              <w:rPr>
                <w:color w:val="auto"/>
              </w:rPr>
            </w:pPr>
            <w:r>
              <w:rPr>
                <w:rFonts w:hint="eastAsia"/>
                <w:color w:val="auto"/>
              </w:rPr>
              <w:t>0</w:t>
            </w:r>
          </w:p>
        </w:tc>
        <w:tc>
          <w:tcPr>
            <w:tcW w:w="1714" w:type="dxa"/>
            <w:vAlign w:val="center"/>
          </w:tcPr>
          <w:p>
            <w:pPr>
              <w:pStyle w:val="15"/>
              <w:rPr>
                <w:color w:val="auto"/>
              </w:rPr>
            </w:pPr>
            <w:r>
              <w:rPr>
                <w:rFonts w:hint="eastAsia"/>
                <w:color w:val="auto"/>
              </w:rPr>
              <w:t>87.44</w:t>
            </w:r>
          </w:p>
        </w:tc>
        <w:tc>
          <w:tcPr>
            <w:tcW w:w="1506"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07" w:type="dxa"/>
            <w:vMerge w:val="continue"/>
            <w:vAlign w:val="center"/>
          </w:tcPr>
          <w:p>
            <w:pPr>
              <w:pStyle w:val="15"/>
              <w:rPr>
                <w:color w:val="auto"/>
              </w:rPr>
            </w:pPr>
          </w:p>
        </w:tc>
        <w:tc>
          <w:tcPr>
            <w:tcW w:w="1792" w:type="dxa"/>
            <w:vAlign w:val="center"/>
          </w:tcPr>
          <w:p>
            <w:pPr>
              <w:pStyle w:val="15"/>
              <w:rPr>
                <w:color w:val="auto"/>
              </w:rPr>
            </w:pPr>
            <w:r>
              <w:rPr>
                <w:rFonts w:hint="eastAsia"/>
                <w:color w:val="auto"/>
              </w:rPr>
              <w:t>氟化物</w:t>
            </w:r>
          </w:p>
        </w:tc>
        <w:tc>
          <w:tcPr>
            <w:tcW w:w="1535" w:type="dxa"/>
            <w:vAlign w:val="center"/>
          </w:tcPr>
          <w:p>
            <w:pPr>
              <w:pStyle w:val="15"/>
              <w:rPr>
                <w:rFonts w:hint="default" w:eastAsia="宋体"/>
                <w:color w:val="auto"/>
                <w:lang w:val="en-US" w:eastAsia="zh-CN"/>
              </w:rPr>
            </w:pPr>
            <w:r>
              <w:rPr>
                <w:rFonts w:hint="eastAsia"/>
                <w:color w:val="auto"/>
                <w:lang w:val="en-US" w:eastAsia="zh-CN"/>
              </w:rPr>
              <w:t>0.028</w:t>
            </w:r>
          </w:p>
        </w:tc>
        <w:tc>
          <w:tcPr>
            <w:tcW w:w="1218" w:type="dxa"/>
            <w:vAlign w:val="center"/>
          </w:tcPr>
          <w:p>
            <w:pPr>
              <w:pStyle w:val="15"/>
              <w:rPr>
                <w:color w:val="auto"/>
              </w:rPr>
            </w:pPr>
            <w:r>
              <w:rPr>
                <w:rFonts w:hint="eastAsia"/>
                <w:color w:val="auto"/>
              </w:rPr>
              <w:t>3.4</w:t>
            </w:r>
          </w:p>
        </w:tc>
        <w:tc>
          <w:tcPr>
            <w:tcW w:w="1644" w:type="dxa"/>
            <w:vAlign w:val="center"/>
          </w:tcPr>
          <w:p>
            <w:pPr>
              <w:pStyle w:val="15"/>
              <w:rPr>
                <w:color w:val="auto"/>
              </w:rPr>
            </w:pPr>
            <w:r>
              <w:rPr>
                <w:color w:val="auto"/>
              </w:rPr>
              <w:t>/</w:t>
            </w:r>
          </w:p>
        </w:tc>
        <w:tc>
          <w:tcPr>
            <w:tcW w:w="1503" w:type="dxa"/>
            <w:vAlign w:val="center"/>
          </w:tcPr>
          <w:p>
            <w:pPr>
              <w:pStyle w:val="15"/>
              <w:rPr>
                <w:color w:val="auto"/>
              </w:rPr>
            </w:pPr>
            <w:r>
              <w:rPr>
                <w:rFonts w:hint="eastAsia"/>
                <w:color w:val="auto"/>
              </w:rPr>
              <w:t>0</w:t>
            </w:r>
          </w:p>
        </w:tc>
        <w:tc>
          <w:tcPr>
            <w:tcW w:w="1705" w:type="dxa"/>
            <w:vAlign w:val="center"/>
          </w:tcPr>
          <w:p>
            <w:pPr>
              <w:pStyle w:val="15"/>
              <w:rPr>
                <w:color w:val="auto"/>
              </w:rPr>
            </w:pPr>
            <w:r>
              <w:rPr>
                <w:rFonts w:hint="eastAsia"/>
                <w:color w:val="auto"/>
              </w:rPr>
              <w:t>0</w:t>
            </w:r>
          </w:p>
        </w:tc>
        <w:tc>
          <w:tcPr>
            <w:tcW w:w="1714" w:type="dxa"/>
            <w:vAlign w:val="center"/>
          </w:tcPr>
          <w:p>
            <w:pPr>
              <w:pStyle w:val="15"/>
              <w:rPr>
                <w:color w:val="auto"/>
              </w:rPr>
            </w:pPr>
            <w:r>
              <w:rPr>
                <w:rFonts w:hint="eastAsia"/>
                <w:color w:val="auto"/>
              </w:rPr>
              <w:t>3.4</w:t>
            </w:r>
          </w:p>
        </w:tc>
        <w:tc>
          <w:tcPr>
            <w:tcW w:w="1506" w:type="dxa"/>
            <w:vAlign w:val="center"/>
          </w:tcPr>
          <w:p>
            <w:pPr>
              <w:pStyle w:val="15"/>
              <w:rPr>
                <w:color w:val="auto"/>
              </w:rPr>
            </w:pPr>
            <w:r>
              <w:rPr>
                <w:rFonts w:hint="eastAsia"/>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07" w:type="dxa"/>
            <w:vAlign w:val="center"/>
          </w:tcPr>
          <w:p>
            <w:pPr>
              <w:pStyle w:val="15"/>
              <w:rPr>
                <w:color w:val="auto"/>
              </w:rPr>
            </w:pPr>
            <w:r>
              <w:rPr>
                <w:color w:val="auto"/>
              </w:rPr>
              <w:t>废水</w:t>
            </w:r>
          </w:p>
        </w:tc>
        <w:tc>
          <w:tcPr>
            <w:tcW w:w="1792" w:type="dxa"/>
            <w:vAlign w:val="center"/>
          </w:tcPr>
          <w:p>
            <w:pPr>
              <w:pStyle w:val="15"/>
              <w:rPr>
                <w:color w:val="auto"/>
              </w:rPr>
            </w:pPr>
            <w:r>
              <w:rPr>
                <w:color w:val="auto"/>
              </w:rPr>
              <w:t>/</w:t>
            </w:r>
          </w:p>
        </w:tc>
        <w:tc>
          <w:tcPr>
            <w:tcW w:w="1535" w:type="dxa"/>
            <w:vAlign w:val="center"/>
          </w:tcPr>
          <w:p>
            <w:pPr>
              <w:pStyle w:val="15"/>
              <w:rPr>
                <w:color w:val="auto"/>
              </w:rPr>
            </w:pPr>
            <w:r>
              <w:rPr>
                <w:color w:val="auto"/>
              </w:rPr>
              <w:t>/</w:t>
            </w:r>
          </w:p>
        </w:tc>
        <w:tc>
          <w:tcPr>
            <w:tcW w:w="1218" w:type="dxa"/>
            <w:vAlign w:val="center"/>
          </w:tcPr>
          <w:p>
            <w:pPr>
              <w:pStyle w:val="15"/>
              <w:rPr>
                <w:color w:val="auto"/>
              </w:rPr>
            </w:pPr>
            <w:r>
              <w:rPr>
                <w:color w:val="auto"/>
              </w:rPr>
              <w:t>/</w:t>
            </w:r>
          </w:p>
        </w:tc>
        <w:tc>
          <w:tcPr>
            <w:tcW w:w="1644" w:type="dxa"/>
            <w:vAlign w:val="center"/>
          </w:tcPr>
          <w:p>
            <w:pPr>
              <w:pStyle w:val="15"/>
              <w:rPr>
                <w:color w:val="auto"/>
              </w:rPr>
            </w:pPr>
            <w:r>
              <w:rPr>
                <w:color w:val="auto"/>
              </w:rPr>
              <w:t>/</w:t>
            </w:r>
          </w:p>
        </w:tc>
        <w:tc>
          <w:tcPr>
            <w:tcW w:w="1503" w:type="dxa"/>
            <w:vAlign w:val="center"/>
          </w:tcPr>
          <w:p>
            <w:pPr>
              <w:pStyle w:val="15"/>
              <w:rPr>
                <w:color w:val="auto"/>
              </w:rPr>
            </w:pPr>
            <w:r>
              <w:rPr>
                <w:color w:val="auto"/>
              </w:rPr>
              <w:t>/</w:t>
            </w:r>
          </w:p>
        </w:tc>
        <w:tc>
          <w:tcPr>
            <w:tcW w:w="1705" w:type="dxa"/>
            <w:vAlign w:val="center"/>
          </w:tcPr>
          <w:p>
            <w:pPr>
              <w:pStyle w:val="15"/>
              <w:rPr>
                <w:color w:val="auto"/>
              </w:rPr>
            </w:pPr>
            <w:r>
              <w:rPr>
                <w:color w:val="auto"/>
              </w:rPr>
              <w:t>/</w:t>
            </w:r>
          </w:p>
        </w:tc>
        <w:tc>
          <w:tcPr>
            <w:tcW w:w="1714" w:type="dxa"/>
            <w:vAlign w:val="center"/>
          </w:tcPr>
          <w:p>
            <w:pPr>
              <w:pStyle w:val="15"/>
              <w:rPr>
                <w:color w:val="auto"/>
              </w:rPr>
            </w:pPr>
            <w:r>
              <w:rPr>
                <w:color w:val="auto"/>
              </w:rPr>
              <w:t>/</w:t>
            </w:r>
          </w:p>
        </w:tc>
        <w:tc>
          <w:tcPr>
            <w:tcW w:w="1506" w:type="dxa"/>
            <w:vAlign w:val="center"/>
          </w:tcPr>
          <w:p>
            <w:pPr>
              <w:pStyle w:val="15"/>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07" w:type="dxa"/>
            <w:vMerge w:val="restart"/>
            <w:vAlign w:val="center"/>
          </w:tcPr>
          <w:p>
            <w:pPr>
              <w:pStyle w:val="15"/>
              <w:rPr>
                <w:color w:val="auto"/>
              </w:rPr>
            </w:pPr>
            <w:r>
              <w:rPr>
                <w:color w:val="auto"/>
              </w:rPr>
              <w:t>一般工业</w:t>
            </w:r>
          </w:p>
          <w:p>
            <w:pPr>
              <w:pStyle w:val="15"/>
              <w:rPr>
                <w:color w:val="auto"/>
              </w:rPr>
            </w:pPr>
            <w:r>
              <w:rPr>
                <w:color w:val="auto"/>
              </w:rPr>
              <w:t>固体废物</w:t>
            </w:r>
          </w:p>
        </w:tc>
        <w:tc>
          <w:tcPr>
            <w:tcW w:w="1792" w:type="dxa"/>
            <w:vAlign w:val="center"/>
          </w:tcPr>
          <w:p>
            <w:pPr>
              <w:pStyle w:val="15"/>
              <w:rPr>
                <w:color w:val="auto"/>
              </w:rPr>
            </w:pPr>
            <w:r>
              <w:rPr>
                <w:color w:val="auto"/>
              </w:rPr>
              <w:t>生活垃圾</w:t>
            </w:r>
          </w:p>
        </w:tc>
        <w:tc>
          <w:tcPr>
            <w:tcW w:w="1535" w:type="dxa"/>
            <w:vAlign w:val="center"/>
          </w:tcPr>
          <w:p>
            <w:pPr>
              <w:pStyle w:val="15"/>
              <w:rPr>
                <w:color w:val="auto"/>
              </w:rPr>
            </w:pPr>
            <w:r>
              <w:rPr>
                <w:color w:val="auto"/>
              </w:rPr>
              <w:t>1</w:t>
            </w:r>
            <w:r>
              <w:rPr>
                <w:rFonts w:hint="eastAsia"/>
                <w:color w:val="auto"/>
              </w:rPr>
              <w:t>2</w:t>
            </w:r>
            <w:r>
              <w:rPr>
                <w:color w:val="auto"/>
              </w:rPr>
              <w:t>.5</w:t>
            </w:r>
          </w:p>
        </w:tc>
        <w:tc>
          <w:tcPr>
            <w:tcW w:w="1218" w:type="dxa"/>
            <w:vAlign w:val="center"/>
          </w:tcPr>
          <w:p>
            <w:pPr>
              <w:pStyle w:val="15"/>
              <w:rPr>
                <w:color w:val="auto"/>
              </w:rPr>
            </w:pPr>
            <w:r>
              <w:rPr>
                <w:color w:val="auto"/>
              </w:rPr>
              <w:t>/</w:t>
            </w:r>
          </w:p>
        </w:tc>
        <w:tc>
          <w:tcPr>
            <w:tcW w:w="1644" w:type="dxa"/>
            <w:vAlign w:val="center"/>
          </w:tcPr>
          <w:p>
            <w:pPr>
              <w:pStyle w:val="15"/>
              <w:rPr>
                <w:color w:val="auto"/>
              </w:rPr>
            </w:pPr>
            <w:r>
              <w:rPr>
                <w:color w:val="auto"/>
              </w:rPr>
              <w:t>/</w:t>
            </w:r>
          </w:p>
        </w:tc>
        <w:tc>
          <w:tcPr>
            <w:tcW w:w="1503" w:type="dxa"/>
            <w:vAlign w:val="center"/>
          </w:tcPr>
          <w:p>
            <w:pPr>
              <w:pStyle w:val="15"/>
              <w:rPr>
                <w:color w:val="auto"/>
              </w:rPr>
            </w:pPr>
            <w:r>
              <w:rPr>
                <w:color w:val="auto"/>
              </w:rPr>
              <w:t>/</w:t>
            </w:r>
          </w:p>
        </w:tc>
        <w:tc>
          <w:tcPr>
            <w:tcW w:w="1705" w:type="dxa"/>
            <w:vAlign w:val="center"/>
          </w:tcPr>
          <w:p>
            <w:pPr>
              <w:pStyle w:val="15"/>
              <w:rPr>
                <w:color w:val="auto"/>
              </w:rPr>
            </w:pPr>
            <w:r>
              <w:rPr>
                <w:color w:val="auto"/>
              </w:rPr>
              <w:t>/</w:t>
            </w:r>
          </w:p>
        </w:tc>
        <w:tc>
          <w:tcPr>
            <w:tcW w:w="1714" w:type="dxa"/>
            <w:vAlign w:val="center"/>
          </w:tcPr>
          <w:p>
            <w:pPr>
              <w:pStyle w:val="15"/>
              <w:rPr>
                <w:color w:val="auto"/>
              </w:rPr>
            </w:pPr>
            <w:r>
              <w:rPr>
                <w:color w:val="auto"/>
              </w:rPr>
              <w:t>/</w:t>
            </w:r>
          </w:p>
        </w:tc>
        <w:tc>
          <w:tcPr>
            <w:tcW w:w="1506" w:type="dxa"/>
            <w:vAlign w:val="center"/>
          </w:tcPr>
          <w:p>
            <w:pPr>
              <w:pStyle w:val="15"/>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07" w:type="dxa"/>
            <w:vMerge w:val="continue"/>
            <w:vAlign w:val="center"/>
          </w:tcPr>
          <w:p>
            <w:pPr>
              <w:pStyle w:val="15"/>
              <w:rPr>
                <w:color w:val="auto"/>
              </w:rPr>
            </w:pPr>
          </w:p>
        </w:tc>
        <w:tc>
          <w:tcPr>
            <w:tcW w:w="1792" w:type="dxa"/>
            <w:vAlign w:val="center"/>
          </w:tcPr>
          <w:p>
            <w:pPr>
              <w:pStyle w:val="15"/>
              <w:rPr>
                <w:color w:val="auto"/>
              </w:rPr>
            </w:pPr>
            <w:r>
              <w:rPr>
                <w:rFonts w:hint="eastAsia"/>
                <w:color w:val="auto"/>
              </w:rPr>
              <w:t>除尘器收集粉尘</w:t>
            </w:r>
          </w:p>
        </w:tc>
        <w:tc>
          <w:tcPr>
            <w:tcW w:w="1535" w:type="dxa"/>
            <w:vAlign w:val="center"/>
          </w:tcPr>
          <w:p>
            <w:pPr>
              <w:pStyle w:val="15"/>
              <w:rPr>
                <w:color w:val="auto"/>
              </w:rPr>
            </w:pPr>
            <w:r>
              <w:rPr>
                <w:rFonts w:hint="eastAsia"/>
                <w:color w:val="auto"/>
              </w:rPr>
              <w:t>2200</w:t>
            </w:r>
          </w:p>
        </w:tc>
        <w:tc>
          <w:tcPr>
            <w:tcW w:w="1218" w:type="dxa"/>
            <w:vAlign w:val="center"/>
          </w:tcPr>
          <w:p>
            <w:pPr>
              <w:pStyle w:val="15"/>
              <w:rPr>
                <w:color w:val="auto"/>
              </w:rPr>
            </w:pPr>
            <w:r>
              <w:rPr>
                <w:color w:val="auto"/>
              </w:rPr>
              <w:t>/</w:t>
            </w:r>
          </w:p>
        </w:tc>
        <w:tc>
          <w:tcPr>
            <w:tcW w:w="1644" w:type="dxa"/>
            <w:vAlign w:val="center"/>
          </w:tcPr>
          <w:p>
            <w:pPr>
              <w:pStyle w:val="15"/>
              <w:rPr>
                <w:color w:val="auto"/>
              </w:rPr>
            </w:pPr>
            <w:r>
              <w:rPr>
                <w:color w:val="auto"/>
              </w:rPr>
              <w:t>/</w:t>
            </w:r>
          </w:p>
        </w:tc>
        <w:tc>
          <w:tcPr>
            <w:tcW w:w="1503" w:type="dxa"/>
            <w:vAlign w:val="center"/>
          </w:tcPr>
          <w:p>
            <w:pPr>
              <w:pStyle w:val="15"/>
              <w:rPr>
                <w:color w:val="auto"/>
              </w:rPr>
            </w:pPr>
            <w:r>
              <w:rPr>
                <w:color w:val="auto"/>
              </w:rPr>
              <w:t>/</w:t>
            </w:r>
          </w:p>
        </w:tc>
        <w:tc>
          <w:tcPr>
            <w:tcW w:w="1705" w:type="dxa"/>
            <w:vAlign w:val="center"/>
          </w:tcPr>
          <w:p>
            <w:pPr>
              <w:pStyle w:val="15"/>
              <w:rPr>
                <w:color w:val="auto"/>
              </w:rPr>
            </w:pPr>
            <w:r>
              <w:rPr>
                <w:color w:val="auto"/>
              </w:rPr>
              <w:t>/</w:t>
            </w:r>
          </w:p>
        </w:tc>
        <w:tc>
          <w:tcPr>
            <w:tcW w:w="1714" w:type="dxa"/>
            <w:vAlign w:val="center"/>
          </w:tcPr>
          <w:p>
            <w:pPr>
              <w:pStyle w:val="15"/>
              <w:rPr>
                <w:color w:val="auto"/>
              </w:rPr>
            </w:pPr>
            <w:r>
              <w:rPr>
                <w:color w:val="auto"/>
              </w:rPr>
              <w:t>/</w:t>
            </w:r>
          </w:p>
        </w:tc>
        <w:tc>
          <w:tcPr>
            <w:tcW w:w="1506" w:type="dxa"/>
            <w:vAlign w:val="center"/>
          </w:tcPr>
          <w:p>
            <w:pPr>
              <w:pStyle w:val="15"/>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07" w:type="dxa"/>
            <w:vMerge w:val="continue"/>
            <w:vAlign w:val="center"/>
          </w:tcPr>
          <w:p>
            <w:pPr>
              <w:pStyle w:val="15"/>
              <w:rPr>
                <w:color w:val="auto"/>
              </w:rPr>
            </w:pPr>
          </w:p>
        </w:tc>
        <w:tc>
          <w:tcPr>
            <w:tcW w:w="1792" w:type="dxa"/>
            <w:vAlign w:val="center"/>
          </w:tcPr>
          <w:p>
            <w:pPr>
              <w:pStyle w:val="15"/>
              <w:rPr>
                <w:color w:val="auto"/>
              </w:rPr>
            </w:pPr>
            <w:r>
              <w:rPr>
                <w:rFonts w:hint="eastAsia"/>
                <w:color w:val="auto"/>
              </w:rPr>
              <w:t>废包装袋</w:t>
            </w:r>
          </w:p>
        </w:tc>
        <w:tc>
          <w:tcPr>
            <w:tcW w:w="1535" w:type="dxa"/>
            <w:vAlign w:val="center"/>
          </w:tcPr>
          <w:p>
            <w:pPr>
              <w:pStyle w:val="15"/>
              <w:rPr>
                <w:color w:val="auto"/>
              </w:rPr>
            </w:pPr>
            <w:r>
              <w:rPr>
                <w:rFonts w:hint="eastAsia"/>
                <w:color w:val="auto"/>
              </w:rPr>
              <w:t>0.5</w:t>
            </w:r>
          </w:p>
        </w:tc>
        <w:tc>
          <w:tcPr>
            <w:tcW w:w="1218" w:type="dxa"/>
            <w:vAlign w:val="center"/>
          </w:tcPr>
          <w:p>
            <w:pPr>
              <w:pStyle w:val="15"/>
              <w:rPr>
                <w:color w:val="auto"/>
              </w:rPr>
            </w:pPr>
            <w:r>
              <w:rPr>
                <w:color w:val="auto"/>
              </w:rPr>
              <w:t>/</w:t>
            </w:r>
          </w:p>
        </w:tc>
        <w:tc>
          <w:tcPr>
            <w:tcW w:w="1644" w:type="dxa"/>
            <w:vAlign w:val="center"/>
          </w:tcPr>
          <w:p>
            <w:pPr>
              <w:pStyle w:val="15"/>
              <w:rPr>
                <w:color w:val="auto"/>
              </w:rPr>
            </w:pPr>
            <w:r>
              <w:rPr>
                <w:color w:val="auto"/>
              </w:rPr>
              <w:t>/</w:t>
            </w:r>
          </w:p>
        </w:tc>
        <w:tc>
          <w:tcPr>
            <w:tcW w:w="1503" w:type="dxa"/>
            <w:vAlign w:val="center"/>
          </w:tcPr>
          <w:p>
            <w:pPr>
              <w:pStyle w:val="15"/>
              <w:rPr>
                <w:color w:val="auto"/>
              </w:rPr>
            </w:pPr>
            <w:r>
              <w:rPr>
                <w:color w:val="auto"/>
              </w:rPr>
              <w:t>/</w:t>
            </w:r>
          </w:p>
        </w:tc>
        <w:tc>
          <w:tcPr>
            <w:tcW w:w="1705" w:type="dxa"/>
            <w:vAlign w:val="center"/>
          </w:tcPr>
          <w:p>
            <w:pPr>
              <w:pStyle w:val="15"/>
              <w:rPr>
                <w:color w:val="auto"/>
              </w:rPr>
            </w:pPr>
            <w:r>
              <w:rPr>
                <w:color w:val="auto"/>
              </w:rPr>
              <w:t>/</w:t>
            </w:r>
          </w:p>
        </w:tc>
        <w:tc>
          <w:tcPr>
            <w:tcW w:w="1714" w:type="dxa"/>
            <w:vAlign w:val="center"/>
          </w:tcPr>
          <w:p>
            <w:pPr>
              <w:pStyle w:val="15"/>
              <w:rPr>
                <w:color w:val="auto"/>
              </w:rPr>
            </w:pPr>
            <w:r>
              <w:rPr>
                <w:color w:val="auto"/>
              </w:rPr>
              <w:t>/</w:t>
            </w:r>
          </w:p>
        </w:tc>
        <w:tc>
          <w:tcPr>
            <w:tcW w:w="1506" w:type="dxa"/>
            <w:vAlign w:val="center"/>
          </w:tcPr>
          <w:p>
            <w:pPr>
              <w:pStyle w:val="15"/>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07" w:type="dxa"/>
            <w:vMerge w:val="continue"/>
            <w:vAlign w:val="center"/>
          </w:tcPr>
          <w:p>
            <w:pPr>
              <w:pStyle w:val="15"/>
              <w:rPr>
                <w:color w:val="auto"/>
              </w:rPr>
            </w:pPr>
          </w:p>
        </w:tc>
        <w:tc>
          <w:tcPr>
            <w:tcW w:w="1792"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炉渣和粉煤灰</w:t>
            </w:r>
          </w:p>
        </w:tc>
        <w:tc>
          <w:tcPr>
            <w:tcW w:w="1535" w:type="dxa"/>
            <w:vAlign w:val="center"/>
          </w:tcPr>
          <w:p>
            <w:pPr>
              <w:pStyle w:val="15"/>
              <w:ind w:firstLine="0" w:firstLineChars="0"/>
              <w:rPr>
                <w:rFonts w:hint="eastAsia" w:ascii="Times New Roman" w:hAnsi="Times New Roman" w:eastAsia="宋体" w:cs="Times New Roman"/>
                <w:color w:val="auto"/>
                <w:kern w:val="2"/>
                <w:sz w:val="21"/>
                <w:szCs w:val="21"/>
                <w:lang w:val="en-US" w:eastAsia="zh-CN" w:bidi="ar-SA"/>
              </w:rPr>
            </w:pPr>
            <w:r>
              <w:rPr>
                <w:rFonts w:hint="eastAsia"/>
                <w:color w:val="auto"/>
              </w:rPr>
              <w:t>917</w:t>
            </w:r>
          </w:p>
        </w:tc>
        <w:tc>
          <w:tcPr>
            <w:tcW w:w="1218"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w:t>
            </w:r>
          </w:p>
        </w:tc>
        <w:tc>
          <w:tcPr>
            <w:tcW w:w="1644"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w:t>
            </w:r>
          </w:p>
        </w:tc>
        <w:tc>
          <w:tcPr>
            <w:tcW w:w="1503"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w:t>
            </w:r>
          </w:p>
        </w:tc>
        <w:tc>
          <w:tcPr>
            <w:tcW w:w="1705"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w:t>
            </w:r>
          </w:p>
        </w:tc>
        <w:tc>
          <w:tcPr>
            <w:tcW w:w="1714"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w:t>
            </w:r>
          </w:p>
        </w:tc>
        <w:tc>
          <w:tcPr>
            <w:tcW w:w="1506" w:type="dxa"/>
            <w:vAlign w:val="center"/>
          </w:tcPr>
          <w:p>
            <w:pPr>
              <w:pStyle w:val="15"/>
              <w:ind w:firstLine="0" w:firstLineChars="0"/>
              <w:rPr>
                <w:rFonts w:ascii="Times New Roman" w:hAnsi="Times New Roman" w:eastAsia="宋体" w:cs="Times New Roman"/>
                <w:color w:val="auto"/>
                <w:kern w:val="2"/>
                <w:sz w:val="21"/>
                <w:szCs w:val="21"/>
                <w:lang w:val="en-US" w:eastAsia="zh-CN" w:bidi="ar-SA"/>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 w:hRule="atLeast"/>
          <w:jc w:val="center"/>
        </w:trPr>
        <w:tc>
          <w:tcPr>
            <w:tcW w:w="1207" w:type="dxa"/>
            <w:vMerge w:val="continue"/>
            <w:vAlign w:val="center"/>
          </w:tcPr>
          <w:p>
            <w:pPr>
              <w:pStyle w:val="15"/>
              <w:rPr>
                <w:color w:val="auto"/>
              </w:rPr>
            </w:pPr>
          </w:p>
        </w:tc>
        <w:tc>
          <w:tcPr>
            <w:tcW w:w="1792" w:type="dxa"/>
            <w:vAlign w:val="center"/>
          </w:tcPr>
          <w:p>
            <w:pPr>
              <w:pStyle w:val="15"/>
              <w:rPr>
                <w:color w:val="auto"/>
              </w:rPr>
            </w:pPr>
            <w:r>
              <w:rPr>
                <w:rFonts w:hint="eastAsia"/>
                <w:color w:val="auto"/>
                <w:lang w:val="en-US" w:eastAsia="zh-CN"/>
              </w:rPr>
              <w:t>水膜脱硫除尘渣</w:t>
            </w:r>
          </w:p>
        </w:tc>
        <w:tc>
          <w:tcPr>
            <w:tcW w:w="1535" w:type="dxa"/>
            <w:vAlign w:val="center"/>
          </w:tcPr>
          <w:p>
            <w:pPr>
              <w:pStyle w:val="15"/>
              <w:rPr>
                <w:rFonts w:hint="eastAsia" w:eastAsia="宋体"/>
                <w:color w:val="auto"/>
                <w:lang w:val="en-US" w:eastAsia="zh-CN"/>
              </w:rPr>
            </w:pPr>
            <w:r>
              <w:rPr>
                <w:rFonts w:hint="eastAsia"/>
                <w:color w:val="auto"/>
                <w:lang w:val="en-US" w:eastAsia="zh-CN"/>
              </w:rPr>
              <w:t>2</w:t>
            </w:r>
          </w:p>
        </w:tc>
        <w:tc>
          <w:tcPr>
            <w:tcW w:w="1218" w:type="dxa"/>
            <w:vAlign w:val="center"/>
          </w:tcPr>
          <w:p>
            <w:pPr>
              <w:pStyle w:val="15"/>
              <w:rPr>
                <w:color w:val="auto"/>
              </w:rPr>
            </w:pPr>
            <w:r>
              <w:rPr>
                <w:color w:val="auto"/>
              </w:rPr>
              <w:t>/</w:t>
            </w:r>
          </w:p>
        </w:tc>
        <w:tc>
          <w:tcPr>
            <w:tcW w:w="1644" w:type="dxa"/>
            <w:vAlign w:val="center"/>
          </w:tcPr>
          <w:p>
            <w:pPr>
              <w:pStyle w:val="15"/>
              <w:rPr>
                <w:color w:val="auto"/>
              </w:rPr>
            </w:pPr>
            <w:r>
              <w:rPr>
                <w:color w:val="auto"/>
              </w:rPr>
              <w:t>/</w:t>
            </w:r>
          </w:p>
        </w:tc>
        <w:tc>
          <w:tcPr>
            <w:tcW w:w="1503" w:type="dxa"/>
            <w:vAlign w:val="center"/>
          </w:tcPr>
          <w:p>
            <w:pPr>
              <w:pStyle w:val="15"/>
              <w:rPr>
                <w:color w:val="auto"/>
              </w:rPr>
            </w:pPr>
            <w:r>
              <w:rPr>
                <w:color w:val="auto"/>
              </w:rPr>
              <w:t>/</w:t>
            </w:r>
          </w:p>
        </w:tc>
        <w:tc>
          <w:tcPr>
            <w:tcW w:w="1705" w:type="dxa"/>
            <w:vAlign w:val="center"/>
          </w:tcPr>
          <w:p>
            <w:pPr>
              <w:pStyle w:val="15"/>
              <w:rPr>
                <w:color w:val="auto"/>
              </w:rPr>
            </w:pPr>
            <w:r>
              <w:rPr>
                <w:color w:val="auto"/>
              </w:rPr>
              <w:t>/</w:t>
            </w:r>
          </w:p>
        </w:tc>
        <w:tc>
          <w:tcPr>
            <w:tcW w:w="1714" w:type="dxa"/>
            <w:vAlign w:val="center"/>
          </w:tcPr>
          <w:p>
            <w:pPr>
              <w:pStyle w:val="15"/>
              <w:rPr>
                <w:color w:val="auto"/>
              </w:rPr>
            </w:pPr>
            <w:r>
              <w:rPr>
                <w:color w:val="auto"/>
              </w:rPr>
              <w:t>/</w:t>
            </w:r>
          </w:p>
        </w:tc>
        <w:tc>
          <w:tcPr>
            <w:tcW w:w="1506" w:type="dxa"/>
            <w:vAlign w:val="center"/>
          </w:tcPr>
          <w:p>
            <w:pPr>
              <w:pStyle w:val="15"/>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07" w:type="dxa"/>
            <w:vMerge w:val="restart"/>
            <w:vAlign w:val="center"/>
          </w:tcPr>
          <w:p>
            <w:pPr>
              <w:pStyle w:val="15"/>
              <w:rPr>
                <w:color w:val="auto"/>
              </w:rPr>
            </w:pPr>
            <w:r>
              <w:rPr>
                <w:color w:val="auto"/>
              </w:rPr>
              <w:t>危险废物</w:t>
            </w:r>
          </w:p>
        </w:tc>
        <w:tc>
          <w:tcPr>
            <w:tcW w:w="1792" w:type="dxa"/>
            <w:vAlign w:val="center"/>
          </w:tcPr>
          <w:p>
            <w:pPr>
              <w:pStyle w:val="15"/>
              <w:rPr>
                <w:color w:val="auto"/>
              </w:rPr>
            </w:pPr>
            <w:r>
              <w:rPr>
                <w:rFonts w:hint="eastAsia"/>
                <w:color w:val="auto"/>
              </w:rPr>
              <w:t>废机油</w:t>
            </w:r>
          </w:p>
        </w:tc>
        <w:tc>
          <w:tcPr>
            <w:tcW w:w="1535" w:type="dxa"/>
            <w:vAlign w:val="center"/>
          </w:tcPr>
          <w:p>
            <w:pPr>
              <w:pStyle w:val="15"/>
              <w:rPr>
                <w:color w:val="auto"/>
              </w:rPr>
            </w:pPr>
            <w:r>
              <w:rPr>
                <w:rFonts w:hint="eastAsia"/>
                <w:color w:val="auto"/>
              </w:rPr>
              <w:t>0.95</w:t>
            </w:r>
          </w:p>
        </w:tc>
        <w:tc>
          <w:tcPr>
            <w:tcW w:w="1218" w:type="dxa"/>
            <w:vAlign w:val="center"/>
          </w:tcPr>
          <w:p>
            <w:pPr>
              <w:pStyle w:val="15"/>
              <w:rPr>
                <w:color w:val="auto"/>
              </w:rPr>
            </w:pPr>
            <w:r>
              <w:rPr>
                <w:color w:val="auto"/>
              </w:rPr>
              <w:t>/</w:t>
            </w:r>
          </w:p>
        </w:tc>
        <w:tc>
          <w:tcPr>
            <w:tcW w:w="1644" w:type="dxa"/>
            <w:vAlign w:val="center"/>
          </w:tcPr>
          <w:p>
            <w:pPr>
              <w:pStyle w:val="15"/>
              <w:rPr>
                <w:color w:val="auto"/>
              </w:rPr>
            </w:pPr>
            <w:r>
              <w:rPr>
                <w:color w:val="auto"/>
              </w:rPr>
              <w:t>/</w:t>
            </w:r>
          </w:p>
        </w:tc>
        <w:tc>
          <w:tcPr>
            <w:tcW w:w="1503" w:type="dxa"/>
            <w:vAlign w:val="center"/>
          </w:tcPr>
          <w:p>
            <w:pPr>
              <w:pStyle w:val="15"/>
              <w:rPr>
                <w:color w:val="auto"/>
              </w:rPr>
            </w:pPr>
            <w:r>
              <w:rPr>
                <w:color w:val="auto"/>
              </w:rPr>
              <w:t>/</w:t>
            </w:r>
          </w:p>
        </w:tc>
        <w:tc>
          <w:tcPr>
            <w:tcW w:w="1705" w:type="dxa"/>
            <w:vAlign w:val="center"/>
          </w:tcPr>
          <w:p>
            <w:pPr>
              <w:pStyle w:val="15"/>
              <w:rPr>
                <w:color w:val="auto"/>
              </w:rPr>
            </w:pPr>
            <w:r>
              <w:rPr>
                <w:color w:val="auto"/>
              </w:rPr>
              <w:t>/</w:t>
            </w:r>
          </w:p>
        </w:tc>
        <w:tc>
          <w:tcPr>
            <w:tcW w:w="1714" w:type="dxa"/>
            <w:vAlign w:val="center"/>
          </w:tcPr>
          <w:p>
            <w:pPr>
              <w:pStyle w:val="15"/>
              <w:rPr>
                <w:color w:val="auto"/>
              </w:rPr>
            </w:pPr>
            <w:r>
              <w:rPr>
                <w:color w:val="auto"/>
              </w:rPr>
              <w:t>/</w:t>
            </w:r>
          </w:p>
        </w:tc>
        <w:tc>
          <w:tcPr>
            <w:tcW w:w="1506" w:type="dxa"/>
            <w:vAlign w:val="center"/>
          </w:tcPr>
          <w:p>
            <w:pPr>
              <w:pStyle w:val="15"/>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07" w:type="dxa"/>
            <w:vMerge w:val="continue"/>
            <w:vAlign w:val="center"/>
          </w:tcPr>
          <w:p>
            <w:pPr>
              <w:pStyle w:val="15"/>
              <w:rPr>
                <w:color w:val="auto"/>
              </w:rPr>
            </w:pPr>
          </w:p>
        </w:tc>
        <w:tc>
          <w:tcPr>
            <w:tcW w:w="1792" w:type="dxa"/>
            <w:vAlign w:val="center"/>
          </w:tcPr>
          <w:p>
            <w:pPr>
              <w:pStyle w:val="15"/>
              <w:rPr>
                <w:rFonts w:hint="eastAsia" w:eastAsia="宋体"/>
                <w:color w:val="auto"/>
                <w:lang w:val="en-US" w:eastAsia="zh-CN"/>
              </w:rPr>
            </w:pPr>
            <w:r>
              <w:rPr>
                <w:rFonts w:hint="eastAsia"/>
                <w:color w:val="auto"/>
              </w:rPr>
              <w:t>实验废液、废化学试剂包装材料</w:t>
            </w:r>
            <w:r>
              <w:rPr>
                <w:rFonts w:hint="eastAsia"/>
                <w:color w:val="auto"/>
                <w:lang w:val="en-US" w:eastAsia="zh-CN"/>
              </w:rPr>
              <w:t>等</w:t>
            </w:r>
          </w:p>
        </w:tc>
        <w:tc>
          <w:tcPr>
            <w:tcW w:w="1535" w:type="dxa"/>
            <w:vAlign w:val="center"/>
          </w:tcPr>
          <w:p>
            <w:pPr>
              <w:pStyle w:val="15"/>
              <w:rPr>
                <w:rFonts w:hint="default" w:eastAsia="宋体"/>
                <w:color w:val="auto"/>
                <w:lang w:val="en-US" w:eastAsia="zh-CN"/>
              </w:rPr>
            </w:pPr>
            <w:r>
              <w:rPr>
                <w:rFonts w:hint="eastAsia"/>
                <w:color w:val="auto"/>
                <w:lang w:val="en-US" w:eastAsia="zh-CN"/>
              </w:rPr>
              <w:t>0.02</w:t>
            </w:r>
          </w:p>
        </w:tc>
        <w:tc>
          <w:tcPr>
            <w:tcW w:w="1218" w:type="dxa"/>
            <w:vAlign w:val="center"/>
          </w:tcPr>
          <w:p>
            <w:pPr>
              <w:pStyle w:val="15"/>
              <w:ind w:firstLine="0" w:firstLineChars="0"/>
              <w:rPr>
                <w:color w:val="auto"/>
              </w:rPr>
            </w:pPr>
            <w:r>
              <w:rPr>
                <w:color w:val="auto"/>
              </w:rPr>
              <w:t>/</w:t>
            </w:r>
          </w:p>
        </w:tc>
        <w:tc>
          <w:tcPr>
            <w:tcW w:w="1644" w:type="dxa"/>
            <w:vAlign w:val="center"/>
          </w:tcPr>
          <w:p>
            <w:pPr>
              <w:pStyle w:val="15"/>
              <w:ind w:firstLine="0" w:firstLineChars="0"/>
              <w:rPr>
                <w:color w:val="auto"/>
              </w:rPr>
            </w:pPr>
            <w:r>
              <w:rPr>
                <w:color w:val="auto"/>
              </w:rPr>
              <w:t>/</w:t>
            </w:r>
          </w:p>
        </w:tc>
        <w:tc>
          <w:tcPr>
            <w:tcW w:w="1503" w:type="dxa"/>
            <w:vAlign w:val="center"/>
          </w:tcPr>
          <w:p>
            <w:pPr>
              <w:pStyle w:val="15"/>
              <w:ind w:firstLine="0" w:firstLineChars="0"/>
              <w:rPr>
                <w:color w:val="auto"/>
              </w:rPr>
            </w:pPr>
            <w:r>
              <w:rPr>
                <w:color w:val="auto"/>
              </w:rPr>
              <w:t>/</w:t>
            </w:r>
          </w:p>
        </w:tc>
        <w:tc>
          <w:tcPr>
            <w:tcW w:w="1705" w:type="dxa"/>
            <w:vAlign w:val="center"/>
          </w:tcPr>
          <w:p>
            <w:pPr>
              <w:pStyle w:val="15"/>
              <w:ind w:firstLine="0" w:firstLineChars="0"/>
              <w:rPr>
                <w:color w:val="auto"/>
              </w:rPr>
            </w:pPr>
            <w:r>
              <w:rPr>
                <w:color w:val="auto"/>
              </w:rPr>
              <w:t>/</w:t>
            </w:r>
          </w:p>
        </w:tc>
        <w:tc>
          <w:tcPr>
            <w:tcW w:w="1714" w:type="dxa"/>
            <w:vAlign w:val="center"/>
          </w:tcPr>
          <w:p>
            <w:pPr>
              <w:pStyle w:val="15"/>
              <w:ind w:firstLine="0" w:firstLineChars="0"/>
              <w:rPr>
                <w:color w:val="auto"/>
              </w:rPr>
            </w:pPr>
            <w:r>
              <w:rPr>
                <w:color w:val="auto"/>
              </w:rPr>
              <w:t>/</w:t>
            </w:r>
          </w:p>
        </w:tc>
        <w:tc>
          <w:tcPr>
            <w:tcW w:w="1506" w:type="dxa"/>
            <w:vAlign w:val="center"/>
          </w:tcPr>
          <w:p>
            <w:pPr>
              <w:pStyle w:val="15"/>
              <w:ind w:firstLine="0" w:firstLineChars="0"/>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207" w:type="dxa"/>
            <w:vMerge w:val="continue"/>
            <w:vAlign w:val="center"/>
          </w:tcPr>
          <w:p>
            <w:pPr>
              <w:pStyle w:val="15"/>
              <w:rPr>
                <w:color w:val="auto"/>
              </w:rPr>
            </w:pPr>
          </w:p>
        </w:tc>
        <w:tc>
          <w:tcPr>
            <w:tcW w:w="1792" w:type="dxa"/>
            <w:vAlign w:val="center"/>
          </w:tcPr>
          <w:p>
            <w:pPr>
              <w:pStyle w:val="15"/>
              <w:rPr>
                <w:color w:val="auto"/>
              </w:rPr>
            </w:pPr>
            <w:r>
              <w:rPr>
                <w:rFonts w:hint="eastAsia"/>
                <w:color w:val="auto"/>
              </w:rPr>
              <w:t>氟硅酸</w:t>
            </w:r>
          </w:p>
        </w:tc>
        <w:tc>
          <w:tcPr>
            <w:tcW w:w="1535" w:type="dxa"/>
            <w:vAlign w:val="center"/>
          </w:tcPr>
          <w:p>
            <w:pPr>
              <w:pStyle w:val="15"/>
              <w:rPr>
                <w:color w:val="auto"/>
              </w:rPr>
            </w:pPr>
            <w:r>
              <w:rPr>
                <w:rFonts w:hint="eastAsia"/>
                <w:color w:val="auto"/>
              </w:rPr>
              <w:t>1501.54</w:t>
            </w:r>
          </w:p>
        </w:tc>
        <w:tc>
          <w:tcPr>
            <w:tcW w:w="1218" w:type="dxa"/>
            <w:vAlign w:val="center"/>
          </w:tcPr>
          <w:p>
            <w:pPr>
              <w:pStyle w:val="15"/>
              <w:rPr>
                <w:color w:val="auto"/>
              </w:rPr>
            </w:pPr>
            <w:r>
              <w:rPr>
                <w:color w:val="auto"/>
              </w:rPr>
              <w:t>/</w:t>
            </w:r>
          </w:p>
        </w:tc>
        <w:tc>
          <w:tcPr>
            <w:tcW w:w="1644" w:type="dxa"/>
            <w:vAlign w:val="center"/>
          </w:tcPr>
          <w:p>
            <w:pPr>
              <w:pStyle w:val="15"/>
              <w:rPr>
                <w:color w:val="auto"/>
              </w:rPr>
            </w:pPr>
            <w:r>
              <w:rPr>
                <w:color w:val="auto"/>
              </w:rPr>
              <w:t>/</w:t>
            </w:r>
          </w:p>
        </w:tc>
        <w:tc>
          <w:tcPr>
            <w:tcW w:w="1503" w:type="dxa"/>
            <w:vAlign w:val="center"/>
          </w:tcPr>
          <w:p>
            <w:pPr>
              <w:pStyle w:val="15"/>
              <w:rPr>
                <w:color w:val="auto"/>
              </w:rPr>
            </w:pPr>
            <w:r>
              <w:rPr>
                <w:color w:val="auto"/>
              </w:rPr>
              <w:t>/</w:t>
            </w:r>
          </w:p>
        </w:tc>
        <w:tc>
          <w:tcPr>
            <w:tcW w:w="1705" w:type="dxa"/>
            <w:vAlign w:val="center"/>
          </w:tcPr>
          <w:p>
            <w:pPr>
              <w:pStyle w:val="15"/>
              <w:rPr>
                <w:color w:val="auto"/>
              </w:rPr>
            </w:pPr>
            <w:r>
              <w:rPr>
                <w:color w:val="auto"/>
              </w:rPr>
              <w:t>/</w:t>
            </w:r>
          </w:p>
        </w:tc>
        <w:tc>
          <w:tcPr>
            <w:tcW w:w="1714" w:type="dxa"/>
            <w:vAlign w:val="center"/>
          </w:tcPr>
          <w:p>
            <w:pPr>
              <w:pStyle w:val="15"/>
              <w:rPr>
                <w:color w:val="auto"/>
              </w:rPr>
            </w:pPr>
            <w:r>
              <w:rPr>
                <w:color w:val="auto"/>
              </w:rPr>
              <w:t>/</w:t>
            </w:r>
          </w:p>
        </w:tc>
        <w:tc>
          <w:tcPr>
            <w:tcW w:w="1506" w:type="dxa"/>
            <w:vAlign w:val="center"/>
          </w:tcPr>
          <w:p>
            <w:pPr>
              <w:pStyle w:val="15"/>
              <w:rPr>
                <w:color w:val="auto"/>
              </w:rPr>
            </w:pPr>
            <w:r>
              <w:rPr>
                <w:color w:val="auto"/>
              </w:rPr>
              <w:t>/</w:t>
            </w:r>
          </w:p>
        </w:tc>
      </w:tr>
    </w:tbl>
    <w:p>
      <w:pPr>
        <w:spacing w:before="192" w:beforeLines="80" w:after="2" w:line="260" w:lineRule="auto"/>
        <w:ind w:firstLine="0" w:firstLineChars="0"/>
        <w:jc w:val="left"/>
        <w:rPr>
          <w:color w:val="auto"/>
        </w:rPr>
      </w:pPr>
      <w:r>
        <w:rPr>
          <w:snapToGrid w:val="0"/>
          <w:color w:val="auto"/>
          <w:kern w:val="21"/>
          <w:szCs w:val="21"/>
        </w:rPr>
        <w:t>注：</w:t>
      </w:r>
      <w:r>
        <w:rPr>
          <w:snapToGrid w:val="0"/>
          <w:color w:val="auto"/>
          <w:spacing w:val="-16"/>
          <w:kern w:val="21"/>
          <w:szCs w:val="21"/>
        </w:rPr>
        <w:fldChar w:fldCharType="begin"/>
      </w:r>
      <w:r>
        <w:rPr>
          <w:snapToGrid w:val="0"/>
          <w:color w:val="auto"/>
          <w:spacing w:val="-16"/>
          <w:kern w:val="21"/>
          <w:szCs w:val="21"/>
        </w:rPr>
        <w:instrText xml:space="preserve"> = 6 \* GB3 \* MERGEFORMAT </w:instrText>
      </w:r>
      <w:r>
        <w:rPr>
          <w:snapToGrid w:val="0"/>
          <w:color w:val="auto"/>
          <w:spacing w:val="-16"/>
          <w:kern w:val="21"/>
          <w:szCs w:val="21"/>
        </w:rPr>
        <w:fldChar w:fldCharType="separate"/>
      </w:r>
      <w:r>
        <w:rPr>
          <w:color w:val="auto"/>
          <w:szCs w:val="21"/>
        </w:rPr>
        <w:t>⑥</w:t>
      </w:r>
      <w:r>
        <w:rPr>
          <w:snapToGrid w:val="0"/>
          <w:color w:val="auto"/>
          <w:spacing w:val="-16"/>
          <w:kern w:val="21"/>
          <w:szCs w:val="21"/>
        </w:rPr>
        <w:fldChar w:fldCharType="end"/>
      </w:r>
      <w:r>
        <w:rPr>
          <w:snapToGrid w:val="0"/>
          <w:color w:val="auto"/>
          <w:spacing w:val="-16"/>
          <w:kern w:val="21"/>
          <w:szCs w:val="21"/>
        </w:rPr>
        <w:t>=</w:t>
      </w:r>
      <w:r>
        <w:rPr>
          <w:snapToGrid w:val="0"/>
          <w:color w:val="auto"/>
          <w:spacing w:val="-6"/>
          <w:kern w:val="21"/>
          <w:szCs w:val="21"/>
        </w:rPr>
        <w:fldChar w:fldCharType="begin"/>
      </w:r>
      <w:r>
        <w:rPr>
          <w:snapToGrid w:val="0"/>
          <w:color w:val="auto"/>
          <w:spacing w:val="-6"/>
          <w:kern w:val="21"/>
          <w:szCs w:val="21"/>
        </w:rPr>
        <w:instrText xml:space="preserve"> = 1 \* GB3 \* MERGEFORMAT </w:instrText>
      </w:r>
      <w:r>
        <w:rPr>
          <w:snapToGrid w:val="0"/>
          <w:color w:val="auto"/>
          <w:spacing w:val="-6"/>
          <w:kern w:val="21"/>
          <w:szCs w:val="21"/>
        </w:rPr>
        <w:fldChar w:fldCharType="separate"/>
      </w:r>
      <w:r>
        <w:rPr>
          <w:color w:val="auto"/>
          <w:szCs w:val="21"/>
        </w:rPr>
        <w:t>①</w:t>
      </w:r>
      <w:r>
        <w:rPr>
          <w:snapToGrid w:val="0"/>
          <w:color w:val="auto"/>
          <w:spacing w:val="-6"/>
          <w:kern w:val="21"/>
          <w:szCs w:val="21"/>
        </w:rPr>
        <w:fldChar w:fldCharType="end"/>
      </w:r>
      <w:r>
        <w:rPr>
          <w:snapToGrid w:val="0"/>
          <w:color w:val="auto"/>
          <w:spacing w:val="-6"/>
          <w:kern w:val="21"/>
          <w:szCs w:val="21"/>
        </w:rPr>
        <w:t>+</w:t>
      </w:r>
      <w:r>
        <w:rPr>
          <w:snapToGrid w:val="0"/>
          <w:color w:val="auto"/>
          <w:spacing w:val="-6"/>
          <w:kern w:val="21"/>
          <w:szCs w:val="21"/>
        </w:rPr>
        <w:fldChar w:fldCharType="begin"/>
      </w:r>
      <w:r>
        <w:rPr>
          <w:snapToGrid w:val="0"/>
          <w:color w:val="auto"/>
          <w:spacing w:val="-6"/>
          <w:kern w:val="21"/>
          <w:szCs w:val="21"/>
        </w:rPr>
        <w:instrText xml:space="preserve"> = 3 \* GB3 \* MERGEFORMAT </w:instrText>
      </w:r>
      <w:r>
        <w:rPr>
          <w:snapToGrid w:val="0"/>
          <w:color w:val="auto"/>
          <w:spacing w:val="-6"/>
          <w:kern w:val="21"/>
          <w:szCs w:val="21"/>
        </w:rPr>
        <w:fldChar w:fldCharType="separate"/>
      </w:r>
      <w:r>
        <w:rPr>
          <w:color w:val="auto"/>
          <w:szCs w:val="21"/>
        </w:rPr>
        <w:t>③</w:t>
      </w:r>
      <w:r>
        <w:rPr>
          <w:snapToGrid w:val="0"/>
          <w:color w:val="auto"/>
          <w:spacing w:val="-6"/>
          <w:kern w:val="21"/>
          <w:szCs w:val="21"/>
        </w:rPr>
        <w:fldChar w:fldCharType="end"/>
      </w:r>
      <w:r>
        <w:rPr>
          <w:snapToGrid w:val="0"/>
          <w:color w:val="auto"/>
          <w:spacing w:val="-6"/>
          <w:kern w:val="21"/>
          <w:szCs w:val="21"/>
        </w:rPr>
        <w:t>+</w:t>
      </w:r>
      <w:r>
        <w:rPr>
          <w:snapToGrid w:val="0"/>
          <w:color w:val="auto"/>
          <w:spacing w:val="-6"/>
          <w:kern w:val="21"/>
          <w:szCs w:val="21"/>
        </w:rPr>
        <w:fldChar w:fldCharType="begin"/>
      </w:r>
      <w:r>
        <w:rPr>
          <w:snapToGrid w:val="0"/>
          <w:color w:val="auto"/>
          <w:spacing w:val="-6"/>
          <w:kern w:val="21"/>
          <w:szCs w:val="21"/>
        </w:rPr>
        <w:instrText xml:space="preserve"> = 4 \* GB3 \* MERGEFORMAT </w:instrText>
      </w:r>
      <w:r>
        <w:rPr>
          <w:snapToGrid w:val="0"/>
          <w:color w:val="auto"/>
          <w:spacing w:val="-6"/>
          <w:kern w:val="21"/>
          <w:szCs w:val="21"/>
        </w:rPr>
        <w:fldChar w:fldCharType="separate"/>
      </w:r>
      <w:r>
        <w:rPr>
          <w:color w:val="auto"/>
          <w:szCs w:val="21"/>
        </w:rPr>
        <w:t>④</w:t>
      </w:r>
      <w:r>
        <w:rPr>
          <w:snapToGrid w:val="0"/>
          <w:color w:val="auto"/>
          <w:spacing w:val="-6"/>
          <w:kern w:val="21"/>
          <w:szCs w:val="21"/>
        </w:rPr>
        <w:fldChar w:fldCharType="end"/>
      </w:r>
      <w:r>
        <w:rPr>
          <w:snapToGrid w:val="0"/>
          <w:color w:val="auto"/>
          <w:spacing w:val="-6"/>
          <w:kern w:val="21"/>
          <w:szCs w:val="21"/>
        </w:rPr>
        <w:t>-</w:t>
      </w:r>
      <w:r>
        <w:rPr>
          <w:snapToGrid w:val="0"/>
          <w:color w:val="auto"/>
          <w:spacing w:val="-16"/>
          <w:kern w:val="21"/>
          <w:szCs w:val="21"/>
        </w:rPr>
        <w:fldChar w:fldCharType="begin"/>
      </w:r>
      <w:r>
        <w:rPr>
          <w:snapToGrid w:val="0"/>
          <w:color w:val="auto"/>
          <w:spacing w:val="-16"/>
          <w:kern w:val="21"/>
          <w:szCs w:val="21"/>
        </w:rPr>
        <w:instrText xml:space="preserve"> = 5 \* GB3 \* MERGEFORMAT </w:instrText>
      </w:r>
      <w:r>
        <w:rPr>
          <w:snapToGrid w:val="0"/>
          <w:color w:val="auto"/>
          <w:spacing w:val="-16"/>
          <w:kern w:val="21"/>
          <w:szCs w:val="21"/>
        </w:rPr>
        <w:fldChar w:fldCharType="separate"/>
      </w:r>
      <w:r>
        <w:rPr>
          <w:color w:val="auto"/>
          <w:szCs w:val="21"/>
        </w:rPr>
        <w:t>⑤</w:t>
      </w:r>
      <w:r>
        <w:rPr>
          <w:snapToGrid w:val="0"/>
          <w:color w:val="auto"/>
          <w:spacing w:val="-16"/>
          <w:kern w:val="21"/>
          <w:szCs w:val="21"/>
        </w:rPr>
        <w:fldChar w:fldCharType="end"/>
      </w:r>
      <w:r>
        <w:rPr>
          <w:snapToGrid w:val="0"/>
          <w:color w:val="auto"/>
          <w:spacing w:val="-16"/>
          <w:kern w:val="21"/>
          <w:szCs w:val="21"/>
        </w:rPr>
        <w:t>；</w:t>
      </w:r>
      <w:r>
        <w:rPr>
          <w:snapToGrid w:val="0"/>
          <w:color w:val="auto"/>
          <w:spacing w:val="-6"/>
          <w:kern w:val="21"/>
          <w:szCs w:val="21"/>
        </w:rPr>
        <w:fldChar w:fldCharType="begin"/>
      </w:r>
      <w:r>
        <w:rPr>
          <w:snapToGrid w:val="0"/>
          <w:color w:val="auto"/>
          <w:spacing w:val="-6"/>
          <w:kern w:val="21"/>
          <w:szCs w:val="21"/>
        </w:rPr>
        <w:instrText xml:space="preserve"> = 7 \* GB3 \* MERGEFORMAT </w:instrText>
      </w:r>
      <w:r>
        <w:rPr>
          <w:snapToGrid w:val="0"/>
          <w:color w:val="auto"/>
          <w:spacing w:val="-6"/>
          <w:kern w:val="21"/>
          <w:szCs w:val="21"/>
        </w:rPr>
        <w:fldChar w:fldCharType="separate"/>
      </w:r>
      <w:r>
        <w:rPr>
          <w:color w:val="auto"/>
          <w:szCs w:val="21"/>
        </w:rPr>
        <w:t>⑦</w:t>
      </w:r>
      <w:r>
        <w:rPr>
          <w:snapToGrid w:val="0"/>
          <w:color w:val="auto"/>
          <w:spacing w:val="-6"/>
          <w:kern w:val="21"/>
          <w:szCs w:val="21"/>
        </w:rPr>
        <w:fldChar w:fldCharType="end"/>
      </w:r>
      <w:r>
        <w:rPr>
          <w:snapToGrid w:val="0"/>
          <w:color w:val="auto"/>
          <w:spacing w:val="-6"/>
          <w:kern w:val="21"/>
          <w:szCs w:val="21"/>
        </w:rPr>
        <w:t>=</w:t>
      </w:r>
      <w:r>
        <w:rPr>
          <w:snapToGrid w:val="0"/>
          <w:color w:val="auto"/>
          <w:spacing w:val="-16"/>
          <w:kern w:val="21"/>
          <w:szCs w:val="21"/>
        </w:rPr>
        <w:fldChar w:fldCharType="begin"/>
      </w:r>
      <w:r>
        <w:rPr>
          <w:snapToGrid w:val="0"/>
          <w:color w:val="auto"/>
          <w:spacing w:val="-16"/>
          <w:kern w:val="21"/>
          <w:szCs w:val="21"/>
        </w:rPr>
        <w:instrText xml:space="preserve"> = 6 \* GB3 \* MERGEFORMAT </w:instrText>
      </w:r>
      <w:r>
        <w:rPr>
          <w:snapToGrid w:val="0"/>
          <w:color w:val="auto"/>
          <w:spacing w:val="-16"/>
          <w:kern w:val="21"/>
          <w:szCs w:val="21"/>
        </w:rPr>
        <w:fldChar w:fldCharType="separate"/>
      </w:r>
      <w:r>
        <w:rPr>
          <w:color w:val="auto"/>
          <w:szCs w:val="21"/>
        </w:rPr>
        <w:t>⑥</w:t>
      </w:r>
      <w:r>
        <w:rPr>
          <w:snapToGrid w:val="0"/>
          <w:color w:val="auto"/>
          <w:spacing w:val="-16"/>
          <w:kern w:val="21"/>
          <w:szCs w:val="21"/>
        </w:rPr>
        <w:fldChar w:fldCharType="end"/>
      </w:r>
      <w:r>
        <w:rPr>
          <w:snapToGrid w:val="0"/>
          <w:color w:val="auto"/>
          <w:spacing w:val="-16"/>
          <w:kern w:val="21"/>
          <w:szCs w:val="21"/>
        </w:rPr>
        <w:t>-</w:t>
      </w:r>
      <w:r>
        <w:rPr>
          <w:snapToGrid w:val="0"/>
          <w:color w:val="auto"/>
          <w:spacing w:val="-6"/>
          <w:kern w:val="21"/>
          <w:szCs w:val="21"/>
        </w:rPr>
        <w:fldChar w:fldCharType="begin"/>
      </w:r>
      <w:r>
        <w:rPr>
          <w:snapToGrid w:val="0"/>
          <w:color w:val="auto"/>
          <w:spacing w:val="-6"/>
          <w:kern w:val="21"/>
          <w:szCs w:val="21"/>
        </w:rPr>
        <w:instrText xml:space="preserve"> = 1 \* GB3 \* MERGEFORMAT </w:instrText>
      </w:r>
      <w:r>
        <w:rPr>
          <w:snapToGrid w:val="0"/>
          <w:color w:val="auto"/>
          <w:spacing w:val="-6"/>
          <w:kern w:val="21"/>
          <w:szCs w:val="21"/>
        </w:rPr>
        <w:fldChar w:fldCharType="separate"/>
      </w:r>
      <w:r>
        <w:rPr>
          <w:color w:val="auto"/>
          <w:szCs w:val="21"/>
        </w:rPr>
        <w:t>①</w:t>
      </w:r>
      <w:r>
        <w:rPr>
          <w:snapToGrid w:val="0"/>
          <w:color w:val="auto"/>
          <w:spacing w:val="-6"/>
          <w:kern w:val="21"/>
          <w:szCs w:val="21"/>
        </w:rPr>
        <w:fldChar w:fldCharType="end"/>
      </w:r>
    </w:p>
    <w:p>
      <w:pPr>
        <w:ind w:firstLine="480"/>
        <w:rPr>
          <w:color w:val="auto"/>
        </w:rPr>
      </w:pPr>
    </w:p>
    <w:sectPr>
      <w:footerReference r:id="rId11" w:type="default"/>
      <w:pgSz w:w="16838" w:h="11906" w:orient="landscape"/>
      <w:pgMar w:top="1531" w:right="1701" w:bottom="1531" w:left="1701" w:header="851" w:footer="851" w:gutter="0"/>
      <w:cols w:space="720" w:num="1"/>
      <w:docGrid w:linePitch="312" w:charSpace="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acds>
    <wne:acd wne:argValue="AQAAAAAA"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48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48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48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right="360" w:firstLine="48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52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MTNiYmE4ZTgyODQzN2YxNDAyZjVkZWI4MWM4ZmMifQ=="/>
    <w:docVar w:name="KSO_WPS_MARK_KEY" w:val="bb7cdb53-eeb3-4823-a206-3d608d0fc668"/>
  </w:docVars>
  <w:rsids>
    <w:rsidRoot w:val="00172A27"/>
    <w:rsid w:val="00010063"/>
    <w:rsid w:val="0004132F"/>
    <w:rsid w:val="00116382"/>
    <w:rsid w:val="001209A7"/>
    <w:rsid w:val="00144AA8"/>
    <w:rsid w:val="0016383E"/>
    <w:rsid w:val="00172A27"/>
    <w:rsid w:val="001B236D"/>
    <w:rsid w:val="001F35F9"/>
    <w:rsid w:val="002333FA"/>
    <w:rsid w:val="00247C8C"/>
    <w:rsid w:val="002609C2"/>
    <w:rsid w:val="002709D4"/>
    <w:rsid w:val="002B12F5"/>
    <w:rsid w:val="002E6413"/>
    <w:rsid w:val="003008FC"/>
    <w:rsid w:val="00307A95"/>
    <w:rsid w:val="0034172E"/>
    <w:rsid w:val="00357BC9"/>
    <w:rsid w:val="0036588F"/>
    <w:rsid w:val="003859DF"/>
    <w:rsid w:val="003C2BE0"/>
    <w:rsid w:val="003C615B"/>
    <w:rsid w:val="003C6C63"/>
    <w:rsid w:val="003E0E54"/>
    <w:rsid w:val="003F1EE9"/>
    <w:rsid w:val="00440A3A"/>
    <w:rsid w:val="00455444"/>
    <w:rsid w:val="00457B13"/>
    <w:rsid w:val="00486B90"/>
    <w:rsid w:val="00491C8C"/>
    <w:rsid w:val="004A06B0"/>
    <w:rsid w:val="004B5D31"/>
    <w:rsid w:val="004C3850"/>
    <w:rsid w:val="004C3BA8"/>
    <w:rsid w:val="004E69BC"/>
    <w:rsid w:val="00534348"/>
    <w:rsid w:val="00556C1C"/>
    <w:rsid w:val="005669EF"/>
    <w:rsid w:val="00573A00"/>
    <w:rsid w:val="005772CA"/>
    <w:rsid w:val="0058132C"/>
    <w:rsid w:val="00595524"/>
    <w:rsid w:val="00597F79"/>
    <w:rsid w:val="005A0FB6"/>
    <w:rsid w:val="005F65CD"/>
    <w:rsid w:val="00636CD7"/>
    <w:rsid w:val="00641E35"/>
    <w:rsid w:val="00667F13"/>
    <w:rsid w:val="006948FF"/>
    <w:rsid w:val="006A1957"/>
    <w:rsid w:val="006A2CED"/>
    <w:rsid w:val="006B35E0"/>
    <w:rsid w:val="00700513"/>
    <w:rsid w:val="00711781"/>
    <w:rsid w:val="0075734F"/>
    <w:rsid w:val="00780C3B"/>
    <w:rsid w:val="007834D8"/>
    <w:rsid w:val="007E724D"/>
    <w:rsid w:val="007F4142"/>
    <w:rsid w:val="007F489A"/>
    <w:rsid w:val="0080200D"/>
    <w:rsid w:val="00842865"/>
    <w:rsid w:val="00846C88"/>
    <w:rsid w:val="0084770E"/>
    <w:rsid w:val="00854777"/>
    <w:rsid w:val="008D5B32"/>
    <w:rsid w:val="008D7EB6"/>
    <w:rsid w:val="008E1915"/>
    <w:rsid w:val="00937DFB"/>
    <w:rsid w:val="00944502"/>
    <w:rsid w:val="00967D27"/>
    <w:rsid w:val="009727DD"/>
    <w:rsid w:val="009B21C6"/>
    <w:rsid w:val="009E18AE"/>
    <w:rsid w:val="009F0B02"/>
    <w:rsid w:val="00A20AC3"/>
    <w:rsid w:val="00A851CA"/>
    <w:rsid w:val="00A95C44"/>
    <w:rsid w:val="00AA127D"/>
    <w:rsid w:val="00AA3717"/>
    <w:rsid w:val="00AA76A7"/>
    <w:rsid w:val="00AB1812"/>
    <w:rsid w:val="00AD10E6"/>
    <w:rsid w:val="00AE02F2"/>
    <w:rsid w:val="00B21A3A"/>
    <w:rsid w:val="00B23F1D"/>
    <w:rsid w:val="00B273AC"/>
    <w:rsid w:val="00B33DDF"/>
    <w:rsid w:val="00B736B3"/>
    <w:rsid w:val="00B97913"/>
    <w:rsid w:val="00BA090E"/>
    <w:rsid w:val="00BE5F74"/>
    <w:rsid w:val="00BF2F28"/>
    <w:rsid w:val="00BF52E7"/>
    <w:rsid w:val="00C008C7"/>
    <w:rsid w:val="00C025D3"/>
    <w:rsid w:val="00C528D4"/>
    <w:rsid w:val="00C941B9"/>
    <w:rsid w:val="00C955E0"/>
    <w:rsid w:val="00CE524C"/>
    <w:rsid w:val="00D22C71"/>
    <w:rsid w:val="00D43826"/>
    <w:rsid w:val="00D91D96"/>
    <w:rsid w:val="00DC221C"/>
    <w:rsid w:val="00DF29DE"/>
    <w:rsid w:val="00E00398"/>
    <w:rsid w:val="00E12C29"/>
    <w:rsid w:val="00E15B0D"/>
    <w:rsid w:val="00E20AB6"/>
    <w:rsid w:val="00E36568"/>
    <w:rsid w:val="00E468AA"/>
    <w:rsid w:val="00E54D24"/>
    <w:rsid w:val="00E6284A"/>
    <w:rsid w:val="00EB1C0E"/>
    <w:rsid w:val="00EE135B"/>
    <w:rsid w:val="00F23A36"/>
    <w:rsid w:val="00F9242C"/>
    <w:rsid w:val="00F9379E"/>
    <w:rsid w:val="00FA1CA3"/>
    <w:rsid w:val="00FB06A8"/>
    <w:rsid w:val="00FC7BBF"/>
    <w:rsid w:val="00FE4037"/>
    <w:rsid w:val="00FF56BA"/>
    <w:rsid w:val="010351AA"/>
    <w:rsid w:val="01043EBD"/>
    <w:rsid w:val="0105414F"/>
    <w:rsid w:val="0105556B"/>
    <w:rsid w:val="01161381"/>
    <w:rsid w:val="011662CC"/>
    <w:rsid w:val="01176EA7"/>
    <w:rsid w:val="01371622"/>
    <w:rsid w:val="01374E54"/>
    <w:rsid w:val="01436805"/>
    <w:rsid w:val="01457570"/>
    <w:rsid w:val="014A712A"/>
    <w:rsid w:val="014E49BF"/>
    <w:rsid w:val="01580D1A"/>
    <w:rsid w:val="01595D0E"/>
    <w:rsid w:val="0161357F"/>
    <w:rsid w:val="016814B1"/>
    <w:rsid w:val="017165B7"/>
    <w:rsid w:val="01782862"/>
    <w:rsid w:val="017C65C5"/>
    <w:rsid w:val="017F2CAE"/>
    <w:rsid w:val="018C1375"/>
    <w:rsid w:val="018C25CB"/>
    <w:rsid w:val="018D0AE9"/>
    <w:rsid w:val="01953F43"/>
    <w:rsid w:val="01993D60"/>
    <w:rsid w:val="01A3420B"/>
    <w:rsid w:val="01BC7231"/>
    <w:rsid w:val="01C02C81"/>
    <w:rsid w:val="01DB3B8D"/>
    <w:rsid w:val="01E12AD4"/>
    <w:rsid w:val="01E7311F"/>
    <w:rsid w:val="01E943A0"/>
    <w:rsid w:val="01F073C1"/>
    <w:rsid w:val="01F77570"/>
    <w:rsid w:val="020027BA"/>
    <w:rsid w:val="020F0807"/>
    <w:rsid w:val="021C0F86"/>
    <w:rsid w:val="02233E28"/>
    <w:rsid w:val="022573A2"/>
    <w:rsid w:val="02335D7A"/>
    <w:rsid w:val="023615AF"/>
    <w:rsid w:val="02377801"/>
    <w:rsid w:val="023E370E"/>
    <w:rsid w:val="024829CB"/>
    <w:rsid w:val="024A3374"/>
    <w:rsid w:val="02565708"/>
    <w:rsid w:val="0256755B"/>
    <w:rsid w:val="02581525"/>
    <w:rsid w:val="025853CF"/>
    <w:rsid w:val="025A07C2"/>
    <w:rsid w:val="025E2CEB"/>
    <w:rsid w:val="026779BA"/>
    <w:rsid w:val="026D5209"/>
    <w:rsid w:val="0271679E"/>
    <w:rsid w:val="027618BB"/>
    <w:rsid w:val="027C058C"/>
    <w:rsid w:val="02852E05"/>
    <w:rsid w:val="02893CC6"/>
    <w:rsid w:val="028B18FB"/>
    <w:rsid w:val="02922E94"/>
    <w:rsid w:val="02980103"/>
    <w:rsid w:val="029A7D90"/>
    <w:rsid w:val="02A97FD3"/>
    <w:rsid w:val="02B81FC4"/>
    <w:rsid w:val="02BF369E"/>
    <w:rsid w:val="02CB11C3"/>
    <w:rsid w:val="02CD5A6F"/>
    <w:rsid w:val="02D61323"/>
    <w:rsid w:val="02D7069C"/>
    <w:rsid w:val="02D91DBA"/>
    <w:rsid w:val="02DB4577"/>
    <w:rsid w:val="02DF57A3"/>
    <w:rsid w:val="02F23728"/>
    <w:rsid w:val="02F76F90"/>
    <w:rsid w:val="03000C73"/>
    <w:rsid w:val="03092820"/>
    <w:rsid w:val="030A0A72"/>
    <w:rsid w:val="030B3FF7"/>
    <w:rsid w:val="030C1996"/>
    <w:rsid w:val="031313BC"/>
    <w:rsid w:val="031C2553"/>
    <w:rsid w:val="031E3C04"/>
    <w:rsid w:val="03265180"/>
    <w:rsid w:val="032A2993"/>
    <w:rsid w:val="032D4760"/>
    <w:rsid w:val="03326C27"/>
    <w:rsid w:val="033E696D"/>
    <w:rsid w:val="0341645D"/>
    <w:rsid w:val="034B233C"/>
    <w:rsid w:val="034C2738"/>
    <w:rsid w:val="0352410D"/>
    <w:rsid w:val="03621775"/>
    <w:rsid w:val="03632BD7"/>
    <w:rsid w:val="036D2DAF"/>
    <w:rsid w:val="036F4520"/>
    <w:rsid w:val="0372363C"/>
    <w:rsid w:val="038045D2"/>
    <w:rsid w:val="03905135"/>
    <w:rsid w:val="03962305"/>
    <w:rsid w:val="03A52548"/>
    <w:rsid w:val="03AC6AFE"/>
    <w:rsid w:val="03AD6745"/>
    <w:rsid w:val="03B2580B"/>
    <w:rsid w:val="03B66504"/>
    <w:rsid w:val="03BE774F"/>
    <w:rsid w:val="03BF485D"/>
    <w:rsid w:val="03C249D5"/>
    <w:rsid w:val="03C84489"/>
    <w:rsid w:val="03D756A0"/>
    <w:rsid w:val="03D80B70"/>
    <w:rsid w:val="03DC0158"/>
    <w:rsid w:val="03DC1511"/>
    <w:rsid w:val="03E6251D"/>
    <w:rsid w:val="03E74856"/>
    <w:rsid w:val="03E94B2B"/>
    <w:rsid w:val="03FA6D38"/>
    <w:rsid w:val="03FF60FC"/>
    <w:rsid w:val="04082B2E"/>
    <w:rsid w:val="04092080"/>
    <w:rsid w:val="041651F4"/>
    <w:rsid w:val="041A68CE"/>
    <w:rsid w:val="042C4A18"/>
    <w:rsid w:val="04310280"/>
    <w:rsid w:val="0431202E"/>
    <w:rsid w:val="04402036"/>
    <w:rsid w:val="04504BAA"/>
    <w:rsid w:val="045F585E"/>
    <w:rsid w:val="04635599"/>
    <w:rsid w:val="047B0BD2"/>
    <w:rsid w:val="04846944"/>
    <w:rsid w:val="048E56D2"/>
    <w:rsid w:val="0490044D"/>
    <w:rsid w:val="04926F71"/>
    <w:rsid w:val="049569D7"/>
    <w:rsid w:val="04956A61"/>
    <w:rsid w:val="04966335"/>
    <w:rsid w:val="049A39D6"/>
    <w:rsid w:val="04B23CE5"/>
    <w:rsid w:val="04C133B2"/>
    <w:rsid w:val="04C309B3"/>
    <w:rsid w:val="04CE3D21"/>
    <w:rsid w:val="04D255BF"/>
    <w:rsid w:val="04DE1016"/>
    <w:rsid w:val="04E23328"/>
    <w:rsid w:val="04E65A43"/>
    <w:rsid w:val="04EA42D8"/>
    <w:rsid w:val="04EB62CB"/>
    <w:rsid w:val="04F00799"/>
    <w:rsid w:val="04F27A0F"/>
    <w:rsid w:val="04FE0542"/>
    <w:rsid w:val="05082DC9"/>
    <w:rsid w:val="05096B07"/>
    <w:rsid w:val="05131314"/>
    <w:rsid w:val="052A53FB"/>
    <w:rsid w:val="05373674"/>
    <w:rsid w:val="05492C51"/>
    <w:rsid w:val="0549505B"/>
    <w:rsid w:val="05505000"/>
    <w:rsid w:val="055B3806"/>
    <w:rsid w:val="05600E1D"/>
    <w:rsid w:val="05663F59"/>
    <w:rsid w:val="05674846"/>
    <w:rsid w:val="056908E3"/>
    <w:rsid w:val="056A6CCF"/>
    <w:rsid w:val="056E1EAE"/>
    <w:rsid w:val="05720B50"/>
    <w:rsid w:val="057743B8"/>
    <w:rsid w:val="057A17B3"/>
    <w:rsid w:val="057F6DC9"/>
    <w:rsid w:val="058014BF"/>
    <w:rsid w:val="058A70EA"/>
    <w:rsid w:val="058F1702"/>
    <w:rsid w:val="05972365"/>
    <w:rsid w:val="05997E8B"/>
    <w:rsid w:val="059C0495"/>
    <w:rsid w:val="05A63A6F"/>
    <w:rsid w:val="05CD5D86"/>
    <w:rsid w:val="05DB04A3"/>
    <w:rsid w:val="05E04B7D"/>
    <w:rsid w:val="05E43C6B"/>
    <w:rsid w:val="05FC4926"/>
    <w:rsid w:val="060774EA"/>
    <w:rsid w:val="060F2843"/>
    <w:rsid w:val="06150590"/>
    <w:rsid w:val="062260D2"/>
    <w:rsid w:val="062A01B6"/>
    <w:rsid w:val="06414E43"/>
    <w:rsid w:val="064424ED"/>
    <w:rsid w:val="06473856"/>
    <w:rsid w:val="064F2C3F"/>
    <w:rsid w:val="0657752A"/>
    <w:rsid w:val="06585F98"/>
    <w:rsid w:val="066A7A79"/>
    <w:rsid w:val="06720373"/>
    <w:rsid w:val="06760773"/>
    <w:rsid w:val="06764D89"/>
    <w:rsid w:val="067D59FE"/>
    <w:rsid w:val="068B5A0C"/>
    <w:rsid w:val="06A05249"/>
    <w:rsid w:val="06A116ED"/>
    <w:rsid w:val="06A64F55"/>
    <w:rsid w:val="06AD7AAC"/>
    <w:rsid w:val="06B42229"/>
    <w:rsid w:val="06BD23DC"/>
    <w:rsid w:val="06C249CA"/>
    <w:rsid w:val="06C93896"/>
    <w:rsid w:val="06CB0518"/>
    <w:rsid w:val="06CC5B3F"/>
    <w:rsid w:val="06D05B2E"/>
    <w:rsid w:val="06DD649D"/>
    <w:rsid w:val="06E174A3"/>
    <w:rsid w:val="06E2798B"/>
    <w:rsid w:val="06E415DA"/>
    <w:rsid w:val="06E70564"/>
    <w:rsid w:val="06F16BC5"/>
    <w:rsid w:val="070669D4"/>
    <w:rsid w:val="070B3EDB"/>
    <w:rsid w:val="071252CD"/>
    <w:rsid w:val="07155C37"/>
    <w:rsid w:val="071E6259"/>
    <w:rsid w:val="072021EF"/>
    <w:rsid w:val="07247C28"/>
    <w:rsid w:val="072D0157"/>
    <w:rsid w:val="07407CDF"/>
    <w:rsid w:val="074134A7"/>
    <w:rsid w:val="07444310"/>
    <w:rsid w:val="07465DF0"/>
    <w:rsid w:val="074A0F90"/>
    <w:rsid w:val="074A2E82"/>
    <w:rsid w:val="07513073"/>
    <w:rsid w:val="07521E43"/>
    <w:rsid w:val="07536155"/>
    <w:rsid w:val="07564E8A"/>
    <w:rsid w:val="07687B31"/>
    <w:rsid w:val="076B3AA9"/>
    <w:rsid w:val="077A3CEC"/>
    <w:rsid w:val="0781507A"/>
    <w:rsid w:val="07832BA1"/>
    <w:rsid w:val="078801B7"/>
    <w:rsid w:val="07951842"/>
    <w:rsid w:val="07A3515C"/>
    <w:rsid w:val="07A50D69"/>
    <w:rsid w:val="07B05960"/>
    <w:rsid w:val="07B91448"/>
    <w:rsid w:val="07C86D9E"/>
    <w:rsid w:val="07D17B38"/>
    <w:rsid w:val="07D73A6C"/>
    <w:rsid w:val="07D81EBD"/>
    <w:rsid w:val="07DD4EDF"/>
    <w:rsid w:val="07E405DF"/>
    <w:rsid w:val="07EA36D6"/>
    <w:rsid w:val="07F97307"/>
    <w:rsid w:val="08017F69"/>
    <w:rsid w:val="08021735"/>
    <w:rsid w:val="08042050"/>
    <w:rsid w:val="080812F8"/>
    <w:rsid w:val="08135A2E"/>
    <w:rsid w:val="081E4FBF"/>
    <w:rsid w:val="08334D8D"/>
    <w:rsid w:val="08345247"/>
    <w:rsid w:val="08361B18"/>
    <w:rsid w:val="084F6F27"/>
    <w:rsid w:val="085158A1"/>
    <w:rsid w:val="085727AA"/>
    <w:rsid w:val="085E7AC8"/>
    <w:rsid w:val="08646E76"/>
    <w:rsid w:val="08654E4D"/>
    <w:rsid w:val="086C1887"/>
    <w:rsid w:val="0877600F"/>
    <w:rsid w:val="087F1A3E"/>
    <w:rsid w:val="08831127"/>
    <w:rsid w:val="08872B64"/>
    <w:rsid w:val="088968DD"/>
    <w:rsid w:val="08901A19"/>
    <w:rsid w:val="089239B9"/>
    <w:rsid w:val="08962DA7"/>
    <w:rsid w:val="08966904"/>
    <w:rsid w:val="089D78E3"/>
    <w:rsid w:val="089F261F"/>
    <w:rsid w:val="08A300C3"/>
    <w:rsid w:val="08B71DD8"/>
    <w:rsid w:val="08BE2B6A"/>
    <w:rsid w:val="08C571E9"/>
    <w:rsid w:val="08C64FB8"/>
    <w:rsid w:val="08CA1396"/>
    <w:rsid w:val="08CE4433"/>
    <w:rsid w:val="08E85D3C"/>
    <w:rsid w:val="08E9428A"/>
    <w:rsid w:val="08EE27EF"/>
    <w:rsid w:val="08FD4158"/>
    <w:rsid w:val="09074F27"/>
    <w:rsid w:val="091D0DD3"/>
    <w:rsid w:val="092403B3"/>
    <w:rsid w:val="092C0DCD"/>
    <w:rsid w:val="09300B06"/>
    <w:rsid w:val="09322AD0"/>
    <w:rsid w:val="093A3733"/>
    <w:rsid w:val="093C09A4"/>
    <w:rsid w:val="09401DAC"/>
    <w:rsid w:val="09402D22"/>
    <w:rsid w:val="09442A65"/>
    <w:rsid w:val="094871C7"/>
    <w:rsid w:val="09497E1A"/>
    <w:rsid w:val="095275BC"/>
    <w:rsid w:val="09581A2C"/>
    <w:rsid w:val="09821BDC"/>
    <w:rsid w:val="09842C00"/>
    <w:rsid w:val="09886B94"/>
    <w:rsid w:val="098C1464"/>
    <w:rsid w:val="098F052D"/>
    <w:rsid w:val="09906FB0"/>
    <w:rsid w:val="099217C1"/>
    <w:rsid w:val="099278CE"/>
    <w:rsid w:val="099B1ECC"/>
    <w:rsid w:val="099E1F14"/>
    <w:rsid w:val="099E21CF"/>
    <w:rsid w:val="09A07311"/>
    <w:rsid w:val="09A83C44"/>
    <w:rsid w:val="09B2776D"/>
    <w:rsid w:val="09C87F1B"/>
    <w:rsid w:val="09D122E9"/>
    <w:rsid w:val="09D27027"/>
    <w:rsid w:val="09DC2A3C"/>
    <w:rsid w:val="09E52DF0"/>
    <w:rsid w:val="09F2225F"/>
    <w:rsid w:val="09FC6C3A"/>
    <w:rsid w:val="0A0B50CF"/>
    <w:rsid w:val="0A122902"/>
    <w:rsid w:val="0A151DAB"/>
    <w:rsid w:val="0A1B6F84"/>
    <w:rsid w:val="0A1C34D3"/>
    <w:rsid w:val="0A1D1E1E"/>
    <w:rsid w:val="0A241F9E"/>
    <w:rsid w:val="0A301518"/>
    <w:rsid w:val="0A3D7A35"/>
    <w:rsid w:val="0A4A3B8C"/>
    <w:rsid w:val="0A690774"/>
    <w:rsid w:val="0A702E51"/>
    <w:rsid w:val="0A7109B6"/>
    <w:rsid w:val="0A71587A"/>
    <w:rsid w:val="0A776A16"/>
    <w:rsid w:val="0A812FBF"/>
    <w:rsid w:val="0A8235E3"/>
    <w:rsid w:val="0A823FF9"/>
    <w:rsid w:val="0A943317"/>
    <w:rsid w:val="0A943D39"/>
    <w:rsid w:val="0A983AFC"/>
    <w:rsid w:val="0A9926DB"/>
    <w:rsid w:val="0AA91EA8"/>
    <w:rsid w:val="0AA92B7E"/>
    <w:rsid w:val="0AB45767"/>
    <w:rsid w:val="0ABF4545"/>
    <w:rsid w:val="0AC7614C"/>
    <w:rsid w:val="0AC97A59"/>
    <w:rsid w:val="0AD55E09"/>
    <w:rsid w:val="0AD57BB7"/>
    <w:rsid w:val="0AD62182"/>
    <w:rsid w:val="0ADB7197"/>
    <w:rsid w:val="0AE250BF"/>
    <w:rsid w:val="0AE85D66"/>
    <w:rsid w:val="0AEC7C8D"/>
    <w:rsid w:val="0AF142C5"/>
    <w:rsid w:val="0AF96594"/>
    <w:rsid w:val="0B071D3B"/>
    <w:rsid w:val="0B0C6A06"/>
    <w:rsid w:val="0B197AB4"/>
    <w:rsid w:val="0B230271"/>
    <w:rsid w:val="0B246449"/>
    <w:rsid w:val="0B2F6DE5"/>
    <w:rsid w:val="0B325009"/>
    <w:rsid w:val="0B330D82"/>
    <w:rsid w:val="0B3348DE"/>
    <w:rsid w:val="0B380146"/>
    <w:rsid w:val="0B41524D"/>
    <w:rsid w:val="0B440CBC"/>
    <w:rsid w:val="0B4B08AD"/>
    <w:rsid w:val="0B52237E"/>
    <w:rsid w:val="0B533B15"/>
    <w:rsid w:val="0B562050"/>
    <w:rsid w:val="0B5A630E"/>
    <w:rsid w:val="0B6A31A0"/>
    <w:rsid w:val="0B6D6042"/>
    <w:rsid w:val="0B6E3B68"/>
    <w:rsid w:val="0B73214A"/>
    <w:rsid w:val="0B774ABC"/>
    <w:rsid w:val="0B835865"/>
    <w:rsid w:val="0B8E1507"/>
    <w:rsid w:val="0B9424C2"/>
    <w:rsid w:val="0B964615"/>
    <w:rsid w:val="0B9A7A75"/>
    <w:rsid w:val="0BA53A2D"/>
    <w:rsid w:val="0BA92DF2"/>
    <w:rsid w:val="0BBA59F6"/>
    <w:rsid w:val="0BD87233"/>
    <w:rsid w:val="0BD95485"/>
    <w:rsid w:val="0BDC31C7"/>
    <w:rsid w:val="0BDE2A9B"/>
    <w:rsid w:val="0BE3320E"/>
    <w:rsid w:val="0BE35DA5"/>
    <w:rsid w:val="0BE51336"/>
    <w:rsid w:val="0BE5207C"/>
    <w:rsid w:val="0BE77549"/>
    <w:rsid w:val="0BEA40C2"/>
    <w:rsid w:val="0BEE64AF"/>
    <w:rsid w:val="0BF830D1"/>
    <w:rsid w:val="0C0D512F"/>
    <w:rsid w:val="0C13676D"/>
    <w:rsid w:val="0C193513"/>
    <w:rsid w:val="0C1E10EA"/>
    <w:rsid w:val="0C2D57D1"/>
    <w:rsid w:val="0C314310"/>
    <w:rsid w:val="0C321039"/>
    <w:rsid w:val="0C364E54"/>
    <w:rsid w:val="0C373653"/>
    <w:rsid w:val="0C383063"/>
    <w:rsid w:val="0C3D7A3D"/>
    <w:rsid w:val="0C3E178C"/>
    <w:rsid w:val="0C427E66"/>
    <w:rsid w:val="0C470EEE"/>
    <w:rsid w:val="0C474AE5"/>
    <w:rsid w:val="0C50326D"/>
    <w:rsid w:val="0C5473BD"/>
    <w:rsid w:val="0C56244D"/>
    <w:rsid w:val="0C64247E"/>
    <w:rsid w:val="0C696862"/>
    <w:rsid w:val="0C6A2581"/>
    <w:rsid w:val="0C6C7ED3"/>
    <w:rsid w:val="0C7156BE"/>
    <w:rsid w:val="0C767605"/>
    <w:rsid w:val="0C776A4C"/>
    <w:rsid w:val="0C880C59"/>
    <w:rsid w:val="0C8F1FE8"/>
    <w:rsid w:val="0C9054EB"/>
    <w:rsid w:val="0C933984"/>
    <w:rsid w:val="0C9A71CE"/>
    <w:rsid w:val="0CAA1934"/>
    <w:rsid w:val="0CAD6DD5"/>
    <w:rsid w:val="0CB84C10"/>
    <w:rsid w:val="0CB97065"/>
    <w:rsid w:val="0CC2416B"/>
    <w:rsid w:val="0CC44F98"/>
    <w:rsid w:val="0CC56899"/>
    <w:rsid w:val="0CCC323C"/>
    <w:rsid w:val="0CCF1FA3"/>
    <w:rsid w:val="0CD21ED4"/>
    <w:rsid w:val="0CD65F92"/>
    <w:rsid w:val="0CDD6023"/>
    <w:rsid w:val="0CE719E3"/>
    <w:rsid w:val="0CE81549"/>
    <w:rsid w:val="0CEF0CD8"/>
    <w:rsid w:val="0CFD0F4B"/>
    <w:rsid w:val="0D006A41"/>
    <w:rsid w:val="0D1A0908"/>
    <w:rsid w:val="0D1B632C"/>
    <w:rsid w:val="0D1D7BA1"/>
    <w:rsid w:val="0D2216EC"/>
    <w:rsid w:val="0D2B63BA"/>
    <w:rsid w:val="0D3037CB"/>
    <w:rsid w:val="0D3819FE"/>
    <w:rsid w:val="0D3A1F53"/>
    <w:rsid w:val="0D4132EC"/>
    <w:rsid w:val="0D4A48FD"/>
    <w:rsid w:val="0D5154EF"/>
    <w:rsid w:val="0D517404"/>
    <w:rsid w:val="0D5C45C0"/>
    <w:rsid w:val="0D5E07FD"/>
    <w:rsid w:val="0D6B355F"/>
    <w:rsid w:val="0D7E1B06"/>
    <w:rsid w:val="0D7E3992"/>
    <w:rsid w:val="0D837D9E"/>
    <w:rsid w:val="0D841421"/>
    <w:rsid w:val="0D870F11"/>
    <w:rsid w:val="0D88719A"/>
    <w:rsid w:val="0D9553DC"/>
    <w:rsid w:val="0D9E714C"/>
    <w:rsid w:val="0DA05E56"/>
    <w:rsid w:val="0DA1585B"/>
    <w:rsid w:val="0DA422CE"/>
    <w:rsid w:val="0DA87805"/>
    <w:rsid w:val="0DAD2661"/>
    <w:rsid w:val="0DAE649D"/>
    <w:rsid w:val="0DB3047F"/>
    <w:rsid w:val="0DBF4B4E"/>
    <w:rsid w:val="0DC940F3"/>
    <w:rsid w:val="0DCA4B02"/>
    <w:rsid w:val="0DD51C7C"/>
    <w:rsid w:val="0E016238"/>
    <w:rsid w:val="0E0B7D94"/>
    <w:rsid w:val="0E1079EB"/>
    <w:rsid w:val="0E226227"/>
    <w:rsid w:val="0E255F60"/>
    <w:rsid w:val="0E3F073D"/>
    <w:rsid w:val="0E4B1F3E"/>
    <w:rsid w:val="0E51042B"/>
    <w:rsid w:val="0E5203C3"/>
    <w:rsid w:val="0E5232CD"/>
    <w:rsid w:val="0E540297"/>
    <w:rsid w:val="0E5473D4"/>
    <w:rsid w:val="0E563A7A"/>
    <w:rsid w:val="0E5B5B8F"/>
    <w:rsid w:val="0E6179B4"/>
    <w:rsid w:val="0E6D6359"/>
    <w:rsid w:val="0E75065D"/>
    <w:rsid w:val="0E7E2314"/>
    <w:rsid w:val="0E802CFD"/>
    <w:rsid w:val="0E8973CD"/>
    <w:rsid w:val="0E8D69FB"/>
    <w:rsid w:val="0E926198"/>
    <w:rsid w:val="0E9A7FED"/>
    <w:rsid w:val="0E9D0C33"/>
    <w:rsid w:val="0EA51596"/>
    <w:rsid w:val="0EAF35B4"/>
    <w:rsid w:val="0EBC43EC"/>
    <w:rsid w:val="0EC05491"/>
    <w:rsid w:val="0EC266A4"/>
    <w:rsid w:val="0ECA2B8C"/>
    <w:rsid w:val="0ECE5049"/>
    <w:rsid w:val="0ECF2B91"/>
    <w:rsid w:val="0ED23EEC"/>
    <w:rsid w:val="0EDE1004"/>
    <w:rsid w:val="0EE046CC"/>
    <w:rsid w:val="0EE070CB"/>
    <w:rsid w:val="0EEB0956"/>
    <w:rsid w:val="0EEF6D6E"/>
    <w:rsid w:val="0EF32B34"/>
    <w:rsid w:val="0EF6341E"/>
    <w:rsid w:val="0EF652A0"/>
    <w:rsid w:val="0EFB3964"/>
    <w:rsid w:val="0EFD2DC3"/>
    <w:rsid w:val="0F120901"/>
    <w:rsid w:val="0F126C85"/>
    <w:rsid w:val="0F130CAE"/>
    <w:rsid w:val="0F137227"/>
    <w:rsid w:val="0F2049D9"/>
    <w:rsid w:val="0F273EF1"/>
    <w:rsid w:val="0F2B249C"/>
    <w:rsid w:val="0F2B3E08"/>
    <w:rsid w:val="0F360E40"/>
    <w:rsid w:val="0F384D25"/>
    <w:rsid w:val="0F42219D"/>
    <w:rsid w:val="0F490B74"/>
    <w:rsid w:val="0F4C0664"/>
    <w:rsid w:val="0F501F02"/>
    <w:rsid w:val="0F5512C6"/>
    <w:rsid w:val="0F59545C"/>
    <w:rsid w:val="0F5D0B28"/>
    <w:rsid w:val="0F601A19"/>
    <w:rsid w:val="0F620AB4"/>
    <w:rsid w:val="0F7554C5"/>
    <w:rsid w:val="0F815B3A"/>
    <w:rsid w:val="0F852FE9"/>
    <w:rsid w:val="0F865924"/>
    <w:rsid w:val="0F8971C2"/>
    <w:rsid w:val="0F9235F6"/>
    <w:rsid w:val="0F9C1270"/>
    <w:rsid w:val="0F9C5D91"/>
    <w:rsid w:val="0F9D1AAD"/>
    <w:rsid w:val="0F9E6402"/>
    <w:rsid w:val="0FA26992"/>
    <w:rsid w:val="0FA61B22"/>
    <w:rsid w:val="0FA638D0"/>
    <w:rsid w:val="0FBE0DB9"/>
    <w:rsid w:val="0FC57BB5"/>
    <w:rsid w:val="0FD21CD9"/>
    <w:rsid w:val="0FD63FD1"/>
    <w:rsid w:val="0FF019F1"/>
    <w:rsid w:val="0FF87EA4"/>
    <w:rsid w:val="10022FAD"/>
    <w:rsid w:val="10060813"/>
    <w:rsid w:val="100C7C31"/>
    <w:rsid w:val="10167818"/>
    <w:rsid w:val="101832A3"/>
    <w:rsid w:val="101A6F98"/>
    <w:rsid w:val="101B6CAF"/>
    <w:rsid w:val="101C407F"/>
    <w:rsid w:val="101D486A"/>
    <w:rsid w:val="102E7581"/>
    <w:rsid w:val="10340523"/>
    <w:rsid w:val="10352EA6"/>
    <w:rsid w:val="10363793"/>
    <w:rsid w:val="103A09F5"/>
    <w:rsid w:val="103B4960"/>
    <w:rsid w:val="103C0DEF"/>
    <w:rsid w:val="103E718E"/>
    <w:rsid w:val="10434D21"/>
    <w:rsid w:val="10533EA5"/>
    <w:rsid w:val="10545583"/>
    <w:rsid w:val="10555FA2"/>
    <w:rsid w:val="10675755"/>
    <w:rsid w:val="10703EDE"/>
    <w:rsid w:val="10741C20"/>
    <w:rsid w:val="108B6BC6"/>
    <w:rsid w:val="10A57095"/>
    <w:rsid w:val="10AF2C58"/>
    <w:rsid w:val="10B17251"/>
    <w:rsid w:val="10B415A4"/>
    <w:rsid w:val="10B65D95"/>
    <w:rsid w:val="10BE2E9B"/>
    <w:rsid w:val="10C76C75"/>
    <w:rsid w:val="10C97911"/>
    <w:rsid w:val="10CE6B97"/>
    <w:rsid w:val="10E02560"/>
    <w:rsid w:val="10E2302E"/>
    <w:rsid w:val="10EB1F17"/>
    <w:rsid w:val="10F326FD"/>
    <w:rsid w:val="10F42D61"/>
    <w:rsid w:val="10F56BA3"/>
    <w:rsid w:val="1100030B"/>
    <w:rsid w:val="1103037B"/>
    <w:rsid w:val="110B7E38"/>
    <w:rsid w:val="1112285E"/>
    <w:rsid w:val="111B209C"/>
    <w:rsid w:val="1122167C"/>
    <w:rsid w:val="112A22DF"/>
    <w:rsid w:val="112F1255"/>
    <w:rsid w:val="11336381"/>
    <w:rsid w:val="11422A8E"/>
    <w:rsid w:val="11461AF2"/>
    <w:rsid w:val="114A51ED"/>
    <w:rsid w:val="115C225B"/>
    <w:rsid w:val="11686D5C"/>
    <w:rsid w:val="11692E07"/>
    <w:rsid w:val="11717480"/>
    <w:rsid w:val="11851213"/>
    <w:rsid w:val="11851C0B"/>
    <w:rsid w:val="11876158"/>
    <w:rsid w:val="11895257"/>
    <w:rsid w:val="118B48BD"/>
    <w:rsid w:val="118E2B2D"/>
    <w:rsid w:val="1191235E"/>
    <w:rsid w:val="11970C13"/>
    <w:rsid w:val="119D4B96"/>
    <w:rsid w:val="119D6F55"/>
    <w:rsid w:val="11AA3420"/>
    <w:rsid w:val="11B61DA8"/>
    <w:rsid w:val="11C049F1"/>
    <w:rsid w:val="11C75D80"/>
    <w:rsid w:val="11C91AF8"/>
    <w:rsid w:val="11C95F9C"/>
    <w:rsid w:val="11CB5870"/>
    <w:rsid w:val="11D07711"/>
    <w:rsid w:val="11D724D1"/>
    <w:rsid w:val="11DF229C"/>
    <w:rsid w:val="11E20E0C"/>
    <w:rsid w:val="11F027AC"/>
    <w:rsid w:val="11FE6580"/>
    <w:rsid w:val="12011292"/>
    <w:rsid w:val="120174E4"/>
    <w:rsid w:val="12046BB9"/>
    <w:rsid w:val="1206210D"/>
    <w:rsid w:val="12193CC6"/>
    <w:rsid w:val="121E26BF"/>
    <w:rsid w:val="12223E79"/>
    <w:rsid w:val="122D08EC"/>
    <w:rsid w:val="122F22A3"/>
    <w:rsid w:val="1232427A"/>
    <w:rsid w:val="123454F8"/>
    <w:rsid w:val="123637FA"/>
    <w:rsid w:val="12424A76"/>
    <w:rsid w:val="12451241"/>
    <w:rsid w:val="124B69B1"/>
    <w:rsid w:val="124D6AF7"/>
    <w:rsid w:val="1259591C"/>
    <w:rsid w:val="125C471A"/>
    <w:rsid w:val="12617F82"/>
    <w:rsid w:val="12661A3D"/>
    <w:rsid w:val="127C300E"/>
    <w:rsid w:val="1283439D"/>
    <w:rsid w:val="129B16E6"/>
    <w:rsid w:val="12AA36D7"/>
    <w:rsid w:val="12AB56A1"/>
    <w:rsid w:val="12B26A30"/>
    <w:rsid w:val="12B44278"/>
    <w:rsid w:val="12B46E52"/>
    <w:rsid w:val="12CA2E2F"/>
    <w:rsid w:val="12CC224B"/>
    <w:rsid w:val="12D14770"/>
    <w:rsid w:val="12D469A6"/>
    <w:rsid w:val="12EE3177"/>
    <w:rsid w:val="12F157AA"/>
    <w:rsid w:val="12F41FA0"/>
    <w:rsid w:val="12FF554B"/>
    <w:rsid w:val="13001549"/>
    <w:rsid w:val="130251AE"/>
    <w:rsid w:val="13054DB2"/>
    <w:rsid w:val="13057160"/>
    <w:rsid w:val="130F5C30"/>
    <w:rsid w:val="13146573"/>
    <w:rsid w:val="1315413A"/>
    <w:rsid w:val="132711CC"/>
    <w:rsid w:val="132A68ED"/>
    <w:rsid w:val="133149E8"/>
    <w:rsid w:val="133A279F"/>
    <w:rsid w:val="133F69FE"/>
    <w:rsid w:val="134206BE"/>
    <w:rsid w:val="134C4DBA"/>
    <w:rsid w:val="134D0507"/>
    <w:rsid w:val="134F2888"/>
    <w:rsid w:val="13531754"/>
    <w:rsid w:val="13585BA4"/>
    <w:rsid w:val="1358736F"/>
    <w:rsid w:val="136046DE"/>
    <w:rsid w:val="13626B4B"/>
    <w:rsid w:val="13651A4F"/>
    <w:rsid w:val="13662F80"/>
    <w:rsid w:val="136872F5"/>
    <w:rsid w:val="137D40D3"/>
    <w:rsid w:val="1385150D"/>
    <w:rsid w:val="13897791"/>
    <w:rsid w:val="138C6532"/>
    <w:rsid w:val="138E2FF9"/>
    <w:rsid w:val="13963C5C"/>
    <w:rsid w:val="139D148E"/>
    <w:rsid w:val="13A1426D"/>
    <w:rsid w:val="13A9398F"/>
    <w:rsid w:val="13B10A95"/>
    <w:rsid w:val="13B24002"/>
    <w:rsid w:val="13C056FE"/>
    <w:rsid w:val="13C20EF5"/>
    <w:rsid w:val="13EA13E4"/>
    <w:rsid w:val="13F54E26"/>
    <w:rsid w:val="13FA068E"/>
    <w:rsid w:val="13FE4BE7"/>
    <w:rsid w:val="14005579"/>
    <w:rsid w:val="14050E3C"/>
    <w:rsid w:val="14116C8E"/>
    <w:rsid w:val="14151024"/>
    <w:rsid w:val="14161415"/>
    <w:rsid w:val="14181E06"/>
    <w:rsid w:val="1418506D"/>
    <w:rsid w:val="141D15F6"/>
    <w:rsid w:val="1423280F"/>
    <w:rsid w:val="142572C2"/>
    <w:rsid w:val="14270D58"/>
    <w:rsid w:val="143A1404"/>
    <w:rsid w:val="144B0EEA"/>
    <w:rsid w:val="144D4C62"/>
    <w:rsid w:val="144D4D3F"/>
    <w:rsid w:val="144E09DA"/>
    <w:rsid w:val="14586D49"/>
    <w:rsid w:val="145C25E1"/>
    <w:rsid w:val="146975C2"/>
    <w:rsid w:val="146A5702"/>
    <w:rsid w:val="146B1CA5"/>
    <w:rsid w:val="14730E77"/>
    <w:rsid w:val="14777F31"/>
    <w:rsid w:val="14797D4A"/>
    <w:rsid w:val="14851FAD"/>
    <w:rsid w:val="148606A9"/>
    <w:rsid w:val="148B12E6"/>
    <w:rsid w:val="148D505F"/>
    <w:rsid w:val="148E038F"/>
    <w:rsid w:val="148E215F"/>
    <w:rsid w:val="14975EDD"/>
    <w:rsid w:val="149A59CD"/>
    <w:rsid w:val="14A04937"/>
    <w:rsid w:val="14A14FAE"/>
    <w:rsid w:val="14A30D26"/>
    <w:rsid w:val="14A625C4"/>
    <w:rsid w:val="14A83BE9"/>
    <w:rsid w:val="14A979BF"/>
    <w:rsid w:val="14BD1D9B"/>
    <w:rsid w:val="14BE790E"/>
    <w:rsid w:val="14C02123"/>
    <w:rsid w:val="14D233B9"/>
    <w:rsid w:val="14D5632E"/>
    <w:rsid w:val="14E75DF4"/>
    <w:rsid w:val="14F21FBC"/>
    <w:rsid w:val="14F4706B"/>
    <w:rsid w:val="14FB46BE"/>
    <w:rsid w:val="14FF5951"/>
    <w:rsid w:val="150177FB"/>
    <w:rsid w:val="15071766"/>
    <w:rsid w:val="15080B89"/>
    <w:rsid w:val="15086BE0"/>
    <w:rsid w:val="15113EE2"/>
    <w:rsid w:val="15145780"/>
    <w:rsid w:val="1514752E"/>
    <w:rsid w:val="151A2829"/>
    <w:rsid w:val="152534E9"/>
    <w:rsid w:val="153719C2"/>
    <w:rsid w:val="153E0A4F"/>
    <w:rsid w:val="15462A7F"/>
    <w:rsid w:val="154822E9"/>
    <w:rsid w:val="15610299"/>
    <w:rsid w:val="15632263"/>
    <w:rsid w:val="156C2EC6"/>
    <w:rsid w:val="156F0D08"/>
    <w:rsid w:val="156F29B6"/>
    <w:rsid w:val="15704718"/>
    <w:rsid w:val="157306F8"/>
    <w:rsid w:val="157A1400"/>
    <w:rsid w:val="157A5582"/>
    <w:rsid w:val="157B57FF"/>
    <w:rsid w:val="1585042C"/>
    <w:rsid w:val="158A1F8C"/>
    <w:rsid w:val="158C17BA"/>
    <w:rsid w:val="15977DC9"/>
    <w:rsid w:val="159E5049"/>
    <w:rsid w:val="15A20FDE"/>
    <w:rsid w:val="15A35CD0"/>
    <w:rsid w:val="15A47815"/>
    <w:rsid w:val="15A76263"/>
    <w:rsid w:val="15B33D94"/>
    <w:rsid w:val="15B47FC3"/>
    <w:rsid w:val="15B77F45"/>
    <w:rsid w:val="15BC5B69"/>
    <w:rsid w:val="15BD3FB0"/>
    <w:rsid w:val="15BE749A"/>
    <w:rsid w:val="15C01464"/>
    <w:rsid w:val="15C75A5A"/>
    <w:rsid w:val="15DD2016"/>
    <w:rsid w:val="15DF7B3C"/>
    <w:rsid w:val="15E51DC4"/>
    <w:rsid w:val="15E57FE7"/>
    <w:rsid w:val="15E74C42"/>
    <w:rsid w:val="15E909BB"/>
    <w:rsid w:val="15EC2259"/>
    <w:rsid w:val="15EF0CF7"/>
    <w:rsid w:val="15F555B1"/>
    <w:rsid w:val="15FB24A7"/>
    <w:rsid w:val="160C28FB"/>
    <w:rsid w:val="16106088"/>
    <w:rsid w:val="16161084"/>
    <w:rsid w:val="16225C7A"/>
    <w:rsid w:val="162B4B2F"/>
    <w:rsid w:val="163C4F8E"/>
    <w:rsid w:val="163C75C3"/>
    <w:rsid w:val="164263EA"/>
    <w:rsid w:val="16591A2D"/>
    <w:rsid w:val="165F2A2B"/>
    <w:rsid w:val="166817B1"/>
    <w:rsid w:val="166B4D65"/>
    <w:rsid w:val="166E3AE2"/>
    <w:rsid w:val="1673293C"/>
    <w:rsid w:val="1675224E"/>
    <w:rsid w:val="16774218"/>
    <w:rsid w:val="167C35DD"/>
    <w:rsid w:val="16895CFA"/>
    <w:rsid w:val="168D7598"/>
    <w:rsid w:val="16902557"/>
    <w:rsid w:val="169F72CB"/>
    <w:rsid w:val="16A36C53"/>
    <w:rsid w:val="16AE40EC"/>
    <w:rsid w:val="16BB01E4"/>
    <w:rsid w:val="16BB46DD"/>
    <w:rsid w:val="16C75CA0"/>
    <w:rsid w:val="16C805D0"/>
    <w:rsid w:val="16C84A74"/>
    <w:rsid w:val="16D451C7"/>
    <w:rsid w:val="16E71CED"/>
    <w:rsid w:val="16EB6122"/>
    <w:rsid w:val="16F76470"/>
    <w:rsid w:val="17011F4B"/>
    <w:rsid w:val="170610F8"/>
    <w:rsid w:val="170E2458"/>
    <w:rsid w:val="170E273C"/>
    <w:rsid w:val="17103B3C"/>
    <w:rsid w:val="171A37D0"/>
    <w:rsid w:val="17205BBC"/>
    <w:rsid w:val="172F68A1"/>
    <w:rsid w:val="17365B01"/>
    <w:rsid w:val="17367C2F"/>
    <w:rsid w:val="174560C4"/>
    <w:rsid w:val="1752258F"/>
    <w:rsid w:val="1752433D"/>
    <w:rsid w:val="17544559"/>
    <w:rsid w:val="17591B70"/>
    <w:rsid w:val="175D57C2"/>
    <w:rsid w:val="17606A5A"/>
    <w:rsid w:val="17613439"/>
    <w:rsid w:val="1763479D"/>
    <w:rsid w:val="176C18A3"/>
    <w:rsid w:val="176E3033"/>
    <w:rsid w:val="177C13BA"/>
    <w:rsid w:val="177C760C"/>
    <w:rsid w:val="17984446"/>
    <w:rsid w:val="179C380B"/>
    <w:rsid w:val="17BB43A9"/>
    <w:rsid w:val="17C57205"/>
    <w:rsid w:val="17C601C4"/>
    <w:rsid w:val="17DA7A66"/>
    <w:rsid w:val="17E75DDF"/>
    <w:rsid w:val="17F5343B"/>
    <w:rsid w:val="17F8087D"/>
    <w:rsid w:val="180856DA"/>
    <w:rsid w:val="18092816"/>
    <w:rsid w:val="18221D6A"/>
    <w:rsid w:val="182577AE"/>
    <w:rsid w:val="18264209"/>
    <w:rsid w:val="18277578"/>
    <w:rsid w:val="182A0004"/>
    <w:rsid w:val="182B6DD0"/>
    <w:rsid w:val="182D6E6B"/>
    <w:rsid w:val="18493992"/>
    <w:rsid w:val="184C4C28"/>
    <w:rsid w:val="185245EC"/>
    <w:rsid w:val="185652D7"/>
    <w:rsid w:val="185B476E"/>
    <w:rsid w:val="18641B32"/>
    <w:rsid w:val="186D2D99"/>
    <w:rsid w:val="186E3C18"/>
    <w:rsid w:val="18700F1F"/>
    <w:rsid w:val="1876557E"/>
    <w:rsid w:val="187C3D68"/>
    <w:rsid w:val="18807753"/>
    <w:rsid w:val="1881137E"/>
    <w:rsid w:val="188744BB"/>
    <w:rsid w:val="188A386F"/>
    <w:rsid w:val="188E3A9B"/>
    <w:rsid w:val="18A961DF"/>
    <w:rsid w:val="18AE7C99"/>
    <w:rsid w:val="18B91706"/>
    <w:rsid w:val="18BE329A"/>
    <w:rsid w:val="18C43019"/>
    <w:rsid w:val="18DA283C"/>
    <w:rsid w:val="18EA0D28"/>
    <w:rsid w:val="18EB37E7"/>
    <w:rsid w:val="18EB6C5A"/>
    <w:rsid w:val="18ED431E"/>
    <w:rsid w:val="18EE0096"/>
    <w:rsid w:val="18F90F15"/>
    <w:rsid w:val="18FF22A3"/>
    <w:rsid w:val="191044B0"/>
    <w:rsid w:val="19120228"/>
    <w:rsid w:val="19137AFC"/>
    <w:rsid w:val="191C48A1"/>
    <w:rsid w:val="192D0960"/>
    <w:rsid w:val="19341070"/>
    <w:rsid w:val="193A152D"/>
    <w:rsid w:val="193A32DB"/>
    <w:rsid w:val="193B7399"/>
    <w:rsid w:val="193D5CAC"/>
    <w:rsid w:val="19441E9D"/>
    <w:rsid w:val="194A79C2"/>
    <w:rsid w:val="194C5FCF"/>
    <w:rsid w:val="194D300E"/>
    <w:rsid w:val="19516536"/>
    <w:rsid w:val="19517DCA"/>
    <w:rsid w:val="195328DA"/>
    <w:rsid w:val="19584C79"/>
    <w:rsid w:val="195A6195"/>
    <w:rsid w:val="19614D0C"/>
    <w:rsid w:val="19670574"/>
    <w:rsid w:val="196B2C61"/>
    <w:rsid w:val="196C5B8A"/>
    <w:rsid w:val="196D545F"/>
    <w:rsid w:val="197F7A75"/>
    <w:rsid w:val="198A01EB"/>
    <w:rsid w:val="199155F1"/>
    <w:rsid w:val="19924659"/>
    <w:rsid w:val="19940C3D"/>
    <w:rsid w:val="19C62172"/>
    <w:rsid w:val="19D720BD"/>
    <w:rsid w:val="19D72D8D"/>
    <w:rsid w:val="19D8536C"/>
    <w:rsid w:val="19DD33D8"/>
    <w:rsid w:val="19E74B26"/>
    <w:rsid w:val="19EA4D01"/>
    <w:rsid w:val="19EE1B35"/>
    <w:rsid w:val="19F142E2"/>
    <w:rsid w:val="19F908EC"/>
    <w:rsid w:val="19FB1BB6"/>
    <w:rsid w:val="1A0538E9"/>
    <w:rsid w:val="1A085187"/>
    <w:rsid w:val="1A0A53A3"/>
    <w:rsid w:val="1A244A84"/>
    <w:rsid w:val="1A277D03"/>
    <w:rsid w:val="1A382693"/>
    <w:rsid w:val="1A491C1E"/>
    <w:rsid w:val="1A4A39F2"/>
    <w:rsid w:val="1A5D3725"/>
    <w:rsid w:val="1A5E5234"/>
    <w:rsid w:val="1A5F27BA"/>
    <w:rsid w:val="1A621977"/>
    <w:rsid w:val="1A644AB4"/>
    <w:rsid w:val="1A670100"/>
    <w:rsid w:val="1A6745A4"/>
    <w:rsid w:val="1A8C7B66"/>
    <w:rsid w:val="1A8F1835"/>
    <w:rsid w:val="1A97168F"/>
    <w:rsid w:val="1A9A0701"/>
    <w:rsid w:val="1A9D3680"/>
    <w:rsid w:val="1A9D7FC6"/>
    <w:rsid w:val="1A9E7E4D"/>
    <w:rsid w:val="1AA03612"/>
    <w:rsid w:val="1AA63C8B"/>
    <w:rsid w:val="1AA6445B"/>
    <w:rsid w:val="1AAD645B"/>
    <w:rsid w:val="1ABB2922"/>
    <w:rsid w:val="1AC67F89"/>
    <w:rsid w:val="1AD25EC1"/>
    <w:rsid w:val="1AD500E1"/>
    <w:rsid w:val="1AD75407"/>
    <w:rsid w:val="1AD87250"/>
    <w:rsid w:val="1AE03BB8"/>
    <w:rsid w:val="1AE1028C"/>
    <w:rsid w:val="1AE479A2"/>
    <w:rsid w:val="1AE5690E"/>
    <w:rsid w:val="1AE8658F"/>
    <w:rsid w:val="1AE94FB9"/>
    <w:rsid w:val="1AF055C1"/>
    <w:rsid w:val="1AF57083"/>
    <w:rsid w:val="1B283D33"/>
    <w:rsid w:val="1B2858A7"/>
    <w:rsid w:val="1B291859"/>
    <w:rsid w:val="1B2E1F86"/>
    <w:rsid w:val="1B402F36"/>
    <w:rsid w:val="1B4D3C17"/>
    <w:rsid w:val="1B544B28"/>
    <w:rsid w:val="1B6303C8"/>
    <w:rsid w:val="1B751B6D"/>
    <w:rsid w:val="1B8E37DE"/>
    <w:rsid w:val="1B965420"/>
    <w:rsid w:val="1B970EB9"/>
    <w:rsid w:val="1BA161D5"/>
    <w:rsid w:val="1BA33762"/>
    <w:rsid w:val="1BBB0703"/>
    <w:rsid w:val="1BC91F4E"/>
    <w:rsid w:val="1BDC5123"/>
    <w:rsid w:val="1BDD2D6F"/>
    <w:rsid w:val="1BE340FE"/>
    <w:rsid w:val="1BE84129"/>
    <w:rsid w:val="1BEA0AC8"/>
    <w:rsid w:val="1BF55BDB"/>
    <w:rsid w:val="1BF632EA"/>
    <w:rsid w:val="1BF94503"/>
    <w:rsid w:val="1C00618F"/>
    <w:rsid w:val="1C0133B5"/>
    <w:rsid w:val="1C076408"/>
    <w:rsid w:val="1C0876C1"/>
    <w:rsid w:val="1C0D36D1"/>
    <w:rsid w:val="1C0F5FA9"/>
    <w:rsid w:val="1C1442B7"/>
    <w:rsid w:val="1C185B56"/>
    <w:rsid w:val="1C246B7F"/>
    <w:rsid w:val="1C312BCB"/>
    <w:rsid w:val="1C393D1E"/>
    <w:rsid w:val="1C431465"/>
    <w:rsid w:val="1C4831F8"/>
    <w:rsid w:val="1C4921B3"/>
    <w:rsid w:val="1C6F704E"/>
    <w:rsid w:val="1C822E60"/>
    <w:rsid w:val="1C83589C"/>
    <w:rsid w:val="1C8D76F3"/>
    <w:rsid w:val="1C9B0535"/>
    <w:rsid w:val="1CA218C3"/>
    <w:rsid w:val="1CB3587E"/>
    <w:rsid w:val="1CBB2985"/>
    <w:rsid w:val="1CC17F9B"/>
    <w:rsid w:val="1CD423AD"/>
    <w:rsid w:val="1CD8551B"/>
    <w:rsid w:val="1CE03816"/>
    <w:rsid w:val="1CE343B6"/>
    <w:rsid w:val="1CEC3EA0"/>
    <w:rsid w:val="1CF2284B"/>
    <w:rsid w:val="1CFF32CC"/>
    <w:rsid w:val="1D1C1676"/>
    <w:rsid w:val="1D1E3640"/>
    <w:rsid w:val="1D1F1D81"/>
    <w:rsid w:val="1D2E0228"/>
    <w:rsid w:val="1D37483E"/>
    <w:rsid w:val="1D51567D"/>
    <w:rsid w:val="1D573B70"/>
    <w:rsid w:val="1D5F1562"/>
    <w:rsid w:val="1D632E00"/>
    <w:rsid w:val="1D6372A4"/>
    <w:rsid w:val="1D6C0388"/>
    <w:rsid w:val="1D6C59C4"/>
    <w:rsid w:val="1D7019C1"/>
    <w:rsid w:val="1D702F45"/>
    <w:rsid w:val="1D70376F"/>
    <w:rsid w:val="1D725739"/>
    <w:rsid w:val="1D74361C"/>
    <w:rsid w:val="1D7B69ED"/>
    <w:rsid w:val="1D7C3EC2"/>
    <w:rsid w:val="1D860484"/>
    <w:rsid w:val="1D8B2357"/>
    <w:rsid w:val="1D8F2FBC"/>
    <w:rsid w:val="1DA05E3C"/>
    <w:rsid w:val="1DA43419"/>
    <w:rsid w:val="1DA71D65"/>
    <w:rsid w:val="1DA91785"/>
    <w:rsid w:val="1DB93368"/>
    <w:rsid w:val="1DBA49EB"/>
    <w:rsid w:val="1DC40E64"/>
    <w:rsid w:val="1DC52402"/>
    <w:rsid w:val="1DCE5D66"/>
    <w:rsid w:val="1DD844A0"/>
    <w:rsid w:val="1DDB20AB"/>
    <w:rsid w:val="1DDE7038"/>
    <w:rsid w:val="1DF27DF7"/>
    <w:rsid w:val="1DF95513"/>
    <w:rsid w:val="1DFB017A"/>
    <w:rsid w:val="1E0104EB"/>
    <w:rsid w:val="1E0C3498"/>
    <w:rsid w:val="1E116D00"/>
    <w:rsid w:val="1E1E4764"/>
    <w:rsid w:val="1E214A6A"/>
    <w:rsid w:val="1E2C5AEA"/>
    <w:rsid w:val="1E37428D"/>
    <w:rsid w:val="1E443969"/>
    <w:rsid w:val="1E477D87"/>
    <w:rsid w:val="1E4852D2"/>
    <w:rsid w:val="1E4B524B"/>
    <w:rsid w:val="1E516EE4"/>
    <w:rsid w:val="1E576CB3"/>
    <w:rsid w:val="1E6E69BD"/>
    <w:rsid w:val="1E724DE5"/>
    <w:rsid w:val="1E8636E0"/>
    <w:rsid w:val="1E9516DF"/>
    <w:rsid w:val="1E996710"/>
    <w:rsid w:val="1EA036AC"/>
    <w:rsid w:val="1EA23DFC"/>
    <w:rsid w:val="1EA338B5"/>
    <w:rsid w:val="1EA5569B"/>
    <w:rsid w:val="1EAE09F3"/>
    <w:rsid w:val="1EB065A7"/>
    <w:rsid w:val="1EB43DC9"/>
    <w:rsid w:val="1EC00DE2"/>
    <w:rsid w:val="1EC45B21"/>
    <w:rsid w:val="1EC57AEB"/>
    <w:rsid w:val="1ECB3353"/>
    <w:rsid w:val="1EDE4DC4"/>
    <w:rsid w:val="1EE14925"/>
    <w:rsid w:val="1EED1EE4"/>
    <w:rsid w:val="1EF04B68"/>
    <w:rsid w:val="1EFA3744"/>
    <w:rsid w:val="1F0028D1"/>
    <w:rsid w:val="1F023280"/>
    <w:rsid w:val="1F0758C0"/>
    <w:rsid w:val="1F0C571A"/>
    <w:rsid w:val="1F1926EB"/>
    <w:rsid w:val="1F1C1584"/>
    <w:rsid w:val="1F261A13"/>
    <w:rsid w:val="1F262A7C"/>
    <w:rsid w:val="1F2B2044"/>
    <w:rsid w:val="1F2F1E1D"/>
    <w:rsid w:val="1F3E7F66"/>
    <w:rsid w:val="1F3F00B4"/>
    <w:rsid w:val="1F425383"/>
    <w:rsid w:val="1F481D86"/>
    <w:rsid w:val="1F4F78BC"/>
    <w:rsid w:val="1F503858"/>
    <w:rsid w:val="1F5275D0"/>
    <w:rsid w:val="1F5824AE"/>
    <w:rsid w:val="1F5B2C0E"/>
    <w:rsid w:val="1F5F3A9B"/>
    <w:rsid w:val="1F6D61B8"/>
    <w:rsid w:val="1F6F7262"/>
    <w:rsid w:val="1F7D3D95"/>
    <w:rsid w:val="1F7F5EEC"/>
    <w:rsid w:val="1F953171"/>
    <w:rsid w:val="1FAC764D"/>
    <w:rsid w:val="1FB738D7"/>
    <w:rsid w:val="1FBA719F"/>
    <w:rsid w:val="1FC11FCD"/>
    <w:rsid w:val="1FCB1131"/>
    <w:rsid w:val="1FCF6A4D"/>
    <w:rsid w:val="1FD04999"/>
    <w:rsid w:val="1FD716A5"/>
    <w:rsid w:val="1FE43FA1"/>
    <w:rsid w:val="1FF17970"/>
    <w:rsid w:val="1FF24910"/>
    <w:rsid w:val="1FF41705"/>
    <w:rsid w:val="1FFB2DF5"/>
    <w:rsid w:val="20003331"/>
    <w:rsid w:val="201500DB"/>
    <w:rsid w:val="201B1684"/>
    <w:rsid w:val="201B5C14"/>
    <w:rsid w:val="201F3E2F"/>
    <w:rsid w:val="20382AA2"/>
    <w:rsid w:val="204038CD"/>
    <w:rsid w:val="20456AAD"/>
    <w:rsid w:val="20466B40"/>
    <w:rsid w:val="20566C4C"/>
    <w:rsid w:val="20573235"/>
    <w:rsid w:val="2063580D"/>
    <w:rsid w:val="20656879"/>
    <w:rsid w:val="20667770"/>
    <w:rsid w:val="206944CD"/>
    <w:rsid w:val="206C3758"/>
    <w:rsid w:val="20711CD8"/>
    <w:rsid w:val="20855784"/>
    <w:rsid w:val="208D2F8F"/>
    <w:rsid w:val="20907867"/>
    <w:rsid w:val="209B6D55"/>
    <w:rsid w:val="209F597C"/>
    <w:rsid w:val="20A0611A"/>
    <w:rsid w:val="20AC0F62"/>
    <w:rsid w:val="20AF2801"/>
    <w:rsid w:val="20C3084E"/>
    <w:rsid w:val="20CA1D82"/>
    <w:rsid w:val="20CC5161"/>
    <w:rsid w:val="20DA53AA"/>
    <w:rsid w:val="20DD55C0"/>
    <w:rsid w:val="20E93F65"/>
    <w:rsid w:val="20E95D13"/>
    <w:rsid w:val="20EC5803"/>
    <w:rsid w:val="20F31BD2"/>
    <w:rsid w:val="20FA33C3"/>
    <w:rsid w:val="21025026"/>
    <w:rsid w:val="2107521D"/>
    <w:rsid w:val="210E6B04"/>
    <w:rsid w:val="21162880"/>
    <w:rsid w:val="211F7986"/>
    <w:rsid w:val="21305207"/>
    <w:rsid w:val="21371D65"/>
    <w:rsid w:val="213E651C"/>
    <w:rsid w:val="21404409"/>
    <w:rsid w:val="21505D92"/>
    <w:rsid w:val="215313DE"/>
    <w:rsid w:val="215357D0"/>
    <w:rsid w:val="21541DD7"/>
    <w:rsid w:val="216607B4"/>
    <w:rsid w:val="21697719"/>
    <w:rsid w:val="216C3187"/>
    <w:rsid w:val="217429A0"/>
    <w:rsid w:val="217C24D4"/>
    <w:rsid w:val="21843C8D"/>
    <w:rsid w:val="218617B3"/>
    <w:rsid w:val="218D48F0"/>
    <w:rsid w:val="219367AA"/>
    <w:rsid w:val="219952FB"/>
    <w:rsid w:val="21997739"/>
    <w:rsid w:val="219D3E30"/>
    <w:rsid w:val="21A67760"/>
    <w:rsid w:val="21BF48AC"/>
    <w:rsid w:val="21CF315A"/>
    <w:rsid w:val="21D46793"/>
    <w:rsid w:val="21D544E9"/>
    <w:rsid w:val="21DB7927"/>
    <w:rsid w:val="21E309B4"/>
    <w:rsid w:val="21E46250"/>
    <w:rsid w:val="21ED7384"/>
    <w:rsid w:val="21FB3F4F"/>
    <w:rsid w:val="21FE7A00"/>
    <w:rsid w:val="22014364"/>
    <w:rsid w:val="22067F49"/>
    <w:rsid w:val="22160D89"/>
    <w:rsid w:val="221943D6"/>
    <w:rsid w:val="2228286B"/>
    <w:rsid w:val="22325F30"/>
    <w:rsid w:val="223D64BF"/>
    <w:rsid w:val="22411BFF"/>
    <w:rsid w:val="22450DA6"/>
    <w:rsid w:val="22471F8B"/>
    <w:rsid w:val="224D2894"/>
    <w:rsid w:val="225B679C"/>
    <w:rsid w:val="225D0766"/>
    <w:rsid w:val="225E215B"/>
    <w:rsid w:val="22682C67"/>
    <w:rsid w:val="226C4A29"/>
    <w:rsid w:val="22721D38"/>
    <w:rsid w:val="227D5433"/>
    <w:rsid w:val="227E248B"/>
    <w:rsid w:val="22804455"/>
    <w:rsid w:val="22884127"/>
    <w:rsid w:val="228F7203"/>
    <w:rsid w:val="229B18D4"/>
    <w:rsid w:val="229C0B63"/>
    <w:rsid w:val="229E48DB"/>
    <w:rsid w:val="22B86C4C"/>
    <w:rsid w:val="22B91715"/>
    <w:rsid w:val="22C30F5F"/>
    <w:rsid w:val="22D0247C"/>
    <w:rsid w:val="22D262E1"/>
    <w:rsid w:val="22D42010"/>
    <w:rsid w:val="22E06CA1"/>
    <w:rsid w:val="22EC3C97"/>
    <w:rsid w:val="22EF3388"/>
    <w:rsid w:val="22F10EAE"/>
    <w:rsid w:val="23024E6A"/>
    <w:rsid w:val="23034E66"/>
    <w:rsid w:val="230E2D49"/>
    <w:rsid w:val="230E380E"/>
    <w:rsid w:val="23164DB9"/>
    <w:rsid w:val="23184CB2"/>
    <w:rsid w:val="231F30D1"/>
    <w:rsid w:val="232304AB"/>
    <w:rsid w:val="232C7BC1"/>
    <w:rsid w:val="23344139"/>
    <w:rsid w:val="234F4C81"/>
    <w:rsid w:val="235249C8"/>
    <w:rsid w:val="23582CDC"/>
    <w:rsid w:val="235A6A54"/>
    <w:rsid w:val="235E5C65"/>
    <w:rsid w:val="23616DAB"/>
    <w:rsid w:val="23645B24"/>
    <w:rsid w:val="23676D68"/>
    <w:rsid w:val="23681A76"/>
    <w:rsid w:val="236A2B1E"/>
    <w:rsid w:val="23700826"/>
    <w:rsid w:val="2375388E"/>
    <w:rsid w:val="237A5348"/>
    <w:rsid w:val="2380169C"/>
    <w:rsid w:val="23852368"/>
    <w:rsid w:val="23A149B8"/>
    <w:rsid w:val="23AB66A3"/>
    <w:rsid w:val="23B37050"/>
    <w:rsid w:val="23B92818"/>
    <w:rsid w:val="23BF0FAD"/>
    <w:rsid w:val="23C6058D"/>
    <w:rsid w:val="23CC34AF"/>
    <w:rsid w:val="23D040F0"/>
    <w:rsid w:val="23D26F32"/>
    <w:rsid w:val="23E2706A"/>
    <w:rsid w:val="23E7523A"/>
    <w:rsid w:val="23E80503"/>
    <w:rsid w:val="23E97DD8"/>
    <w:rsid w:val="23F46EA8"/>
    <w:rsid w:val="23FA60C2"/>
    <w:rsid w:val="23FE3883"/>
    <w:rsid w:val="23FE7D27"/>
    <w:rsid w:val="23FF2AA1"/>
    <w:rsid w:val="24094219"/>
    <w:rsid w:val="240E5B6C"/>
    <w:rsid w:val="241035B6"/>
    <w:rsid w:val="24134E54"/>
    <w:rsid w:val="24190776"/>
    <w:rsid w:val="241A4435"/>
    <w:rsid w:val="241C01AD"/>
    <w:rsid w:val="2426102C"/>
    <w:rsid w:val="242729CD"/>
    <w:rsid w:val="242E1C8E"/>
    <w:rsid w:val="244D0366"/>
    <w:rsid w:val="244F2331"/>
    <w:rsid w:val="245060A9"/>
    <w:rsid w:val="245338FF"/>
    <w:rsid w:val="24547947"/>
    <w:rsid w:val="245C67FB"/>
    <w:rsid w:val="245F009A"/>
    <w:rsid w:val="2466767A"/>
    <w:rsid w:val="246A716A"/>
    <w:rsid w:val="246D0562"/>
    <w:rsid w:val="24747FE9"/>
    <w:rsid w:val="247858D2"/>
    <w:rsid w:val="2483022C"/>
    <w:rsid w:val="248B4649"/>
    <w:rsid w:val="249146F7"/>
    <w:rsid w:val="24940E08"/>
    <w:rsid w:val="249661B1"/>
    <w:rsid w:val="249E2B81"/>
    <w:rsid w:val="24A422EF"/>
    <w:rsid w:val="24AA708F"/>
    <w:rsid w:val="24B32869"/>
    <w:rsid w:val="24B411B0"/>
    <w:rsid w:val="24B47424"/>
    <w:rsid w:val="24BA667D"/>
    <w:rsid w:val="24C5444C"/>
    <w:rsid w:val="24C64C83"/>
    <w:rsid w:val="24CF521F"/>
    <w:rsid w:val="24D942F0"/>
    <w:rsid w:val="24DB0068"/>
    <w:rsid w:val="24DB076F"/>
    <w:rsid w:val="24E46F1D"/>
    <w:rsid w:val="24E86B3C"/>
    <w:rsid w:val="24F829C8"/>
    <w:rsid w:val="24FA29B1"/>
    <w:rsid w:val="24FC0CB6"/>
    <w:rsid w:val="24FF78ED"/>
    <w:rsid w:val="2519649B"/>
    <w:rsid w:val="25326EC0"/>
    <w:rsid w:val="25494C57"/>
    <w:rsid w:val="256304CE"/>
    <w:rsid w:val="256811AE"/>
    <w:rsid w:val="25695A7A"/>
    <w:rsid w:val="257A518B"/>
    <w:rsid w:val="258129BE"/>
    <w:rsid w:val="258C1362"/>
    <w:rsid w:val="258C3110"/>
    <w:rsid w:val="25A22B50"/>
    <w:rsid w:val="25A25B34"/>
    <w:rsid w:val="25A83A04"/>
    <w:rsid w:val="25AD66BE"/>
    <w:rsid w:val="25AF331D"/>
    <w:rsid w:val="25BA10C1"/>
    <w:rsid w:val="25BF689E"/>
    <w:rsid w:val="25D372EE"/>
    <w:rsid w:val="25DF2F2A"/>
    <w:rsid w:val="25E41A87"/>
    <w:rsid w:val="25E46AA9"/>
    <w:rsid w:val="25E64306"/>
    <w:rsid w:val="25E87C00"/>
    <w:rsid w:val="25EB7E37"/>
    <w:rsid w:val="25EC2279"/>
    <w:rsid w:val="25F34AE9"/>
    <w:rsid w:val="25F4285C"/>
    <w:rsid w:val="25F577F4"/>
    <w:rsid w:val="25FF1EF2"/>
    <w:rsid w:val="2607705C"/>
    <w:rsid w:val="2608077E"/>
    <w:rsid w:val="26085CF8"/>
    <w:rsid w:val="260A23B5"/>
    <w:rsid w:val="260E3B25"/>
    <w:rsid w:val="26105AEF"/>
    <w:rsid w:val="26252F66"/>
    <w:rsid w:val="263651A9"/>
    <w:rsid w:val="263856CF"/>
    <w:rsid w:val="26395046"/>
    <w:rsid w:val="263B21B5"/>
    <w:rsid w:val="263F7DD2"/>
    <w:rsid w:val="26532A92"/>
    <w:rsid w:val="26555BF8"/>
    <w:rsid w:val="265A320F"/>
    <w:rsid w:val="265C6F87"/>
    <w:rsid w:val="265E3E16"/>
    <w:rsid w:val="266A5ED4"/>
    <w:rsid w:val="266D2F42"/>
    <w:rsid w:val="26711414"/>
    <w:rsid w:val="267C13D7"/>
    <w:rsid w:val="26863D7D"/>
    <w:rsid w:val="26865DB2"/>
    <w:rsid w:val="26884564"/>
    <w:rsid w:val="268B33C8"/>
    <w:rsid w:val="268D5392"/>
    <w:rsid w:val="269E134D"/>
    <w:rsid w:val="26A83F7A"/>
    <w:rsid w:val="26B40B71"/>
    <w:rsid w:val="26B5091A"/>
    <w:rsid w:val="26B80978"/>
    <w:rsid w:val="26CC7C68"/>
    <w:rsid w:val="26D240E6"/>
    <w:rsid w:val="26FA337A"/>
    <w:rsid w:val="270075A9"/>
    <w:rsid w:val="27147861"/>
    <w:rsid w:val="27170727"/>
    <w:rsid w:val="271823AD"/>
    <w:rsid w:val="27202016"/>
    <w:rsid w:val="27221F7E"/>
    <w:rsid w:val="273034A2"/>
    <w:rsid w:val="273677D8"/>
    <w:rsid w:val="273D0B66"/>
    <w:rsid w:val="27430A91"/>
    <w:rsid w:val="274453CC"/>
    <w:rsid w:val="275163C0"/>
    <w:rsid w:val="27561C28"/>
    <w:rsid w:val="275639D6"/>
    <w:rsid w:val="275A34C6"/>
    <w:rsid w:val="275F6D2E"/>
    <w:rsid w:val="27624129"/>
    <w:rsid w:val="27674B5F"/>
    <w:rsid w:val="276C39AD"/>
    <w:rsid w:val="27767CC2"/>
    <w:rsid w:val="277E649B"/>
    <w:rsid w:val="277F7E86"/>
    <w:rsid w:val="27826579"/>
    <w:rsid w:val="27914A0E"/>
    <w:rsid w:val="27952750"/>
    <w:rsid w:val="279E3F73"/>
    <w:rsid w:val="27AB338E"/>
    <w:rsid w:val="27AC700D"/>
    <w:rsid w:val="27B30E28"/>
    <w:rsid w:val="27B54BA0"/>
    <w:rsid w:val="27D86AE1"/>
    <w:rsid w:val="27DC212D"/>
    <w:rsid w:val="27DF5779"/>
    <w:rsid w:val="27E40FE2"/>
    <w:rsid w:val="27EC5A7D"/>
    <w:rsid w:val="27EE1E60"/>
    <w:rsid w:val="27F154AD"/>
    <w:rsid w:val="27F232D9"/>
    <w:rsid w:val="27F23855"/>
    <w:rsid w:val="27FD2097"/>
    <w:rsid w:val="280166BC"/>
    <w:rsid w:val="280B35ED"/>
    <w:rsid w:val="2815563F"/>
    <w:rsid w:val="281C077C"/>
    <w:rsid w:val="28215D92"/>
    <w:rsid w:val="282B6C11"/>
    <w:rsid w:val="28335AC5"/>
    <w:rsid w:val="283E523E"/>
    <w:rsid w:val="284F796B"/>
    <w:rsid w:val="28616AD6"/>
    <w:rsid w:val="28636509"/>
    <w:rsid w:val="28643EC1"/>
    <w:rsid w:val="28645C52"/>
    <w:rsid w:val="286C45FB"/>
    <w:rsid w:val="286F3F95"/>
    <w:rsid w:val="287A76D5"/>
    <w:rsid w:val="2880714F"/>
    <w:rsid w:val="28956780"/>
    <w:rsid w:val="28A1297A"/>
    <w:rsid w:val="28BB2246"/>
    <w:rsid w:val="28C255A8"/>
    <w:rsid w:val="28C52679"/>
    <w:rsid w:val="28C653C1"/>
    <w:rsid w:val="28C84F87"/>
    <w:rsid w:val="28CB21A2"/>
    <w:rsid w:val="28CD34AB"/>
    <w:rsid w:val="28D21782"/>
    <w:rsid w:val="28D252DE"/>
    <w:rsid w:val="28D827FB"/>
    <w:rsid w:val="28DA1CCE"/>
    <w:rsid w:val="28F25980"/>
    <w:rsid w:val="28F811E9"/>
    <w:rsid w:val="28F96D0F"/>
    <w:rsid w:val="28FE2577"/>
    <w:rsid w:val="28FF4791"/>
    <w:rsid w:val="2905732F"/>
    <w:rsid w:val="29162E87"/>
    <w:rsid w:val="2918568A"/>
    <w:rsid w:val="29211DC2"/>
    <w:rsid w:val="29231FDE"/>
    <w:rsid w:val="292A6196"/>
    <w:rsid w:val="292E7221"/>
    <w:rsid w:val="292F0982"/>
    <w:rsid w:val="2934651F"/>
    <w:rsid w:val="294471A2"/>
    <w:rsid w:val="295638DB"/>
    <w:rsid w:val="295A5D35"/>
    <w:rsid w:val="295B0A0E"/>
    <w:rsid w:val="296447A3"/>
    <w:rsid w:val="296C128F"/>
    <w:rsid w:val="297B506E"/>
    <w:rsid w:val="29804D3A"/>
    <w:rsid w:val="29820AB2"/>
    <w:rsid w:val="29831B1F"/>
    <w:rsid w:val="2984158E"/>
    <w:rsid w:val="29875444"/>
    <w:rsid w:val="299B6018"/>
    <w:rsid w:val="299D58EC"/>
    <w:rsid w:val="29A24CB1"/>
    <w:rsid w:val="29A369D3"/>
    <w:rsid w:val="29A41A7B"/>
    <w:rsid w:val="29AC5345"/>
    <w:rsid w:val="29AD25A1"/>
    <w:rsid w:val="29B91E65"/>
    <w:rsid w:val="29C27101"/>
    <w:rsid w:val="29D51404"/>
    <w:rsid w:val="29DB01C2"/>
    <w:rsid w:val="29E1733C"/>
    <w:rsid w:val="29E277A3"/>
    <w:rsid w:val="29E4176D"/>
    <w:rsid w:val="29F23E8A"/>
    <w:rsid w:val="2A005FEE"/>
    <w:rsid w:val="2A077209"/>
    <w:rsid w:val="2A0C110B"/>
    <w:rsid w:val="2A134FAA"/>
    <w:rsid w:val="2A176B72"/>
    <w:rsid w:val="2A19197F"/>
    <w:rsid w:val="2A27165A"/>
    <w:rsid w:val="2A2C44B8"/>
    <w:rsid w:val="2A2D3DE1"/>
    <w:rsid w:val="2A3325E4"/>
    <w:rsid w:val="2A3A138D"/>
    <w:rsid w:val="2A3B2EAA"/>
    <w:rsid w:val="2A3C3357"/>
    <w:rsid w:val="2A3C4CF8"/>
    <w:rsid w:val="2A3C6EB3"/>
    <w:rsid w:val="2A3F3FE3"/>
    <w:rsid w:val="2A475858"/>
    <w:rsid w:val="2A4A283A"/>
    <w:rsid w:val="2A4B107A"/>
    <w:rsid w:val="2A4D74CC"/>
    <w:rsid w:val="2A541B7C"/>
    <w:rsid w:val="2A6603D4"/>
    <w:rsid w:val="2A6C4441"/>
    <w:rsid w:val="2A701253"/>
    <w:rsid w:val="2A8039A1"/>
    <w:rsid w:val="2A86286C"/>
    <w:rsid w:val="2A882B37"/>
    <w:rsid w:val="2A954815"/>
    <w:rsid w:val="2A956075"/>
    <w:rsid w:val="2A994305"/>
    <w:rsid w:val="2A99728E"/>
    <w:rsid w:val="2A9E13F0"/>
    <w:rsid w:val="2AA131BA"/>
    <w:rsid w:val="2AB06D3C"/>
    <w:rsid w:val="2AB7478C"/>
    <w:rsid w:val="2ABB0720"/>
    <w:rsid w:val="2ABC6246"/>
    <w:rsid w:val="2AC4736E"/>
    <w:rsid w:val="2ACB46DB"/>
    <w:rsid w:val="2ACD02F1"/>
    <w:rsid w:val="2AD6555A"/>
    <w:rsid w:val="2AD87A3C"/>
    <w:rsid w:val="2AE4125A"/>
    <w:rsid w:val="2AF754D0"/>
    <w:rsid w:val="2B0E6569"/>
    <w:rsid w:val="2B1C7541"/>
    <w:rsid w:val="2B220E50"/>
    <w:rsid w:val="2B262084"/>
    <w:rsid w:val="2B2A10F9"/>
    <w:rsid w:val="2B2E7A6E"/>
    <w:rsid w:val="2B340479"/>
    <w:rsid w:val="2B470615"/>
    <w:rsid w:val="2B473D61"/>
    <w:rsid w:val="2B4E123F"/>
    <w:rsid w:val="2B557DFC"/>
    <w:rsid w:val="2B563389"/>
    <w:rsid w:val="2B5930F6"/>
    <w:rsid w:val="2B5E72FD"/>
    <w:rsid w:val="2B620B9B"/>
    <w:rsid w:val="2B6969E4"/>
    <w:rsid w:val="2B710DDE"/>
    <w:rsid w:val="2B7B4167"/>
    <w:rsid w:val="2B7E52A9"/>
    <w:rsid w:val="2B8B19AE"/>
    <w:rsid w:val="2B944ACD"/>
    <w:rsid w:val="2B9B3C99"/>
    <w:rsid w:val="2B9D6077"/>
    <w:rsid w:val="2B9E6B73"/>
    <w:rsid w:val="2BB807BB"/>
    <w:rsid w:val="2BBB474F"/>
    <w:rsid w:val="2BC3447C"/>
    <w:rsid w:val="2BC52950"/>
    <w:rsid w:val="2BC82E31"/>
    <w:rsid w:val="2BCE7FDF"/>
    <w:rsid w:val="2BCF1FA9"/>
    <w:rsid w:val="2BD3238E"/>
    <w:rsid w:val="2BD82C0B"/>
    <w:rsid w:val="2BDE3235"/>
    <w:rsid w:val="2BDF5274"/>
    <w:rsid w:val="2BE706FB"/>
    <w:rsid w:val="2BEC2B5B"/>
    <w:rsid w:val="2BEF7F55"/>
    <w:rsid w:val="2BF47884"/>
    <w:rsid w:val="2BFF468C"/>
    <w:rsid w:val="2C0B2FE1"/>
    <w:rsid w:val="2C11436F"/>
    <w:rsid w:val="2C11611D"/>
    <w:rsid w:val="2C1166EC"/>
    <w:rsid w:val="2C1D19E3"/>
    <w:rsid w:val="2C227FDB"/>
    <w:rsid w:val="2C3753E4"/>
    <w:rsid w:val="2C3D0F42"/>
    <w:rsid w:val="2C477D91"/>
    <w:rsid w:val="2C517837"/>
    <w:rsid w:val="2C531AA1"/>
    <w:rsid w:val="2C576226"/>
    <w:rsid w:val="2C582ED4"/>
    <w:rsid w:val="2C5D1363"/>
    <w:rsid w:val="2C6B30D3"/>
    <w:rsid w:val="2C6C351A"/>
    <w:rsid w:val="2C6C77F8"/>
    <w:rsid w:val="2C715EFC"/>
    <w:rsid w:val="2C782C8F"/>
    <w:rsid w:val="2C953BB5"/>
    <w:rsid w:val="2C9A4365"/>
    <w:rsid w:val="2CA220C6"/>
    <w:rsid w:val="2CB573F1"/>
    <w:rsid w:val="2CBC077F"/>
    <w:rsid w:val="2CBF1BAC"/>
    <w:rsid w:val="2CC155F2"/>
    <w:rsid w:val="2CCA3509"/>
    <w:rsid w:val="2CCF16B0"/>
    <w:rsid w:val="2CD72EBF"/>
    <w:rsid w:val="2CEA709A"/>
    <w:rsid w:val="2CFD2B2B"/>
    <w:rsid w:val="2D026880"/>
    <w:rsid w:val="2D034995"/>
    <w:rsid w:val="2D0A56FD"/>
    <w:rsid w:val="2D0E000F"/>
    <w:rsid w:val="2D126D46"/>
    <w:rsid w:val="2D135631"/>
    <w:rsid w:val="2D177764"/>
    <w:rsid w:val="2D19172E"/>
    <w:rsid w:val="2D1934DC"/>
    <w:rsid w:val="2D23697D"/>
    <w:rsid w:val="2D25085A"/>
    <w:rsid w:val="2D2F2142"/>
    <w:rsid w:val="2D336335"/>
    <w:rsid w:val="2D3447B9"/>
    <w:rsid w:val="2D376058"/>
    <w:rsid w:val="2D3C366E"/>
    <w:rsid w:val="2D4C28FA"/>
    <w:rsid w:val="2D546BBD"/>
    <w:rsid w:val="2D63047F"/>
    <w:rsid w:val="2D6329A9"/>
    <w:rsid w:val="2D6F1743"/>
    <w:rsid w:val="2D746964"/>
    <w:rsid w:val="2D777E90"/>
    <w:rsid w:val="2D7870D1"/>
    <w:rsid w:val="2D7B269F"/>
    <w:rsid w:val="2D8568D6"/>
    <w:rsid w:val="2D9214E0"/>
    <w:rsid w:val="2D9241CB"/>
    <w:rsid w:val="2D995AF3"/>
    <w:rsid w:val="2DA10C44"/>
    <w:rsid w:val="2DA27975"/>
    <w:rsid w:val="2DA5170E"/>
    <w:rsid w:val="2DAE179C"/>
    <w:rsid w:val="2DAE631A"/>
    <w:rsid w:val="2DBB27E5"/>
    <w:rsid w:val="2DBD47AF"/>
    <w:rsid w:val="2DC0019C"/>
    <w:rsid w:val="2DC01BA9"/>
    <w:rsid w:val="2DC0604D"/>
    <w:rsid w:val="2DC07527"/>
    <w:rsid w:val="2DC53663"/>
    <w:rsid w:val="2DE00113"/>
    <w:rsid w:val="2DE500BF"/>
    <w:rsid w:val="2DE55AB4"/>
    <w:rsid w:val="2DE85862"/>
    <w:rsid w:val="2DEE2BBA"/>
    <w:rsid w:val="2DFF2DCB"/>
    <w:rsid w:val="2E0750C2"/>
    <w:rsid w:val="2E082871"/>
    <w:rsid w:val="2E113FC3"/>
    <w:rsid w:val="2E124DA6"/>
    <w:rsid w:val="2E206AEC"/>
    <w:rsid w:val="2E2959A0"/>
    <w:rsid w:val="2E2D7714"/>
    <w:rsid w:val="2E2F6D2F"/>
    <w:rsid w:val="2E35534F"/>
    <w:rsid w:val="2E382087"/>
    <w:rsid w:val="2E491276"/>
    <w:rsid w:val="2E53392F"/>
    <w:rsid w:val="2E5844D8"/>
    <w:rsid w:val="2E642E7C"/>
    <w:rsid w:val="2E666BF4"/>
    <w:rsid w:val="2E7469F2"/>
    <w:rsid w:val="2E80471D"/>
    <w:rsid w:val="2E823302"/>
    <w:rsid w:val="2E932C03"/>
    <w:rsid w:val="2E9E73C7"/>
    <w:rsid w:val="2EA15E7F"/>
    <w:rsid w:val="2EA339A5"/>
    <w:rsid w:val="2ED26A88"/>
    <w:rsid w:val="2ED74AD3"/>
    <w:rsid w:val="2EE105F2"/>
    <w:rsid w:val="2EE43FBD"/>
    <w:rsid w:val="2EF23E87"/>
    <w:rsid w:val="2EF249AD"/>
    <w:rsid w:val="2EFB3EC1"/>
    <w:rsid w:val="2EFF3C9F"/>
    <w:rsid w:val="2F072F38"/>
    <w:rsid w:val="2F0A12C3"/>
    <w:rsid w:val="2F0A1F67"/>
    <w:rsid w:val="2F11754B"/>
    <w:rsid w:val="2F1E6DE1"/>
    <w:rsid w:val="2F21593C"/>
    <w:rsid w:val="2F2300CD"/>
    <w:rsid w:val="2F2C1F2D"/>
    <w:rsid w:val="2F2D5089"/>
    <w:rsid w:val="2F2E1D76"/>
    <w:rsid w:val="2F3941E7"/>
    <w:rsid w:val="2F3A3BDD"/>
    <w:rsid w:val="2F526CA4"/>
    <w:rsid w:val="2F533BB2"/>
    <w:rsid w:val="2F5E624D"/>
    <w:rsid w:val="2F64037F"/>
    <w:rsid w:val="2F6C2548"/>
    <w:rsid w:val="2F6F436F"/>
    <w:rsid w:val="2F762E67"/>
    <w:rsid w:val="2F7C5FA4"/>
    <w:rsid w:val="2F8A6FCD"/>
    <w:rsid w:val="2F8C4439"/>
    <w:rsid w:val="2F971030"/>
    <w:rsid w:val="2F99381C"/>
    <w:rsid w:val="2F994DA8"/>
    <w:rsid w:val="2F9B467C"/>
    <w:rsid w:val="2F9E23BE"/>
    <w:rsid w:val="2FA16E92"/>
    <w:rsid w:val="2FA30687"/>
    <w:rsid w:val="2FAA2B11"/>
    <w:rsid w:val="2FAF0127"/>
    <w:rsid w:val="2FBE036A"/>
    <w:rsid w:val="2FBE65BC"/>
    <w:rsid w:val="2FDF0105"/>
    <w:rsid w:val="2FE9787F"/>
    <w:rsid w:val="2FEC1210"/>
    <w:rsid w:val="2FEC2978"/>
    <w:rsid w:val="2FF45D91"/>
    <w:rsid w:val="2FF92384"/>
    <w:rsid w:val="2FF975F4"/>
    <w:rsid w:val="2FFA4E37"/>
    <w:rsid w:val="2FFB336C"/>
    <w:rsid w:val="2FFD70E5"/>
    <w:rsid w:val="300466C5"/>
    <w:rsid w:val="30071864"/>
    <w:rsid w:val="30085A89"/>
    <w:rsid w:val="300A7A53"/>
    <w:rsid w:val="30136908"/>
    <w:rsid w:val="30137B42"/>
    <w:rsid w:val="3014442E"/>
    <w:rsid w:val="30161F54"/>
    <w:rsid w:val="30222ADC"/>
    <w:rsid w:val="303314BB"/>
    <w:rsid w:val="30372FDC"/>
    <w:rsid w:val="304069BA"/>
    <w:rsid w:val="30514255"/>
    <w:rsid w:val="305F7D9F"/>
    <w:rsid w:val="30662713"/>
    <w:rsid w:val="307056D2"/>
    <w:rsid w:val="3075538F"/>
    <w:rsid w:val="30782C0F"/>
    <w:rsid w:val="3078676B"/>
    <w:rsid w:val="307C3D1F"/>
    <w:rsid w:val="307F3F9D"/>
    <w:rsid w:val="30803872"/>
    <w:rsid w:val="30834EA8"/>
    <w:rsid w:val="309E2DC2"/>
    <w:rsid w:val="30AF7F8A"/>
    <w:rsid w:val="30C45E54"/>
    <w:rsid w:val="30C73739"/>
    <w:rsid w:val="30C916BD"/>
    <w:rsid w:val="30CA6083"/>
    <w:rsid w:val="30D53BBD"/>
    <w:rsid w:val="30DC2D0C"/>
    <w:rsid w:val="30E91164"/>
    <w:rsid w:val="30F0369B"/>
    <w:rsid w:val="30F06C49"/>
    <w:rsid w:val="30F10B66"/>
    <w:rsid w:val="30F26698"/>
    <w:rsid w:val="30F32296"/>
    <w:rsid w:val="30FC114A"/>
    <w:rsid w:val="310C0C59"/>
    <w:rsid w:val="311E5564"/>
    <w:rsid w:val="31206224"/>
    <w:rsid w:val="312863E3"/>
    <w:rsid w:val="312F7DFE"/>
    <w:rsid w:val="31305298"/>
    <w:rsid w:val="31412767"/>
    <w:rsid w:val="314825E1"/>
    <w:rsid w:val="3148438F"/>
    <w:rsid w:val="314909B3"/>
    <w:rsid w:val="314E3D6A"/>
    <w:rsid w:val="315C727B"/>
    <w:rsid w:val="315C7E3B"/>
    <w:rsid w:val="31605A6B"/>
    <w:rsid w:val="316338F1"/>
    <w:rsid w:val="31666F0B"/>
    <w:rsid w:val="31684A32"/>
    <w:rsid w:val="316B62D0"/>
    <w:rsid w:val="31745127"/>
    <w:rsid w:val="317D3DE6"/>
    <w:rsid w:val="318B24CE"/>
    <w:rsid w:val="31A31A61"/>
    <w:rsid w:val="31A43609"/>
    <w:rsid w:val="31A826C5"/>
    <w:rsid w:val="31AD1B74"/>
    <w:rsid w:val="31C53C32"/>
    <w:rsid w:val="31D60C88"/>
    <w:rsid w:val="31D6566F"/>
    <w:rsid w:val="31D9148B"/>
    <w:rsid w:val="31E85B72"/>
    <w:rsid w:val="31EA60C2"/>
    <w:rsid w:val="31F14A27"/>
    <w:rsid w:val="31F47BCD"/>
    <w:rsid w:val="31F87078"/>
    <w:rsid w:val="31F97D80"/>
    <w:rsid w:val="3200110E"/>
    <w:rsid w:val="320B7DBF"/>
    <w:rsid w:val="321D38B2"/>
    <w:rsid w:val="321D7001"/>
    <w:rsid w:val="322D1B2B"/>
    <w:rsid w:val="326D7632"/>
    <w:rsid w:val="32715771"/>
    <w:rsid w:val="327F64D7"/>
    <w:rsid w:val="328626B9"/>
    <w:rsid w:val="32892EB1"/>
    <w:rsid w:val="3289392B"/>
    <w:rsid w:val="328C29A2"/>
    <w:rsid w:val="328C2EAE"/>
    <w:rsid w:val="329C6CDA"/>
    <w:rsid w:val="32A10BAA"/>
    <w:rsid w:val="32A35E6D"/>
    <w:rsid w:val="32A67C2C"/>
    <w:rsid w:val="32AC565E"/>
    <w:rsid w:val="32AF09F4"/>
    <w:rsid w:val="32B75C71"/>
    <w:rsid w:val="32B819E9"/>
    <w:rsid w:val="32BD2D68"/>
    <w:rsid w:val="32BF0681"/>
    <w:rsid w:val="32C71C2C"/>
    <w:rsid w:val="32DB1923"/>
    <w:rsid w:val="32DB3AD9"/>
    <w:rsid w:val="32E00460"/>
    <w:rsid w:val="32EB3B6C"/>
    <w:rsid w:val="32EB6EB7"/>
    <w:rsid w:val="32EE71E8"/>
    <w:rsid w:val="32EE7231"/>
    <w:rsid w:val="32F264A5"/>
    <w:rsid w:val="32F45218"/>
    <w:rsid w:val="32F551B5"/>
    <w:rsid w:val="330E74CB"/>
    <w:rsid w:val="330F12CB"/>
    <w:rsid w:val="33154745"/>
    <w:rsid w:val="33266952"/>
    <w:rsid w:val="335A48CF"/>
    <w:rsid w:val="335C6818"/>
    <w:rsid w:val="335F00B6"/>
    <w:rsid w:val="336E3E55"/>
    <w:rsid w:val="337A5121"/>
    <w:rsid w:val="33884F17"/>
    <w:rsid w:val="338C39A2"/>
    <w:rsid w:val="338E1563"/>
    <w:rsid w:val="3390201E"/>
    <w:rsid w:val="339937E1"/>
    <w:rsid w:val="33994A92"/>
    <w:rsid w:val="339A6F51"/>
    <w:rsid w:val="33A97870"/>
    <w:rsid w:val="33AB6E58"/>
    <w:rsid w:val="33AE06F6"/>
    <w:rsid w:val="33AF6948"/>
    <w:rsid w:val="33B71CA0"/>
    <w:rsid w:val="33C072F7"/>
    <w:rsid w:val="33C11851"/>
    <w:rsid w:val="33C70135"/>
    <w:rsid w:val="33CC574C"/>
    <w:rsid w:val="33D71E67"/>
    <w:rsid w:val="33DC189A"/>
    <w:rsid w:val="33DC7D6A"/>
    <w:rsid w:val="33DD2A94"/>
    <w:rsid w:val="33DE0FDB"/>
    <w:rsid w:val="33E02FA5"/>
    <w:rsid w:val="33F46A50"/>
    <w:rsid w:val="3400304F"/>
    <w:rsid w:val="340B1E4E"/>
    <w:rsid w:val="340F388A"/>
    <w:rsid w:val="341D5FA7"/>
    <w:rsid w:val="342033A2"/>
    <w:rsid w:val="34246588"/>
    <w:rsid w:val="343230D5"/>
    <w:rsid w:val="343E1A7A"/>
    <w:rsid w:val="343E5F1E"/>
    <w:rsid w:val="34422E80"/>
    <w:rsid w:val="344572AC"/>
    <w:rsid w:val="3449206C"/>
    <w:rsid w:val="34503C7F"/>
    <w:rsid w:val="346F60D7"/>
    <w:rsid w:val="34713F61"/>
    <w:rsid w:val="347B0F20"/>
    <w:rsid w:val="348576A9"/>
    <w:rsid w:val="34897199"/>
    <w:rsid w:val="3493613F"/>
    <w:rsid w:val="34AA5361"/>
    <w:rsid w:val="34B00BC9"/>
    <w:rsid w:val="34B47F8E"/>
    <w:rsid w:val="34B55F6F"/>
    <w:rsid w:val="34BB05CA"/>
    <w:rsid w:val="34C565DC"/>
    <w:rsid w:val="34CF43D8"/>
    <w:rsid w:val="34D92ABF"/>
    <w:rsid w:val="34D96C06"/>
    <w:rsid w:val="34DB551B"/>
    <w:rsid w:val="34DD23BF"/>
    <w:rsid w:val="34DF500B"/>
    <w:rsid w:val="34E02B31"/>
    <w:rsid w:val="34E07806"/>
    <w:rsid w:val="34E628DD"/>
    <w:rsid w:val="34E6557C"/>
    <w:rsid w:val="34F14D3E"/>
    <w:rsid w:val="35066C35"/>
    <w:rsid w:val="35087EA9"/>
    <w:rsid w:val="3529097C"/>
    <w:rsid w:val="352A30EE"/>
    <w:rsid w:val="352E55FD"/>
    <w:rsid w:val="35327830"/>
    <w:rsid w:val="35330AC2"/>
    <w:rsid w:val="3553520E"/>
    <w:rsid w:val="35696FCA"/>
    <w:rsid w:val="356B2D42"/>
    <w:rsid w:val="356E6415"/>
    <w:rsid w:val="357434F0"/>
    <w:rsid w:val="35763F7D"/>
    <w:rsid w:val="35780FBB"/>
    <w:rsid w:val="357907F5"/>
    <w:rsid w:val="357A11D7"/>
    <w:rsid w:val="35825BEA"/>
    <w:rsid w:val="358309E1"/>
    <w:rsid w:val="35830A32"/>
    <w:rsid w:val="358D4A67"/>
    <w:rsid w:val="35942299"/>
    <w:rsid w:val="359F63FA"/>
    <w:rsid w:val="35A41DB0"/>
    <w:rsid w:val="35AC6A9D"/>
    <w:rsid w:val="35B217E1"/>
    <w:rsid w:val="35B5220F"/>
    <w:rsid w:val="35BD1916"/>
    <w:rsid w:val="35CB6416"/>
    <w:rsid w:val="35D97CAC"/>
    <w:rsid w:val="35E47552"/>
    <w:rsid w:val="35EF5721"/>
    <w:rsid w:val="35F42D38"/>
    <w:rsid w:val="360E3C43"/>
    <w:rsid w:val="36157F11"/>
    <w:rsid w:val="36252EF1"/>
    <w:rsid w:val="3626447C"/>
    <w:rsid w:val="3627726E"/>
    <w:rsid w:val="363C60E2"/>
    <w:rsid w:val="363E2205"/>
    <w:rsid w:val="36435A6D"/>
    <w:rsid w:val="364446E2"/>
    <w:rsid w:val="36507925"/>
    <w:rsid w:val="36517CC5"/>
    <w:rsid w:val="36526B9C"/>
    <w:rsid w:val="36614AE9"/>
    <w:rsid w:val="36637EBD"/>
    <w:rsid w:val="36733FFE"/>
    <w:rsid w:val="36767BF1"/>
    <w:rsid w:val="367B54E1"/>
    <w:rsid w:val="367C093A"/>
    <w:rsid w:val="36807657"/>
    <w:rsid w:val="36813DF9"/>
    <w:rsid w:val="368569B0"/>
    <w:rsid w:val="36914829"/>
    <w:rsid w:val="36A15F8E"/>
    <w:rsid w:val="36A302BA"/>
    <w:rsid w:val="36AC53C0"/>
    <w:rsid w:val="36BF3346"/>
    <w:rsid w:val="36C05642"/>
    <w:rsid w:val="36D30B9F"/>
    <w:rsid w:val="36E302E1"/>
    <w:rsid w:val="36E43A34"/>
    <w:rsid w:val="36E6103A"/>
    <w:rsid w:val="36F30A8E"/>
    <w:rsid w:val="36F771B3"/>
    <w:rsid w:val="370206DA"/>
    <w:rsid w:val="37074CED"/>
    <w:rsid w:val="370945C1"/>
    <w:rsid w:val="370C2303"/>
    <w:rsid w:val="370D68C1"/>
    <w:rsid w:val="370F76FD"/>
    <w:rsid w:val="37166086"/>
    <w:rsid w:val="37182E5A"/>
    <w:rsid w:val="37210F1A"/>
    <w:rsid w:val="37300115"/>
    <w:rsid w:val="37314050"/>
    <w:rsid w:val="3735042E"/>
    <w:rsid w:val="373553B6"/>
    <w:rsid w:val="374E0226"/>
    <w:rsid w:val="375A12C0"/>
    <w:rsid w:val="37660D5D"/>
    <w:rsid w:val="37683381"/>
    <w:rsid w:val="376D3F0D"/>
    <w:rsid w:val="377A101B"/>
    <w:rsid w:val="3781684D"/>
    <w:rsid w:val="37850378"/>
    <w:rsid w:val="378679C0"/>
    <w:rsid w:val="378D6FA0"/>
    <w:rsid w:val="379F6B78"/>
    <w:rsid w:val="37A60062"/>
    <w:rsid w:val="37B2058C"/>
    <w:rsid w:val="37B26A07"/>
    <w:rsid w:val="37B4581D"/>
    <w:rsid w:val="37B63C3F"/>
    <w:rsid w:val="37C10F07"/>
    <w:rsid w:val="37C2432D"/>
    <w:rsid w:val="37C34B56"/>
    <w:rsid w:val="37D22C05"/>
    <w:rsid w:val="37D41075"/>
    <w:rsid w:val="37DB0DDB"/>
    <w:rsid w:val="37EB587C"/>
    <w:rsid w:val="37F86987"/>
    <w:rsid w:val="37FA1725"/>
    <w:rsid w:val="381016A2"/>
    <w:rsid w:val="38156F95"/>
    <w:rsid w:val="382375D4"/>
    <w:rsid w:val="382D4F7C"/>
    <w:rsid w:val="382D6ADF"/>
    <w:rsid w:val="383438BF"/>
    <w:rsid w:val="38371ECB"/>
    <w:rsid w:val="383C3143"/>
    <w:rsid w:val="383E0A63"/>
    <w:rsid w:val="3846293E"/>
    <w:rsid w:val="385B0E4C"/>
    <w:rsid w:val="387355C4"/>
    <w:rsid w:val="38763ED8"/>
    <w:rsid w:val="38797524"/>
    <w:rsid w:val="387E5521"/>
    <w:rsid w:val="387E7B23"/>
    <w:rsid w:val="387F71D3"/>
    <w:rsid w:val="38806B05"/>
    <w:rsid w:val="38957FDC"/>
    <w:rsid w:val="38961E84"/>
    <w:rsid w:val="389C2CA5"/>
    <w:rsid w:val="38A72C83"/>
    <w:rsid w:val="38A94937"/>
    <w:rsid w:val="38BE641E"/>
    <w:rsid w:val="38BF6481"/>
    <w:rsid w:val="38E314DF"/>
    <w:rsid w:val="38F32FC2"/>
    <w:rsid w:val="38F54312"/>
    <w:rsid w:val="38FA68B7"/>
    <w:rsid w:val="390671C4"/>
    <w:rsid w:val="39070FD4"/>
    <w:rsid w:val="390908A8"/>
    <w:rsid w:val="390E4110"/>
    <w:rsid w:val="391E1C82"/>
    <w:rsid w:val="39262D30"/>
    <w:rsid w:val="3949409C"/>
    <w:rsid w:val="39627FB8"/>
    <w:rsid w:val="397304A4"/>
    <w:rsid w:val="39783C80"/>
    <w:rsid w:val="397F0B6A"/>
    <w:rsid w:val="398443D3"/>
    <w:rsid w:val="398542D6"/>
    <w:rsid w:val="399062E9"/>
    <w:rsid w:val="39916AF0"/>
    <w:rsid w:val="399218BB"/>
    <w:rsid w:val="39A22AAB"/>
    <w:rsid w:val="39AD3B5E"/>
    <w:rsid w:val="39CC3CED"/>
    <w:rsid w:val="39D91E4A"/>
    <w:rsid w:val="39E6508D"/>
    <w:rsid w:val="39E70C2A"/>
    <w:rsid w:val="39E82BB3"/>
    <w:rsid w:val="39EE7036"/>
    <w:rsid w:val="39F10689"/>
    <w:rsid w:val="39F14B32"/>
    <w:rsid w:val="39F84494"/>
    <w:rsid w:val="39F84B92"/>
    <w:rsid w:val="39FC665F"/>
    <w:rsid w:val="39FE2691"/>
    <w:rsid w:val="39FF6633"/>
    <w:rsid w:val="3A0F6392"/>
    <w:rsid w:val="3A105C66"/>
    <w:rsid w:val="3A190FBF"/>
    <w:rsid w:val="3A227A5C"/>
    <w:rsid w:val="3A255EE2"/>
    <w:rsid w:val="3A26548A"/>
    <w:rsid w:val="3A2C2CB0"/>
    <w:rsid w:val="3A2C7F77"/>
    <w:rsid w:val="3A325BDD"/>
    <w:rsid w:val="3A396952"/>
    <w:rsid w:val="3A3B7187"/>
    <w:rsid w:val="3A52002D"/>
    <w:rsid w:val="3A597832"/>
    <w:rsid w:val="3A6F0BDF"/>
    <w:rsid w:val="3A777A93"/>
    <w:rsid w:val="3A810D66"/>
    <w:rsid w:val="3A8723CC"/>
    <w:rsid w:val="3A8D375B"/>
    <w:rsid w:val="3A8F1281"/>
    <w:rsid w:val="3A920779"/>
    <w:rsid w:val="3A9C74FA"/>
    <w:rsid w:val="3AA20FB4"/>
    <w:rsid w:val="3AA2676F"/>
    <w:rsid w:val="3AA64A0C"/>
    <w:rsid w:val="3AA7481D"/>
    <w:rsid w:val="3AB21AFF"/>
    <w:rsid w:val="3AB80F29"/>
    <w:rsid w:val="3AC43280"/>
    <w:rsid w:val="3AC73062"/>
    <w:rsid w:val="3AC75726"/>
    <w:rsid w:val="3ACF5B21"/>
    <w:rsid w:val="3AD66EB0"/>
    <w:rsid w:val="3AD94760"/>
    <w:rsid w:val="3AE25A38"/>
    <w:rsid w:val="3AE710BD"/>
    <w:rsid w:val="3AE80991"/>
    <w:rsid w:val="3AEC39CF"/>
    <w:rsid w:val="3AF121F1"/>
    <w:rsid w:val="3B072F57"/>
    <w:rsid w:val="3B13729E"/>
    <w:rsid w:val="3B183024"/>
    <w:rsid w:val="3B1909EE"/>
    <w:rsid w:val="3B204136"/>
    <w:rsid w:val="3B225ABF"/>
    <w:rsid w:val="3B292C66"/>
    <w:rsid w:val="3B2F3D42"/>
    <w:rsid w:val="3B31502C"/>
    <w:rsid w:val="3B341131"/>
    <w:rsid w:val="3B351E28"/>
    <w:rsid w:val="3B392F9B"/>
    <w:rsid w:val="3B3F4A55"/>
    <w:rsid w:val="3B53755F"/>
    <w:rsid w:val="3B562CD8"/>
    <w:rsid w:val="3B5878C5"/>
    <w:rsid w:val="3B5C5578"/>
    <w:rsid w:val="3B7039C9"/>
    <w:rsid w:val="3B741E5F"/>
    <w:rsid w:val="3B841D62"/>
    <w:rsid w:val="3B9E4836"/>
    <w:rsid w:val="3BAA3FB1"/>
    <w:rsid w:val="3BC94BB0"/>
    <w:rsid w:val="3BCB0097"/>
    <w:rsid w:val="3BE5647B"/>
    <w:rsid w:val="3BE92C13"/>
    <w:rsid w:val="3BEC6846"/>
    <w:rsid w:val="3BF03FA1"/>
    <w:rsid w:val="3BF70E8C"/>
    <w:rsid w:val="3C0435A9"/>
    <w:rsid w:val="3C0534FC"/>
    <w:rsid w:val="3C0C59C7"/>
    <w:rsid w:val="3C0D0F79"/>
    <w:rsid w:val="3C104D46"/>
    <w:rsid w:val="3C153A08"/>
    <w:rsid w:val="3C197F5B"/>
    <w:rsid w:val="3C2165AA"/>
    <w:rsid w:val="3C277297"/>
    <w:rsid w:val="3C371BD0"/>
    <w:rsid w:val="3C3E31BC"/>
    <w:rsid w:val="3C4165AB"/>
    <w:rsid w:val="3C44609B"/>
    <w:rsid w:val="3C463BC1"/>
    <w:rsid w:val="3C5F5136"/>
    <w:rsid w:val="3C61318A"/>
    <w:rsid w:val="3C721E30"/>
    <w:rsid w:val="3C7626F9"/>
    <w:rsid w:val="3C7A0A20"/>
    <w:rsid w:val="3C7C1B76"/>
    <w:rsid w:val="3C860462"/>
    <w:rsid w:val="3C87271A"/>
    <w:rsid w:val="3CA1704A"/>
    <w:rsid w:val="3CA225C1"/>
    <w:rsid w:val="3CA30119"/>
    <w:rsid w:val="3CAF7B11"/>
    <w:rsid w:val="3CB37D85"/>
    <w:rsid w:val="3CB7061B"/>
    <w:rsid w:val="3CC416B6"/>
    <w:rsid w:val="3CD354DB"/>
    <w:rsid w:val="3CDB25F2"/>
    <w:rsid w:val="3CDD2778"/>
    <w:rsid w:val="3CDF7B9C"/>
    <w:rsid w:val="3CE21B3C"/>
    <w:rsid w:val="3CEB77A8"/>
    <w:rsid w:val="3CF44528"/>
    <w:rsid w:val="3CF61143"/>
    <w:rsid w:val="3CFC3046"/>
    <w:rsid w:val="3D033860"/>
    <w:rsid w:val="3D05582A"/>
    <w:rsid w:val="3D072E56"/>
    <w:rsid w:val="3D0E1513"/>
    <w:rsid w:val="3D0E2486"/>
    <w:rsid w:val="3D0E584C"/>
    <w:rsid w:val="3D181988"/>
    <w:rsid w:val="3D1B32A0"/>
    <w:rsid w:val="3D393726"/>
    <w:rsid w:val="3D434194"/>
    <w:rsid w:val="3D580050"/>
    <w:rsid w:val="3D5F13DF"/>
    <w:rsid w:val="3D605157"/>
    <w:rsid w:val="3D606B92"/>
    <w:rsid w:val="3D670293"/>
    <w:rsid w:val="3D8C5F4C"/>
    <w:rsid w:val="3D8F3346"/>
    <w:rsid w:val="3D932E36"/>
    <w:rsid w:val="3D9372DA"/>
    <w:rsid w:val="3D9B1CEB"/>
    <w:rsid w:val="3DAE6A74"/>
    <w:rsid w:val="3DCB25D0"/>
    <w:rsid w:val="3DCB71C7"/>
    <w:rsid w:val="3DD31485"/>
    <w:rsid w:val="3DE23DBE"/>
    <w:rsid w:val="3DEE5482"/>
    <w:rsid w:val="3DF067DF"/>
    <w:rsid w:val="3E10636B"/>
    <w:rsid w:val="3E23065E"/>
    <w:rsid w:val="3E246184"/>
    <w:rsid w:val="3E2972F7"/>
    <w:rsid w:val="3E2A15D2"/>
    <w:rsid w:val="3E2B7513"/>
    <w:rsid w:val="3E2C6DE7"/>
    <w:rsid w:val="3E334B66"/>
    <w:rsid w:val="3E371A14"/>
    <w:rsid w:val="3E4532D9"/>
    <w:rsid w:val="3E495293"/>
    <w:rsid w:val="3E4B1963"/>
    <w:rsid w:val="3E5802AE"/>
    <w:rsid w:val="3E5A1F63"/>
    <w:rsid w:val="3E6842C3"/>
    <w:rsid w:val="3E772758"/>
    <w:rsid w:val="3E857AC5"/>
    <w:rsid w:val="3E86563B"/>
    <w:rsid w:val="3E8C5AEA"/>
    <w:rsid w:val="3E946E66"/>
    <w:rsid w:val="3E976956"/>
    <w:rsid w:val="3EA64E69"/>
    <w:rsid w:val="3EA86666"/>
    <w:rsid w:val="3EAF442D"/>
    <w:rsid w:val="3EB219E2"/>
    <w:rsid w:val="3EB228A7"/>
    <w:rsid w:val="3EB72E05"/>
    <w:rsid w:val="3EC46C2D"/>
    <w:rsid w:val="3EDB477B"/>
    <w:rsid w:val="3EDE27D7"/>
    <w:rsid w:val="3EEF088A"/>
    <w:rsid w:val="3EEF4053"/>
    <w:rsid w:val="3EF50E21"/>
    <w:rsid w:val="3F0B792A"/>
    <w:rsid w:val="3F132F8C"/>
    <w:rsid w:val="3F141D55"/>
    <w:rsid w:val="3F2D0BCF"/>
    <w:rsid w:val="3F2D2E17"/>
    <w:rsid w:val="3F2F3617"/>
    <w:rsid w:val="3F3441A5"/>
    <w:rsid w:val="3F35731A"/>
    <w:rsid w:val="3F36457D"/>
    <w:rsid w:val="3F4516BE"/>
    <w:rsid w:val="3F4940F4"/>
    <w:rsid w:val="3F512FA9"/>
    <w:rsid w:val="3F56741C"/>
    <w:rsid w:val="3F6842E5"/>
    <w:rsid w:val="3F6933DE"/>
    <w:rsid w:val="3F6E4380"/>
    <w:rsid w:val="3F713F31"/>
    <w:rsid w:val="3F7B0026"/>
    <w:rsid w:val="3F7E3672"/>
    <w:rsid w:val="3F830C89"/>
    <w:rsid w:val="3F9133A5"/>
    <w:rsid w:val="3F94266F"/>
    <w:rsid w:val="3F961308"/>
    <w:rsid w:val="3F9640F6"/>
    <w:rsid w:val="3F966C0E"/>
    <w:rsid w:val="3F9B06C8"/>
    <w:rsid w:val="3F9D1D4A"/>
    <w:rsid w:val="3FA0183A"/>
    <w:rsid w:val="3FA5340F"/>
    <w:rsid w:val="3FAC6431"/>
    <w:rsid w:val="3FB11C9A"/>
    <w:rsid w:val="3FC419CD"/>
    <w:rsid w:val="3FCA4B09"/>
    <w:rsid w:val="3FCC262F"/>
    <w:rsid w:val="3FD711F9"/>
    <w:rsid w:val="3FE756BB"/>
    <w:rsid w:val="3FEC7F7B"/>
    <w:rsid w:val="3FF57DD8"/>
    <w:rsid w:val="3FF658FE"/>
    <w:rsid w:val="4009075E"/>
    <w:rsid w:val="400B2C18"/>
    <w:rsid w:val="401A5882"/>
    <w:rsid w:val="40251411"/>
    <w:rsid w:val="403A14FA"/>
    <w:rsid w:val="403D46F7"/>
    <w:rsid w:val="40414F3F"/>
    <w:rsid w:val="40473C1E"/>
    <w:rsid w:val="404B7EE0"/>
    <w:rsid w:val="404C1F33"/>
    <w:rsid w:val="404C3770"/>
    <w:rsid w:val="404D574A"/>
    <w:rsid w:val="405A5E8D"/>
    <w:rsid w:val="40711CB5"/>
    <w:rsid w:val="40730CFD"/>
    <w:rsid w:val="40741659"/>
    <w:rsid w:val="407C2996"/>
    <w:rsid w:val="40810C47"/>
    <w:rsid w:val="40864ED4"/>
    <w:rsid w:val="4087299D"/>
    <w:rsid w:val="408F1FDB"/>
    <w:rsid w:val="4091073C"/>
    <w:rsid w:val="40A23390"/>
    <w:rsid w:val="40B21825"/>
    <w:rsid w:val="40B25CC9"/>
    <w:rsid w:val="40C47D8F"/>
    <w:rsid w:val="40C8729B"/>
    <w:rsid w:val="40CA1B40"/>
    <w:rsid w:val="40D23C76"/>
    <w:rsid w:val="40D40869"/>
    <w:rsid w:val="40DD7D7F"/>
    <w:rsid w:val="40E439A9"/>
    <w:rsid w:val="40F24406"/>
    <w:rsid w:val="40FC382F"/>
    <w:rsid w:val="40FC51D3"/>
    <w:rsid w:val="410127AD"/>
    <w:rsid w:val="41056A93"/>
    <w:rsid w:val="411918A4"/>
    <w:rsid w:val="41200E85"/>
    <w:rsid w:val="412010D8"/>
    <w:rsid w:val="41203F01"/>
    <w:rsid w:val="41206E76"/>
    <w:rsid w:val="412E7D1F"/>
    <w:rsid w:val="41523008"/>
    <w:rsid w:val="41577287"/>
    <w:rsid w:val="41612949"/>
    <w:rsid w:val="41697343"/>
    <w:rsid w:val="41707162"/>
    <w:rsid w:val="41744D2D"/>
    <w:rsid w:val="41760AA5"/>
    <w:rsid w:val="4179461A"/>
    <w:rsid w:val="418341BB"/>
    <w:rsid w:val="41924A76"/>
    <w:rsid w:val="419A71E2"/>
    <w:rsid w:val="419E624E"/>
    <w:rsid w:val="41A25D3E"/>
    <w:rsid w:val="41B4781F"/>
    <w:rsid w:val="41CD0927"/>
    <w:rsid w:val="41CD1972"/>
    <w:rsid w:val="41EC62A2"/>
    <w:rsid w:val="41F06AA9"/>
    <w:rsid w:val="41F615B1"/>
    <w:rsid w:val="41FB36A0"/>
    <w:rsid w:val="42022339"/>
    <w:rsid w:val="42065843"/>
    <w:rsid w:val="42073406"/>
    <w:rsid w:val="420B2C27"/>
    <w:rsid w:val="42102858"/>
    <w:rsid w:val="421502BE"/>
    <w:rsid w:val="42156790"/>
    <w:rsid w:val="421B1126"/>
    <w:rsid w:val="421E35FA"/>
    <w:rsid w:val="421F2EEA"/>
    <w:rsid w:val="42204EB5"/>
    <w:rsid w:val="42207E58"/>
    <w:rsid w:val="42360369"/>
    <w:rsid w:val="423821FE"/>
    <w:rsid w:val="423A28B3"/>
    <w:rsid w:val="424B5EA6"/>
    <w:rsid w:val="424C5CAA"/>
    <w:rsid w:val="424E7A14"/>
    <w:rsid w:val="4250579A"/>
    <w:rsid w:val="42516385"/>
    <w:rsid w:val="42574D74"/>
    <w:rsid w:val="42697163"/>
    <w:rsid w:val="426D5A4D"/>
    <w:rsid w:val="427768A8"/>
    <w:rsid w:val="427C5AD6"/>
    <w:rsid w:val="427D5E63"/>
    <w:rsid w:val="42836415"/>
    <w:rsid w:val="42870A90"/>
    <w:rsid w:val="42894808"/>
    <w:rsid w:val="42896807"/>
    <w:rsid w:val="428D3359"/>
    <w:rsid w:val="428D59B1"/>
    <w:rsid w:val="429531AD"/>
    <w:rsid w:val="42B42D3F"/>
    <w:rsid w:val="42B53F80"/>
    <w:rsid w:val="42B71375"/>
    <w:rsid w:val="42C121F4"/>
    <w:rsid w:val="42C70B2E"/>
    <w:rsid w:val="42C817D4"/>
    <w:rsid w:val="42CA25B3"/>
    <w:rsid w:val="42CE66BF"/>
    <w:rsid w:val="42D77C69"/>
    <w:rsid w:val="42D96093"/>
    <w:rsid w:val="42E04750"/>
    <w:rsid w:val="42E47C90"/>
    <w:rsid w:val="42E934F8"/>
    <w:rsid w:val="42F12588"/>
    <w:rsid w:val="42FA2274"/>
    <w:rsid w:val="43073CDD"/>
    <w:rsid w:val="43093658"/>
    <w:rsid w:val="430D368B"/>
    <w:rsid w:val="43195B8C"/>
    <w:rsid w:val="431B2DBD"/>
    <w:rsid w:val="431C0D7B"/>
    <w:rsid w:val="431C182F"/>
    <w:rsid w:val="4320610A"/>
    <w:rsid w:val="432E436D"/>
    <w:rsid w:val="43456981"/>
    <w:rsid w:val="435272F0"/>
    <w:rsid w:val="436239D7"/>
    <w:rsid w:val="436332AB"/>
    <w:rsid w:val="43643B10"/>
    <w:rsid w:val="436921A8"/>
    <w:rsid w:val="436C3313"/>
    <w:rsid w:val="43721740"/>
    <w:rsid w:val="43727992"/>
    <w:rsid w:val="437D5D58"/>
    <w:rsid w:val="437E6485"/>
    <w:rsid w:val="43856121"/>
    <w:rsid w:val="43893EEA"/>
    <w:rsid w:val="43922714"/>
    <w:rsid w:val="439715A4"/>
    <w:rsid w:val="43996CCD"/>
    <w:rsid w:val="43A63197"/>
    <w:rsid w:val="43AC2F12"/>
    <w:rsid w:val="43B34232"/>
    <w:rsid w:val="43B753A5"/>
    <w:rsid w:val="43B75D8E"/>
    <w:rsid w:val="43BA2939"/>
    <w:rsid w:val="43BD26D0"/>
    <w:rsid w:val="43CB31A3"/>
    <w:rsid w:val="43D30430"/>
    <w:rsid w:val="43DE6DD5"/>
    <w:rsid w:val="43EC7BBD"/>
    <w:rsid w:val="43EE0868"/>
    <w:rsid w:val="43F23A9B"/>
    <w:rsid w:val="43F65ECD"/>
    <w:rsid w:val="44093E52"/>
    <w:rsid w:val="44094FB1"/>
    <w:rsid w:val="440E5F07"/>
    <w:rsid w:val="440F253D"/>
    <w:rsid w:val="441A0B58"/>
    <w:rsid w:val="44224F14"/>
    <w:rsid w:val="44240C5F"/>
    <w:rsid w:val="442E1B0B"/>
    <w:rsid w:val="44306094"/>
    <w:rsid w:val="44323EF7"/>
    <w:rsid w:val="44482933"/>
    <w:rsid w:val="44494453"/>
    <w:rsid w:val="44496945"/>
    <w:rsid w:val="444C1F91"/>
    <w:rsid w:val="445552E9"/>
    <w:rsid w:val="445E2B4B"/>
    <w:rsid w:val="446D3C46"/>
    <w:rsid w:val="446E4881"/>
    <w:rsid w:val="44737C33"/>
    <w:rsid w:val="4476348F"/>
    <w:rsid w:val="447A7EF9"/>
    <w:rsid w:val="447E358A"/>
    <w:rsid w:val="448406E7"/>
    <w:rsid w:val="44853264"/>
    <w:rsid w:val="44854DD9"/>
    <w:rsid w:val="44872C23"/>
    <w:rsid w:val="448D527D"/>
    <w:rsid w:val="44911962"/>
    <w:rsid w:val="44986F84"/>
    <w:rsid w:val="44B85878"/>
    <w:rsid w:val="44C10289"/>
    <w:rsid w:val="44C5157E"/>
    <w:rsid w:val="44D3620E"/>
    <w:rsid w:val="44E06CD9"/>
    <w:rsid w:val="44E10F13"/>
    <w:rsid w:val="44E64FF7"/>
    <w:rsid w:val="44ED5522"/>
    <w:rsid w:val="44FA7C3F"/>
    <w:rsid w:val="45050ABD"/>
    <w:rsid w:val="450A0B8C"/>
    <w:rsid w:val="451707F1"/>
    <w:rsid w:val="452E65BE"/>
    <w:rsid w:val="45501F6F"/>
    <w:rsid w:val="455414DA"/>
    <w:rsid w:val="455455A1"/>
    <w:rsid w:val="455563C2"/>
    <w:rsid w:val="455A2DAB"/>
    <w:rsid w:val="455B692F"/>
    <w:rsid w:val="45611A6C"/>
    <w:rsid w:val="456176C1"/>
    <w:rsid w:val="456655E8"/>
    <w:rsid w:val="45695656"/>
    <w:rsid w:val="45707244"/>
    <w:rsid w:val="45742273"/>
    <w:rsid w:val="4578573D"/>
    <w:rsid w:val="45796B78"/>
    <w:rsid w:val="4580164A"/>
    <w:rsid w:val="459342AB"/>
    <w:rsid w:val="45992FB4"/>
    <w:rsid w:val="459A4D4A"/>
    <w:rsid w:val="45A41C24"/>
    <w:rsid w:val="45AB46F9"/>
    <w:rsid w:val="45AC0F39"/>
    <w:rsid w:val="45B17BBA"/>
    <w:rsid w:val="45B704AF"/>
    <w:rsid w:val="45B97FA0"/>
    <w:rsid w:val="45BE5E98"/>
    <w:rsid w:val="45CD7101"/>
    <w:rsid w:val="45D67D64"/>
    <w:rsid w:val="45DC0E76"/>
    <w:rsid w:val="45DF42F9"/>
    <w:rsid w:val="45EA6180"/>
    <w:rsid w:val="45F823D0"/>
    <w:rsid w:val="45FE5A3E"/>
    <w:rsid w:val="46061963"/>
    <w:rsid w:val="460C7C2A"/>
    <w:rsid w:val="460F70C6"/>
    <w:rsid w:val="46195EA3"/>
    <w:rsid w:val="461D4A07"/>
    <w:rsid w:val="46274002"/>
    <w:rsid w:val="46310686"/>
    <w:rsid w:val="463812FF"/>
    <w:rsid w:val="464253F9"/>
    <w:rsid w:val="464A0752"/>
    <w:rsid w:val="464A0A0A"/>
    <w:rsid w:val="464B186C"/>
    <w:rsid w:val="464F5D68"/>
    <w:rsid w:val="465D6645"/>
    <w:rsid w:val="46607F75"/>
    <w:rsid w:val="4670381D"/>
    <w:rsid w:val="4670640B"/>
    <w:rsid w:val="46713F31"/>
    <w:rsid w:val="4672499B"/>
    <w:rsid w:val="467673FF"/>
    <w:rsid w:val="46794035"/>
    <w:rsid w:val="4682613E"/>
    <w:rsid w:val="46853538"/>
    <w:rsid w:val="469126F9"/>
    <w:rsid w:val="4693236E"/>
    <w:rsid w:val="4695798A"/>
    <w:rsid w:val="46A566FE"/>
    <w:rsid w:val="46A850FA"/>
    <w:rsid w:val="46AD1794"/>
    <w:rsid w:val="46B67B95"/>
    <w:rsid w:val="46BC5657"/>
    <w:rsid w:val="46C422B2"/>
    <w:rsid w:val="46C97C8E"/>
    <w:rsid w:val="46CC30CE"/>
    <w:rsid w:val="46D30747"/>
    <w:rsid w:val="46D6226D"/>
    <w:rsid w:val="46D64098"/>
    <w:rsid w:val="46DC6353"/>
    <w:rsid w:val="46E26BDC"/>
    <w:rsid w:val="46E51A75"/>
    <w:rsid w:val="46EC463D"/>
    <w:rsid w:val="46F661E4"/>
    <w:rsid w:val="46F97F24"/>
    <w:rsid w:val="46FC1F6D"/>
    <w:rsid w:val="47014EEE"/>
    <w:rsid w:val="470807F1"/>
    <w:rsid w:val="47083A89"/>
    <w:rsid w:val="470E5B90"/>
    <w:rsid w:val="47102637"/>
    <w:rsid w:val="4712572F"/>
    <w:rsid w:val="471843AC"/>
    <w:rsid w:val="471F1BDF"/>
    <w:rsid w:val="472E3BD0"/>
    <w:rsid w:val="47520791"/>
    <w:rsid w:val="4754629C"/>
    <w:rsid w:val="47571378"/>
    <w:rsid w:val="477041E8"/>
    <w:rsid w:val="4777055B"/>
    <w:rsid w:val="477760ED"/>
    <w:rsid w:val="478702B3"/>
    <w:rsid w:val="478A34FC"/>
    <w:rsid w:val="478A6C62"/>
    <w:rsid w:val="478B1CFB"/>
    <w:rsid w:val="478D5460"/>
    <w:rsid w:val="478E5292"/>
    <w:rsid w:val="47943DC7"/>
    <w:rsid w:val="479779C7"/>
    <w:rsid w:val="479E6FA7"/>
    <w:rsid w:val="47A212F2"/>
    <w:rsid w:val="47AA14A8"/>
    <w:rsid w:val="47BC5113"/>
    <w:rsid w:val="47CA56A6"/>
    <w:rsid w:val="47D70DCE"/>
    <w:rsid w:val="47E50732"/>
    <w:rsid w:val="47E66D6E"/>
    <w:rsid w:val="47E726FC"/>
    <w:rsid w:val="47E86474"/>
    <w:rsid w:val="47F210A1"/>
    <w:rsid w:val="47F24BFD"/>
    <w:rsid w:val="47F54C8F"/>
    <w:rsid w:val="47F711E9"/>
    <w:rsid w:val="47F941DE"/>
    <w:rsid w:val="47FA23A1"/>
    <w:rsid w:val="48052B82"/>
    <w:rsid w:val="4808425A"/>
    <w:rsid w:val="4813679C"/>
    <w:rsid w:val="481608EC"/>
    <w:rsid w:val="481729E6"/>
    <w:rsid w:val="48284AC3"/>
    <w:rsid w:val="482C76F8"/>
    <w:rsid w:val="482F19AD"/>
    <w:rsid w:val="48382F58"/>
    <w:rsid w:val="4839019A"/>
    <w:rsid w:val="484336AB"/>
    <w:rsid w:val="48433859"/>
    <w:rsid w:val="484C07B1"/>
    <w:rsid w:val="484F70DD"/>
    <w:rsid w:val="48593316"/>
    <w:rsid w:val="485C6422"/>
    <w:rsid w:val="486378A9"/>
    <w:rsid w:val="4866027A"/>
    <w:rsid w:val="48662482"/>
    <w:rsid w:val="487543F1"/>
    <w:rsid w:val="487815A6"/>
    <w:rsid w:val="48837E5F"/>
    <w:rsid w:val="488B752C"/>
    <w:rsid w:val="48920E52"/>
    <w:rsid w:val="489B7043"/>
    <w:rsid w:val="48B501E6"/>
    <w:rsid w:val="48B620CF"/>
    <w:rsid w:val="48B904FC"/>
    <w:rsid w:val="48BC1269"/>
    <w:rsid w:val="48BF5427"/>
    <w:rsid w:val="48C20A74"/>
    <w:rsid w:val="48CC6426"/>
    <w:rsid w:val="48CE566A"/>
    <w:rsid w:val="48D3271B"/>
    <w:rsid w:val="48D72771"/>
    <w:rsid w:val="48DD2945"/>
    <w:rsid w:val="48E649CB"/>
    <w:rsid w:val="48EA3B26"/>
    <w:rsid w:val="48EA4470"/>
    <w:rsid w:val="49051EDD"/>
    <w:rsid w:val="490C7F41"/>
    <w:rsid w:val="4910358D"/>
    <w:rsid w:val="49170DBF"/>
    <w:rsid w:val="49266FD1"/>
    <w:rsid w:val="49283400"/>
    <w:rsid w:val="493F0316"/>
    <w:rsid w:val="49431BB4"/>
    <w:rsid w:val="494B470E"/>
    <w:rsid w:val="494D47E1"/>
    <w:rsid w:val="495E69EE"/>
    <w:rsid w:val="495F4578"/>
    <w:rsid w:val="495F62C2"/>
    <w:rsid w:val="496138B2"/>
    <w:rsid w:val="49725FF6"/>
    <w:rsid w:val="497D499A"/>
    <w:rsid w:val="498547FD"/>
    <w:rsid w:val="499E503D"/>
    <w:rsid w:val="49A119C8"/>
    <w:rsid w:val="49A413B0"/>
    <w:rsid w:val="49B15DE6"/>
    <w:rsid w:val="49B605D8"/>
    <w:rsid w:val="49B77EAC"/>
    <w:rsid w:val="49B94FD7"/>
    <w:rsid w:val="49C36851"/>
    <w:rsid w:val="49C54322"/>
    <w:rsid w:val="49C8030C"/>
    <w:rsid w:val="49CA53E3"/>
    <w:rsid w:val="49D8573E"/>
    <w:rsid w:val="49D94502"/>
    <w:rsid w:val="49E04860"/>
    <w:rsid w:val="49EB1D66"/>
    <w:rsid w:val="49ED0201"/>
    <w:rsid w:val="49EE0E05"/>
    <w:rsid w:val="49F708E2"/>
    <w:rsid w:val="49F92273"/>
    <w:rsid w:val="4A0C18D0"/>
    <w:rsid w:val="4A0D21C2"/>
    <w:rsid w:val="4A0D3F70"/>
    <w:rsid w:val="4A1C51A2"/>
    <w:rsid w:val="4A1E7F2C"/>
    <w:rsid w:val="4A24074A"/>
    <w:rsid w:val="4A275658"/>
    <w:rsid w:val="4A325AAF"/>
    <w:rsid w:val="4A3A309A"/>
    <w:rsid w:val="4A3C03A3"/>
    <w:rsid w:val="4A3F4193"/>
    <w:rsid w:val="4A4240D1"/>
    <w:rsid w:val="4A44648C"/>
    <w:rsid w:val="4A462A1C"/>
    <w:rsid w:val="4A4756D4"/>
    <w:rsid w:val="4A4A2ACF"/>
    <w:rsid w:val="4A4F56BD"/>
    <w:rsid w:val="4A506CF6"/>
    <w:rsid w:val="4A527BD5"/>
    <w:rsid w:val="4A5676C5"/>
    <w:rsid w:val="4A5B1DCC"/>
    <w:rsid w:val="4A6D5CB4"/>
    <w:rsid w:val="4A821EC1"/>
    <w:rsid w:val="4A862966"/>
    <w:rsid w:val="4A8A736F"/>
    <w:rsid w:val="4A8B6CBC"/>
    <w:rsid w:val="4A8F234C"/>
    <w:rsid w:val="4AB32C9D"/>
    <w:rsid w:val="4AB42243"/>
    <w:rsid w:val="4AB50890"/>
    <w:rsid w:val="4AB60164"/>
    <w:rsid w:val="4AB746EB"/>
    <w:rsid w:val="4ABA40F8"/>
    <w:rsid w:val="4ABD3CCB"/>
    <w:rsid w:val="4ABD7744"/>
    <w:rsid w:val="4AC24D5B"/>
    <w:rsid w:val="4AD37D8B"/>
    <w:rsid w:val="4AD5073A"/>
    <w:rsid w:val="4AD607FC"/>
    <w:rsid w:val="4AE41175"/>
    <w:rsid w:val="4AE66C9B"/>
    <w:rsid w:val="4AE74533"/>
    <w:rsid w:val="4AE91D2D"/>
    <w:rsid w:val="4AF15640"/>
    <w:rsid w:val="4AF62C56"/>
    <w:rsid w:val="4AFA05B9"/>
    <w:rsid w:val="4B1530DD"/>
    <w:rsid w:val="4B21533E"/>
    <w:rsid w:val="4B242807"/>
    <w:rsid w:val="4B2B0B52"/>
    <w:rsid w:val="4B2C48CA"/>
    <w:rsid w:val="4B2E0642"/>
    <w:rsid w:val="4B2E4FD6"/>
    <w:rsid w:val="4B375749"/>
    <w:rsid w:val="4B494797"/>
    <w:rsid w:val="4B4B7123"/>
    <w:rsid w:val="4B5350DC"/>
    <w:rsid w:val="4B5C3269"/>
    <w:rsid w:val="4B5E25F6"/>
    <w:rsid w:val="4B6040EC"/>
    <w:rsid w:val="4B614574"/>
    <w:rsid w:val="4B6202EC"/>
    <w:rsid w:val="4B6C46F2"/>
    <w:rsid w:val="4B7122DD"/>
    <w:rsid w:val="4B75001F"/>
    <w:rsid w:val="4B7A02C4"/>
    <w:rsid w:val="4B8244EA"/>
    <w:rsid w:val="4B8569B3"/>
    <w:rsid w:val="4B8A1D1C"/>
    <w:rsid w:val="4B9366F7"/>
    <w:rsid w:val="4B97736E"/>
    <w:rsid w:val="4B9D192E"/>
    <w:rsid w:val="4BA44460"/>
    <w:rsid w:val="4BA56E78"/>
    <w:rsid w:val="4BA95F1B"/>
    <w:rsid w:val="4BAC43BE"/>
    <w:rsid w:val="4BAD5EA2"/>
    <w:rsid w:val="4BBA1ED6"/>
    <w:rsid w:val="4BC23A23"/>
    <w:rsid w:val="4BC374B4"/>
    <w:rsid w:val="4BC76A5A"/>
    <w:rsid w:val="4BCB68BF"/>
    <w:rsid w:val="4BCD7E5B"/>
    <w:rsid w:val="4BD302E8"/>
    <w:rsid w:val="4BD5007F"/>
    <w:rsid w:val="4BDC009E"/>
    <w:rsid w:val="4BE01229"/>
    <w:rsid w:val="4BE60F1D"/>
    <w:rsid w:val="4BFE3B77"/>
    <w:rsid w:val="4C071E26"/>
    <w:rsid w:val="4C147838"/>
    <w:rsid w:val="4C215AB1"/>
    <w:rsid w:val="4C247A19"/>
    <w:rsid w:val="4C247D3C"/>
    <w:rsid w:val="4C325F10"/>
    <w:rsid w:val="4C3C0B3D"/>
    <w:rsid w:val="4C43011D"/>
    <w:rsid w:val="4C4540DB"/>
    <w:rsid w:val="4C486B77"/>
    <w:rsid w:val="4C4B296A"/>
    <w:rsid w:val="4C5A101C"/>
    <w:rsid w:val="4C5B6504"/>
    <w:rsid w:val="4C5E4F57"/>
    <w:rsid w:val="4C6856E3"/>
    <w:rsid w:val="4C6D519A"/>
    <w:rsid w:val="4C72136E"/>
    <w:rsid w:val="4C7622A1"/>
    <w:rsid w:val="4C7B4735"/>
    <w:rsid w:val="4C8D56F4"/>
    <w:rsid w:val="4C974A32"/>
    <w:rsid w:val="4C9B5863"/>
    <w:rsid w:val="4C9C78B8"/>
    <w:rsid w:val="4C9D528B"/>
    <w:rsid w:val="4CA87AFB"/>
    <w:rsid w:val="4CAE1754"/>
    <w:rsid w:val="4CB132D9"/>
    <w:rsid w:val="4CB44B77"/>
    <w:rsid w:val="4CB608EF"/>
    <w:rsid w:val="4CC439AA"/>
    <w:rsid w:val="4CC67153"/>
    <w:rsid w:val="4CD118BB"/>
    <w:rsid w:val="4CE25B8C"/>
    <w:rsid w:val="4CEA4E01"/>
    <w:rsid w:val="4CEE5EDB"/>
    <w:rsid w:val="4CF308FD"/>
    <w:rsid w:val="4CF772A6"/>
    <w:rsid w:val="4CFB6302"/>
    <w:rsid w:val="4D0553D3"/>
    <w:rsid w:val="4D0A0D72"/>
    <w:rsid w:val="4D105EC6"/>
    <w:rsid w:val="4D1B69A4"/>
    <w:rsid w:val="4D245859"/>
    <w:rsid w:val="4D253BFA"/>
    <w:rsid w:val="4D265A75"/>
    <w:rsid w:val="4D27359B"/>
    <w:rsid w:val="4D2A6BE7"/>
    <w:rsid w:val="4D2C6E03"/>
    <w:rsid w:val="4D384F52"/>
    <w:rsid w:val="4D387820"/>
    <w:rsid w:val="4D453A21"/>
    <w:rsid w:val="4D461C73"/>
    <w:rsid w:val="4D46516E"/>
    <w:rsid w:val="4D491763"/>
    <w:rsid w:val="4D4B54DB"/>
    <w:rsid w:val="4D4E28D6"/>
    <w:rsid w:val="4D563357"/>
    <w:rsid w:val="4D61085B"/>
    <w:rsid w:val="4D665E71"/>
    <w:rsid w:val="4D7762D0"/>
    <w:rsid w:val="4D7A3023"/>
    <w:rsid w:val="4D7D0D8F"/>
    <w:rsid w:val="4D7F6F33"/>
    <w:rsid w:val="4D861B7F"/>
    <w:rsid w:val="4D8B1D7C"/>
    <w:rsid w:val="4D8F06C7"/>
    <w:rsid w:val="4D8F0905"/>
    <w:rsid w:val="4DA42E3E"/>
    <w:rsid w:val="4DA62712"/>
    <w:rsid w:val="4DA70C69"/>
    <w:rsid w:val="4DA94384"/>
    <w:rsid w:val="4DC91F90"/>
    <w:rsid w:val="4DCE3A17"/>
    <w:rsid w:val="4DD03C33"/>
    <w:rsid w:val="4DD179CE"/>
    <w:rsid w:val="4DE17BEE"/>
    <w:rsid w:val="4DE516EF"/>
    <w:rsid w:val="4DE52EBC"/>
    <w:rsid w:val="4DE65204"/>
    <w:rsid w:val="4DEB2042"/>
    <w:rsid w:val="4DEC5B93"/>
    <w:rsid w:val="4DF94F37"/>
    <w:rsid w:val="4DFB6352"/>
    <w:rsid w:val="4E0538DC"/>
    <w:rsid w:val="4E061402"/>
    <w:rsid w:val="4E1738D6"/>
    <w:rsid w:val="4E2B70BB"/>
    <w:rsid w:val="4E2D698F"/>
    <w:rsid w:val="4E2F14F5"/>
    <w:rsid w:val="4E2F6BAB"/>
    <w:rsid w:val="4E387F47"/>
    <w:rsid w:val="4E3E0B9C"/>
    <w:rsid w:val="4E3E6DEE"/>
    <w:rsid w:val="4E3F065B"/>
    <w:rsid w:val="4E402B66"/>
    <w:rsid w:val="4E434405"/>
    <w:rsid w:val="4E445130"/>
    <w:rsid w:val="4E454F72"/>
    <w:rsid w:val="4E4E36A2"/>
    <w:rsid w:val="4E4F1CA6"/>
    <w:rsid w:val="4E54211C"/>
    <w:rsid w:val="4E5E4D9B"/>
    <w:rsid w:val="4E5F11B0"/>
    <w:rsid w:val="4E6E7455"/>
    <w:rsid w:val="4E704ADB"/>
    <w:rsid w:val="4E720B24"/>
    <w:rsid w:val="4E724CEA"/>
    <w:rsid w:val="4E784081"/>
    <w:rsid w:val="4E784442"/>
    <w:rsid w:val="4E787E62"/>
    <w:rsid w:val="4E922C96"/>
    <w:rsid w:val="4E9A06DB"/>
    <w:rsid w:val="4EA81A7A"/>
    <w:rsid w:val="4EBA1E1E"/>
    <w:rsid w:val="4EBE1CDD"/>
    <w:rsid w:val="4EC2357B"/>
    <w:rsid w:val="4EC518D6"/>
    <w:rsid w:val="4EC71589"/>
    <w:rsid w:val="4ED212E5"/>
    <w:rsid w:val="4ED366C7"/>
    <w:rsid w:val="4ED43358"/>
    <w:rsid w:val="4ED96B17"/>
    <w:rsid w:val="4EDB71C6"/>
    <w:rsid w:val="4EE07EA5"/>
    <w:rsid w:val="4EE474A5"/>
    <w:rsid w:val="4EE7471F"/>
    <w:rsid w:val="4EFA0F67"/>
    <w:rsid w:val="4EFB62DE"/>
    <w:rsid w:val="4EFC6556"/>
    <w:rsid w:val="4F165BC2"/>
    <w:rsid w:val="4F1A1B6C"/>
    <w:rsid w:val="4F22226C"/>
    <w:rsid w:val="4F2953A8"/>
    <w:rsid w:val="4F3F4F4B"/>
    <w:rsid w:val="4F453D41"/>
    <w:rsid w:val="4F473A81"/>
    <w:rsid w:val="4F564290"/>
    <w:rsid w:val="4F565B5C"/>
    <w:rsid w:val="4F573B8F"/>
    <w:rsid w:val="4F5D1E0D"/>
    <w:rsid w:val="4F6129E1"/>
    <w:rsid w:val="4F66068E"/>
    <w:rsid w:val="4F684573"/>
    <w:rsid w:val="4F743063"/>
    <w:rsid w:val="4F79125F"/>
    <w:rsid w:val="4F7F46A4"/>
    <w:rsid w:val="4F83463B"/>
    <w:rsid w:val="4F8D1DDB"/>
    <w:rsid w:val="4F90367A"/>
    <w:rsid w:val="4F91547C"/>
    <w:rsid w:val="4F943823"/>
    <w:rsid w:val="4F996CEF"/>
    <w:rsid w:val="4F9A0D8E"/>
    <w:rsid w:val="4FA445A2"/>
    <w:rsid w:val="4FAA18A4"/>
    <w:rsid w:val="4FB84F4B"/>
    <w:rsid w:val="4FBB7FCB"/>
    <w:rsid w:val="4FC328F2"/>
    <w:rsid w:val="4FC614C9"/>
    <w:rsid w:val="4FE87012"/>
    <w:rsid w:val="4FF33A72"/>
    <w:rsid w:val="4FF652DA"/>
    <w:rsid w:val="4FFB491C"/>
    <w:rsid w:val="4FFC0D0F"/>
    <w:rsid w:val="500D20D1"/>
    <w:rsid w:val="500F2DC6"/>
    <w:rsid w:val="5019366F"/>
    <w:rsid w:val="502A594E"/>
    <w:rsid w:val="50362CDE"/>
    <w:rsid w:val="503B4BE7"/>
    <w:rsid w:val="503C55AF"/>
    <w:rsid w:val="503F29AA"/>
    <w:rsid w:val="50440FED"/>
    <w:rsid w:val="504753FB"/>
    <w:rsid w:val="504B1842"/>
    <w:rsid w:val="50502E09"/>
    <w:rsid w:val="50505353"/>
    <w:rsid w:val="50642410"/>
    <w:rsid w:val="506B19F1"/>
    <w:rsid w:val="506D0C1C"/>
    <w:rsid w:val="507B60D8"/>
    <w:rsid w:val="5087231F"/>
    <w:rsid w:val="50962F12"/>
    <w:rsid w:val="50A05B3E"/>
    <w:rsid w:val="50A52C7D"/>
    <w:rsid w:val="50A54C15"/>
    <w:rsid w:val="50A76ECD"/>
    <w:rsid w:val="50A867A1"/>
    <w:rsid w:val="50AF48C1"/>
    <w:rsid w:val="50AF5D81"/>
    <w:rsid w:val="50B0118D"/>
    <w:rsid w:val="50B05655"/>
    <w:rsid w:val="50B52C6C"/>
    <w:rsid w:val="50CC06D8"/>
    <w:rsid w:val="50CF01D2"/>
    <w:rsid w:val="50DF1D85"/>
    <w:rsid w:val="50E16E99"/>
    <w:rsid w:val="50F32112"/>
    <w:rsid w:val="50F57C05"/>
    <w:rsid w:val="50F87728"/>
    <w:rsid w:val="51025EB1"/>
    <w:rsid w:val="510A6B11"/>
    <w:rsid w:val="510F05CE"/>
    <w:rsid w:val="510F4A72"/>
    <w:rsid w:val="51123D45"/>
    <w:rsid w:val="513B7615"/>
    <w:rsid w:val="51422751"/>
    <w:rsid w:val="5143681C"/>
    <w:rsid w:val="51454191"/>
    <w:rsid w:val="514566E6"/>
    <w:rsid w:val="514B42EC"/>
    <w:rsid w:val="5156112C"/>
    <w:rsid w:val="515D758B"/>
    <w:rsid w:val="516721B8"/>
    <w:rsid w:val="516C77CE"/>
    <w:rsid w:val="516E5A14"/>
    <w:rsid w:val="51797DEF"/>
    <w:rsid w:val="517A3669"/>
    <w:rsid w:val="51844B18"/>
    <w:rsid w:val="51935A40"/>
    <w:rsid w:val="51937451"/>
    <w:rsid w:val="51B3364F"/>
    <w:rsid w:val="51B675D2"/>
    <w:rsid w:val="51BA0E9C"/>
    <w:rsid w:val="51BB20EF"/>
    <w:rsid w:val="51BB5EFE"/>
    <w:rsid w:val="51BD002A"/>
    <w:rsid w:val="51C671D8"/>
    <w:rsid w:val="51D64F14"/>
    <w:rsid w:val="51E8523A"/>
    <w:rsid w:val="51F12A1E"/>
    <w:rsid w:val="51F85506"/>
    <w:rsid w:val="520619D1"/>
    <w:rsid w:val="52065DD5"/>
    <w:rsid w:val="521344CB"/>
    <w:rsid w:val="52214A5D"/>
    <w:rsid w:val="52271947"/>
    <w:rsid w:val="5233653E"/>
    <w:rsid w:val="52383022"/>
    <w:rsid w:val="524A5F75"/>
    <w:rsid w:val="524F7014"/>
    <w:rsid w:val="52527E09"/>
    <w:rsid w:val="525505B3"/>
    <w:rsid w:val="526302BF"/>
    <w:rsid w:val="526876A7"/>
    <w:rsid w:val="52701540"/>
    <w:rsid w:val="527C6137"/>
    <w:rsid w:val="52830D74"/>
    <w:rsid w:val="528528B1"/>
    <w:rsid w:val="528830BD"/>
    <w:rsid w:val="52903343"/>
    <w:rsid w:val="52903990"/>
    <w:rsid w:val="529345D6"/>
    <w:rsid w:val="529C5610"/>
    <w:rsid w:val="52A64F62"/>
    <w:rsid w:val="52B44A94"/>
    <w:rsid w:val="52B72CCB"/>
    <w:rsid w:val="52D45864"/>
    <w:rsid w:val="52D715BF"/>
    <w:rsid w:val="52EA12F3"/>
    <w:rsid w:val="52FB705C"/>
    <w:rsid w:val="530103EA"/>
    <w:rsid w:val="53033EF4"/>
    <w:rsid w:val="53035F10"/>
    <w:rsid w:val="53051C89"/>
    <w:rsid w:val="53096FE2"/>
    <w:rsid w:val="531258E5"/>
    <w:rsid w:val="5321043D"/>
    <w:rsid w:val="532A7941"/>
    <w:rsid w:val="532C36B9"/>
    <w:rsid w:val="533816D3"/>
    <w:rsid w:val="533D0989"/>
    <w:rsid w:val="533D0BD4"/>
    <w:rsid w:val="534053B7"/>
    <w:rsid w:val="534776EE"/>
    <w:rsid w:val="534959D8"/>
    <w:rsid w:val="53542C10"/>
    <w:rsid w:val="53656BCB"/>
    <w:rsid w:val="53682217"/>
    <w:rsid w:val="536F17F8"/>
    <w:rsid w:val="53727B35"/>
    <w:rsid w:val="53767C23"/>
    <w:rsid w:val="538057B3"/>
    <w:rsid w:val="538E1256"/>
    <w:rsid w:val="53933738"/>
    <w:rsid w:val="53937294"/>
    <w:rsid w:val="53963229"/>
    <w:rsid w:val="53990623"/>
    <w:rsid w:val="539B25ED"/>
    <w:rsid w:val="53A6107E"/>
    <w:rsid w:val="53B13BBE"/>
    <w:rsid w:val="53B5757A"/>
    <w:rsid w:val="53B86CFB"/>
    <w:rsid w:val="53B92A73"/>
    <w:rsid w:val="53BC2C8F"/>
    <w:rsid w:val="53BF1B49"/>
    <w:rsid w:val="53C5766A"/>
    <w:rsid w:val="53C94107"/>
    <w:rsid w:val="53CB1124"/>
    <w:rsid w:val="53D33B35"/>
    <w:rsid w:val="53E2021C"/>
    <w:rsid w:val="53E775E0"/>
    <w:rsid w:val="53EE5CD3"/>
    <w:rsid w:val="53F31DE7"/>
    <w:rsid w:val="53F50937"/>
    <w:rsid w:val="53FA5565"/>
    <w:rsid w:val="54150E03"/>
    <w:rsid w:val="542C1497"/>
    <w:rsid w:val="543A1E06"/>
    <w:rsid w:val="5441014C"/>
    <w:rsid w:val="5447587F"/>
    <w:rsid w:val="54486211"/>
    <w:rsid w:val="54576514"/>
    <w:rsid w:val="546C2473"/>
    <w:rsid w:val="546D50F9"/>
    <w:rsid w:val="54713219"/>
    <w:rsid w:val="547217D4"/>
    <w:rsid w:val="54746B73"/>
    <w:rsid w:val="547A430A"/>
    <w:rsid w:val="54817A35"/>
    <w:rsid w:val="54843081"/>
    <w:rsid w:val="548E0B39"/>
    <w:rsid w:val="549059CC"/>
    <w:rsid w:val="5497569F"/>
    <w:rsid w:val="549C486F"/>
    <w:rsid w:val="54A218E0"/>
    <w:rsid w:val="54A35BFD"/>
    <w:rsid w:val="54A96DB1"/>
    <w:rsid w:val="54BD4DFE"/>
    <w:rsid w:val="54BE2A37"/>
    <w:rsid w:val="54BE47E5"/>
    <w:rsid w:val="54DB5397"/>
    <w:rsid w:val="54EA7388"/>
    <w:rsid w:val="55045144"/>
    <w:rsid w:val="55046279"/>
    <w:rsid w:val="5508122E"/>
    <w:rsid w:val="550B72FE"/>
    <w:rsid w:val="550E7A86"/>
    <w:rsid w:val="551828FB"/>
    <w:rsid w:val="55193699"/>
    <w:rsid w:val="55256612"/>
    <w:rsid w:val="55264684"/>
    <w:rsid w:val="552C7D04"/>
    <w:rsid w:val="552F45F1"/>
    <w:rsid w:val="553370D8"/>
    <w:rsid w:val="553A4266"/>
    <w:rsid w:val="553F3E12"/>
    <w:rsid w:val="5548244D"/>
    <w:rsid w:val="554C1DF1"/>
    <w:rsid w:val="55563DBA"/>
    <w:rsid w:val="555649EC"/>
    <w:rsid w:val="555A20B1"/>
    <w:rsid w:val="55631A26"/>
    <w:rsid w:val="55670B16"/>
    <w:rsid w:val="556844EE"/>
    <w:rsid w:val="556A2277"/>
    <w:rsid w:val="55717AA9"/>
    <w:rsid w:val="55731AF1"/>
    <w:rsid w:val="5577646D"/>
    <w:rsid w:val="557A15D6"/>
    <w:rsid w:val="55935C72"/>
    <w:rsid w:val="55A8186C"/>
    <w:rsid w:val="55A82D9F"/>
    <w:rsid w:val="55A97243"/>
    <w:rsid w:val="55AF4BD8"/>
    <w:rsid w:val="55AF59CC"/>
    <w:rsid w:val="55B17758"/>
    <w:rsid w:val="55B47996"/>
    <w:rsid w:val="55BD2CEE"/>
    <w:rsid w:val="55C17796"/>
    <w:rsid w:val="55D12726"/>
    <w:rsid w:val="55D342C0"/>
    <w:rsid w:val="55D45C52"/>
    <w:rsid w:val="55D86E38"/>
    <w:rsid w:val="55DA73FC"/>
    <w:rsid w:val="55FD133D"/>
    <w:rsid w:val="55FF50B5"/>
    <w:rsid w:val="561873AF"/>
    <w:rsid w:val="56235EE9"/>
    <w:rsid w:val="56250A5B"/>
    <w:rsid w:val="56321D83"/>
    <w:rsid w:val="563779A2"/>
    <w:rsid w:val="563A06C4"/>
    <w:rsid w:val="563E2521"/>
    <w:rsid w:val="56462CE4"/>
    <w:rsid w:val="564C7DFF"/>
    <w:rsid w:val="564E4AE2"/>
    <w:rsid w:val="56561A56"/>
    <w:rsid w:val="565655A8"/>
    <w:rsid w:val="565943B8"/>
    <w:rsid w:val="565B4447"/>
    <w:rsid w:val="565E4DBB"/>
    <w:rsid w:val="56604A40"/>
    <w:rsid w:val="5662591C"/>
    <w:rsid w:val="566413BC"/>
    <w:rsid w:val="566A2E0C"/>
    <w:rsid w:val="56721869"/>
    <w:rsid w:val="56735447"/>
    <w:rsid w:val="567535C9"/>
    <w:rsid w:val="567D5FDA"/>
    <w:rsid w:val="5682518C"/>
    <w:rsid w:val="568B73E6"/>
    <w:rsid w:val="568C5997"/>
    <w:rsid w:val="568E01E7"/>
    <w:rsid w:val="56A1318A"/>
    <w:rsid w:val="56B206E7"/>
    <w:rsid w:val="56BD4180"/>
    <w:rsid w:val="56BF65F2"/>
    <w:rsid w:val="56C1680E"/>
    <w:rsid w:val="56C750B8"/>
    <w:rsid w:val="56C9121F"/>
    <w:rsid w:val="56D57BC4"/>
    <w:rsid w:val="56DC0F52"/>
    <w:rsid w:val="56E322E1"/>
    <w:rsid w:val="56E616EA"/>
    <w:rsid w:val="56E878F7"/>
    <w:rsid w:val="56FA2452"/>
    <w:rsid w:val="56FF764F"/>
    <w:rsid w:val="57047C7B"/>
    <w:rsid w:val="57144B04"/>
    <w:rsid w:val="57180767"/>
    <w:rsid w:val="57184310"/>
    <w:rsid w:val="571972EF"/>
    <w:rsid w:val="571C25CE"/>
    <w:rsid w:val="571E77BD"/>
    <w:rsid w:val="57264923"/>
    <w:rsid w:val="572C3449"/>
    <w:rsid w:val="572C4D45"/>
    <w:rsid w:val="572E0AEA"/>
    <w:rsid w:val="572F5526"/>
    <w:rsid w:val="5737262D"/>
    <w:rsid w:val="573B211D"/>
    <w:rsid w:val="574074B7"/>
    <w:rsid w:val="57492347"/>
    <w:rsid w:val="574C257C"/>
    <w:rsid w:val="57596A47"/>
    <w:rsid w:val="575E2415"/>
    <w:rsid w:val="5789732C"/>
    <w:rsid w:val="578A40EF"/>
    <w:rsid w:val="578A4E52"/>
    <w:rsid w:val="57A05B86"/>
    <w:rsid w:val="57AC1605"/>
    <w:rsid w:val="57BB04AB"/>
    <w:rsid w:val="57BD0D84"/>
    <w:rsid w:val="57D919A4"/>
    <w:rsid w:val="57E02CC4"/>
    <w:rsid w:val="57E02DDB"/>
    <w:rsid w:val="57E06965"/>
    <w:rsid w:val="57E3223E"/>
    <w:rsid w:val="57E97DCB"/>
    <w:rsid w:val="57EA412A"/>
    <w:rsid w:val="57EA58F1"/>
    <w:rsid w:val="57EB5B57"/>
    <w:rsid w:val="57F624E8"/>
    <w:rsid w:val="57F65F7B"/>
    <w:rsid w:val="58096916"/>
    <w:rsid w:val="580E3142"/>
    <w:rsid w:val="580F2368"/>
    <w:rsid w:val="581B79C0"/>
    <w:rsid w:val="582152D7"/>
    <w:rsid w:val="583059FA"/>
    <w:rsid w:val="58330D1C"/>
    <w:rsid w:val="583572FD"/>
    <w:rsid w:val="583737DD"/>
    <w:rsid w:val="583F4939"/>
    <w:rsid w:val="5853793A"/>
    <w:rsid w:val="585A3768"/>
    <w:rsid w:val="58672482"/>
    <w:rsid w:val="58692CBA"/>
    <w:rsid w:val="58791908"/>
    <w:rsid w:val="587A0A23"/>
    <w:rsid w:val="587F24DD"/>
    <w:rsid w:val="5889230A"/>
    <w:rsid w:val="588B2C30"/>
    <w:rsid w:val="588B2FD6"/>
    <w:rsid w:val="5898534D"/>
    <w:rsid w:val="58A77915"/>
    <w:rsid w:val="58AB2DF5"/>
    <w:rsid w:val="58AE691E"/>
    <w:rsid w:val="58B440A0"/>
    <w:rsid w:val="58BA3515"/>
    <w:rsid w:val="58BC54DF"/>
    <w:rsid w:val="58BD134A"/>
    <w:rsid w:val="58CC0944"/>
    <w:rsid w:val="58CF5237"/>
    <w:rsid w:val="58D44F2B"/>
    <w:rsid w:val="58D85297"/>
    <w:rsid w:val="58D97E3F"/>
    <w:rsid w:val="58DA3BB7"/>
    <w:rsid w:val="58DA5965"/>
    <w:rsid w:val="58E212D4"/>
    <w:rsid w:val="58E46D3F"/>
    <w:rsid w:val="58E862D4"/>
    <w:rsid w:val="58E94832"/>
    <w:rsid w:val="58EF106F"/>
    <w:rsid w:val="58F44C79"/>
    <w:rsid w:val="59011B4E"/>
    <w:rsid w:val="59012EF2"/>
    <w:rsid w:val="590772E6"/>
    <w:rsid w:val="590E57C9"/>
    <w:rsid w:val="590F350F"/>
    <w:rsid w:val="59146777"/>
    <w:rsid w:val="59215342"/>
    <w:rsid w:val="592661DA"/>
    <w:rsid w:val="592E0F9E"/>
    <w:rsid w:val="592E5DFC"/>
    <w:rsid w:val="59305585"/>
    <w:rsid w:val="5932798A"/>
    <w:rsid w:val="5940109D"/>
    <w:rsid w:val="59407EBE"/>
    <w:rsid w:val="595235BF"/>
    <w:rsid w:val="59671E1E"/>
    <w:rsid w:val="596A0A97"/>
    <w:rsid w:val="596A6CE9"/>
    <w:rsid w:val="596B755C"/>
    <w:rsid w:val="5975743C"/>
    <w:rsid w:val="597638E0"/>
    <w:rsid w:val="5978769F"/>
    <w:rsid w:val="597C6A1D"/>
    <w:rsid w:val="597E09E7"/>
    <w:rsid w:val="59815275"/>
    <w:rsid w:val="5981606D"/>
    <w:rsid w:val="5988716F"/>
    <w:rsid w:val="598C540C"/>
    <w:rsid w:val="599B3347"/>
    <w:rsid w:val="59A04581"/>
    <w:rsid w:val="59A71CEC"/>
    <w:rsid w:val="59AD767E"/>
    <w:rsid w:val="59B1597B"/>
    <w:rsid w:val="59B44408"/>
    <w:rsid w:val="59B47F65"/>
    <w:rsid w:val="59BD41B5"/>
    <w:rsid w:val="59C7757C"/>
    <w:rsid w:val="59C9539F"/>
    <w:rsid w:val="59CD11CB"/>
    <w:rsid w:val="59D85B5A"/>
    <w:rsid w:val="59DA0ABA"/>
    <w:rsid w:val="59E01BD0"/>
    <w:rsid w:val="59E60279"/>
    <w:rsid w:val="59F241AF"/>
    <w:rsid w:val="59F574FE"/>
    <w:rsid w:val="59FB221C"/>
    <w:rsid w:val="59FB3DE5"/>
    <w:rsid w:val="5A0804C6"/>
    <w:rsid w:val="5A192985"/>
    <w:rsid w:val="5A1D3D5C"/>
    <w:rsid w:val="5A1F5D26"/>
    <w:rsid w:val="5A2F17A4"/>
    <w:rsid w:val="5A304D6D"/>
    <w:rsid w:val="5A380B96"/>
    <w:rsid w:val="5A461504"/>
    <w:rsid w:val="5A4A2677"/>
    <w:rsid w:val="5A4C2E1A"/>
    <w:rsid w:val="5A5257A1"/>
    <w:rsid w:val="5A546E71"/>
    <w:rsid w:val="5A57024A"/>
    <w:rsid w:val="5A58791A"/>
    <w:rsid w:val="5A5B4884"/>
    <w:rsid w:val="5A653D3E"/>
    <w:rsid w:val="5A771315"/>
    <w:rsid w:val="5A7755A8"/>
    <w:rsid w:val="5A7A11AE"/>
    <w:rsid w:val="5A7F0572"/>
    <w:rsid w:val="5A8A24AB"/>
    <w:rsid w:val="5A9D53B6"/>
    <w:rsid w:val="5AB10D16"/>
    <w:rsid w:val="5AB50438"/>
    <w:rsid w:val="5AB915EF"/>
    <w:rsid w:val="5ABE78FA"/>
    <w:rsid w:val="5AC04E35"/>
    <w:rsid w:val="5ACB37B8"/>
    <w:rsid w:val="5ACD184B"/>
    <w:rsid w:val="5AD20FEA"/>
    <w:rsid w:val="5AD563E4"/>
    <w:rsid w:val="5ADA39FB"/>
    <w:rsid w:val="5ADD173D"/>
    <w:rsid w:val="5AE376E0"/>
    <w:rsid w:val="5AE50EB1"/>
    <w:rsid w:val="5AE66844"/>
    <w:rsid w:val="5AF2343A"/>
    <w:rsid w:val="5B01367D"/>
    <w:rsid w:val="5B0171D9"/>
    <w:rsid w:val="5B022F52"/>
    <w:rsid w:val="5B1909C7"/>
    <w:rsid w:val="5B1E73C2"/>
    <w:rsid w:val="5B2372BD"/>
    <w:rsid w:val="5B3B6561"/>
    <w:rsid w:val="5B3E042E"/>
    <w:rsid w:val="5B5075CB"/>
    <w:rsid w:val="5B5B755E"/>
    <w:rsid w:val="5B5C7058"/>
    <w:rsid w:val="5B6360E6"/>
    <w:rsid w:val="5B637E94"/>
    <w:rsid w:val="5B706CF3"/>
    <w:rsid w:val="5B712B97"/>
    <w:rsid w:val="5B826634"/>
    <w:rsid w:val="5B8A4DDD"/>
    <w:rsid w:val="5B9C5207"/>
    <w:rsid w:val="5B9E0ECC"/>
    <w:rsid w:val="5B9F7BA7"/>
    <w:rsid w:val="5BA00A8E"/>
    <w:rsid w:val="5BA47055"/>
    <w:rsid w:val="5BA702A5"/>
    <w:rsid w:val="5BB55D6A"/>
    <w:rsid w:val="5BB64468"/>
    <w:rsid w:val="5BC333A9"/>
    <w:rsid w:val="5BCB58F6"/>
    <w:rsid w:val="5BCF3E1A"/>
    <w:rsid w:val="5BDB63F7"/>
    <w:rsid w:val="5BDF0A14"/>
    <w:rsid w:val="5BE745C9"/>
    <w:rsid w:val="5BE80399"/>
    <w:rsid w:val="5BED372E"/>
    <w:rsid w:val="5BF07471"/>
    <w:rsid w:val="5BFB00CD"/>
    <w:rsid w:val="5BFB5EB2"/>
    <w:rsid w:val="5C043425"/>
    <w:rsid w:val="5C0C052C"/>
    <w:rsid w:val="5C1B7B96"/>
    <w:rsid w:val="5C1D6295"/>
    <w:rsid w:val="5C205D85"/>
    <w:rsid w:val="5C2634BB"/>
    <w:rsid w:val="5C2E450A"/>
    <w:rsid w:val="5C2F421A"/>
    <w:rsid w:val="5C392147"/>
    <w:rsid w:val="5C3B5477"/>
    <w:rsid w:val="5C447CC6"/>
    <w:rsid w:val="5C521557"/>
    <w:rsid w:val="5C560A14"/>
    <w:rsid w:val="5C583771"/>
    <w:rsid w:val="5C675762"/>
    <w:rsid w:val="5C677510"/>
    <w:rsid w:val="5C69772C"/>
    <w:rsid w:val="5C7B360F"/>
    <w:rsid w:val="5C880946"/>
    <w:rsid w:val="5C930305"/>
    <w:rsid w:val="5C966047"/>
    <w:rsid w:val="5CA02A22"/>
    <w:rsid w:val="5CA6628A"/>
    <w:rsid w:val="5CA72002"/>
    <w:rsid w:val="5CAB1B10"/>
    <w:rsid w:val="5CAE45FE"/>
    <w:rsid w:val="5CAE53E2"/>
    <w:rsid w:val="5CBD1826"/>
    <w:rsid w:val="5CBE4792"/>
    <w:rsid w:val="5CC11316"/>
    <w:rsid w:val="5CC626AD"/>
    <w:rsid w:val="5CC6689E"/>
    <w:rsid w:val="5CDA79A1"/>
    <w:rsid w:val="5CE312A0"/>
    <w:rsid w:val="5CF0029A"/>
    <w:rsid w:val="5CF50FC0"/>
    <w:rsid w:val="5CF60894"/>
    <w:rsid w:val="5CFB7527"/>
    <w:rsid w:val="5CFF3BED"/>
    <w:rsid w:val="5D08742D"/>
    <w:rsid w:val="5D0E3B0B"/>
    <w:rsid w:val="5D1570EA"/>
    <w:rsid w:val="5D1A5681"/>
    <w:rsid w:val="5D1F0EB3"/>
    <w:rsid w:val="5D2461F7"/>
    <w:rsid w:val="5D26561D"/>
    <w:rsid w:val="5D292FE4"/>
    <w:rsid w:val="5D295871"/>
    <w:rsid w:val="5D2C2CC2"/>
    <w:rsid w:val="5D2D075A"/>
    <w:rsid w:val="5D301FF8"/>
    <w:rsid w:val="5D363C79"/>
    <w:rsid w:val="5D387332"/>
    <w:rsid w:val="5D3E5EBD"/>
    <w:rsid w:val="5D442E93"/>
    <w:rsid w:val="5D443CF5"/>
    <w:rsid w:val="5D4A127D"/>
    <w:rsid w:val="5D5D7D2B"/>
    <w:rsid w:val="5D6B74D4"/>
    <w:rsid w:val="5D753EAF"/>
    <w:rsid w:val="5D79574D"/>
    <w:rsid w:val="5D7A4F93"/>
    <w:rsid w:val="5D8F4F70"/>
    <w:rsid w:val="5D972077"/>
    <w:rsid w:val="5D9A79C8"/>
    <w:rsid w:val="5DA00F02"/>
    <w:rsid w:val="5DA16A52"/>
    <w:rsid w:val="5DAB2129"/>
    <w:rsid w:val="5DAE7B34"/>
    <w:rsid w:val="5DB40215"/>
    <w:rsid w:val="5DD779E8"/>
    <w:rsid w:val="5DD92868"/>
    <w:rsid w:val="5DE30E18"/>
    <w:rsid w:val="5DEA664B"/>
    <w:rsid w:val="5DEB29D6"/>
    <w:rsid w:val="5DEB6F7D"/>
    <w:rsid w:val="5DEF2CAC"/>
    <w:rsid w:val="5DF14AF3"/>
    <w:rsid w:val="5DF42134"/>
    <w:rsid w:val="5E007C1C"/>
    <w:rsid w:val="5E02680F"/>
    <w:rsid w:val="5E0771FD"/>
    <w:rsid w:val="5E2D7958"/>
    <w:rsid w:val="5E337978"/>
    <w:rsid w:val="5E337FF2"/>
    <w:rsid w:val="5E345B18"/>
    <w:rsid w:val="5E385579"/>
    <w:rsid w:val="5E3D3B23"/>
    <w:rsid w:val="5E48284C"/>
    <w:rsid w:val="5E4B3DC7"/>
    <w:rsid w:val="5E5A6B9F"/>
    <w:rsid w:val="5E5C44DE"/>
    <w:rsid w:val="5E5E2B95"/>
    <w:rsid w:val="5E601F08"/>
    <w:rsid w:val="5E677792"/>
    <w:rsid w:val="5E6D4B86"/>
    <w:rsid w:val="5E731AA9"/>
    <w:rsid w:val="5E781EA8"/>
    <w:rsid w:val="5E7D61BB"/>
    <w:rsid w:val="5E9B3636"/>
    <w:rsid w:val="5E9F5687"/>
    <w:rsid w:val="5EAB7548"/>
    <w:rsid w:val="5EBA1EFC"/>
    <w:rsid w:val="5EBB7FE7"/>
    <w:rsid w:val="5EC96260"/>
    <w:rsid w:val="5ECA1B15"/>
    <w:rsid w:val="5ECE7D42"/>
    <w:rsid w:val="5EDF7832"/>
    <w:rsid w:val="5EE4309A"/>
    <w:rsid w:val="5EF36ACE"/>
    <w:rsid w:val="5EFE576E"/>
    <w:rsid w:val="5F050979"/>
    <w:rsid w:val="5F11047E"/>
    <w:rsid w:val="5F15731E"/>
    <w:rsid w:val="5F1F116C"/>
    <w:rsid w:val="5F2636B2"/>
    <w:rsid w:val="5F285517"/>
    <w:rsid w:val="5F362EE7"/>
    <w:rsid w:val="5F3873DD"/>
    <w:rsid w:val="5F3D17AF"/>
    <w:rsid w:val="5F5101AF"/>
    <w:rsid w:val="5F5A6D0B"/>
    <w:rsid w:val="5F645F89"/>
    <w:rsid w:val="5F6E0BB6"/>
    <w:rsid w:val="5F721AF0"/>
    <w:rsid w:val="5F73441E"/>
    <w:rsid w:val="5F751F44"/>
    <w:rsid w:val="5F9E76ED"/>
    <w:rsid w:val="5FA22A4A"/>
    <w:rsid w:val="5FB02B30"/>
    <w:rsid w:val="5FB4143A"/>
    <w:rsid w:val="5FB4164E"/>
    <w:rsid w:val="5FB46F10"/>
    <w:rsid w:val="5FCD3B2E"/>
    <w:rsid w:val="5FDB26EF"/>
    <w:rsid w:val="5FE07D05"/>
    <w:rsid w:val="5FE66462"/>
    <w:rsid w:val="5FEE2EC4"/>
    <w:rsid w:val="5FF7318B"/>
    <w:rsid w:val="5FF732A1"/>
    <w:rsid w:val="60017C7C"/>
    <w:rsid w:val="600241F5"/>
    <w:rsid w:val="60033159"/>
    <w:rsid w:val="60067040"/>
    <w:rsid w:val="60082DB8"/>
    <w:rsid w:val="600B28A8"/>
    <w:rsid w:val="600C1AF9"/>
    <w:rsid w:val="600E13A7"/>
    <w:rsid w:val="601644B3"/>
    <w:rsid w:val="601E6EE1"/>
    <w:rsid w:val="602A5424"/>
    <w:rsid w:val="602D0F58"/>
    <w:rsid w:val="60360B52"/>
    <w:rsid w:val="60363DC9"/>
    <w:rsid w:val="603647A8"/>
    <w:rsid w:val="603A5FF4"/>
    <w:rsid w:val="603C0CB4"/>
    <w:rsid w:val="604F7B7F"/>
    <w:rsid w:val="60503E84"/>
    <w:rsid w:val="605924CC"/>
    <w:rsid w:val="60605D50"/>
    <w:rsid w:val="60653D91"/>
    <w:rsid w:val="606E194E"/>
    <w:rsid w:val="60716150"/>
    <w:rsid w:val="60736A8B"/>
    <w:rsid w:val="607923C2"/>
    <w:rsid w:val="60795A64"/>
    <w:rsid w:val="607A2AA3"/>
    <w:rsid w:val="607B5C80"/>
    <w:rsid w:val="607C3637"/>
    <w:rsid w:val="608550AC"/>
    <w:rsid w:val="608763D3"/>
    <w:rsid w:val="609054C8"/>
    <w:rsid w:val="60991F8F"/>
    <w:rsid w:val="609A4358"/>
    <w:rsid w:val="60A204FC"/>
    <w:rsid w:val="60AA76AA"/>
    <w:rsid w:val="60BA6670"/>
    <w:rsid w:val="60BA67FA"/>
    <w:rsid w:val="60BD4449"/>
    <w:rsid w:val="60C5514D"/>
    <w:rsid w:val="60C850DE"/>
    <w:rsid w:val="60CF2ACE"/>
    <w:rsid w:val="60D64C64"/>
    <w:rsid w:val="60D910E9"/>
    <w:rsid w:val="60D976AE"/>
    <w:rsid w:val="60DB227B"/>
    <w:rsid w:val="60DD45B9"/>
    <w:rsid w:val="60DF620F"/>
    <w:rsid w:val="60EA6049"/>
    <w:rsid w:val="60ED75EB"/>
    <w:rsid w:val="60EE0200"/>
    <w:rsid w:val="60F06B95"/>
    <w:rsid w:val="60F86642"/>
    <w:rsid w:val="60FF065F"/>
    <w:rsid w:val="61013BB8"/>
    <w:rsid w:val="61044220"/>
    <w:rsid w:val="61053AC8"/>
    <w:rsid w:val="610800C9"/>
    <w:rsid w:val="610B0C21"/>
    <w:rsid w:val="610B0DB2"/>
    <w:rsid w:val="611063C8"/>
    <w:rsid w:val="61133537"/>
    <w:rsid w:val="61135EB8"/>
    <w:rsid w:val="6118313E"/>
    <w:rsid w:val="611F2AAF"/>
    <w:rsid w:val="612B336B"/>
    <w:rsid w:val="612C0D28"/>
    <w:rsid w:val="612D0EDA"/>
    <w:rsid w:val="612D68E5"/>
    <w:rsid w:val="613320B7"/>
    <w:rsid w:val="6145501E"/>
    <w:rsid w:val="61471E39"/>
    <w:rsid w:val="614D6D3F"/>
    <w:rsid w:val="615A5895"/>
    <w:rsid w:val="61656047"/>
    <w:rsid w:val="616E7D44"/>
    <w:rsid w:val="617611C7"/>
    <w:rsid w:val="61770C9D"/>
    <w:rsid w:val="617D1968"/>
    <w:rsid w:val="618125AC"/>
    <w:rsid w:val="61927082"/>
    <w:rsid w:val="61992A7E"/>
    <w:rsid w:val="619E1C26"/>
    <w:rsid w:val="61A3598A"/>
    <w:rsid w:val="61A6193F"/>
    <w:rsid w:val="61B018F1"/>
    <w:rsid w:val="61B35133"/>
    <w:rsid w:val="61BB4F75"/>
    <w:rsid w:val="61BE5E24"/>
    <w:rsid w:val="61C03C03"/>
    <w:rsid w:val="61C50446"/>
    <w:rsid w:val="61DC2A2B"/>
    <w:rsid w:val="61E24027"/>
    <w:rsid w:val="61E57855"/>
    <w:rsid w:val="61E61D4C"/>
    <w:rsid w:val="61E73B15"/>
    <w:rsid w:val="61F6112B"/>
    <w:rsid w:val="62061579"/>
    <w:rsid w:val="621E7BD5"/>
    <w:rsid w:val="621F0FA0"/>
    <w:rsid w:val="622D6B06"/>
    <w:rsid w:val="623065F6"/>
    <w:rsid w:val="6239194F"/>
    <w:rsid w:val="623937F7"/>
    <w:rsid w:val="623D462E"/>
    <w:rsid w:val="62417D1F"/>
    <w:rsid w:val="624502F4"/>
    <w:rsid w:val="62461AE7"/>
    <w:rsid w:val="62543951"/>
    <w:rsid w:val="625B30E1"/>
    <w:rsid w:val="625E3163"/>
    <w:rsid w:val="625E6C7A"/>
    <w:rsid w:val="626616D3"/>
    <w:rsid w:val="62663B30"/>
    <w:rsid w:val="62790DC9"/>
    <w:rsid w:val="629B6165"/>
    <w:rsid w:val="629F6AAE"/>
    <w:rsid w:val="62A1668C"/>
    <w:rsid w:val="62A51693"/>
    <w:rsid w:val="62A82630"/>
    <w:rsid w:val="62B153C1"/>
    <w:rsid w:val="62B64D4D"/>
    <w:rsid w:val="62B76310"/>
    <w:rsid w:val="62C54553"/>
    <w:rsid w:val="62C76F5B"/>
    <w:rsid w:val="62CA0569"/>
    <w:rsid w:val="62CB3436"/>
    <w:rsid w:val="62D1773F"/>
    <w:rsid w:val="62EC6629"/>
    <w:rsid w:val="62EF025F"/>
    <w:rsid w:val="62EF6A5D"/>
    <w:rsid w:val="62EF70B8"/>
    <w:rsid w:val="62F615EE"/>
    <w:rsid w:val="62F67E98"/>
    <w:rsid w:val="630C0E11"/>
    <w:rsid w:val="631A352E"/>
    <w:rsid w:val="631C2DE5"/>
    <w:rsid w:val="632048BD"/>
    <w:rsid w:val="6335216A"/>
    <w:rsid w:val="634A2815"/>
    <w:rsid w:val="634C7572"/>
    <w:rsid w:val="635356F3"/>
    <w:rsid w:val="635822A8"/>
    <w:rsid w:val="635D341B"/>
    <w:rsid w:val="63627A46"/>
    <w:rsid w:val="636E5628"/>
    <w:rsid w:val="637569B7"/>
    <w:rsid w:val="63770981"/>
    <w:rsid w:val="637F7835"/>
    <w:rsid w:val="6382689E"/>
    <w:rsid w:val="6384067A"/>
    <w:rsid w:val="63875E5E"/>
    <w:rsid w:val="638D663E"/>
    <w:rsid w:val="63A45CDF"/>
    <w:rsid w:val="63A47A88"/>
    <w:rsid w:val="63B044B9"/>
    <w:rsid w:val="63B82D47"/>
    <w:rsid w:val="63C17E4E"/>
    <w:rsid w:val="63C67212"/>
    <w:rsid w:val="63C678A1"/>
    <w:rsid w:val="63C81B5F"/>
    <w:rsid w:val="63CD67F3"/>
    <w:rsid w:val="63CE60C7"/>
    <w:rsid w:val="63D22876"/>
    <w:rsid w:val="63D40A38"/>
    <w:rsid w:val="63D41CB2"/>
    <w:rsid w:val="63DC2BCC"/>
    <w:rsid w:val="63DF2906"/>
    <w:rsid w:val="63E57025"/>
    <w:rsid w:val="63F10BD3"/>
    <w:rsid w:val="64025D70"/>
    <w:rsid w:val="640A43B0"/>
    <w:rsid w:val="640B10C9"/>
    <w:rsid w:val="640B6530"/>
    <w:rsid w:val="642928BE"/>
    <w:rsid w:val="642C10C6"/>
    <w:rsid w:val="643F708F"/>
    <w:rsid w:val="644A7E43"/>
    <w:rsid w:val="645667E8"/>
    <w:rsid w:val="645C7B76"/>
    <w:rsid w:val="645F6310"/>
    <w:rsid w:val="646255FE"/>
    <w:rsid w:val="64632CB3"/>
    <w:rsid w:val="64833355"/>
    <w:rsid w:val="64845144"/>
    <w:rsid w:val="64887370"/>
    <w:rsid w:val="648A6753"/>
    <w:rsid w:val="64AA06A8"/>
    <w:rsid w:val="64B741AD"/>
    <w:rsid w:val="64C85E00"/>
    <w:rsid w:val="64CA2D32"/>
    <w:rsid w:val="64CE3F49"/>
    <w:rsid w:val="64D14795"/>
    <w:rsid w:val="64E21E2A"/>
    <w:rsid w:val="64E738E4"/>
    <w:rsid w:val="64E9783C"/>
    <w:rsid w:val="64F951AB"/>
    <w:rsid w:val="64FE71C2"/>
    <w:rsid w:val="65024C7C"/>
    <w:rsid w:val="650D2C1F"/>
    <w:rsid w:val="650E5143"/>
    <w:rsid w:val="65110961"/>
    <w:rsid w:val="65116D83"/>
    <w:rsid w:val="65117315"/>
    <w:rsid w:val="65147874"/>
    <w:rsid w:val="651B533C"/>
    <w:rsid w:val="651F4912"/>
    <w:rsid w:val="65213E29"/>
    <w:rsid w:val="65264E49"/>
    <w:rsid w:val="652706FB"/>
    <w:rsid w:val="65271620"/>
    <w:rsid w:val="65275577"/>
    <w:rsid w:val="65293EFC"/>
    <w:rsid w:val="65295CAB"/>
    <w:rsid w:val="65424FBE"/>
    <w:rsid w:val="654D029D"/>
    <w:rsid w:val="65501B81"/>
    <w:rsid w:val="655069DF"/>
    <w:rsid w:val="65556197"/>
    <w:rsid w:val="655645C6"/>
    <w:rsid w:val="655976E9"/>
    <w:rsid w:val="65757E65"/>
    <w:rsid w:val="65855954"/>
    <w:rsid w:val="65887C76"/>
    <w:rsid w:val="658F0EF9"/>
    <w:rsid w:val="65904FE3"/>
    <w:rsid w:val="65931376"/>
    <w:rsid w:val="659770B8"/>
    <w:rsid w:val="65A45331"/>
    <w:rsid w:val="65A46BF2"/>
    <w:rsid w:val="65B71508"/>
    <w:rsid w:val="65BF216B"/>
    <w:rsid w:val="65C502FA"/>
    <w:rsid w:val="65C9123C"/>
    <w:rsid w:val="65D5198E"/>
    <w:rsid w:val="65D604E0"/>
    <w:rsid w:val="65DC0F6F"/>
    <w:rsid w:val="65DF37BF"/>
    <w:rsid w:val="65E60EE4"/>
    <w:rsid w:val="65EB11B2"/>
    <w:rsid w:val="65EE0CA2"/>
    <w:rsid w:val="65F04A1A"/>
    <w:rsid w:val="65F77268"/>
    <w:rsid w:val="65F8742B"/>
    <w:rsid w:val="660B09B5"/>
    <w:rsid w:val="66124AFD"/>
    <w:rsid w:val="6612767B"/>
    <w:rsid w:val="661C5881"/>
    <w:rsid w:val="661F31D5"/>
    <w:rsid w:val="662446C4"/>
    <w:rsid w:val="66434B4A"/>
    <w:rsid w:val="664F4EF8"/>
    <w:rsid w:val="66576847"/>
    <w:rsid w:val="66583FA2"/>
    <w:rsid w:val="66650F64"/>
    <w:rsid w:val="66770758"/>
    <w:rsid w:val="667B5BD0"/>
    <w:rsid w:val="667E5B82"/>
    <w:rsid w:val="668138C4"/>
    <w:rsid w:val="66996E60"/>
    <w:rsid w:val="66A15D14"/>
    <w:rsid w:val="66AF4608"/>
    <w:rsid w:val="66B5349E"/>
    <w:rsid w:val="66B9242C"/>
    <w:rsid w:val="66BB481A"/>
    <w:rsid w:val="66BF0C69"/>
    <w:rsid w:val="66C739CD"/>
    <w:rsid w:val="66CC23D8"/>
    <w:rsid w:val="66CE775E"/>
    <w:rsid w:val="66D9725C"/>
    <w:rsid w:val="66ED4319"/>
    <w:rsid w:val="66F308EF"/>
    <w:rsid w:val="66F362AB"/>
    <w:rsid w:val="66F83B86"/>
    <w:rsid w:val="67010CD2"/>
    <w:rsid w:val="67185FD7"/>
    <w:rsid w:val="67236729"/>
    <w:rsid w:val="67313B0C"/>
    <w:rsid w:val="673C1D9C"/>
    <w:rsid w:val="675371CD"/>
    <w:rsid w:val="6757122B"/>
    <w:rsid w:val="67637112"/>
    <w:rsid w:val="67672ABA"/>
    <w:rsid w:val="676B4BEC"/>
    <w:rsid w:val="67722AE5"/>
    <w:rsid w:val="677B0314"/>
    <w:rsid w:val="67803B7C"/>
    <w:rsid w:val="6784541A"/>
    <w:rsid w:val="67874F0A"/>
    <w:rsid w:val="67885D92"/>
    <w:rsid w:val="678E0047"/>
    <w:rsid w:val="678F28B9"/>
    <w:rsid w:val="6796339F"/>
    <w:rsid w:val="67987E26"/>
    <w:rsid w:val="67A47F2F"/>
    <w:rsid w:val="67A61834"/>
    <w:rsid w:val="67A930D3"/>
    <w:rsid w:val="67BD22DB"/>
    <w:rsid w:val="67CB129B"/>
    <w:rsid w:val="67CC581F"/>
    <w:rsid w:val="67ED767A"/>
    <w:rsid w:val="67F01BE0"/>
    <w:rsid w:val="67F1102B"/>
    <w:rsid w:val="67FF7CAA"/>
    <w:rsid w:val="680069C0"/>
    <w:rsid w:val="68007FF7"/>
    <w:rsid w:val="68014CBD"/>
    <w:rsid w:val="6802627C"/>
    <w:rsid w:val="68037C98"/>
    <w:rsid w:val="6804655B"/>
    <w:rsid w:val="680E3FB5"/>
    <w:rsid w:val="68190258"/>
    <w:rsid w:val="681959FD"/>
    <w:rsid w:val="681F796C"/>
    <w:rsid w:val="68307350"/>
    <w:rsid w:val="6832115E"/>
    <w:rsid w:val="6838232C"/>
    <w:rsid w:val="68394457"/>
    <w:rsid w:val="683C61FD"/>
    <w:rsid w:val="684921C0"/>
    <w:rsid w:val="684D4B72"/>
    <w:rsid w:val="684E5694"/>
    <w:rsid w:val="68503B30"/>
    <w:rsid w:val="685F4311"/>
    <w:rsid w:val="68727968"/>
    <w:rsid w:val="687920A3"/>
    <w:rsid w:val="687B0965"/>
    <w:rsid w:val="688558EE"/>
    <w:rsid w:val="688A18E7"/>
    <w:rsid w:val="688B4586"/>
    <w:rsid w:val="688D02FE"/>
    <w:rsid w:val="68932531"/>
    <w:rsid w:val="68AF3A94"/>
    <w:rsid w:val="68B56D6E"/>
    <w:rsid w:val="68D91796"/>
    <w:rsid w:val="68DD4891"/>
    <w:rsid w:val="68EA6364"/>
    <w:rsid w:val="68EB66C8"/>
    <w:rsid w:val="690848D9"/>
    <w:rsid w:val="691C6622"/>
    <w:rsid w:val="691C78D4"/>
    <w:rsid w:val="69311499"/>
    <w:rsid w:val="69390486"/>
    <w:rsid w:val="693B7D5A"/>
    <w:rsid w:val="693D61AF"/>
    <w:rsid w:val="69586875"/>
    <w:rsid w:val="695928D6"/>
    <w:rsid w:val="695E7D87"/>
    <w:rsid w:val="696A6892"/>
    <w:rsid w:val="696B55AA"/>
    <w:rsid w:val="696B71DF"/>
    <w:rsid w:val="6974326C"/>
    <w:rsid w:val="69767508"/>
    <w:rsid w:val="69894F6A"/>
    <w:rsid w:val="69896DF8"/>
    <w:rsid w:val="699456BD"/>
    <w:rsid w:val="69961435"/>
    <w:rsid w:val="69A007AF"/>
    <w:rsid w:val="69A022B3"/>
    <w:rsid w:val="69A73642"/>
    <w:rsid w:val="69C449BF"/>
    <w:rsid w:val="69C75A92"/>
    <w:rsid w:val="69C77840"/>
    <w:rsid w:val="69CA0730"/>
    <w:rsid w:val="69CB29AE"/>
    <w:rsid w:val="69D038DA"/>
    <w:rsid w:val="69E44896"/>
    <w:rsid w:val="69EE1F30"/>
    <w:rsid w:val="69EE74C3"/>
    <w:rsid w:val="69F820EF"/>
    <w:rsid w:val="69FF6FDA"/>
    <w:rsid w:val="6A107796"/>
    <w:rsid w:val="6A152CA1"/>
    <w:rsid w:val="6A154207"/>
    <w:rsid w:val="6A20564D"/>
    <w:rsid w:val="6A2763AD"/>
    <w:rsid w:val="6A3273AF"/>
    <w:rsid w:val="6A350C4E"/>
    <w:rsid w:val="6A3F387A"/>
    <w:rsid w:val="6A4415E9"/>
    <w:rsid w:val="6A627569"/>
    <w:rsid w:val="6A6652AB"/>
    <w:rsid w:val="6A7A3035"/>
    <w:rsid w:val="6A7E6664"/>
    <w:rsid w:val="6A7F45BF"/>
    <w:rsid w:val="6A93499C"/>
    <w:rsid w:val="6A935974"/>
    <w:rsid w:val="6A9702B8"/>
    <w:rsid w:val="6A980D03"/>
    <w:rsid w:val="6AA36B8C"/>
    <w:rsid w:val="6AA56041"/>
    <w:rsid w:val="6AAA163C"/>
    <w:rsid w:val="6AAB53B4"/>
    <w:rsid w:val="6AB04778"/>
    <w:rsid w:val="6AB91BDA"/>
    <w:rsid w:val="6ABA54B9"/>
    <w:rsid w:val="6ABF25ED"/>
    <w:rsid w:val="6ACB47D4"/>
    <w:rsid w:val="6ACB7D89"/>
    <w:rsid w:val="6ADE3093"/>
    <w:rsid w:val="6AF3041C"/>
    <w:rsid w:val="6AF723A7"/>
    <w:rsid w:val="6AFC176B"/>
    <w:rsid w:val="6AFD2867"/>
    <w:rsid w:val="6B001D60"/>
    <w:rsid w:val="6B011C8E"/>
    <w:rsid w:val="6B040620"/>
    <w:rsid w:val="6B062083"/>
    <w:rsid w:val="6B0D17CC"/>
    <w:rsid w:val="6B1652CB"/>
    <w:rsid w:val="6B1C1E0E"/>
    <w:rsid w:val="6B234F4A"/>
    <w:rsid w:val="6B28487F"/>
    <w:rsid w:val="6B3233DF"/>
    <w:rsid w:val="6B3D24B0"/>
    <w:rsid w:val="6B4152C9"/>
    <w:rsid w:val="6B585E8E"/>
    <w:rsid w:val="6B597B55"/>
    <w:rsid w:val="6B655563"/>
    <w:rsid w:val="6B6F2CF5"/>
    <w:rsid w:val="6B733DFF"/>
    <w:rsid w:val="6B7C392F"/>
    <w:rsid w:val="6B80239C"/>
    <w:rsid w:val="6B883B49"/>
    <w:rsid w:val="6B915391"/>
    <w:rsid w:val="6B945E48"/>
    <w:rsid w:val="6BAE0CB8"/>
    <w:rsid w:val="6BB67B6C"/>
    <w:rsid w:val="6BBC2AED"/>
    <w:rsid w:val="6BC009EB"/>
    <w:rsid w:val="6BC32289"/>
    <w:rsid w:val="6BCD7D0E"/>
    <w:rsid w:val="6BD526E8"/>
    <w:rsid w:val="6BDE3AB5"/>
    <w:rsid w:val="6BE4292B"/>
    <w:rsid w:val="6BED67EB"/>
    <w:rsid w:val="6BF012D0"/>
    <w:rsid w:val="6BF568E7"/>
    <w:rsid w:val="6BFE3BD0"/>
    <w:rsid w:val="6C06756A"/>
    <w:rsid w:val="6C0B610A"/>
    <w:rsid w:val="6C0E21E8"/>
    <w:rsid w:val="6C170751"/>
    <w:rsid w:val="6C20148A"/>
    <w:rsid w:val="6C210BBC"/>
    <w:rsid w:val="6C2947E2"/>
    <w:rsid w:val="6C2D46F0"/>
    <w:rsid w:val="6C307C64"/>
    <w:rsid w:val="6C372009"/>
    <w:rsid w:val="6C433F50"/>
    <w:rsid w:val="6C4B4A70"/>
    <w:rsid w:val="6C4B72A2"/>
    <w:rsid w:val="6C4E5FF7"/>
    <w:rsid w:val="6C604695"/>
    <w:rsid w:val="6C635F46"/>
    <w:rsid w:val="6C681B27"/>
    <w:rsid w:val="6C6C765F"/>
    <w:rsid w:val="6C74510B"/>
    <w:rsid w:val="6C754489"/>
    <w:rsid w:val="6C77379F"/>
    <w:rsid w:val="6C783074"/>
    <w:rsid w:val="6C783D94"/>
    <w:rsid w:val="6C865790"/>
    <w:rsid w:val="6C86601F"/>
    <w:rsid w:val="6C886152"/>
    <w:rsid w:val="6C8B6319"/>
    <w:rsid w:val="6C9A5A04"/>
    <w:rsid w:val="6C9E1B12"/>
    <w:rsid w:val="6CA81BAB"/>
    <w:rsid w:val="6CAD5413"/>
    <w:rsid w:val="6CB43503"/>
    <w:rsid w:val="6CBC11B2"/>
    <w:rsid w:val="6CCA7D73"/>
    <w:rsid w:val="6CD37D66"/>
    <w:rsid w:val="6CD44986"/>
    <w:rsid w:val="6CD77A3A"/>
    <w:rsid w:val="6CD81153"/>
    <w:rsid w:val="6CDF5E79"/>
    <w:rsid w:val="6CE37F55"/>
    <w:rsid w:val="6CE54A3D"/>
    <w:rsid w:val="6CE801F9"/>
    <w:rsid w:val="6CEF52DD"/>
    <w:rsid w:val="6CF7668E"/>
    <w:rsid w:val="6CFF74E3"/>
    <w:rsid w:val="6D0019E7"/>
    <w:rsid w:val="6D013BBB"/>
    <w:rsid w:val="6D031038"/>
    <w:rsid w:val="6D06067F"/>
    <w:rsid w:val="6D157F36"/>
    <w:rsid w:val="6D1C7EA3"/>
    <w:rsid w:val="6D2A25C0"/>
    <w:rsid w:val="6D3E42BD"/>
    <w:rsid w:val="6D416709"/>
    <w:rsid w:val="6D434A7C"/>
    <w:rsid w:val="6D530497"/>
    <w:rsid w:val="6D5560E0"/>
    <w:rsid w:val="6D567859"/>
    <w:rsid w:val="6D5E332C"/>
    <w:rsid w:val="6D625A24"/>
    <w:rsid w:val="6D673F07"/>
    <w:rsid w:val="6D6A6E60"/>
    <w:rsid w:val="6D6D6950"/>
    <w:rsid w:val="6D7716ED"/>
    <w:rsid w:val="6D7952F5"/>
    <w:rsid w:val="6D8A5754"/>
    <w:rsid w:val="6D911FB7"/>
    <w:rsid w:val="6D9835D0"/>
    <w:rsid w:val="6D9A2AD4"/>
    <w:rsid w:val="6D9B34BE"/>
    <w:rsid w:val="6DB33C43"/>
    <w:rsid w:val="6DBB528E"/>
    <w:rsid w:val="6DC5184F"/>
    <w:rsid w:val="6DCC54DA"/>
    <w:rsid w:val="6DD10C8D"/>
    <w:rsid w:val="6DD864C0"/>
    <w:rsid w:val="6DE83A43"/>
    <w:rsid w:val="6DF32D29"/>
    <w:rsid w:val="6DF40B8D"/>
    <w:rsid w:val="6DF45878"/>
    <w:rsid w:val="6DF65781"/>
    <w:rsid w:val="6E041367"/>
    <w:rsid w:val="6E0A7D76"/>
    <w:rsid w:val="6E130890"/>
    <w:rsid w:val="6E140FDE"/>
    <w:rsid w:val="6E1864FF"/>
    <w:rsid w:val="6E1E69BD"/>
    <w:rsid w:val="6E1E76ED"/>
    <w:rsid w:val="6E283B6C"/>
    <w:rsid w:val="6E2F3C06"/>
    <w:rsid w:val="6E421B8B"/>
    <w:rsid w:val="6E5813AF"/>
    <w:rsid w:val="6E62222D"/>
    <w:rsid w:val="6E623FDB"/>
    <w:rsid w:val="6E667359"/>
    <w:rsid w:val="6E6B10E2"/>
    <w:rsid w:val="6E6C455B"/>
    <w:rsid w:val="6E7D2BC3"/>
    <w:rsid w:val="6E7E625E"/>
    <w:rsid w:val="6E81319C"/>
    <w:rsid w:val="6E8A44BD"/>
    <w:rsid w:val="6E8D7B9E"/>
    <w:rsid w:val="6E900B48"/>
    <w:rsid w:val="6E9C74ED"/>
    <w:rsid w:val="6E9E4075"/>
    <w:rsid w:val="6EA325CE"/>
    <w:rsid w:val="6EA563D0"/>
    <w:rsid w:val="6EB3165C"/>
    <w:rsid w:val="6EBC7B8F"/>
    <w:rsid w:val="6EC16861"/>
    <w:rsid w:val="6EC34EA0"/>
    <w:rsid w:val="6ECA348F"/>
    <w:rsid w:val="6ECB3733"/>
    <w:rsid w:val="6ED21C6C"/>
    <w:rsid w:val="6ED50C51"/>
    <w:rsid w:val="6EE06AEC"/>
    <w:rsid w:val="6EE43F23"/>
    <w:rsid w:val="6EE71197"/>
    <w:rsid w:val="6EE72F30"/>
    <w:rsid w:val="6EF16F96"/>
    <w:rsid w:val="6EFC7F8C"/>
    <w:rsid w:val="6F0230C8"/>
    <w:rsid w:val="6F06705D"/>
    <w:rsid w:val="6F084B83"/>
    <w:rsid w:val="6F1277AF"/>
    <w:rsid w:val="6F154BE6"/>
    <w:rsid w:val="6F196D90"/>
    <w:rsid w:val="6F286033"/>
    <w:rsid w:val="6F313EAB"/>
    <w:rsid w:val="6F3604E3"/>
    <w:rsid w:val="6F6873CF"/>
    <w:rsid w:val="6F6D392F"/>
    <w:rsid w:val="6F741C1C"/>
    <w:rsid w:val="6F79782E"/>
    <w:rsid w:val="6F7B05CC"/>
    <w:rsid w:val="6F80075F"/>
    <w:rsid w:val="6F805914"/>
    <w:rsid w:val="6F857BB2"/>
    <w:rsid w:val="6F887A72"/>
    <w:rsid w:val="6F963F3C"/>
    <w:rsid w:val="6F991C7F"/>
    <w:rsid w:val="6FAA79B8"/>
    <w:rsid w:val="6FAC19B2"/>
    <w:rsid w:val="6FB1521A"/>
    <w:rsid w:val="6FB2689C"/>
    <w:rsid w:val="6FB40867"/>
    <w:rsid w:val="6FC51851"/>
    <w:rsid w:val="6FC52A74"/>
    <w:rsid w:val="6FCA008A"/>
    <w:rsid w:val="6FCF56A0"/>
    <w:rsid w:val="6FDF4082"/>
    <w:rsid w:val="6FE23F88"/>
    <w:rsid w:val="6FE54EC4"/>
    <w:rsid w:val="6FEE1FCA"/>
    <w:rsid w:val="6FF62C2D"/>
    <w:rsid w:val="6FF670D1"/>
    <w:rsid w:val="6FFD3FBC"/>
    <w:rsid w:val="70082960"/>
    <w:rsid w:val="700A492A"/>
    <w:rsid w:val="700F4EE9"/>
    <w:rsid w:val="701013C5"/>
    <w:rsid w:val="701A5869"/>
    <w:rsid w:val="701B2694"/>
    <w:rsid w:val="701C35B4"/>
    <w:rsid w:val="70207CAA"/>
    <w:rsid w:val="702347C4"/>
    <w:rsid w:val="70245D81"/>
    <w:rsid w:val="70271728"/>
    <w:rsid w:val="702754DC"/>
    <w:rsid w:val="70275C90"/>
    <w:rsid w:val="70293003"/>
    <w:rsid w:val="7047792D"/>
    <w:rsid w:val="704B5D09"/>
    <w:rsid w:val="70512559"/>
    <w:rsid w:val="705A36F0"/>
    <w:rsid w:val="70640EC8"/>
    <w:rsid w:val="706A3A06"/>
    <w:rsid w:val="707B3132"/>
    <w:rsid w:val="70995462"/>
    <w:rsid w:val="70AF092F"/>
    <w:rsid w:val="70BA1EAD"/>
    <w:rsid w:val="70BA5BD5"/>
    <w:rsid w:val="70C2360B"/>
    <w:rsid w:val="70C25205"/>
    <w:rsid w:val="70C579B0"/>
    <w:rsid w:val="70CB230C"/>
    <w:rsid w:val="70E87AF2"/>
    <w:rsid w:val="70F71AC9"/>
    <w:rsid w:val="7106028C"/>
    <w:rsid w:val="71132E62"/>
    <w:rsid w:val="711D5AE9"/>
    <w:rsid w:val="71202F46"/>
    <w:rsid w:val="7122081F"/>
    <w:rsid w:val="7126083F"/>
    <w:rsid w:val="712B3E5E"/>
    <w:rsid w:val="71344836"/>
    <w:rsid w:val="713D040C"/>
    <w:rsid w:val="713E625B"/>
    <w:rsid w:val="71496E32"/>
    <w:rsid w:val="7155040E"/>
    <w:rsid w:val="715916C6"/>
    <w:rsid w:val="715E3AA4"/>
    <w:rsid w:val="71691380"/>
    <w:rsid w:val="716A5681"/>
    <w:rsid w:val="71751EB5"/>
    <w:rsid w:val="718D33E4"/>
    <w:rsid w:val="71946BA2"/>
    <w:rsid w:val="71992FC3"/>
    <w:rsid w:val="71995E1D"/>
    <w:rsid w:val="719B0DF9"/>
    <w:rsid w:val="71A31D96"/>
    <w:rsid w:val="71A56596"/>
    <w:rsid w:val="71AA0173"/>
    <w:rsid w:val="71AF12E6"/>
    <w:rsid w:val="71B44B4E"/>
    <w:rsid w:val="71B563CC"/>
    <w:rsid w:val="71C3762B"/>
    <w:rsid w:val="71CE20ED"/>
    <w:rsid w:val="71D05719"/>
    <w:rsid w:val="71D71745"/>
    <w:rsid w:val="71DC40A5"/>
    <w:rsid w:val="71DC67C3"/>
    <w:rsid w:val="71E667CD"/>
    <w:rsid w:val="71ED63DD"/>
    <w:rsid w:val="71FB452B"/>
    <w:rsid w:val="7214383E"/>
    <w:rsid w:val="721D0945"/>
    <w:rsid w:val="721F290F"/>
    <w:rsid w:val="722A7023"/>
    <w:rsid w:val="722E059A"/>
    <w:rsid w:val="72357033"/>
    <w:rsid w:val="723F3FFF"/>
    <w:rsid w:val="72415A14"/>
    <w:rsid w:val="7242038C"/>
    <w:rsid w:val="72442398"/>
    <w:rsid w:val="724E4FA2"/>
    <w:rsid w:val="724F1CF9"/>
    <w:rsid w:val="72534367"/>
    <w:rsid w:val="72565C05"/>
    <w:rsid w:val="725E5047"/>
    <w:rsid w:val="726522EC"/>
    <w:rsid w:val="72656A54"/>
    <w:rsid w:val="72677E12"/>
    <w:rsid w:val="726A4B3A"/>
    <w:rsid w:val="726F4F19"/>
    <w:rsid w:val="72734A09"/>
    <w:rsid w:val="72734A0C"/>
    <w:rsid w:val="72791113"/>
    <w:rsid w:val="72795689"/>
    <w:rsid w:val="727E13B7"/>
    <w:rsid w:val="728851B4"/>
    <w:rsid w:val="728F1117"/>
    <w:rsid w:val="72916C3D"/>
    <w:rsid w:val="72941EEA"/>
    <w:rsid w:val="729D55E2"/>
    <w:rsid w:val="72A93491"/>
    <w:rsid w:val="72B30E45"/>
    <w:rsid w:val="72C139C6"/>
    <w:rsid w:val="72C708B1"/>
    <w:rsid w:val="72DB610A"/>
    <w:rsid w:val="72DD1987"/>
    <w:rsid w:val="72E22EBC"/>
    <w:rsid w:val="72E326F3"/>
    <w:rsid w:val="72EC7E6A"/>
    <w:rsid w:val="72F136D3"/>
    <w:rsid w:val="72F13B80"/>
    <w:rsid w:val="72F75611"/>
    <w:rsid w:val="72FE2BF5"/>
    <w:rsid w:val="730B3C89"/>
    <w:rsid w:val="731D4975"/>
    <w:rsid w:val="731F249B"/>
    <w:rsid w:val="73205AFB"/>
    <w:rsid w:val="73233E20"/>
    <w:rsid w:val="73245D03"/>
    <w:rsid w:val="73353469"/>
    <w:rsid w:val="73373C88"/>
    <w:rsid w:val="73374D00"/>
    <w:rsid w:val="73430F7B"/>
    <w:rsid w:val="7352461E"/>
    <w:rsid w:val="73584555"/>
    <w:rsid w:val="73590397"/>
    <w:rsid w:val="73597B32"/>
    <w:rsid w:val="735B62FB"/>
    <w:rsid w:val="735C36EF"/>
    <w:rsid w:val="735F2B12"/>
    <w:rsid w:val="7370719A"/>
    <w:rsid w:val="737A5923"/>
    <w:rsid w:val="73872B2B"/>
    <w:rsid w:val="738B0E57"/>
    <w:rsid w:val="738C2C80"/>
    <w:rsid w:val="73966C01"/>
    <w:rsid w:val="73A25854"/>
    <w:rsid w:val="73A33B75"/>
    <w:rsid w:val="73A646F5"/>
    <w:rsid w:val="73A86934"/>
    <w:rsid w:val="73B2330F"/>
    <w:rsid w:val="73B9644B"/>
    <w:rsid w:val="73BB0416"/>
    <w:rsid w:val="73BE4DC0"/>
    <w:rsid w:val="73C1153C"/>
    <w:rsid w:val="73C453B0"/>
    <w:rsid w:val="73DE006D"/>
    <w:rsid w:val="73E07E7C"/>
    <w:rsid w:val="73EA4857"/>
    <w:rsid w:val="73EE6D96"/>
    <w:rsid w:val="73FB4CB6"/>
    <w:rsid w:val="73FC27DC"/>
    <w:rsid w:val="73FE0302"/>
    <w:rsid w:val="74022EE4"/>
    <w:rsid w:val="74092912"/>
    <w:rsid w:val="7420471D"/>
    <w:rsid w:val="74277859"/>
    <w:rsid w:val="742C1313"/>
    <w:rsid w:val="74335A84"/>
    <w:rsid w:val="743D2055"/>
    <w:rsid w:val="74416441"/>
    <w:rsid w:val="74485A21"/>
    <w:rsid w:val="745253E2"/>
    <w:rsid w:val="745368A0"/>
    <w:rsid w:val="74583EB6"/>
    <w:rsid w:val="745D6834"/>
    <w:rsid w:val="745F621A"/>
    <w:rsid w:val="7461284E"/>
    <w:rsid w:val="74654825"/>
    <w:rsid w:val="746960C4"/>
    <w:rsid w:val="746E2F9C"/>
    <w:rsid w:val="746E48F0"/>
    <w:rsid w:val="747211AC"/>
    <w:rsid w:val="747D76D3"/>
    <w:rsid w:val="747F61D2"/>
    <w:rsid w:val="748E002A"/>
    <w:rsid w:val="74916FB3"/>
    <w:rsid w:val="74956EB9"/>
    <w:rsid w:val="749E3893"/>
    <w:rsid w:val="74A23383"/>
    <w:rsid w:val="74A4534E"/>
    <w:rsid w:val="74A7099A"/>
    <w:rsid w:val="74B7323A"/>
    <w:rsid w:val="74BF0636"/>
    <w:rsid w:val="74C652C4"/>
    <w:rsid w:val="74C84203"/>
    <w:rsid w:val="74CC21AE"/>
    <w:rsid w:val="74D04EC1"/>
    <w:rsid w:val="74DA0B96"/>
    <w:rsid w:val="74E25E76"/>
    <w:rsid w:val="74E62003"/>
    <w:rsid w:val="74E86652"/>
    <w:rsid w:val="74FC2209"/>
    <w:rsid w:val="751C4AB5"/>
    <w:rsid w:val="75202715"/>
    <w:rsid w:val="7521716B"/>
    <w:rsid w:val="75292FF9"/>
    <w:rsid w:val="7530098F"/>
    <w:rsid w:val="75387844"/>
    <w:rsid w:val="753B4C73"/>
    <w:rsid w:val="7541494A"/>
    <w:rsid w:val="75422471"/>
    <w:rsid w:val="75465A29"/>
    <w:rsid w:val="75491A51"/>
    <w:rsid w:val="754D5D9F"/>
    <w:rsid w:val="75510906"/>
    <w:rsid w:val="75530B22"/>
    <w:rsid w:val="755C2716"/>
    <w:rsid w:val="756013D3"/>
    <w:rsid w:val="756643B1"/>
    <w:rsid w:val="756B7A8F"/>
    <w:rsid w:val="756B7C19"/>
    <w:rsid w:val="75730702"/>
    <w:rsid w:val="75771F0D"/>
    <w:rsid w:val="757840E4"/>
    <w:rsid w:val="757A4300"/>
    <w:rsid w:val="757D25B4"/>
    <w:rsid w:val="757D56E9"/>
    <w:rsid w:val="758F2B31"/>
    <w:rsid w:val="75B23A9A"/>
    <w:rsid w:val="75B4336E"/>
    <w:rsid w:val="75B94E29"/>
    <w:rsid w:val="75BB69CC"/>
    <w:rsid w:val="75C07440"/>
    <w:rsid w:val="75C07511"/>
    <w:rsid w:val="75DC14ED"/>
    <w:rsid w:val="75DC4673"/>
    <w:rsid w:val="75EF4E90"/>
    <w:rsid w:val="75F43968"/>
    <w:rsid w:val="75FC2F67"/>
    <w:rsid w:val="75FC4D15"/>
    <w:rsid w:val="75FF0362"/>
    <w:rsid w:val="75FF58D9"/>
    <w:rsid w:val="76047119"/>
    <w:rsid w:val="760C0E7E"/>
    <w:rsid w:val="76102F17"/>
    <w:rsid w:val="761738FD"/>
    <w:rsid w:val="761C0A5E"/>
    <w:rsid w:val="761C520C"/>
    <w:rsid w:val="761D53B8"/>
    <w:rsid w:val="762068EC"/>
    <w:rsid w:val="76266428"/>
    <w:rsid w:val="762668CA"/>
    <w:rsid w:val="762C55FB"/>
    <w:rsid w:val="762D2103"/>
    <w:rsid w:val="763829FD"/>
    <w:rsid w:val="763C5AF0"/>
    <w:rsid w:val="76487F5B"/>
    <w:rsid w:val="764A5A81"/>
    <w:rsid w:val="764D5571"/>
    <w:rsid w:val="765B06A9"/>
    <w:rsid w:val="765B39FF"/>
    <w:rsid w:val="76612DCA"/>
    <w:rsid w:val="76694446"/>
    <w:rsid w:val="7669509E"/>
    <w:rsid w:val="766F0317"/>
    <w:rsid w:val="767174B1"/>
    <w:rsid w:val="76724FD8"/>
    <w:rsid w:val="767A4191"/>
    <w:rsid w:val="768F5B89"/>
    <w:rsid w:val="76960696"/>
    <w:rsid w:val="76982881"/>
    <w:rsid w:val="769937D8"/>
    <w:rsid w:val="76A36694"/>
    <w:rsid w:val="76A809F9"/>
    <w:rsid w:val="76A96C4B"/>
    <w:rsid w:val="76AC0E24"/>
    <w:rsid w:val="76BE1FCB"/>
    <w:rsid w:val="76BF646F"/>
    <w:rsid w:val="76C1641A"/>
    <w:rsid w:val="76C3079A"/>
    <w:rsid w:val="76C3441F"/>
    <w:rsid w:val="76C55F56"/>
    <w:rsid w:val="76C7193E"/>
    <w:rsid w:val="76D53572"/>
    <w:rsid w:val="76D67486"/>
    <w:rsid w:val="76DB492B"/>
    <w:rsid w:val="76E16AC1"/>
    <w:rsid w:val="76FF4ABD"/>
    <w:rsid w:val="77184473"/>
    <w:rsid w:val="771E6415"/>
    <w:rsid w:val="77212C85"/>
    <w:rsid w:val="77272DD5"/>
    <w:rsid w:val="772C5186"/>
    <w:rsid w:val="77347E71"/>
    <w:rsid w:val="773C1557"/>
    <w:rsid w:val="773D6723"/>
    <w:rsid w:val="77444361"/>
    <w:rsid w:val="774E601A"/>
    <w:rsid w:val="77537629"/>
    <w:rsid w:val="77565315"/>
    <w:rsid w:val="775748F9"/>
    <w:rsid w:val="775766A7"/>
    <w:rsid w:val="775D014D"/>
    <w:rsid w:val="775F555C"/>
    <w:rsid w:val="77604922"/>
    <w:rsid w:val="77674410"/>
    <w:rsid w:val="777234E1"/>
    <w:rsid w:val="77782AEC"/>
    <w:rsid w:val="778014CF"/>
    <w:rsid w:val="778A7BDC"/>
    <w:rsid w:val="778D78FD"/>
    <w:rsid w:val="77956C8C"/>
    <w:rsid w:val="779D56EB"/>
    <w:rsid w:val="77B23D9C"/>
    <w:rsid w:val="77BF249E"/>
    <w:rsid w:val="77BF7921"/>
    <w:rsid w:val="77C33FD9"/>
    <w:rsid w:val="77C66F46"/>
    <w:rsid w:val="77C71351"/>
    <w:rsid w:val="77D31AA6"/>
    <w:rsid w:val="77D41D63"/>
    <w:rsid w:val="77D62D81"/>
    <w:rsid w:val="77D83337"/>
    <w:rsid w:val="77DC4DFE"/>
    <w:rsid w:val="77EC380F"/>
    <w:rsid w:val="77ED700C"/>
    <w:rsid w:val="77F24622"/>
    <w:rsid w:val="77F959B0"/>
    <w:rsid w:val="78060509"/>
    <w:rsid w:val="78081232"/>
    <w:rsid w:val="78137BBA"/>
    <w:rsid w:val="781C169F"/>
    <w:rsid w:val="78264D62"/>
    <w:rsid w:val="78267E28"/>
    <w:rsid w:val="782A02C9"/>
    <w:rsid w:val="782F20BD"/>
    <w:rsid w:val="783267CC"/>
    <w:rsid w:val="783A38D3"/>
    <w:rsid w:val="783A5287"/>
    <w:rsid w:val="783E5E5F"/>
    <w:rsid w:val="78472812"/>
    <w:rsid w:val="784A5D07"/>
    <w:rsid w:val="784C4567"/>
    <w:rsid w:val="78670B6C"/>
    <w:rsid w:val="78697F83"/>
    <w:rsid w:val="786F17CF"/>
    <w:rsid w:val="78713799"/>
    <w:rsid w:val="7872306D"/>
    <w:rsid w:val="78746DE5"/>
    <w:rsid w:val="787814EF"/>
    <w:rsid w:val="787A2303"/>
    <w:rsid w:val="787C3895"/>
    <w:rsid w:val="787E1A12"/>
    <w:rsid w:val="788634C2"/>
    <w:rsid w:val="788F1E71"/>
    <w:rsid w:val="7895756E"/>
    <w:rsid w:val="78A13EEA"/>
    <w:rsid w:val="78A376CA"/>
    <w:rsid w:val="78A91162"/>
    <w:rsid w:val="78B95140"/>
    <w:rsid w:val="78D02E1F"/>
    <w:rsid w:val="78D15FE5"/>
    <w:rsid w:val="78E0091E"/>
    <w:rsid w:val="78EC72C3"/>
    <w:rsid w:val="78EF290F"/>
    <w:rsid w:val="78F817C4"/>
    <w:rsid w:val="78FB7506"/>
    <w:rsid w:val="78FD327E"/>
    <w:rsid w:val="790A3368"/>
    <w:rsid w:val="790E425A"/>
    <w:rsid w:val="7920246B"/>
    <w:rsid w:val="79352A18"/>
    <w:rsid w:val="79366790"/>
    <w:rsid w:val="793675A6"/>
    <w:rsid w:val="793C4A8E"/>
    <w:rsid w:val="794C1560"/>
    <w:rsid w:val="794C278F"/>
    <w:rsid w:val="795409C4"/>
    <w:rsid w:val="795A5FDB"/>
    <w:rsid w:val="796E7CD8"/>
    <w:rsid w:val="797B6E5B"/>
    <w:rsid w:val="798527E5"/>
    <w:rsid w:val="79975481"/>
    <w:rsid w:val="79982FA7"/>
    <w:rsid w:val="79983B31"/>
    <w:rsid w:val="79986942"/>
    <w:rsid w:val="79B01E3C"/>
    <w:rsid w:val="79BE0C60"/>
    <w:rsid w:val="79C755E3"/>
    <w:rsid w:val="79C773E8"/>
    <w:rsid w:val="79CA2CA8"/>
    <w:rsid w:val="79DD09BA"/>
    <w:rsid w:val="79E24222"/>
    <w:rsid w:val="79ED424A"/>
    <w:rsid w:val="7A000594"/>
    <w:rsid w:val="7A016D9E"/>
    <w:rsid w:val="7A0D32B2"/>
    <w:rsid w:val="7A120EC0"/>
    <w:rsid w:val="7A180419"/>
    <w:rsid w:val="7A1B7E60"/>
    <w:rsid w:val="7A2A4A0B"/>
    <w:rsid w:val="7A2E1356"/>
    <w:rsid w:val="7A3B7E45"/>
    <w:rsid w:val="7A6127DE"/>
    <w:rsid w:val="7A612A1D"/>
    <w:rsid w:val="7A615E1F"/>
    <w:rsid w:val="7A62211B"/>
    <w:rsid w:val="7A65290D"/>
    <w:rsid w:val="7A6A0B10"/>
    <w:rsid w:val="7A6F009C"/>
    <w:rsid w:val="7A8157E9"/>
    <w:rsid w:val="7A9418B5"/>
    <w:rsid w:val="7A95680D"/>
    <w:rsid w:val="7A9B0A8A"/>
    <w:rsid w:val="7AA80FC8"/>
    <w:rsid w:val="7AAF67FA"/>
    <w:rsid w:val="7AB23BF5"/>
    <w:rsid w:val="7AB67B89"/>
    <w:rsid w:val="7ABD0F3F"/>
    <w:rsid w:val="7AD65B35"/>
    <w:rsid w:val="7ADB139D"/>
    <w:rsid w:val="7AE640AA"/>
    <w:rsid w:val="7AEF6BF7"/>
    <w:rsid w:val="7AF1471D"/>
    <w:rsid w:val="7AF17DFD"/>
    <w:rsid w:val="7B0377B2"/>
    <w:rsid w:val="7B1014FD"/>
    <w:rsid w:val="7B1448AF"/>
    <w:rsid w:val="7B1721B3"/>
    <w:rsid w:val="7B2C1BF9"/>
    <w:rsid w:val="7B332D40"/>
    <w:rsid w:val="7B335574"/>
    <w:rsid w:val="7B364826"/>
    <w:rsid w:val="7B4231CA"/>
    <w:rsid w:val="7B5D5765"/>
    <w:rsid w:val="7B605959"/>
    <w:rsid w:val="7B7A36AA"/>
    <w:rsid w:val="7B841A35"/>
    <w:rsid w:val="7B857669"/>
    <w:rsid w:val="7B875081"/>
    <w:rsid w:val="7B945BE0"/>
    <w:rsid w:val="7BA447B8"/>
    <w:rsid w:val="7BA93249"/>
    <w:rsid w:val="7BA94FF8"/>
    <w:rsid w:val="7BAF37FB"/>
    <w:rsid w:val="7BB4467C"/>
    <w:rsid w:val="7BB67714"/>
    <w:rsid w:val="7BB8391B"/>
    <w:rsid w:val="7BC10593"/>
    <w:rsid w:val="7BD024DB"/>
    <w:rsid w:val="7BD1454E"/>
    <w:rsid w:val="7BD67766"/>
    <w:rsid w:val="7BDE0F2D"/>
    <w:rsid w:val="7BE129E3"/>
    <w:rsid w:val="7BE81913"/>
    <w:rsid w:val="7BE81FC4"/>
    <w:rsid w:val="7BEA76B6"/>
    <w:rsid w:val="7BEC339E"/>
    <w:rsid w:val="7BF33737"/>
    <w:rsid w:val="7BFE17E7"/>
    <w:rsid w:val="7C0E3383"/>
    <w:rsid w:val="7C142DB9"/>
    <w:rsid w:val="7C1728A9"/>
    <w:rsid w:val="7C1D1DCF"/>
    <w:rsid w:val="7C240B22"/>
    <w:rsid w:val="7C413482"/>
    <w:rsid w:val="7C47192E"/>
    <w:rsid w:val="7C575C0A"/>
    <w:rsid w:val="7C594C70"/>
    <w:rsid w:val="7C662EE9"/>
    <w:rsid w:val="7C6B19BC"/>
    <w:rsid w:val="7C6B3384"/>
    <w:rsid w:val="7C6F6241"/>
    <w:rsid w:val="7C7D684C"/>
    <w:rsid w:val="7C7E3193"/>
    <w:rsid w:val="7C7E6484"/>
    <w:rsid w:val="7C857813"/>
    <w:rsid w:val="7C982710"/>
    <w:rsid w:val="7C9A7F2E"/>
    <w:rsid w:val="7CA46D4F"/>
    <w:rsid w:val="7CAA6C4A"/>
    <w:rsid w:val="7CBB6605"/>
    <w:rsid w:val="7CBC6FAC"/>
    <w:rsid w:val="7CC973C1"/>
    <w:rsid w:val="7CE14CA5"/>
    <w:rsid w:val="7CE53CE8"/>
    <w:rsid w:val="7CE72C39"/>
    <w:rsid w:val="7CF15FE9"/>
    <w:rsid w:val="7CF91FAF"/>
    <w:rsid w:val="7CFC0F19"/>
    <w:rsid w:val="7CFD1A9F"/>
    <w:rsid w:val="7D017A71"/>
    <w:rsid w:val="7D0A41BC"/>
    <w:rsid w:val="7D1E00A9"/>
    <w:rsid w:val="7D223682"/>
    <w:rsid w:val="7D231EC9"/>
    <w:rsid w:val="7D236DC3"/>
    <w:rsid w:val="7D2C6F0C"/>
    <w:rsid w:val="7D3624B9"/>
    <w:rsid w:val="7D37553B"/>
    <w:rsid w:val="7D4E757D"/>
    <w:rsid w:val="7D4F6073"/>
    <w:rsid w:val="7D521DB9"/>
    <w:rsid w:val="7D696D1C"/>
    <w:rsid w:val="7D946282"/>
    <w:rsid w:val="7D9615AC"/>
    <w:rsid w:val="7DA57A41"/>
    <w:rsid w:val="7DA77C5D"/>
    <w:rsid w:val="7DB025F5"/>
    <w:rsid w:val="7DB87774"/>
    <w:rsid w:val="7DC13E48"/>
    <w:rsid w:val="7DCD708E"/>
    <w:rsid w:val="7DCE12EA"/>
    <w:rsid w:val="7DD56578"/>
    <w:rsid w:val="7DE1316F"/>
    <w:rsid w:val="7DFD787D"/>
    <w:rsid w:val="7E0F7ECA"/>
    <w:rsid w:val="7E15362A"/>
    <w:rsid w:val="7E2D71D8"/>
    <w:rsid w:val="7E316B2E"/>
    <w:rsid w:val="7E3A63DB"/>
    <w:rsid w:val="7E526BA9"/>
    <w:rsid w:val="7E5A3564"/>
    <w:rsid w:val="7E5A4CCF"/>
    <w:rsid w:val="7E6B0C8A"/>
    <w:rsid w:val="7E6C3A4B"/>
    <w:rsid w:val="7E722019"/>
    <w:rsid w:val="7E7278BD"/>
    <w:rsid w:val="7E795A6A"/>
    <w:rsid w:val="7E7C2E97"/>
    <w:rsid w:val="7E7F64E4"/>
    <w:rsid w:val="7E837D82"/>
    <w:rsid w:val="7E851D4C"/>
    <w:rsid w:val="7E8E17E5"/>
    <w:rsid w:val="7E9204CF"/>
    <w:rsid w:val="7E9401E1"/>
    <w:rsid w:val="7E9975A5"/>
    <w:rsid w:val="7E9A7EB2"/>
    <w:rsid w:val="7E9E696A"/>
    <w:rsid w:val="7EA1645A"/>
    <w:rsid w:val="7EAA7A04"/>
    <w:rsid w:val="7EAC28C5"/>
    <w:rsid w:val="7EAC2A89"/>
    <w:rsid w:val="7EB97C47"/>
    <w:rsid w:val="7ECF3134"/>
    <w:rsid w:val="7ED61762"/>
    <w:rsid w:val="7ED93E46"/>
    <w:rsid w:val="7EEC39F6"/>
    <w:rsid w:val="7EEE03F1"/>
    <w:rsid w:val="7EEE5778"/>
    <w:rsid w:val="7EEF5417"/>
    <w:rsid w:val="7EF3469E"/>
    <w:rsid w:val="7EFA62F0"/>
    <w:rsid w:val="7EFB4859"/>
    <w:rsid w:val="7EFE0AF5"/>
    <w:rsid w:val="7F005876"/>
    <w:rsid w:val="7F0215EE"/>
    <w:rsid w:val="7F0F5AB9"/>
    <w:rsid w:val="7F1B445E"/>
    <w:rsid w:val="7F264BB1"/>
    <w:rsid w:val="7F2F63B2"/>
    <w:rsid w:val="7F3078C3"/>
    <w:rsid w:val="7F437511"/>
    <w:rsid w:val="7F4514DB"/>
    <w:rsid w:val="7F5042EC"/>
    <w:rsid w:val="7F5527AD"/>
    <w:rsid w:val="7F55690C"/>
    <w:rsid w:val="7F5778EE"/>
    <w:rsid w:val="7F5931D8"/>
    <w:rsid w:val="7F5D42CB"/>
    <w:rsid w:val="7F6A3278"/>
    <w:rsid w:val="7F710522"/>
    <w:rsid w:val="7F716C8F"/>
    <w:rsid w:val="7F790FDC"/>
    <w:rsid w:val="7F800A72"/>
    <w:rsid w:val="7F933E9E"/>
    <w:rsid w:val="7F963AE5"/>
    <w:rsid w:val="7F96692B"/>
    <w:rsid w:val="7F9C3A4F"/>
    <w:rsid w:val="7F9D4E73"/>
    <w:rsid w:val="7F9E2999"/>
    <w:rsid w:val="7F9F3B25"/>
    <w:rsid w:val="7FA53D28"/>
    <w:rsid w:val="7FAE52D2"/>
    <w:rsid w:val="7FAF154D"/>
    <w:rsid w:val="7FB511D2"/>
    <w:rsid w:val="7FB60056"/>
    <w:rsid w:val="7FB76FC0"/>
    <w:rsid w:val="7FBA6FEC"/>
    <w:rsid w:val="7FBD0F64"/>
    <w:rsid w:val="7FBE5C8E"/>
    <w:rsid w:val="7FC05006"/>
    <w:rsid w:val="7FC22B2C"/>
    <w:rsid w:val="7FC70142"/>
    <w:rsid w:val="7FD73216"/>
    <w:rsid w:val="7FD840FD"/>
    <w:rsid w:val="7FDC146E"/>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iPriority="39" w:name="toc 3"/>
    <w:lsdException w:uiPriority="39" w:name="toc 4"/>
    <w:lsdException w:unhideWhenUsed="0" w:uiPriority="0" w:semiHidden="0"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nhideWhenUsed="0" w:uiPriority="0" w:semiHidden="0" w:name="Body Text Indent 3"/>
    <w:lsdException w:uiPriority="99"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nhideWhenUsed="0" w:uiPriority="0" w:semiHidden="0" w:name="Plain Text"/>
    <w:lsdException w:unhideWhenUsed="0" w:uiPriority="0" w:semiHidden="0"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0" w:firstLineChars="200"/>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16"/>
    <w:qFormat/>
    <w:uiPriority w:val="99"/>
    <w:pPr>
      <w:keepNext/>
      <w:overflowPunct w:val="0"/>
      <w:snapToGrid w:val="0"/>
      <w:spacing w:after="100" w:afterLines="100" w:line="240" w:lineRule="auto"/>
      <w:ind w:firstLine="0" w:firstLineChars="0"/>
      <w:jc w:val="center"/>
      <w:outlineLvl w:val="0"/>
    </w:pPr>
    <w:rPr>
      <w:rFonts w:eastAsia="黑体"/>
      <w:color w:val="000000"/>
      <w:kern w:val="44"/>
      <w:sz w:val="30"/>
      <w:szCs w:val="30"/>
    </w:rPr>
  </w:style>
  <w:style w:type="paragraph" w:styleId="3">
    <w:name w:val="heading 2"/>
    <w:basedOn w:val="1"/>
    <w:next w:val="1"/>
    <w:link w:val="17"/>
    <w:semiHidden/>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outlineLvl w:val="2"/>
    </w:pPr>
    <w:rPr>
      <w:rFonts w:ascii="宋体" w:hAnsi="宋体"/>
      <w:b/>
      <w:color w:val="000000"/>
      <w:kern w:val="0"/>
    </w:rPr>
  </w:style>
  <w:style w:type="paragraph" w:styleId="5">
    <w:name w:val="heading 4"/>
    <w:basedOn w:val="1"/>
    <w:next w:val="1"/>
    <w:qFormat/>
    <w:uiPriority w:val="1"/>
    <w:pPr>
      <w:jc w:val="left"/>
      <w:outlineLvl w:val="3"/>
    </w:pPr>
    <w:rPr>
      <w:rFonts w:cs="宋体"/>
      <w:b/>
      <w:bCs/>
      <w:lang w:val="zh-CN" w:bidi="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link w:val="19"/>
    <w:qFormat/>
    <w:uiPriority w:val="0"/>
    <w:pPr>
      <w:tabs>
        <w:tab w:val="center" w:pos="4153"/>
        <w:tab w:val="right" w:pos="8306"/>
      </w:tabs>
      <w:snapToGrid w:val="0"/>
      <w:spacing w:line="240" w:lineRule="auto"/>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9">
    <w:name w:val="Title"/>
    <w:basedOn w:val="1"/>
    <w:next w:val="1"/>
    <w:qFormat/>
    <w:uiPriority w:val="10"/>
    <w:pPr>
      <w:jc w:val="center"/>
    </w:pPr>
    <w:rPr>
      <w:bCs/>
      <w:szCs w:val="32"/>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13">
    <w:name w:val="Table Normal"/>
    <w:semiHidden/>
    <w:unhideWhenUsed/>
    <w:qFormat/>
    <w:uiPriority w:val="0"/>
    <w:tblPr>
      <w:tblLayout w:type="fixed"/>
      <w:tblCellMar>
        <w:top w:w="0" w:type="dxa"/>
        <w:left w:w="0" w:type="dxa"/>
        <w:bottom w:w="0" w:type="dxa"/>
        <w:right w:w="0" w:type="dxa"/>
      </w:tblCellMar>
    </w:tblPr>
  </w:style>
  <w:style w:type="paragraph" w:customStyle="1" w:styleId="14">
    <w:name w:val="w表头"/>
    <w:basedOn w:val="1"/>
    <w:next w:val="15"/>
    <w:qFormat/>
    <w:uiPriority w:val="0"/>
    <w:pPr>
      <w:spacing w:line="240" w:lineRule="auto"/>
      <w:ind w:firstLine="0" w:firstLineChars="0"/>
      <w:jc w:val="center"/>
    </w:pPr>
    <w:rPr>
      <w:b/>
      <w:bCs/>
      <w:color w:val="000000" w:themeColor="text1"/>
      <w:sz w:val="21"/>
      <w:szCs w:val="21"/>
      <w14:textFill>
        <w14:solidFill>
          <w14:schemeClr w14:val="tx1"/>
        </w14:solidFill>
      </w14:textFill>
    </w:rPr>
  </w:style>
  <w:style w:type="paragraph" w:customStyle="1" w:styleId="15">
    <w:name w:val="w表格"/>
    <w:basedOn w:val="1"/>
    <w:qFormat/>
    <w:uiPriority w:val="0"/>
    <w:pPr>
      <w:spacing w:line="240" w:lineRule="auto"/>
      <w:ind w:firstLine="0" w:firstLineChars="0"/>
      <w:jc w:val="center"/>
    </w:pPr>
    <w:rPr>
      <w:color w:val="000000" w:themeColor="text1"/>
      <w:sz w:val="21"/>
      <w:szCs w:val="21"/>
      <w14:textFill>
        <w14:solidFill>
          <w14:schemeClr w14:val="tx1"/>
        </w14:solidFill>
      </w14:textFill>
    </w:rPr>
  </w:style>
  <w:style w:type="character" w:customStyle="1" w:styleId="16">
    <w:name w:val="标题 1 Char"/>
    <w:link w:val="2"/>
    <w:qFormat/>
    <w:uiPriority w:val="99"/>
    <w:rPr>
      <w:rFonts w:eastAsia="黑体"/>
      <w:color w:val="000000"/>
      <w:kern w:val="44"/>
      <w:sz w:val="30"/>
      <w:szCs w:val="30"/>
    </w:rPr>
  </w:style>
  <w:style w:type="character" w:customStyle="1" w:styleId="17">
    <w:name w:val="标题 2 Char"/>
    <w:link w:val="3"/>
    <w:qFormat/>
    <w:uiPriority w:val="0"/>
    <w:rPr>
      <w:rFonts w:ascii="Arial" w:hAnsi="Arial" w:eastAsia="黑体"/>
      <w:b/>
      <w:sz w:val="32"/>
    </w:rPr>
  </w:style>
  <w:style w:type="character" w:customStyle="1" w:styleId="18">
    <w:name w:val="页眉 Char"/>
    <w:basedOn w:val="12"/>
    <w:link w:val="8"/>
    <w:qFormat/>
    <w:uiPriority w:val="0"/>
    <w:rPr>
      <w:kern w:val="2"/>
      <w:sz w:val="18"/>
      <w:szCs w:val="18"/>
    </w:rPr>
  </w:style>
  <w:style w:type="character" w:customStyle="1" w:styleId="19">
    <w:name w:val="页脚 Char"/>
    <w:basedOn w:val="12"/>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microsoft.com/office/2006/relationships/keyMapCustomizations" Target="customizations.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oleObject" Target="embeddings/oleObject3.bin"/><Relationship Id="rId2" Type="http://schemas.openxmlformats.org/officeDocument/2006/relationships/settings" Target="settings.xml"/><Relationship Id="rId19" Type="http://schemas.openxmlformats.org/officeDocument/2006/relationships/image" Target="media/image5.emf"/><Relationship Id="rId18" Type="http://schemas.openxmlformats.org/officeDocument/2006/relationships/oleObject" Target="embeddings/oleObject2.bin"/><Relationship Id="rId17" Type="http://schemas.openxmlformats.org/officeDocument/2006/relationships/image" Target="media/image4.emf"/><Relationship Id="rId16" Type="http://schemas.openxmlformats.org/officeDocument/2006/relationships/oleObject" Target="embeddings/oleObject1.bin"/><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34761</Words>
  <Characters>39265</Characters>
  <Lines>290</Lines>
  <Paragraphs>81</Paragraphs>
  <TotalTime>0</TotalTime>
  <ScaleCrop>false</ScaleCrop>
  <LinksUpToDate>false</LinksUpToDate>
  <CharactersWithSpaces>39742</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2021-01-04T05:15:00Z</dcterms:created>
  <dc:creator>微软用户</dc:creator>
  <cp:lastModifiedBy>XSD</cp:lastModifiedBy>
  <cp:lastPrinted>2023-07-10T03:18:00Z</cp:lastPrinted>
  <dcterms:modified xsi:type="dcterms:W3CDTF">2023-11-30T05:27:10Z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BA473E4B24DC4F14A4ED896CF9CE92AF_13</vt:lpwstr>
  </property>
  <property fmtid="{D5CDD505-2E9C-101B-9397-08002B2CF9AE}" pid="4" name="KSOSaveFontToCloudKey">
    <vt:lpwstr>646249587_cloud</vt:lpwstr>
  </property>
  <property fmtid="{D5CDD505-2E9C-101B-9397-08002B2CF9AE}" pid="5" name="commondata">
    <vt:lpwstr>eyJoZGlkIjoiZjVjNzI1MGNhZDBmZTAzZDlmNGQ4ZmI1NWNkZmVjZmQifQ==</vt:lpwstr>
  </property>
</Properties>
</file>