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840" w:lineRule="exact"/>
        <w:ind w:left="0" w:leftChars="0" w:right="0" w:rightChars="0" w:firstLine="0" w:firstLineChars="0"/>
        <w:jc w:val="center"/>
        <w:textAlignment w:val="auto"/>
        <w:outlineLvl w:val="9"/>
        <w:rPr>
          <w:rFonts w:hint="eastAsia" w:ascii="方正小标宋简体" w:hAnsi="方正小标宋简体" w:eastAsia="方正小标宋简体" w:cs="方正小标宋简体"/>
          <w:color w:val="FF0000"/>
          <w:spacing w:val="-46"/>
          <w:sz w:val="72"/>
          <w:szCs w:val="72"/>
          <w:lang w:val="en-US" w:eastAsia="zh-CN"/>
        </w:rPr>
      </w:pPr>
      <w:bookmarkStart w:id="0" w:name="_GoBack"/>
      <w:bookmarkEnd w:id="0"/>
    </w:p>
    <w:p>
      <w:pPr>
        <w:keepNext w:val="0"/>
        <w:keepLines w:val="0"/>
        <w:pageBreakBefore w:val="0"/>
        <w:widowControl w:val="0"/>
        <w:kinsoku/>
        <w:wordWrap/>
        <w:overflowPunct/>
        <w:topLinePunct w:val="0"/>
        <w:autoSpaceDE/>
        <w:autoSpaceDN/>
        <w:bidi w:val="0"/>
        <w:adjustRightInd/>
        <w:snapToGrid/>
        <w:spacing w:line="840" w:lineRule="exact"/>
        <w:ind w:left="0" w:leftChars="0" w:right="0" w:rightChars="0" w:firstLine="0" w:firstLineChars="0"/>
        <w:jc w:val="center"/>
        <w:textAlignment w:val="auto"/>
        <w:outlineLvl w:val="9"/>
        <w:rPr>
          <w:rFonts w:hint="eastAsia" w:ascii="方正小标宋简体" w:hAnsi="方正小标宋简体" w:eastAsia="方正小标宋简体" w:cs="方正小标宋简体"/>
          <w:color w:val="FF0000"/>
          <w:spacing w:val="-46"/>
          <w:sz w:val="72"/>
          <w:szCs w:val="72"/>
          <w:lang w:val="en-US" w:eastAsia="zh-CN"/>
        </w:rPr>
      </w:pPr>
      <w:r>
        <w:rPr>
          <w:rFonts w:hint="eastAsia" w:ascii="方正小标宋简体" w:hAnsi="方正小标宋简体" w:eastAsia="方正小标宋简体" w:cs="方正小标宋简体"/>
          <w:color w:val="FF0000"/>
          <w:spacing w:val="-46"/>
          <w:sz w:val="72"/>
          <w:szCs w:val="72"/>
          <w:lang w:val="en-US" w:eastAsia="zh-CN"/>
        </w:rPr>
        <w:t>昆明市晋宁区自然资源局文件</w:t>
      </w:r>
    </w:p>
    <w:p>
      <w:pPr>
        <w:spacing w:line="580" w:lineRule="exact"/>
        <w:jc w:val="left"/>
        <w:rPr>
          <w:rFonts w:hint="eastAsia" w:eastAsia="黑体"/>
          <w:sz w:val="44"/>
        </w:rPr>
      </w:pPr>
      <w:r>
        <w:rPr>
          <w:rFonts w:eastAsia="仿宋_GB2312"/>
          <w:sz w:val="44"/>
        </w:rPr>
        <mc:AlternateContent>
          <mc:Choice Requires="wps">
            <w:drawing>
              <wp:anchor distT="0" distB="0" distL="114300" distR="114300" simplePos="0" relativeHeight="251662336" behindDoc="0" locked="0" layoutInCell="1" allowOverlap="1">
                <wp:simplePos x="0" y="0"/>
                <wp:positionH relativeFrom="column">
                  <wp:posOffset>4114800</wp:posOffset>
                </wp:positionH>
                <wp:positionV relativeFrom="paragraph">
                  <wp:posOffset>198120</wp:posOffset>
                </wp:positionV>
                <wp:extent cx="600075" cy="396240"/>
                <wp:effectExtent l="0" t="0" r="9525" b="3810"/>
                <wp:wrapNone/>
                <wp:docPr id="6" name="文本框 6"/>
                <wp:cNvGraphicFramePr/>
                <a:graphic xmlns:a="http://schemas.openxmlformats.org/drawingml/2006/main">
                  <a:graphicData uri="http://schemas.microsoft.com/office/word/2010/wordprocessingShape">
                    <wps:wsp>
                      <wps:cNvSpPr txBox="1"/>
                      <wps:spPr>
                        <a:xfrm>
                          <a:off x="0" y="0"/>
                          <a:ext cx="600075" cy="396240"/>
                        </a:xfrm>
                        <a:prstGeom prst="rect">
                          <a:avLst/>
                        </a:prstGeom>
                        <a:solidFill>
                          <a:srgbClr val="FFFFFF"/>
                        </a:solidFill>
                        <a:ln>
                          <a:noFill/>
                        </a:ln>
                      </wps:spPr>
                      <wps:txbx>
                        <w:txbxContent>
                          <w:p>
                            <w:pPr>
                              <w:rPr>
                                <w:rFonts w:hint="eastAsia"/>
                              </w:rPr>
                            </w:pPr>
                          </w:p>
                        </w:txbxContent>
                      </wps:txbx>
                      <wps:bodyPr upright="1"/>
                    </wps:wsp>
                  </a:graphicData>
                </a:graphic>
              </wp:anchor>
            </w:drawing>
          </mc:Choice>
          <mc:Fallback>
            <w:pict>
              <v:shape id="_x0000_s1026" o:spid="_x0000_s1026" o:spt="202" type="#_x0000_t202" style="position:absolute;left:0pt;margin-left:324pt;margin-top:15.6pt;height:31.2pt;width:47.25pt;z-index:251662336;mso-width-relative:page;mso-height-relative:page;" fillcolor="#FFFFFF" filled="t" stroked="f" coordsize="21600,21600" o:gfxdata="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Azold/2AAAAAkBAAAPAAAAAAAAAAEAIAAAACIAAABkcnMvZG93bnJldi54&#10;bWxQSwECFAAUAAAACACHTuJARcReBMEBAAB2AwAADgAAAAAAAAABACAAAAAnAQAAZHJzL2Uyb0Rv&#10;Yy54bWxQSwUGAAAAAAYABgBZAQAAWgUAAAAA&#10;">
                <v:fill on="t" focussize="0,0"/>
                <v:stroke on="f"/>
                <v:imagedata o:title=""/>
                <o:lock v:ext="edit" aspectratio="f"/>
                <v:textbox>
                  <w:txbxContent>
                    <w:p>
                      <w:pPr>
                        <w:rPr>
                          <w:rFonts w:hint="eastAsia"/>
                        </w:rPr>
                      </w:pPr>
                    </w:p>
                  </w:txbxContent>
                </v:textbox>
              </v:shape>
            </w:pict>
          </mc:Fallback>
        </mc:AlternateContent>
      </w:r>
    </w:p>
    <w:p>
      <w:pPr>
        <w:keepNext w:val="0"/>
        <w:keepLines w:val="0"/>
        <w:pageBreakBefore w:val="0"/>
        <w:widowControl w:val="0"/>
        <w:kinsoku/>
        <w:wordWrap/>
        <w:overflowPunct/>
        <w:topLinePunct w:val="0"/>
        <w:autoSpaceDE/>
        <w:autoSpaceDN/>
        <w:bidi w:val="0"/>
        <w:adjustRightInd/>
        <w:snapToGrid/>
        <w:spacing w:before="120" w:beforeLines="50" w:line="560" w:lineRule="exact"/>
        <w:ind w:left="0" w:leftChars="0" w:right="0" w:rightChars="0" w:firstLine="2560" w:firstLineChars="800"/>
        <w:jc w:val="both"/>
        <w:textAlignment w:val="auto"/>
        <w:outlineLvl w:val="9"/>
        <w:rPr>
          <w:rFonts w:hint="eastAsia" w:eastAsia="仿宋_GB2312"/>
          <w:sz w:val="32"/>
        </w:rPr>
      </w:pPr>
      <w:r>
        <w:rPr>
          <w:rFonts w:hint="eastAsia" w:ascii="仿宋_GB2312" w:hAnsi="宋体" w:eastAsia="仿宋_GB2312"/>
          <w:sz w:val="32"/>
          <w:szCs w:val="28"/>
          <w:lang w:eastAsia="zh-CN"/>
        </w:rPr>
        <w:t>晋自然资源</w:t>
      </w:r>
      <w:r>
        <w:rPr>
          <w:rFonts w:hint="eastAsia" w:ascii="仿宋_GB2312" w:hAnsi="仿宋_GB2312" w:eastAsia="仿宋_GB2312" w:cs="仿宋_GB2312"/>
          <w:color w:val="000000"/>
          <w:sz w:val="32"/>
          <w:szCs w:val="32"/>
          <w:lang w:eastAsia="zh-CN"/>
        </w:rPr>
        <w:t>通</w:t>
      </w:r>
      <w:r>
        <w:rPr>
          <w:rFonts w:hint="eastAsia" w:ascii="仿宋_GB2312" w:hAnsi="仿宋_GB2312" w:eastAsia="仿宋_GB2312" w:cs="仿宋_GB2312"/>
          <w:color w:val="000000"/>
          <w:sz w:val="32"/>
          <w:szCs w:val="32"/>
        </w:rPr>
        <w:t>〔20</w:t>
      </w:r>
      <w:r>
        <w:rPr>
          <w:rFonts w:hint="eastAsia" w:ascii="仿宋_GB2312" w:hAnsi="仿宋_GB2312" w:eastAsia="仿宋_GB2312" w:cs="仿宋_GB2312"/>
          <w:color w:val="000000"/>
          <w:sz w:val="32"/>
          <w:szCs w:val="32"/>
          <w:lang w:val="en-US" w:eastAsia="zh-CN"/>
        </w:rPr>
        <w:t>22</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val="en-US" w:eastAsia="zh-CN"/>
        </w:rPr>
        <w:t>33</w:t>
      </w:r>
      <w:r>
        <w:rPr>
          <w:rFonts w:hint="eastAsia" w:ascii="仿宋_GB2312" w:hAnsi="仿宋_GB2312" w:eastAsia="仿宋_GB2312" w:cs="仿宋_GB2312"/>
          <w:color w:val="000000"/>
          <w:sz w:val="32"/>
          <w:szCs w:val="32"/>
        </w:rPr>
        <w:t>号</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both"/>
        <w:textAlignment w:val="auto"/>
        <w:outlineLvl w:val="9"/>
        <w:rPr>
          <w:rFonts w:hint="eastAsia" w:eastAsia="仿宋_GB2312"/>
          <w:sz w:val="32"/>
        </w:rPr>
      </w:pPr>
      <w:r>
        <w:rPr>
          <w:sz w:val="32"/>
        </w:rPr>
        <mc:AlternateContent>
          <mc:Choice Requires="wps">
            <w:drawing>
              <wp:anchor distT="0" distB="0" distL="114300" distR="114300" simplePos="0" relativeHeight="251661312" behindDoc="0" locked="0" layoutInCell="1" allowOverlap="1">
                <wp:simplePos x="0" y="0"/>
                <wp:positionH relativeFrom="column">
                  <wp:posOffset>10795</wp:posOffset>
                </wp:positionH>
                <wp:positionV relativeFrom="paragraph">
                  <wp:posOffset>194945</wp:posOffset>
                </wp:positionV>
                <wp:extent cx="5610225" cy="19050"/>
                <wp:effectExtent l="0" t="13970" r="13335" b="27940"/>
                <wp:wrapNone/>
                <wp:docPr id="1" name="直接连接符 1"/>
                <wp:cNvGraphicFramePr/>
                <a:graphic xmlns:a="http://schemas.openxmlformats.org/drawingml/2006/main">
                  <a:graphicData uri="http://schemas.microsoft.com/office/word/2010/wordprocessingShape">
                    <wps:wsp>
                      <wps:cNvCnPr/>
                      <wps:spPr>
                        <a:xfrm flipV="1">
                          <a:off x="0" y="0"/>
                          <a:ext cx="5610225" cy="19050"/>
                        </a:xfrm>
                        <a:prstGeom prst="line">
                          <a:avLst/>
                        </a:prstGeom>
                        <a:ln w="28575" cap="flat" cmpd="sng">
                          <a:solidFill>
                            <a:srgbClr val="FF0000"/>
                          </a:solidFill>
                          <a:prstDash val="solid"/>
                          <a:headEnd type="none" w="med" len="med"/>
                          <a:tailEnd type="none" w="med" len="med"/>
                        </a:ln>
                      </wps:spPr>
                      <wps:bodyPr upright="1"/>
                    </wps:wsp>
                  </a:graphicData>
                </a:graphic>
              </wp:anchor>
            </w:drawing>
          </mc:Choice>
          <mc:Fallback>
            <w:pict>
              <v:line id="_x0000_s1026" o:spid="_x0000_s1026" o:spt="20" style="position:absolute;left:0pt;flip:y;margin-left:0.85pt;margin-top:15.35pt;height:1.5pt;width:441.75pt;z-index:251661312;mso-width-relative:page;mso-height-relative:page;" filled="f" stroked="t" coordsize="21600,21600" o:gfxdata="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IB/XFXYAAAABwEAAA8AAAAAAAAAAQAgAAAAIgAAAGRycy9k&#10;b3ducmV2LnhtbFBLAQIUABQAAAAIAIdO4kC2TMnJAgIAAPMDAAAOAAAAAAAAAAEAIAAAACcBAABk&#10;cnMvZTJvRG9jLnhtbFBLBQYAAAAABgAGAFkBAACbBQAAAAA=&#10;">
                <v:fill on="f" focussize="0,0"/>
                <v:stroke weight="2.25pt" color="#FF0000" joinstyle="round"/>
                <v:imagedata o:title=""/>
                <o:lock v:ext="edit" aspectratio="f"/>
              </v:line>
            </w:pict>
          </mc:Fallback>
        </mc:AlternateContent>
      </w:r>
    </w:p>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方正小标宋简体" w:hAnsi="方正小标宋简体" w:eastAsia="方正小标宋简体" w:cs="方正小标宋简体"/>
          <w:b w:val="0"/>
          <w:bCs w:val="0"/>
          <w:sz w:val="44"/>
          <w:szCs w:val="44"/>
          <w:lang w:eastAsia="zh-CN"/>
        </w:rPr>
      </w:pPr>
    </w:p>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昆明市</w:t>
      </w:r>
      <w:r>
        <w:rPr>
          <w:rFonts w:hint="eastAsia" w:ascii="方正小标宋简体" w:hAnsi="方正小标宋简体" w:eastAsia="方正小标宋简体" w:cs="方正小标宋简体"/>
          <w:sz w:val="44"/>
          <w:szCs w:val="44"/>
          <w:lang w:eastAsia="zh-CN"/>
        </w:rPr>
        <w:t>晋宁区自然资源局</w:t>
      </w:r>
      <w:r>
        <w:rPr>
          <w:rFonts w:hint="eastAsia" w:ascii="方正小标宋简体" w:hAnsi="方正小标宋简体" w:eastAsia="方正小标宋简体" w:cs="方正小标宋简体"/>
          <w:sz w:val="44"/>
          <w:szCs w:val="44"/>
        </w:rPr>
        <w:t>关于印发容错纠错柔性执法“五张清单”的通知</w:t>
      </w:r>
    </w:p>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方正小标宋_GBK" w:hAnsi="方正小标宋_GBK" w:eastAsia="方正小标宋_GBK" w:cs="方正小标宋_GBK"/>
          <w:sz w:val="44"/>
          <w:szCs w:val="44"/>
        </w:rPr>
      </w:pPr>
    </w:p>
    <w:p>
      <w:pPr>
        <w:keepNext w:val="0"/>
        <w:keepLines w:val="0"/>
        <w:pageBreakBefore w:val="0"/>
        <w:widowControl/>
        <w:kinsoku/>
        <w:wordWrap/>
        <w:overflowPunct/>
        <w:topLinePunct w:val="0"/>
        <w:autoSpaceDE w:val="0"/>
        <w:autoSpaceDN w:val="0"/>
        <w:bidi w:val="0"/>
        <w:adjustRightInd w:val="0"/>
        <w:snapToGrid w:val="0"/>
        <w:spacing w:line="600" w:lineRule="exact"/>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局属各科室：</w:t>
      </w:r>
    </w:p>
    <w:p>
      <w:pPr>
        <w:keepNext w:val="0"/>
        <w:keepLines w:val="0"/>
        <w:pageBreakBefore w:val="0"/>
        <w:widowControl/>
        <w:kinsoku/>
        <w:wordWrap/>
        <w:overflowPunct/>
        <w:topLinePunct w:val="0"/>
        <w:autoSpaceDE w:val="0"/>
        <w:autoSpaceDN w:val="0"/>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为深入推进严格规范公正文明行政执法，进一步优化营商环境，规范行政处罚自由裁量权，结合我局职能职责，制定了《容错纠错柔性执法“五张清单”》。经研究同意，现予以印发，请认真贯彻执行。</w:t>
      </w:r>
    </w:p>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right="0"/>
        <w:jc w:val="both"/>
        <w:textAlignment w:val="auto"/>
        <w:rPr>
          <w:rFonts w:hint="eastAsia" w:ascii="仿宋_GB2312" w:hAnsi="仿宋_GB2312" w:eastAsia="仿宋_GB2312" w:cs="仿宋_GB2312"/>
          <w:sz w:val="32"/>
          <w:szCs w:val="32"/>
          <w:highlight w:val="none"/>
          <w:lang w:eastAsia="zh-CN"/>
        </w:rPr>
      </w:pPr>
    </w:p>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sz w:val="32"/>
          <w:szCs w:val="32"/>
          <w:highlight w:val="none"/>
          <w:lang w:eastAsia="zh-CN"/>
        </w:rPr>
      </w:pPr>
    </w:p>
    <w:p>
      <w:pPr>
        <w:keepNext w:val="0"/>
        <w:keepLines w:val="0"/>
        <w:pageBreakBefore w:val="0"/>
        <w:kinsoku/>
        <w:wordWrap/>
        <w:overflowPunct/>
        <w:topLinePunct w:val="0"/>
        <w:bidi w:val="0"/>
        <w:adjustRightInd w:val="0"/>
        <w:snapToGrid w:val="0"/>
        <w:spacing w:line="600" w:lineRule="exact"/>
        <w:jc w:val="both"/>
        <w:textAlignment w:val="auto"/>
        <w:rPr>
          <w:rFonts w:hint="eastAsia" w:ascii="简宋" w:hAnsi="简宋" w:eastAsia="简宋"/>
          <w:sz w:val="32"/>
          <w:szCs w:val="32"/>
          <w:lang w:eastAsia="zh-CN"/>
        </w:rPr>
      </w:pPr>
    </w:p>
    <w:p>
      <w:pPr>
        <w:keepNext w:val="0"/>
        <w:keepLines w:val="0"/>
        <w:pageBreakBefore w:val="0"/>
        <w:kinsoku/>
        <w:wordWrap/>
        <w:overflowPunct/>
        <w:topLinePunct w:val="0"/>
        <w:bidi w:val="0"/>
        <w:adjustRightInd w:val="0"/>
        <w:snapToGrid w:val="0"/>
        <w:spacing w:line="600" w:lineRule="exact"/>
        <w:jc w:val="both"/>
        <w:textAlignment w:val="auto"/>
        <w:rPr>
          <w:rFonts w:hint="eastAsia" w:ascii="简宋" w:hAnsi="简宋" w:eastAsia="简宋"/>
          <w:sz w:val="32"/>
          <w:szCs w:val="32"/>
          <w:lang w:eastAsia="zh-CN"/>
        </w:rPr>
      </w:pPr>
    </w:p>
    <w:p>
      <w:pPr>
        <w:keepNext w:val="0"/>
        <w:keepLines w:val="0"/>
        <w:pageBreakBefore w:val="0"/>
        <w:kinsoku/>
        <w:wordWrap/>
        <w:overflowPunct/>
        <w:topLinePunct w:val="0"/>
        <w:bidi w:val="0"/>
        <w:adjustRightInd w:val="0"/>
        <w:snapToGrid w:val="0"/>
        <w:spacing w:line="600" w:lineRule="exact"/>
        <w:ind w:firstLine="3520" w:firstLineChars="1100"/>
        <w:jc w:val="both"/>
        <w:textAlignment w:val="auto"/>
        <w:rPr>
          <w:rFonts w:hint="eastAsia" w:ascii="仿宋_GB2312" w:hAnsi="仿宋_GB2312" w:eastAsia="仿宋_GB2312" w:cs="仿宋_GB2312"/>
          <w:kern w:val="0"/>
          <w:sz w:val="32"/>
          <w:szCs w:val="32"/>
          <w:highlight w:val="none"/>
          <w:lang w:val="en-US" w:eastAsia="zh-CN" w:bidi="ar"/>
        </w:rPr>
      </w:pPr>
      <w:r>
        <w:rPr>
          <w:rFonts w:hint="eastAsia" w:ascii="仿宋_GB2312" w:hAnsi="仿宋_GB2312" w:eastAsia="仿宋_GB2312" w:cs="仿宋_GB2312"/>
          <w:kern w:val="0"/>
          <w:sz w:val="32"/>
          <w:szCs w:val="32"/>
          <w:highlight w:val="none"/>
          <w:lang w:val="en-US" w:eastAsia="zh-CN" w:bidi="ar"/>
        </w:rPr>
        <w:t>昆明市晋宁区自然资源局</w:t>
      </w:r>
    </w:p>
    <w:p>
      <w:pPr>
        <w:keepNext w:val="0"/>
        <w:keepLines w:val="0"/>
        <w:pageBreakBefore w:val="0"/>
        <w:kinsoku/>
        <w:wordWrap/>
        <w:overflowPunct/>
        <w:topLinePunct w:val="0"/>
        <w:bidi w:val="0"/>
        <w:adjustRightInd w:val="0"/>
        <w:snapToGrid w:val="0"/>
        <w:spacing w:line="600" w:lineRule="exact"/>
        <w:ind w:firstLine="4160" w:firstLineChars="1300"/>
        <w:jc w:val="both"/>
        <w:textAlignment w:val="auto"/>
        <w:rPr>
          <w:rFonts w:hint="default" w:ascii="仿宋_GB2312" w:hAnsi="仿宋_GB2312" w:eastAsia="仿宋_GB2312" w:cs="仿宋_GB2312"/>
          <w:kern w:val="0"/>
          <w:sz w:val="32"/>
          <w:szCs w:val="32"/>
          <w:highlight w:val="none"/>
          <w:lang w:val="en-US" w:eastAsia="zh-CN" w:bidi="ar"/>
        </w:rPr>
        <w:sectPr>
          <w:pgSz w:w="11906" w:h="16838"/>
          <w:pgMar w:top="1440" w:right="1800" w:bottom="1440" w:left="1800" w:header="851" w:footer="992" w:gutter="0"/>
          <w:cols w:space="720" w:num="1"/>
          <w:docGrid w:type="lines" w:linePitch="312" w:charSpace="0"/>
        </w:sectPr>
      </w:pPr>
      <w:r>
        <w:rPr>
          <w:rFonts w:hint="eastAsia" w:ascii="仿宋_GB2312" w:hAnsi="仿宋_GB2312" w:eastAsia="仿宋_GB2312" w:cs="仿宋_GB2312"/>
          <w:kern w:val="0"/>
          <w:sz w:val="32"/>
          <w:szCs w:val="32"/>
          <w:highlight w:val="none"/>
          <w:lang w:val="en-US" w:eastAsia="zh-CN" w:bidi="ar"/>
        </w:rPr>
        <w:t>2022年12月30日</w:t>
      </w:r>
    </w:p>
    <w:p>
      <w:pPr>
        <w:adjustRightInd w:val="0"/>
        <w:snapToGrid w:val="0"/>
        <w:spacing w:line="360" w:lineRule="auto"/>
        <w:jc w:val="both"/>
        <w:rPr>
          <w:rFonts w:hint="eastAsia" w:ascii="简宋" w:hAnsi="简宋" w:eastAsia="简宋"/>
          <w:sz w:val="32"/>
          <w:szCs w:val="32"/>
          <w:lang w:eastAsia="zh-CN"/>
        </w:rPr>
      </w:pPr>
    </w:p>
    <w:p>
      <w:pPr>
        <w:adjustRightInd w:val="0"/>
        <w:snapToGrid w:val="0"/>
        <w:spacing w:line="360" w:lineRule="auto"/>
        <w:jc w:val="center"/>
        <w:rPr>
          <w:rFonts w:hint="eastAsia" w:ascii="黑体" w:hAnsi="黑体" w:eastAsia="黑体" w:cs="黑体"/>
          <w:sz w:val="32"/>
          <w:szCs w:val="32"/>
        </w:rPr>
      </w:pPr>
      <w:r>
        <w:rPr>
          <w:rFonts w:hint="eastAsia" w:ascii="黑体" w:hAnsi="黑体" w:eastAsia="黑体" w:cs="黑体"/>
          <w:sz w:val="32"/>
          <w:szCs w:val="32"/>
          <w:lang w:eastAsia="zh-CN"/>
        </w:rPr>
        <w:t>昆明市晋宁区自然资源局关于容错纠错柔性执法“五张清单”不予</w:t>
      </w:r>
      <w:r>
        <w:rPr>
          <w:rFonts w:hint="eastAsia" w:ascii="黑体" w:hAnsi="黑体" w:eastAsia="黑体" w:cs="黑体"/>
          <w:sz w:val="32"/>
          <w:szCs w:val="32"/>
        </w:rPr>
        <w:t>行政处罚事项清单</w:t>
      </w:r>
    </w:p>
    <w:tbl>
      <w:tblPr>
        <w:tblStyle w:val="9"/>
        <w:tblW w:w="1394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38"/>
        <w:gridCol w:w="3544"/>
        <w:gridCol w:w="3402"/>
        <w:gridCol w:w="3260"/>
        <w:gridCol w:w="19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noWrap w:val="0"/>
            <w:vAlign w:val="center"/>
          </w:tcPr>
          <w:p>
            <w:pPr>
              <w:adjustRightInd w:val="0"/>
              <w:snapToGrid w:val="0"/>
              <w:spacing w:line="360" w:lineRule="auto"/>
              <w:jc w:val="center"/>
              <w:rPr>
                <w:rFonts w:hint="eastAsia" w:ascii="仿宋_GB2312" w:hAnsi="仿宋_GB2312" w:eastAsia="仿宋_GB2312" w:cs="仿宋_GB2312"/>
              </w:rPr>
            </w:pPr>
            <w:r>
              <w:rPr>
                <w:rFonts w:hint="eastAsia" w:ascii="仿宋_GB2312" w:hAnsi="仿宋_GB2312" w:eastAsia="仿宋_GB2312" w:cs="仿宋_GB2312"/>
              </w:rPr>
              <w:t>序号</w:t>
            </w:r>
          </w:p>
        </w:tc>
        <w:tc>
          <w:tcPr>
            <w:tcW w:w="3544" w:type="dxa"/>
            <w:noWrap w:val="0"/>
            <w:vAlign w:val="center"/>
          </w:tcPr>
          <w:p>
            <w:pPr>
              <w:adjustRightInd w:val="0"/>
              <w:snapToGrid w:val="0"/>
              <w:spacing w:line="360" w:lineRule="auto"/>
              <w:jc w:val="center"/>
              <w:rPr>
                <w:rFonts w:hint="eastAsia" w:ascii="仿宋_GB2312" w:hAnsi="仿宋_GB2312" w:eastAsia="仿宋_GB2312" w:cs="仿宋_GB2312"/>
              </w:rPr>
            </w:pPr>
            <w:r>
              <w:rPr>
                <w:rFonts w:hint="eastAsia" w:ascii="仿宋_GB2312" w:hAnsi="仿宋_GB2312" w:eastAsia="仿宋_GB2312" w:cs="仿宋_GB2312"/>
              </w:rPr>
              <w:t>违法行为</w:t>
            </w:r>
          </w:p>
        </w:tc>
        <w:tc>
          <w:tcPr>
            <w:tcW w:w="3402" w:type="dxa"/>
            <w:noWrap w:val="0"/>
            <w:vAlign w:val="center"/>
          </w:tcPr>
          <w:p>
            <w:pPr>
              <w:adjustRightInd w:val="0"/>
              <w:snapToGrid w:val="0"/>
              <w:spacing w:line="360" w:lineRule="auto"/>
              <w:jc w:val="center"/>
              <w:rPr>
                <w:rFonts w:hint="eastAsia" w:ascii="仿宋_GB2312" w:hAnsi="仿宋_GB2312" w:eastAsia="仿宋_GB2312" w:cs="仿宋_GB2312"/>
              </w:rPr>
            </w:pPr>
            <w:r>
              <w:rPr>
                <w:rFonts w:hint="eastAsia" w:ascii="仿宋_GB2312" w:hAnsi="仿宋_GB2312" w:eastAsia="仿宋_GB2312" w:cs="仿宋_GB2312"/>
              </w:rPr>
              <w:t>法律依据</w:t>
            </w:r>
          </w:p>
        </w:tc>
        <w:tc>
          <w:tcPr>
            <w:tcW w:w="3260" w:type="dxa"/>
            <w:noWrap w:val="0"/>
            <w:vAlign w:val="center"/>
          </w:tcPr>
          <w:p>
            <w:pPr>
              <w:adjustRightInd w:val="0"/>
              <w:snapToGrid w:val="0"/>
              <w:spacing w:line="360" w:lineRule="auto"/>
              <w:jc w:val="center"/>
              <w:rPr>
                <w:rFonts w:hint="eastAsia" w:ascii="仿宋_GB2312" w:hAnsi="仿宋_GB2312" w:eastAsia="仿宋_GB2312" w:cs="仿宋_GB2312"/>
              </w:rPr>
            </w:pPr>
            <w:r>
              <w:rPr>
                <w:rFonts w:hint="eastAsia" w:ascii="仿宋_GB2312" w:hAnsi="仿宋_GB2312" w:eastAsia="仿宋_GB2312" w:cs="仿宋_GB2312"/>
              </w:rPr>
              <w:t>适用情形</w:t>
            </w:r>
          </w:p>
        </w:tc>
        <w:tc>
          <w:tcPr>
            <w:tcW w:w="1904" w:type="dxa"/>
            <w:noWrap w:val="0"/>
            <w:vAlign w:val="center"/>
          </w:tcPr>
          <w:p>
            <w:pPr>
              <w:adjustRightInd w:val="0"/>
              <w:snapToGrid w:val="0"/>
              <w:spacing w:line="360" w:lineRule="auto"/>
              <w:jc w:val="center"/>
              <w:rPr>
                <w:rFonts w:hint="eastAsia" w:ascii="仿宋_GB2312" w:hAnsi="仿宋_GB2312" w:eastAsia="仿宋_GB2312" w:cs="仿宋_GB2312"/>
              </w:rPr>
            </w:pPr>
            <w:r>
              <w:rPr>
                <w:rFonts w:hint="eastAsia" w:ascii="仿宋_GB2312" w:hAnsi="仿宋_GB2312" w:eastAsia="仿宋_GB2312" w:cs="仿宋_GB2312"/>
              </w:rPr>
              <w:t>实施主体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noWrap w:val="0"/>
            <w:vAlign w:val="center"/>
          </w:tcPr>
          <w:p>
            <w:pPr>
              <w:adjustRightInd w:val="0"/>
              <w:snapToGrid w:val="0"/>
              <w:spacing w:line="360" w:lineRule="auto"/>
              <w:jc w:val="center"/>
              <w:rPr>
                <w:rFonts w:hint="eastAsia" w:ascii="仿宋_GB2312" w:hAnsi="仿宋_GB2312" w:eastAsia="仿宋_GB2312" w:cs="仿宋_GB2312"/>
              </w:rPr>
            </w:pPr>
            <w:r>
              <w:rPr>
                <w:rFonts w:hint="eastAsia" w:ascii="仿宋_GB2312" w:hAnsi="仿宋_GB2312" w:eastAsia="仿宋_GB2312" w:cs="仿宋_GB2312"/>
              </w:rPr>
              <w:t>1</w:t>
            </w:r>
          </w:p>
        </w:tc>
        <w:tc>
          <w:tcPr>
            <w:tcW w:w="3544" w:type="dxa"/>
            <w:noWrap w:val="0"/>
            <w:vAlign w:val="center"/>
          </w:tcPr>
          <w:p>
            <w:pPr>
              <w:adjustRightInd w:val="0"/>
              <w:snapToGrid w:val="0"/>
              <w:spacing w:line="360" w:lineRule="auto"/>
              <w:rPr>
                <w:rFonts w:hint="eastAsia" w:ascii="仿宋_GB2312" w:hAnsi="仿宋_GB2312" w:eastAsia="仿宋_GB2312" w:cs="仿宋_GB2312"/>
              </w:rPr>
            </w:pPr>
            <w:r>
              <w:rPr>
                <w:rFonts w:hint="eastAsia" w:ascii="仿宋_GB2312" w:hAnsi="仿宋_GB2312" w:eastAsia="仿宋_GB2312" w:cs="仿宋_GB2312"/>
                <w:color w:val="000000"/>
              </w:rPr>
              <w:t>买卖或者以其他形式非法转让土地的</w:t>
            </w:r>
          </w:p>
        </w:tc>
        <w:tc>
          <w:tcPr>
            <w:tcW w:w="3402" w:type="dxa"/>
            <w:noWrap w:val="0"/>
            <w:vAlign w:val="center"/>
          </w:tcPr>
          <w:p>
            <w:pPr>
              <w:adjustRightInd w:val="0"/>
              <w:snapToGrid w:val="0"/>
              <w:spacing w:line="360" w:lineRule="auto"/>
              <w:rPr>
                <w:rFonts w:hint="eastAsia" w:ascii="仿宋_GB2312" w:hAnsi="仿宋_GB2312" w:eastAsia="仿宋_GB2312" w:cs="仿宋_GB2312"/>
              </w:rPr>
            </w:pPr>
            <w:r>
              <w:rPr>
                <w:rFonts w:hint="eastAsia" w:ascii="仿宋_GB2312" w:hAnsi="仿宋_GB2312" w:eastAsia="仿宋_GB2312" w:cs="仿宋_GB2312"/>
                <w:color w:val="000000"/>
              </w:rPr>
              <w:t>《中华人民共和国土地管理法》第七十四条 ；《中华人民共和国土地管理法实施条例》第五十四条；</w:t>
            </w:r>
          </w:p>
        </w:tc>
        <w:tc>
          <w:tcPr>
            <w:tcW w:w="3260" w:type="dxa"/>
            <w:noWrap w:val="0"/>
            <w:vAlign w:val="center"/>
          </w:tcPr>
          <w:p>
            <w:pPr>
              <w:adjustRightInd w:val="0"/>
              <w:snapToGrid w:val="0"/>
              <w:spacing w:line="360" w:lineRule="auto"/>
              <w:rPr>
                <w:rFonts w:hint="eastAsia" w:ascii="仿宋_GB2312" w:hAnsi="仿宋_GB2312" w:eastAsia="仿宋_GB2312" w:cs="仿宋_GB2312"/>
              </w:rPr>
            </w:pPr>
            <w:r>
              <w:rPr>
                <w:rFonts w:hint="eastAsia" w:ascii="仿宋_GB2312" w:hAnsi="仿宋_GB2312" w:eastAsia="仿宋_GB2312" w:cs="仿宋_GB2312"/>
                <w:color w:val="000000"/>
                <w:kern w:val="2"/>
              </w:rPr>
              <w:t>符合土地用总体规划，非法转让的土地尚未进行建设或者能够自行纠正的。</w:t>
            </w:r>
          </w:p>
        </w:tc>
        <w:tc>
          <w:tcPr>
            <w:tcW w:w="1904" w:type="dxa"/>
            <w:noWrap w:val="0"/>
            <w:vAlign w:val="center"/>
          </w:tcPr>
          <w:p>
            <w:pPr>
              <w:adjustRightInd w:val="0"/>
              <w:snapToGrid w:val="0"/>
              <w:spacing w:line="360" w:lineRule="auto"/>
              <w:jc w:val="center"/>
              <w:rPr>
                <w:rFonts w:hint="eastAsia" w:ascii="仿宋_GB2312" w:hAnsi="仿宋_GB2312" w:eastAsia="仿宋_GB2312" w:cs="仿宋_GB2312"/>
                <w:lang w:eastAsia="zh-CN"/>
              </w:rPr>
            </w:pPr>
            <w:r>
              <w:rPr>
                <w:rFonts w:hint="eastAsia" w:ascii="仿宋_GB2312" w:hAnsi="仿宋_GB2312" w:eastAsia="仿宋_GB2312" w:cs="仿宋_GB2312"/>
              </w:rPr>
              <w:t>昆明市</w:t>
            </w:r>
            <w:r>
              <w:rPr>
                <w:rFonts w:hint="eastAsia" w:ascii="仿宋_GB2312" w:hAnsi="仿宋_GB2312" w:eastAsia="仿宋_GB2312" w:cs="仿宋_GB2312"/>
                <w:lang w:eastAsia="zh-CN"/>
              </w:rPr>
              <w:t>晋宁区自然资源局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noWrap w:val="0"/>
            <w:vAlign w:val="center"/>
          </w:tcPr>
          <w:p>
            <w:pPr>
              <w:adjustRightInd w:val="0"/>
              <w:snapToGrid w:val="0"/>
              <w:spacing w:line="360" w:lineRule="auto"/>
              <w:jc w:val="center"/>
              <w:rPr>
                <w:rFonts w:hint="eastAsia" w:ascii="仿宋_GB2312" w:hAnsi="仿宋_GB2312" w:eastAsia="仿宋_GB2312" w:cs="仿宋_GB2312"/>
              </w:rPr>
            </w:pPr>
            <w:r>
              <w:rPr>
                <w:rFonts w:hint="eastAsia" w:ascii="仿宋_GB2312" w:hAnsi="仿宋_GB2312" w:eastAsia="仿宋_GB2312" w:cs="仿宋_GB2312"/>
              </w:rPr>
              <w:t>2</w:t>
            </w:r>
          </w:p>
        </w:tc>
        <w:tc>
          <w:tcPr>
            <w:tcW w:w="3544" w:type="dxa"/>
            <w:noWrap w:val="0"/>
            <w:vAlign w:val="center"/>
          </w:tcPr>
          <w:p>
            <w:pPr>
              <w:adjustRightInd w:val="0"/>
              <w:snapToGrid w:val="0"/>
              <w:spacing w:line="360" w:lineRule="auto"/>
              <w:rPr>
                <w:rFonts w:hint="eastAsia" w:ascii="仿宋_GB2312" w:hAnsi="仿宋_GB2312" w:eastAsia="仿宋_GB2312" w:cs="仿宋_GB2312"/>
              </w:rPr>
            </w:pPr>
            <w:r>
              <w:rPr>
                <w:rFonts w:hint="eastAsia" w:ascii="仿宋_GB2312" w:hAnsi="仿宋_GB2312" w:eastAsia="仿宋_GB2312" w:cs="仿宋_GB2312"/>
                <w:color w:val="000000"/>
                <w:kern w:val="2"/>
              </w:rPr>
              <w:t>对转让房地产时，不符合法律规定的条件，非法转让以出让方式取得的土地使用权的</w:t>
            </w:r>
          </w:p>
        </w:tc>
        <w:tc>
          <w:tcPr>
            <w:tcW w:w="3402" w:type="dxa"/>
            <w:noWrap w:val="0"/>
            <w:vAlign w:val="center"/>
          </w:tcPr>
          <w:p>
            <w:pPr>
              <w:adjustRightInd w:val="0"/>
              <w:snapToGrid w:val="0"/>
              <w:spacing w:line="360" w:lineRule="auto"/>
              <w:rPr>
                <w:rFonts w:hint="eastAsia" w:ascii="仿宋_GB2312" w:hAnsi="仿宋_GB2312" w:eastAsia="仿宋_GB2312" w:cs="仿宋_GB2312"/>
              </w:rPr>
            </w:pPr>
            <w:r>
              <w:rPr>
                <w:rFonts w:hint="eastAsia" w:ascii="仿宋_GB2312" w:hAnsi="仿宋_GB2312" w:eastAsia="仿宋_GB2312" w:cs="仿宋_GB2312"/>
                <w:color w:val="000000"/>
              </w:rPr>
              <w:t>《中华人民共和国城市房地产管理法》第六十六条；中华人民共和国土地管理法》第七十四条；《中华人民共和国土地管理法实施条例》第五十四条。</w:t>
            </w:r>
          </w:p>
        </w:tc>
        <w:tc>
          <w:tcPr>
            <w:tcW w:w="3260" w:type="dxa"/>
            <w:noWrap w:val="0"/>
            <w:vAlign w:val="center"/>
          </w:tcPr>
          <w:p>
            <w:pPr>
              <w:adjustRightInd w:val="0"/>
              <w:snapToGrid w:val="0"/>
              <w:spacing w:line="360" w:lineRule="auto"/>
              <w:rPr>
                <w:rFonts w:hint="eastAsia" w:ascii="仿宋_GB2312" w:hAnsi="仿宋_GB2312" w:eastAsia="仿宋_GB2312" w:cs="仿宋_GB2312"/>
              </w:rPr>
            </w:pPr>
            <w:r>
              <w:rPr>
                <w:rFonts w:hint="eastAsia" w:ascii="仿宋_GB2312" w:hAnsi="仿宋_GB2312" w:eastAsia="仿宋_GB2312" w:cs="仿宋_GB2312"/>
                <w:color w:val="000000"/>
              </w:rPr>
              <w:t>非法转让的房地产为非经营性用途的，且未在非法转让的土地上新建建筑物和其他设施的。</w:t>
            </w:r>
          </w:p>
        </w:tc>
        <w:tc>
          <w:tcPr>
            <w:tcW w:w="1904" w:type="dxa"/>
            <w:noWrap w:val="0"/>
            <w:vAlign w:val="center"/>
          </w:tcPr>
          <w:p>
            <w:pPr>
              <w:adjustRightInd w:val="0"/>
              <w:snapToGrid w:val="0"/>
              <w:spacing w:line="360" w:lineRule="auto"/>
              <w:jc w:val="center"/>
              <w:rPr>
                <w:rFonts w:hint="eastAsia" w:ascii="仿宋_GB2312" w:hAnsi="仿宋_GB2312" w:eastAsia="仿宋_GB2312" w:cs="仿宋_GB2312"/>
              </w:rPr>
            </w:pPr>
            <w:r>
              <w:rPr>
                <w:rFonts w:hint="eastAsia" w:ascii="仿宋_GB2312" w:hAnsi="仿宋_GB2312" w:eastAsia="仿宋_GB2312" w:cs="仿宋_GB2312"/>
              </w:rPr>
              <w:t>昆明市</w:t>
            </w:r>
            <w:r>
              <w:rPr>
                <w:rFonts w:hint="eastAsia" w:ascii="仿宋_GB2312" w:hAnsi="仿宋_GB2312" w:eastAsia="仿宋_GB2312" w:cs="仿宋_GB2312"/>
                <w:lang w:eastAsia="zh-CN"/>
              </w:rPr>
              <w:t>晋宁区自然资源局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noWrap w:val="0"/>
            <w:vAlign w:val="center"/>
          </w:tcPr>
          <w:p>
            <w:pPr>
              <w:adjustRightInd w:val="0"/>
              <w:snapToGrid w:val="0"/>
              <w:spacing w:line="360" w:lineRule="auto"/>
              <w:jc w:val="center"/>
              <w:rPr>
                <w:rFonts w:hint="eastAsia" w:ascii="仿宋_GB2312" w:hAnsi="仿宋_GB2312" w:eastAsia="仿宋_GB2312" w:cs="仿宋_GB2312"/>
              </w:rPr>
            </w:pPr>
            <w:r>
              <w:rPr>
                <w:rFonts w:hint="eastAsia" w:ascii="仿宋_GB2312" w:hAnsi="仿宋_GB2312" w:eastAsia="仿宋_GB2312" w:cs="仿宋_GB2312"/>
              </w:rPr>
              <w:t>3</w:t>
            </w:r>
          </w:p>
        </w:tc>
        <w:tc>
          <w:tcPr>
            <w:tcW w:w="3544" w:type="dxa"/>
            <w:noWrap w:val="0"/>
            <w:vAlign w:val="center"/>
          </w:tcPr>
          <w:p>
            <w:pPr>
              <w:adjustRightInd w:val="0"/>
              <w:snapToGrid w:val="0"/>
              <w:spacing w:line="360" w:lineRule="auto"/>
              <w:rPr>
                <w:rFonts w:hint="eastAsia" w:ascii="仿宋_GB2312" w:hAnsi="仿宋_GB2312" w:eastAsia="仿宋_GB2312" w:cs="仿宋_GB2312"/>
              </w:rPr>
            </w:pPr>
            <w:r>
              <w:rPr>
                <w:rFonts w:hint="eastAsia" w:ascii="仿宋_GB2312" w:hAnsi="仿宋_GB2312" w:eastAsia="仿宋_GB2312" w:cs="仿宋_GB2312"/>
                <w:color w:val="000000"/>
                <w:kern w:val="2"/>
              </w:rPr>
              <w:t>转让房地产时未经批准非法转让以划拨方式取得的土地使用权的，或者经过批准转让以划拨方式取得的土地使用权，但未按规定缴纳土地使用权出让金的</w:t>
            </w:r>
          </w:p>
        </w:tc>
        <w:tc>
          <w:tcPr>
            <w:tcW w:w="3402" w:type="dxa"/>
            <w:noWrap w:val="0"/>
            <w:vAlign w:val="center"/>
          </w:tcPr>
          <w:p>
            <w:pPr>
              <w:adjustRightInd w:val="0"/>
              <w:snapToGrid w:val="0"/>
              <w:spacing w:line="360" w:lineRule="auto"/>
              <w:rPr>
                <w:rFonts w:hint="eastAsia" w:ascii="仿宋_GB2312" w:hAnsi="仿宋_GB2312" w:eastAsia="仿宋_GB2312" w:cs="仿宋_GB2312"/>
              </w:rPr>
            </w:pPr>
            <w:r>
              <w:rPr>
                <w:rFonts w:hint="eastAsia" w:ascii="仿宋_GB2312" w:hAnsi="仿宋_GB2312" w:eastAsia="仿宋_GB2312" w:cs="仿宋_GB2312"/>
                <w:color w:val="000000"/>
              </w:rPr>
              <w:t>《中华人民共和国城市房地产管理法》第六十七条；中华人民共和国土地管理法》第七十四条；《中华人民共和国土地管理法实施条例》第五十四条。</w:t>
            </w:r>
          </w:p>
        </w:tc>
        <w:tc>
          <w:tcPr>
            <w:tcW w:w="3260" w:type="dxa"/>
            <w:noWrap w:val="0"/>
            <w:vAlign w:val="center"/>
          </w:tcPr>
          <w:p>
            <w:pPr>
              <w:adjustRightInd w:val="0"/>
              <w:snapToGrid w:val="0"/>
              <w:spacing w:line="360" w:lineRule="auto"/>
              <w:rPr>
                <w:rFonts w:hint="eastAsia" w:ascii="仿宋_GB2312" w:hAnsi="仿宋_GB2312" w:eastAsia="仿宋_GB2312" w:cs="仿宋_GB2312"/>
              </w:rPr>
            </w:pPr>
            <w:r>
              <w:rPr>
                <w:rFonts w:hint="eastAsia" w:ascii="仿宋_GB2312" w:hAnsi="仿宋_GB2312" w:eastAsia="仿宋_GB2312" w:cs="仿宋_GB2312"/>
                <w:color w:val="000000"/>
              </w:rPr>
              <w:t>已经批准，在规定的期限内及时缴纳土地使用权出让金的。</w:t>
            </w:r>
          </w:p>
        </w:tc>
        <w:tc>
          <w:tcPr>
            <w:tcW w:w="1904" w:type="dxa"/>
            <w:noWrap w:val="0"/>
            <w:vAlign w:val="center"/>
          </w:tcPr>
          <w:p>
            <w:pPr>
              <w:adjustRightInd w:val="0"/>
              <w:snapToGrid w:val="0"/>
              <w:spacing w:line="360" w:lineRule="auto"/>
              <w:jc w:val="center"/>
              <w:rPr>
                <w:rFonts w:hint="eastAsia" w:ascii="仿宋_GB2312" w:hAnsi="仿宋_GB2312" w:eastAsia="仿宋_GB2312" w:cs="仿宋_GB2312"/>
              </w:rPr>
            </w:pPr>
            <w:r>
              <w:rPr>
                <w:rFonts w:hint="eastAsia" w:ascii="仿宋_GB2312" w:hAnsi="仿宋_GB2312" w:eastAsia="仿宋_GB2312" w:cs="仿宋_GB2312"/>
              </w:rPr>
              <w:t>昆明市</w:t>
            </w:r>
            <w:r>
              <w:rPr>
                <w:rFonts w:hint="eastAsia" w:ascii="仿宋_GB2312" w:hAnsi="仿宋_GB2312" w:eastAsia="仿宋_GB2312" w:cs="仿宋_GB2312"/>
                <w:lang w:eastAsia="zh-CN"/>
              </w:rPr>
              <w:t>晋宁区自然资源局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noWrap w:val="0"/>
            <w:vAlign w:val="center"/>
          </w:tcPr>
          <w:p>
            <w:pPr>
              <w:adjustRightInd w:val="0"/>
              <w:snapToGrid w:val="0"/>
              <w:spacing w:line="360" w:lineRule="auto"/>
              <w:jc w:val="center"/>
              <w:rPr>
                <w:rFonts w:hint="eastAsia" w:ascii="仿宋_GB2312" w:hAnsi="仿宋_GB2312" w:eastAsia="仿宋_GB2312" w:cs="仿宋_GB2312"/>
              </w:rPr>
            </w:pPr>
            <w:r>
              <w:rPr>
                <w:rFonts w:hint="eastAsia" w:ascii="仿宋_GB2312" w:hAnsi="仿宋_GB2312" w:eastAsia="仿宋_GB2312" w:cs="仿宋_GB2312"/>
              </w:rPr>
              <w:t>4</w:t>
            </w:r>
          </w:p>
        </w:tc>
        <w:tc>
          <w:tcPr>
            <w:tcW w:w="3544" w:type="dxa"/>
            <w:noWrap w:val="0"/>
            <w:vAlign w:val="center"/>
          </w:tcPr>
          <w:p>
            <w:pPr>
              <w:adjustRightInd w:val="0"/>
              <w:snapToGrid w:val="0"/>
              <w:spacing w:line="360" w:lineRule="auto"/>
              <w:rPr>
                <w:rFonts w:hint="eastAsia" w:ascii="仿宋_GB2312" w:hAnsi="仿宋_GB2312" w:eastAsia="仿宋_GB2312" w:cs="仿宋_GB2312"/>
              </w:rPr>
            </w:pPr>
            <w:r>
              <w:rPr>
                <w:rFonts w:hint="eastAsia" w:ascii="仿宋_GB2312" w:hAnsi="仿宋_GB2312" w:eastAsia="仿宋_GB2312" w:cs="仿宋_GB2312"/>
                <w:color w:val="000000"/>
                <w:shd w:val="clear" w:color="auto" w:fill="FFFFFF"/>
              </w:rPr>
              <w:t>占用耕地建窑、建坟或者擅自在耕地上建房、挖砂、采石、采矿、取土等，破坏种植条件的</w:t>
            </w:r>
          </w:p>
        </w:tc>
        <w:tc>
          <w:tcPr>
            <w:tcW w:w="3402" w:type="dxa"/>
            <w:noWrap w:val="0"/>
            <w:vAlign w:val="center"/>
          </w:tcPr>
          <w:p>
            <w:pPr>
              <w:adjustRightInd w:val="0"/>
              <w:snapToGrid w:val="0"/>
              <w:spacing w:line="360" w:lineRule="auto"/>
              <w:rPr>
                <w:rFonts w:hint="eastAsia" w:ascii="仿宋_GB2312" w:hAnsi="仿宋_GB2312" w:eastAsia="仿宋_GB2312" w:cs="仿宋_GB2312"/>
              </w:rPr>
            </w:pPr>
            <w:r>
              <w:rPr>
                <w:rFonts w:hint="eastAsia" w:ascii="仿宋_GB2312" w:hAnsi="仿宋_GB2312" w:eastAsia="仿宋_GB2312" w:cs="仿宋_GB2312"/>
                <w:color w:val="000000"/>
              </w:rPr>
              <w:t>《中华人民共和国土地管理法》第七十五条；《中华人民共和国土地管理法实施条例》第五十五条；《基本农田保护条例》第三十三条。</w:t>
            </w:r>
          </w:p>
        </w:tc>
        <w:tc>
          <w:tcPr>
            <w:tcW w:w="3260" w:type="dxa"/>
            <w:noWrap w:val="0"/>
            <w:vAlign w:val="center"/>
          </w:tcPr>
          <w:p>
            <w:pPr>
              <w:adjustRightInd w:val="0"/>
              <w:snapToGrid w:val="0"/>
              <w:spacing w:line="360" w:lineRule="auto"/>
              <w:rPr>
                <w:rFonts w:hint="eastAsia" w:ascii="仿宋_GB2312" w:hAnsi="仿宋_GB2312" w:eastAsia="仿宋_GB2312" w:cs="仿宋_GB2312"/>
              </w:rPr>
            </w:pPr>
            <w:r>
              <w:rPr>
                <w:rFonts w:hint="eastAsia" w:ascii="仿宋_GB2312" w:hAnsi="仿宋_GB2312" w:eastAsia="仿宋_GB2312" w:cs="仿宋_GB2312"/>
                <w:color w:val="000000"/>
                <w:kern w:val="2"/>
              </w:rPr>
              <w:t>个人在耕地上少量取土、采石、挖砂，不致破坏种植条件的。</w:t>
            </w:r>
          </w:p>
        </w:tc>
        <w:tc>
          <w:tcPr>
            <w:tcW w:w="1904" w:type="dxa"/>
            <w:noWrap w:val="0"/>
            <w:vAlign w:val="center"/>
          </w:tcPr>
          <w:p>
            <w:pPr>
              <w:adjustRightInd w:val="0"/>
              <w:snapToGrid w:val="0"/>
              <w:spacing w:line="360" w:lineRule="auto"/>
              <w:jc w:val="center"/>
              <w:rPr>
                <w:rFonts w:hint="eastAsia" w:ascii="仿宋_GB2312" w:hAnsi="仿宋_GB2312" w:eastAsia="仿宋_GB2312" w:cs="仿宋_GB2312"/>
              </w:rPr>
            </w:pPr>
            <w:r>
              <w:rPr>
                <w:rFonts w:hint="eastAsia" w:ascii="仿宋_GB2312" w:hAnsi="仿宋_GB2312" w:eastAsia="仿宋_GB2312" w:cs="仿宋_GB2312"/>
              </w:rPr>
              <w:t>昆明市</w:t>
            </w:r>
            <w:r>
              <w:rPr>
                <w:rFonts w:hint="eastAsia" w:ascii="仿宋_GB2312" w:hAnsi="仿宋_GB2312" w:eastAsia="仿宋_GB2312" w:cs="仿宋_GB2312"/>
                <w:lang w:eastAsia="zh-CN"/>
              </w:rPr>
              <w:t>晋宁区自然资源局、晋宁区农业农村局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noWrap w:val="0"/>
            <w:vAlign w:val="center"/>
          </w:tcPr>
          <w:p>
            <w:pPr>
              <w:adjustRightInd w:val="0"/>
              <w:snapToGrid w:val="0"/>
              <w:spacing w:line="360" w:lineRule="auto"/>
              <w:jc w:val="center"/>
              <w:rPr>
                <w:rFonts w:hint="eastAsia" w:ascii="仿宋_GB2312" w:hAnsi="仿宋_GB2312" w:eastAsia="仿宋_GB2312" w:cs="仿宋_GB2312"/>
              </w:rPr>
            </w:pPr>
            <w:r>
              <w:rPr>
                <w:rFonts w:hint="eastAsia" w:ascii="仿宋_GB2312" w:hAnsi="仿宋_GB2312" w:eastAsia="仿宋_GB2312" w:cs="仿宋_GB2312"/>
              </w:rPr>
              <w:t>5</w:t>
            </w:r>
          </w:p>
        </w:tc>
        <w:tc>
          <w:tcPr>
            <w:tcW w:w="3544" w:type="dxa"/>
            <w:noWrap w:val="0"/>
            <w:vAlign w:val="center"/>
          </w:tcPr>
          <w:p>
            <w:pPr>
              <w:adjustRightInd w:val="0"/>
              <w:snapToGrid w:val="0"/>
              <w:spacing w:line="360" w:lineRule="auto"/>
              <w:rPr>
                <w:rFonts w:hint="eastAsia" w:ascii="仿宋_GB2312" w:hAnsi="仿宋_GB2312" w:eastAsia="仿宋_GB2312" w:cs="仿宋_GB2312"/>
              </w:rPr>
            </w:pPr>
            <w:r>
              <w:rPr>
                <w:rFonts w:hint="eastAsia" w:ascii="仿宋_GB2312" w:hAnsi="仿宋_GB2312" w:eastAsia="仿宋_GB2312" w:cs="仿宋_GB2312"/>
                <w:color w:val="000000"/>
                <w:kern w:val="2"/>
              </w:rPr>
              <w:t>拒不履行土地复垦义务</w:t>
            </w:r>
          </w:p>
        </w:tc>
        <w:tc>
          <w:tcPr>
            <w:tcW w:w="3402" w:type="dxa"/>
            <w:noWrap w:val="0"/>
            <w:vAlign w:val="center"/>
          </w:tcPr>
          <w:p>
            <w:pPr>
              <w:adjustRightInd w:val="0"/>
              <w:snapToGrid w:val="0"/>
              <w:spacing w:line="360" w:lineRule="auto"/>
              <w:rPr>
                <w:rFonts w:hint="eastAsia" w:ascii="仿宋_GB2312" w:hAnsi="仿宋_GB2312" w:eastAsia="仿宋_GB2312" w:cs="仿宋_GB2312"/>
              </w:rPr>
            </w:pPr>
            <w:r>
              <w:rPr>
                <w:rFonts w:hint="eastAsia" w:ascii="仿宋_GB2312" w:hAnsi="仿宋_GB2312" w:eastAsia="仿宋_GB2312" w:cs="仿宋_GB2312"/>
                <w:color w:val="000000"/>
                <w:kern w:val="2"/>
              </w:rPr>
              <w:t>《中华人民共和国土地管理法》第七十六条；《中华人民共和国土地管理法实施条例》第五十六条；《土地复垦条例》第四十二条。</w:t>
            </w:r>
          </w:p>
        </w:tc>
        <w:tc>
          <w:tcPr>
            <w:tcW w:w="3260" w:type="dxa"/>
            <w:noWrap w:val="0"/>
            <w:vAlign w:val="center"/>
          </w:tcPr>
          <w:p>
            <w:pPr>
              <w:adjustRightInd w:val="0"/>
              <w:snapToGrid w:val="0"/>
              <w:spacing w:line="360" w:lineRule="auto"/>
              <w:rPr>
                <w:rFonts w:hint="eastAsia" w:ascii="仿宋_GB2312" w:hAnsi="仿宋_GB2312" w:eastAsia="仿宋_GB2312" w:cs="仿宋_GB2312"/>
              </w:rPr>
            </w:pPr>
            <w:r>
              <w:rPr>
                <w:rFonts w:hint="eastAsia" w:ascii="仿宋_GB2312" w:hAnsi="仿宋_GB2312" w:eastAsia="仿宋_GB2312" w:cs="仿宋_GB2312"/>
              </w:rPr>
              <w:t>（一）</w:t>
            </w:r>
            <w:r>
              <w:rPr>
                <w:rFonts w:hint="eastAsia" w:ascii="仿宋_GB2312" w:hAnsi="仿宋_GB2312" w:eastAsia="仿宋_GB2312" w:cs="仿宋_GB2312"/>
                <w:color w:val="000000"/>
                <w:kern w:val="2"/>
              </w:rPr>
              <w:t>拒不履行土地复垦义务的；（二）责令限期改正拒不改正，逾期1个月内的。</w:t>
            </w:r>
          </w:p>
        </w:tc>
        <w:tc>
          <w:tcPr>
            <w:tcW w:w="1904" w:type="dxa"/>
            <w:noWrap w:val="0"/>
            <w:vAlign w:val="center"/>
          </w:tcPr>
          <w:p>
            <w:pPr>
              <w:adjustRightInd w:val="0"/>
              <w:snapToGrid w:val="0"/>
              <w:spacing w:line="360" w:lineRule="auto"/>
              <w:jc w:val="center"/>
              <w:rPr>
                <w:rFonts w:hint="eastAsia" w:ascii="仿宋_GB2312" w:hAnsi="仿宋_GB2312" w:eastAsia="仿宋_GB2312" w:cs="仿宋_GB2312"/>
              </w:rPr>
            </w:pPr>
            <w:r>
              <w:rPr>
                <w:rFonts w:hint="eastAsia" w:ascii="仿宋_GB2312" w:hAnsi="仿宋_GB2312" w:eastAsia="仿宋_GB2312" w:cs="仿宋_GB2312"/>
              </w:rPr>
              <w:t>昆明市</w:t>
            </w:r>
            <w:r>
              <w:rPr>
                <w:rFonts w:hint="eastAsia" w:ascii="仿宋_GB2312" w:hAnsi="仿宋_GB2312" w:eastAsia="仿宋_GB2312" w:cs="仿宋_GB2312"/>
                <w:lang w:eastAsia="zh-CN"/>
              </w:rPr>
              <w:t>晋宁区自然资源局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noWrap w:val="0"/>
            <w:vAlign w:val="center"/>
          </w:tcPr>
          <w:p>
            <w:pPr>
              <w:adjustRightInd w:val="0"/>
              <w:snapToGrid w:val="0"/>
              <w:spacing w:line="360" w:lineRule="auto"/>
              <w:jc w:val="center"/>
              <w:rPr>
                <w:rFonts w:hint="eastAsia" w:ascii="仿宋_GB2312" w:hAnsi="仿宋_GB2312" w:eastAsia="仿宋_GB2312" w:cs="仿宋_GB2312"/>
              </w:rPr>
            </w:pPr>
            <w:r>
              <w:rPr>
                <w:rFonts w:hint="eastAsia" w:ascii="仿宋_GB2312" w:hAnsi="仿宋_GB2312" w:eastAsia="仿宋_GB2312" w:cs="仿宋_GB2312"/>
              </w:rPr>
              <w:t>6</w:t>
            </w:r>
          </w:p>
        </w:tc>
        <w:tc>
          <w:tcPr>
            <w:tcW w:w="3544" w:type="dxa"/>
            <w:noWrap w:val="0"/>
            <w:vAlign w:val="center"/>
          </w:tcPr>
          <w:p>
            <w:pPr>
              <w:adjustRightInd w:val="0"/>
              <w:snapToGrid w:val="0"/>
              <w:spacing w:line="360" w:lineRule="auto"/>
              <w:rPr>
                <w:rFonts w:hint="eastAsia" w:ascii="仿宋_GB2312" w:hAnsi="仿宋_GB2312" w:eastAsia="仿宋_GB2312" w:cs="仿宋_GB2312"/>
              </w:rPr>
            </w:pPr>
            <w:r>
              <w:rPr>
                <w:rFonts w:hint="eastAsia" w:ascii="仿宋_GB2312" w:hAnsi="仿宋_GB2312" w:eastAsia="仿宋_GB2312" w:cs="仿宋_GB2312"/>
                <w:color w:val="000000"/>
                <w:kern w:val="2"/>
              </w:rPr>
              <w:t>对在土地利用总体规划确定的禁止开垦区进行开垦</w:t>
            </w:r>
          </w:p>
        </w:tc>
        <w:tc>
          <w:tcPr>
            <w:tcW w:w="3402" w:type="dxa"/>
            <w:noWrap w:val="0"/>
            <w:vAlign w:val="center"/>
          </w:tcPr>
          <w:p>
            <w:pPr>
              <w:adjustRightInd w:val="0"/>
              <w:snapToGrid w:val="0"/>
              <w:spacing w:line="360" w:lineRule="auto"/>
              <w:rPr>
                <w:rFonts w:hint="eastAsia" w:ascii="仿宋_GB2312" w:hAnsi="仿宋_GB2312" w:eastAsia="仿宋_GB2312" w:cs="仿宋_GB2312"/>
              </w:rPr>
            </w:pPr>
            <w:r>
              <w:rPr>
                <w:rFonts w:hint="eastAsia" w:ascii="仿宋_GB2312" w:hAnsi="仿宋_GB2312" w:eastAsia="仿宋_GB2312" w:cs="仿宋_GB2312"/>
                <w:color w:val="000000"/>
                <w:kern w:val="2"/>
              </w:rPr>
              <w:t>《中华人民共和国土地管理法》第七十七条；《中华人民共和国土地管理法实施条例》第五十七条。</w:t>
            </w:r>
          </w:p>
        </w:tc>
        <w:tc>
          <w:tcPr>
            <w:tcW w:w="3260" w:type="dxa"/>
            <w:noWrap w:val="0"/>
            <w:vAlign w:val="center"/>
          </w:tcPr>
          <w:p>
            <w:pPr>
              <w:adjustRightInd w:val="0"/>
              <w:snapToGrid w:val="0"/>
              <w:spacing w:line="360" w:lineRule="auto"/>
              <w:rPr>
                <w:rFonts w:hint="eastAsia" w:ascii="仿宋_GB2312" w:hAnsi="仿宋_GB2312" w:eastAsia="仿宋_GB2312" w:cs="仿宋_GB2312"/>
              </w:rPr>
            </w:pPr>
            <w:r>
              <w:rPr>
                <w:rFonts w:hint="eastAsia" w:ascii="仿宋_GB2312" w:hAnsi="仿宋_GB2312" w:eastAsia="仿宋_GB2312" w:cs="仿宋_GB2312"/>
                <w:color w:val="000000"/>
                <w:kern w:val="2"/>
              </w:rPr>
              <w:t>对在土地利用总体规划确定的禁止开垦区进行开垦。</w:t>
            </w:r>
          </w:p>
        </w:tc>
        <w:tc>
          <w:tcPr>
            <w:tcW w:w="1904" w:type="dxa"/>
            <w:noWrap w:val="0"/>
            <w:vAlign w:val="center"/>
          </w:tcPr>
          <w:p>
            <w:pPr>
              <w:adjustRightInd w:val="0"/>
              <w:snapToGrid w:val="0"/>
              <w:spacing w:line="360" w:lineRule="auto"/>
              <w:jc w:val="center"/>
              <w:rPr>
                <w:rFonts w:hint="eastAsia" w:ascii="仿宋_GB2312" w:hAnsi="仿宋_GB2312" w:eastAsia="仿宋_GB2312" w:cs="仿宋_GB2312"/>
              </w:rPr>
            </w:pPr>
            <w:r>
              <w:rPr>
                <w:rFonts w:hint="eastAsia" w:ascii="仿宋_GB2312" w:hAnsi="仿宋_GB2312" w:eastAsia="仿宋_GB2312" w:cs="仿宋_GB2312"/>
              </w:rPr>
              <w:t>昆明市</w:t>
            </w:r>
            <w:r>
              <w:rPr>
                <w:rFonts w:hint="eastAsia" w:ascii="仿宋_GB2312" w:hAnsi="仿宋_GB2312" w:eastAsia="仿宋_GB2312" w:cs="仿宋_GB2312"/>
                <w:lang w:eastAsia="zh-CN"/>
              </w:rPr>
              <w:t>晋宁区自然资源局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noWrap w:val="0"/>
            <w:vAlign w:val="center"/>
          </w:tcPr>
          <w:p>
            <w:pPr>
              <w:adjustRightInd w:val="0"/>
              <w:snapToGrid w:val="0"/>
              <w:spacing w:line="360" w:lineRule="auto"/>
              <w:jc w:val="center"/>
              <w:rPr>
                <w:rFonts w:hint="eastAsia" w:ascii="仿宋_GB2312" w:hAnsi="仿宋_GB2312" w:eastAsia="仿宋_GB2312" w:cs="仿宋_GB2312"/>
              </w:rPr>
            </w:pPr>
            <w:r>
              <w:rPr>
                <w:rFonts w:hint="eastAsia" w:ascii="仿宋_GB2312" w:hAnsi="仿宋_GB2312" w:eastAsia="仿宋_GB2312" w:cs="仿宋_GB2312"/>
              </w:rPr>
              <w:t>7</w:t>
            </w:r>
          </w:p>
        </w:tc>
        <w:tc>
          <w:tcPr>
            <w:tcW w:w="3544" w:type="dxa"/>
            <w:noWrap w:val="0"/>
            <w:vAlign w:val="center"/>
          </w:tcPr>
          <w:p>
            <w:pPr>
              <w:adjustRightInd w:val="0"/>
              <w:snapToGrid w:val="0"/>
              <w:spacing w:line="360" w:lineRule="auto"/>
              <w:rPr>
                <w:rFonts w:hint="eastAsia" w:ascii="仿宋_GB2312" w:hAnsi="仿宋_GB2312" w:eastAsia="仿宋_GB2312" w:cs="仿宋_GB2312"/>
              </w:rPr>
            </w:pPr>
            <w:r>
              <w:rPr>
                <w:rFonts w:hint="eastAsia" w:ascii="仿宋_GB2312" w:hAnsi="仿宋_GB2312" w:eastAsia="仿宋_GB2312" w:cs="仿宋_GB2312"/>
                <w:kern w:val="2"/>
              </w:rPr>
              <w:t>对建设项目施工和地质勘查临时占用耕地的土地使用者，自临时用地期满之日起1年以上未恢复种植条件的</w:t>
            </w:r>
          </w:p>
        </w:tc>
        <w:tc>
          <w:tcPr>
            <w:tcW w:w="3402" w:type="dxa"/>
            <w:noWrap w:val="0"/>
            <w:vAlign w:val="center"/>
          </w:tcPr>
          <w:p>
            <w:pPr>
              <w:adjustRightInd w:val="0"/>
              <w:snapToGrid w:val="0"/>
              <w:spacing w:line="360" w:lineRule="auto"/>
              <w:rPr>
                <w:rFonts w:hint="eastAsia" w:ascii="仿宋_GB2312" w:hAnsi="仿宋_GB2312" w:eastAsia="仿宋_GB2312" w:cs="仿宋_GB2312"/>
              </w:rPr>
            </w:pPr>
            <w:r>
              <w:rPr>
                <w:rFonts w:hint="eastAsia" w:ascii="仿宋_GB2312" w:hAnsi="仿宋_GB2312" w:eastAsia="仿宋_GB2312" w:cs="仿宋_GB2312"/>
                <w:color w:val="000000"/>
                <w:kern w:val="2"/>
              </w:rPr>
              <w:t>《中华人民共和国土地管理法》第五十七条、七十六条；</w:t>
            </w:r>
            <w:r>
              <w:rPr>
                <w:rFonts w:hint="eastAsia" w:ascii="仿宋_GB2312" w:hAnsi="仿宋_GB2312" w:eastAsia="仿宋_GB2312" w:cs="仿宋_GB2312"/>
                <w:kern w:val="2"/>
              </w:rPr>
              <w:t>《中华人民共和国土地管理法实施条例》第五十二条、五十六条。</w:t>
            </w:r>
          </w:p>
        </w:tc>
        <w:tc>
          <w:tcPr>
            <w:tcW w:w="3260" w:type="dxa"/>
            <w:noWrap w:val="0"/>
            <w:vAlign w:val="center"/>
          </w:tcPr>
          <w:p>
            <w:pPr>
              <w:adjustRightInd w:val="0"/>
              <w:snapToGrid w:val="0"/>
              <w:spacing w:line="360" w:lineRule="auto"/>
              <w:rPr>
                <w:rFonts w:hint="eastAsia" w:ascii="仿宋_GB2312" w:hAnsi="仿宋_GB2312" w:eastAsia="仿宋_GB2312" w:cs="仿宋_GB2312"/>
              </w:rPr>
            </w:pPr>
            <w:r>
              <w:rPr>
                <w:rFonts w:hint="eastAsia" w:ascii="仿宋_GB2312" w:hAnsi="仿宋_GB2312" w:eastAsia="仿宋_GB2312" w:cs="仿宋_GB2312"/>
                <w:kern w:val="2"/>
              </w:rPr>
              <w:t>占用耕地100平方米以下的。</w:t>
            </w:r>
          </w:p>
        </w:tc>
        <w:tc>
          <w:tcPr>
            <w:tcW w:w="1904" w:type="dxa"/>
            <w:noWrap w:val="0"/>
            <w:vAlign w:val="center"/>
          </w:tcPr>
          <w:p>
            <w:pPr>
              <w:adjustRightInd w:val="0"/>
              <w:snapToGrid w:val="0"/>
              <w:spacing w:line="360" w:lineRule="auto"/>
              <w:jc w:val="center"/>
              <w:rPr>
                <w:rFonts w:hint="eastAsia" w:ascii="仿宋_GB2312" w:hAnsi="仿宋_GB2312" w:eastAsia="仿宋_GB2312" w:cs="仿宋_GB2312"/>
              </w:rPr>
            </w:pPr>
            <w:r>
              <w:rPr>
                <w:rFonts w:hint="eastAsia" w:ascii="仿宋_GB2312" w:hAnsi="仿宋_GB2312" w:eastAsia="仿宋_GB2312" w:cs="仿宋_GB2312"/>
              </w:rPr>
              <w:t>昆明市</w:t>
            </w:r>
            <w:r>
              <w:rPr>
                <w:rFonts w:hint="eastAsia" w:ascii="仿宋_GB2312" w:hAnsi="仿宋_GB2312" w:eastAsia="仿宋_GB2312" w:cs="仿宋_GB2312"/>
                <w:lang w:eastAsia="zh-CN"/>
              </w:rPr>
              <w:t>晋宁区自然资源局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noWrap w:val="0"/>
            <w:vAlign w:val="center"/>
          </w:tcPr>
          <w:p>
            <w:pPr>
              <w:adjustRightInd w:val="0"/>
              <w:snapToGrid w:val="0"/>
              <w:spacing w:line="360" w:lineRule="auto"/>
              <w:jc w:val="center"/>
              <w:rPr>
                <w:rFonts w:hint="eastAsia" w:ascii="仿宋_GB2312" w:hAnsi="仿宋_GB2312" w:eastAsia="仿宋_GB2312" w:cs="仿宋_GB2312"/>
              </w:rPr>
            </w:pPr>
            <w:r>
              <w:rPr>
                <w:rFonts w:hint="eastAsia" w:ascii="仿宋_GB2312" w:hAnsi="仿宋_GB2312" w:eastAsia="仿宋_GB2312" w:cs="仿宋_GB2312"/>
              </w:rPr>
              <w:t>8</w:t>
            </w:r>
          </w:p>
        </w:tc>
        <w:tc>
          <w:tcPr>
            <w:tcW w:w="3544" w:type="dxa"/>
            <w:noWrap w:val="0"/>
            <w:vAlign w:val="center"/>
          </w:tcPr>
          <w:p>
            <w:pPr>
              <w:adjustRightInd w:val="0"/>
              <w:snapToGrid w:val="0"/>
              <w:spacing w:line="360" w:lineRule="auto"/>
              <w:rPr>
                <w:rFonts w:hint="eastAsia" w:ascii="仿宋_GB2312" w:hAnsi="仿宋_GB2312" w:eastAsia="仿宋_GB2312" w:cs="仿宋_GB2312"/>
              </w:rPr>
            </w:pPr>
            <w:r>
              <w:rPr>
                <w:rFonts w:hint="eastAsia" w:ascii="仿宋_GB2312" w:hAnsi="仿宋_GB2312" w:eastAsia="仿宋_GB2312" w:cs="仿宋_GB2312"/>
                <w:kern w:val="2"/>
              </w:rPr>
              <w:t>破坏或者擅自改变基本农田保护区标志</w:t>
            </w:r>
          </w:p>
        </w:tc>
        <w:tc>
          <w:tcPr>
            <w:tcW w:w="3402" w:type="dxa"/>
            <w:noWrap w:val="0"/>
            <w:vAlign w:val="center"/>
          </w:tcPr>
          <w:p>
            <w:pPr>
              <w:adjustRightInd w:val="0"/>
              <w:snapToGrid w:val="0"/>
              <w:spacing w:line="360" w:lineRule="auto"/>
              <w:rPr>
                <w:rFonts w:hint="eastAsia" w:ascii="仿宋_GB2312" w:hAnsi="仿宋_GB2312" w:eastAsia="仿宋_GB2312" w:cs="仿宋_GB2312"/>
              </w:rPr>
            </w:pPr>
            <w:r>
              <w:rPr>
                <w:rFonts w:hint="eastAsia" w:ascii="仿宋_GB2312" w:hAnsi="仿宋_GB2312" w:eastAsia="仿宋_GB2312" w:cs="仿宋_GB2312"/>
                <w:kern w:val="2"/>
              </w:rPr>
              <w:t>《基本农田保护条例》第三十二条。</w:t>
            </w:r>
          </w:p>
        </w:tc>
        <w:tc>
          <w:tcPr>
            <w:tcW w:w="3260" w:type="dxa"/>
            <w:noWrap w:val="0"/>
            <w:vAlign w:val="center"/>
          </w:tcPr>
          <w:p>
            <w:pPr>
              <w:adjustRightInd w:val="0"/>
              <w:snapToGrid w:val="0"/>
              <w:spacing w:line="360" w:lineRule="auto"/>
              <w:rPr>
                <w:rFonts w:hint="eastAsia" w:ascii="仿宋_GB2312" w:hAnsi="仿宋_GB2312" w:eastAsia="仿宋_GB2312" w:cs="仿宋_GB2312"/>
              </w:rPr>
            </w:pPr>
            <w:r>
              <w:rPr>
                <w:rFonts w:hint="eastAsia" w:ascii="仿宋_GB2312" w:hAnsi="仿宋_GB2312" w:eastAsia="仿宋_GB2312" w:cs="仿宋_GB2312"/>
                <w:kern w:val="2"/>
              </w:rPr>
              <w:t>破坏或改变程度轻微，无明显痕迹，无需修缮的。</w:t>
            </w:r>
          </w:p>
        </w:tc>
        <w:tc>
          <w:tcPr>
            <w:tcW w:w="1904" w:type="dxa"/>
            <w:noWrap w:val="0"/>
            <w:vAlign w:val="center"/>
          </w:tcPr>
          <w:p>
            <w:pPr>
              <w:adjustRightInd w:val="0"/>
              <w:snapToGrid w:val="0"/>
              <w:spacing w:line="360" w:lineRule="auto"/>
              <w:jc w:val="center"/>
              <w:rPr>
                <w:rFonts w:hint="eastAsia" w:ascii="仿宋_GB2312" w:hAnsi="仿宋_GB2312" w:eastAsia="仿宋_GB2312" w:cs="仿宋_GB2312"/>
              </w:rPr>
            </w:pPr>
            <w:r>
              <w:rPr>
                <w:rFonts w:hint="eastAsia" w:ascii="仿宋_GB2312" w:hAnsi="仿宋_GB2312" w:eastAsia="仿宋_GB2312" w:cs="仿宋_GB2312"/>
              </w:rPr>
              <w:t>昆明市</w:t>
            </w:r>
            <w:r>
              <w:rPr>
                <w:rFonts w:hint="eastAsia" w:ascii="仿宋_GB2312" w:hAnsi="仿宋_GB2312" w:eastAsia="仿宋_GB2312" w:cs="仿宋_GB2312"/>
                <w:lang w:eastAsia="zh-CN"/>
              </w:rPr>
              <w:t>晋宁区自然资源局、晋宁区农业农村局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noWrap w:val="0"/>
            <w:vAlign w:val="center"/>
          </w:tcPr>
          <w:p>
            <w:pPr>
              <w:adjustRightInd w:val="0"/>
              <w:snapToGrid w:val="0"/>
              <w:spacing w:line="360" w:lineRule="auto"/>
              <w:jc w:val="center"/>
              <w:rPr>
                <w:rFonts w:hint="eastAsia" w:ascii="仿宋_GB2312" w:hAnsi="仿宋_GB2312" w:eastAsia="仿宋_GB2312" w:cs="仿宋_GB2312"/>
              </w:rPr>
            </w:pPr>
            <w:r>
              <w:rPr>
                <w:rFonts w:hint="eastAsia" w:ascii="仿宋_GB2312" w:hAnsi="仿宋_GB2312" w:eastAsia="仿宋_GB2312" w:cs="仿宋_GB2312"/>
              </w:rPr>
              <w:t>9</w:t>
            </w:r>
          </w:p>
        </w:tc>
        <w:tc>
          <w:tcPr>
            <w:tcW w:w="3544" w:type="dxa"/>
            <w:noWrap w:val="0"/>
            <w:vAlign w:val="center"/>
          </w:tcPr>
          <w:p>
            <w:pPr>
              <w:adjustRightInd w:val="0"/>
              <w:snapToGrid w:val="0"/>
              <w:spacing w:line="360" w:lineRule="auto"/>
              <w:rPr>
                <w:rFonts w:hint="eastAsia" w:ascii="仿宋_GB2312" w:hAnsi="仿宋_GB2312" w:eastAsia="仿宋_GB2312" w:cs="仿宋_GB2312"/>
              </w:rPr>
            </w:pPr>
            <w:r>
              <w:rPr>
                <w:rFonts w:hint="eastAsia" w:ascii="仿宋_GB2312" w:hAnsi="仿宋_GB2312" w:eastAsia="仿宋_GB2312" w:cs="仿宋_GB2312"/>
                <w:kern w:val="2"/>
              </w:rPr>
              <w:t>不按土地使用权出让合同约定的期限和条件开发、利用土地的</w:t>
            </w:r>
          </w:p>
        </w:tc>
        <w:tc>
          <w:tcPr>
            <w:tcW w:w="3402" w:type="dxa"/>
            <w:noWrap w:val="0"/>
            <w:vAlign w:val="center"/>
          </w:tcPr>
          <w:p>
            <w:pPr>
              <w:adjustRightInd w:val="0"/>
              <w:snapToGrid w:val="0"/>
              <w:spacing w:line="360" w:lineRule="auto"/>
              <w:rPr>
                <w:rFonts w:hint="eastAsia" w:ascii="仿宋_GB2312" w:hAnsi="仿宋_GB2312" w:eastAsia="仿宋_GB2312" w:cs="仿宋_GB2312"/>
              </w:rPr>
            </w:pPr>
            <w:r>
              <w:rPr>
                <w:rFonts w:hint="eastAsia" w:ascii="仿宋_GB2312" w:hAnsi="仿宋_GB2312" w:eastAsia="仿宋_GB2312" w:cs="仿宋_GB2312"/>
                <w:kern w:val="2"/>
              </w:rPr>
              <w:t>《中华人民共和国城镇国有土地使用权出让和转让暂行条例》第十七条；《云南省城镇国有土地使用权出让和转让实施办法》第十七条。</w:t>
            </w:r>
          </w:p>
        </w:tc>
        <w:tc>
          <w:tcPr>
            <w:tcW w:w="3260" w:type="dxa"/>
            <w:noWrap w:val="0"/>
            <w:vAlign w:val="center"/>
          </w:tcPr>
          <w:p>
            <w:pPr>
              <w:adjustRightInd w:val="0"/>
              <w:snapToGrid w:val="0"/>
              <w:spacing w:line="360" w:lineRule="auto"/>
              <w:rPr>
                <w:rFonts w:hint="eastAsia" w:ascii="仿宋_GB2312" w:hAnsi="仿宋_GB2312" w:eastAsia="仿宋_GB2312" w:cs="仿宋_GB2312"/>
              </w:rPr>
            </w:pPr>
            <w:r>
              <w:rPr>
                <w:rFonts w:hint="eastAsia" w:ascii="仿宋_GB2312" w:hAnsi="仿宋_GB2312" w:eastAsia="仿宋_GB2312" w:cs="仿宋_GB2312"/>
                <w:kern w:val="2"/>
              </w:rPr>
              <w:t>不按照规定的条件开发利用土地，经发现后自行改正的。</w:t>
            </w:r>
          </w:p>
        </w:tc>
        <w:tc>
          <w:tcPr>
            <w:tcW w:w="1904" w:type="dxa"/>
            <w:noWrap w:val="0"/>
            <w:vAlign w:val="center"/>
          </w:tcPr>
          <w:p>
            <w:pPr>
              <w:adjustRightInd w:val="0"/>
              <w:snapToGrid w:val="0"/>
              <w:spacing w:line="360" w:lineRule="auto"/>
              <w:jc w:val="center"/>
              <w:rPr>
                <w:rFonts w:hint="eastAsia" w:ascii="仿宋_GB2312" w:hAnsi="仿宋_GB2312" w:eastAsia="仿宋_GB2312" w:cs="仿宋_GB2312"/>
              </w:rPr>
            </w:pPr>
            <w:r>
              <w:rPr>
                <w:rFonts w:hint="eastAsia" w:ascii="仿宋_GB2312" w:hAnsi="仿宋_GB2312" w:eastAsia="仿宋_GB2312" w:cs="仿宋_GB2312"/>
              </w:rPr>
              <w:t>昆明市</w:t>
            </w:r>
            <w:r>
              <w:rPr>
                <w:rFonts w:hint="eastAsia" w:ascii="仿宋_GB2312" w:hAnsi="仿宋_GB2312" w:eastAsia="仿宋_GB2312" w:cs="仿宋_GB2312"/>
                <w:lang w:eastAsia="zh-CN"/>
              </w:rPr>
              <w:t>晋宁区自然资源局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noWrap w:val="0"/>
            <w:vAlign w:val="center"/>
          </w:tcPr>
          <w:p>
            <w:pPr>
              <w:adjustRightInd w:val="0"/>
              <w:snapToGrid w:val="0"/>
              <w:spacing w:line="360" w:lineRule="auto"/>
              <w:jc w:val="center"/>
              <w:rPr>
                <w:rFonts w:hint="eastAsia" w:ascii="仿宋_GB2312" w:hAnsi="仿宋_GB2312" w:eastAsia="仿宋_GB2312" w:cs="仿宋_GB2312"/>
              </w:rPr>
            </w:pPr>
            <w:r>
              <w:rPr>
                <w:rFonts w:hint="eastAsia" w:ascii="仿宋_GB2312" w:hAnsi="仿宋_GB2312" w:eastAsia="仿宋_GB2312" w:cs="仿宋_GB2312"/>
              </w:rPr>
              <w:t>10</w:t>
            </w:r>
          </w:p>
        </w:tc>
        <w:tc>
          <w:tcPr>
            <w:tcW w:w="3544" w:type="dxa"/>
            <w:noWrap w:val="0"/>
            <w:vAlign w:val="center"/>
          </w:tcPr>
          <w:p>
            <w:pPr>
              <w:adjustRightInd w:val="0"/>
              <w:snapToGrid w:val="0"/>
              <w:spacing w:line="360" w:lineRule="auto"/>
              <w:rPr>
                <w:rFonts w:hint="eastAsia" w:ascii="仿宋_GB2312" w:hAnsi="仿宋_GB2312" w:eastAsia="仿宋_GB2312" w:cs="仿宋_GB2312"/>
              </w:rPr>
            </w:pPr>
            <w:r>
              <w:rPr>
                <w:rFonts w:hint="eastAsia" w:ascii="仿宋_GB2312" w:hAnsi="仿宋_GB2312" w:eastAsia="仿宋_GB2312" w:cs="仿宋_GB2312"/>
                <w:kern w:val="2"/>
              </w:rPr>
              <w:t>《土地复垦条例》实施前已经办理建设用地手续或者领取采矿许可证，《土地复垦条例》施行后继续从事生产建设活动造成土地损毁的土地复垦义务人未按照规定补充编制土地复垦方案</w:t>
            </w:r>
          </w:p>
        </w:tc>
        <w:tc>
          <w:tcPr>
            <w:tcW w:w="3402" w:type="dxa"/>
            <w:noWrap w:val="0"/>
            <w:vAlign w:val="center"/>
          </w:tcPr>
          <w:p>
            <w:pPr>
              <w:adjustRightInd w:val="0"/>
              <w:snapToGrid w:val="0"/>
              <w:spacing w:line="360" w:lineRule="auto"/>
              <w:rPr>
                <w:rFonts w:hint="eastAsia" w:ascii="仿宋_GB2312" w:hAnsi="仿宋_GB2312" w:eastAsia="仿宋_GB2312" w:cs="仿宋_GB2312"/>
              </w:rPr>
            </w:pPr>
            <w:r>
              <w:rPr>
                <w:rFonts w:hint="eastAsia" w:ascii="仿宋_GB2312" w:hAnsi="仿宋_GB2312" w:eastAsia="仿宋_GB2312" w:cs="仿宋_GB2312"/>
                <w:kern w:val="2"/>
              </w:rPr>
              <w:t>《土地复垦条例》第三十七条。</w:t>
            </w:r>
          </w:p>
        </w:tc>
        <w:tc>
          <w:tcPr>
            <w:tcW w:w="3260" w:type="dxa"/>
            <w:noWrap w:val="0"/>
            <w:vAlign w:val="center"/>
          </w:tcPr>
          <w:p>
            <w:pPr>
              <w:adjustRightInd w:val="0"/>
              <w:snapToGrid w:val="0"/>
              <w:spacing w:line="360" w:lineRule="auto"/>
              <w:rPr>
                <w:rFonts w:hint="eastAsia" w:ascii="仿宋_GB2312" w:hAnsi="仿宋_GB2312" w:eastAsia="仿宋_GB2312" w:cs="仿宋_GB2312"/>
              </w:rPr>
            </w:pPr>
            <w:r>
              <w:rPr>
                <w:rFonts w:hint="eastAsia" w:ascii="仿宋_GB2312" w:hAnsi="仿宋_GB2312" w:eastAsia="仿宋_GB2312" w:cs="仿宋_GB2312"/>
                <w:kern w:val="2"/>
              </w:rPr>
              <w:t>未按照规定补充编制土地复垦方案，经发现后在一定期限内补充的。</w:t>
            </w:r>
          </w:p>
        </w:tc>
        <w:tc>
          <w:tcPr>
            <w:tcW w:w="1904" w:type="dxa"/>
            <w:noWrap w:val="0"/>
            <w:vAlign w:val="center"/>
          </w:tcPr>
          <w:p>
            <w:pPr>
              <w:adjustRightInd w:val="0"/>
              <w:snapToGrid w:val="0"/>
              <w:spacing w:line="360" w:lineRule="auto"/>
              <w:jc w:val="center"/>
              <w:rPr>
                <w:rFonts w:hint="eastAsia" w:ascii="仿宋_GB2312" w:hAnsi="仿宋_GB2312" w:eastAsia="仿宋_GB2312" w:cs="仿宋_GB2312"/>
              </w:rPr>
            </w:pPr>
            <w:r>
              <w:rPr>
                <w:rFonts w:hint="eastAsia" w:ascii="仿宋_GB2312" w:hAnsi="仿宋_GB2312" w:eastAsia="仿宋_GB2312" w:cs="仿宋_GB2312"/>
              </w:rPr>
              <w:t>昆明市</w:t>
            </w:r>
            <w:r>
              <w:rPr>
                <w:rFonts w:hint="eastAsia" w:ascii="仿宋_GB2312" w:hAnsi="仿宋_GB2312" w:eastAsia="仿宋_GB2312" w:cs="仿宋_GB2312"/>
                <w:lang w:eastAsia="zh-CN"/>
              </w:rPr>
              <w:t>晋宁区自然资源局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noWrap w:val="0"/>
            <w:vAlign w:val="center"/>
          </w:tcPr>
          <w:p>
            <w:pPr>
              <w:adjustRightInd w:val="0"/>
              <w:snapToGrid w:val="0"/>
              <w:spacing w:line="360" w:lineRule="auto"/>
              <w:jc w:val="center"/>
              <w:rPr>
                <w:rFonts w:hint="eastAsia" w:ascii="仿宋_GB2312" w:hAnsi="仿宋_GB2312" w:eastAsia="仿宋_GB2312" w:cs="仿宋_GB2312"/>
              </w:rPr>
            </w:pPr>
            <w:r>
              <w:rPr>
                <w:rFonts w:hint="eastAsia" w:ascii="仿宋_GB2312" w:hAnsi="仿宋_GB2312" w:eastAsia="仿宋_GB2312" w:cs="仿宋_GB2312"/>
              </w:rPr>
              <w:t>11</w:t>
            </w:r>
          </w:p>
        </w:tc>
        <w:tc>
          <w:tcPr>
            <w:tcW w:w="3544" w:type="dxa"/>
            <w:noWrap w:val="0"/>
            <w:vAlign w:val="center"/>
          </w:tcPr>
          <w:p>
            <w:pPr>
              <w:adjustRightInd w:val="0"/>
              <w:snapToGrid w:val="0"/>
              <w:spacing w:line="360" w:lineRule="auto"/>
              <w:rPr>
                <w:rFonts w:hint="eastAsia" w:ascii="仿宋_GB2312" w:hAnsi="仿宋_GB2312" w:eastAsia="仿宋_GB2312" w:cs="仿宋_GB2312"/>
              </w:rPr>
            </w:pPr>
            <w:r>
              <w:rPr>
                <w:rFonts w:hint="eastAsia" w:ascii="仿宋_GB2312" w:hAnsi="仿宋_GB2312" w:eastAsia="仿宋_GB2312" w:cs="仿宋_GB2312"/>
                <w:kern w:val="2"/>
              </w:rPr>
              <w:t>土地复垦义务人未按照规定将土地复垦费用列入生产成本或者建设项目总投资的</w:t>
            </w:r>
          </w:p>
        </w:tc>
        <w:tc>
          <w:tcPr>
            <w:tcW w:w="3402" w:type="dxa"/>
            <w:noWrap w:val="0"/>
            <w:vAlign w:val="center"/>
          </w:tcPr>
          <w:p>
            <w:pPr>
              <w:adjustRightInd w:val="0"/>
              <w:snapToGrid w:val="0"/>
              <w:spacing w:line="360" w:lineRule="auto"/>
              <w:rPr>
                <w:rFonts w:hint="eastAsia" w:ascii="仿宋_GB2312" w:hAnsi="仿宋_GB2312" w:eastAsia="仿宋_GB2312" w:cs="仿宋_GB2312"/>
              </w:rPr>
            </w:pPr>
            <w:r>
              <w:rPr>
                <w:rFonts w:hint="eastAsia" w:ascii="仿宋_GB2312" w:hAnsi="仿宋_GB2312" w:eastAsia="仿宋_GB2312" w:cs="仿宋_GB2312"/>
                <w:kern w:val="2"/>
              </w:rPr>
              <w:t>《土地复垦条例》第三十八条。</w:t>
            </w:r>
          </w:p>
        </w:tc>
        <w:tc>
          <w:tcPr>
            <w:tcW w:w="3260" w:type="dxa"/>
            <w:noWrap w:val="0"/>
            <w:vAlign w:val="center"/>
          </w:tcPr>
          <w:p>
            <w:pPr>
              <w:adjustRightInd w:val="0"/>
              <w:snapToGrid w:val="0"/>
              <w:spacing w:line="360" w:lineRule="auto"/>
              <w:rPr>
                <w:rFonts w:hint="eastAsia" w:ascii="仿宋_GB2312" w:hAnsi="仿宋_GB2312" w:eastAsia="仿宋_GB2312" w:cs="仿宋_GB2312"/>
              </w:rPr>
            </w:pPr>
            <w:r>
              <w:rPr>
                <w:rFonts w:hint="eastAsia" w:ascii="仿宋_GB2312" w:hAnsi="仿宋_GB2312" w:eastAsia="仿宋_GB2312" w:cs="仿宋_GB2312"/>
                <w:kern w:val="2"/>
              </w:rPr>
              <w:t>未按照规定将土地复垦费用列入生产成本或者建设项目总投资，经发现后在一定期限内改正的。</w:t>
            </w:r>
          </w:p>
        </w:tc>
        <w:tc>
          <w:tcPr>
            <w:tcW w:w="1904" w:type="dxa"/>
            <w:noWrap w:val="0"/>
            <w:vAlign w:val="center"/>
          </w:tcPr>
          <w:p>
            <w:pPr>
              <w:adjustRightInd w:val="0"/>
              <w:snapToGrid w:val="0"/>
              <w:spacing w:line="360" w:lineRule="auto"/>
              <w:jc w:val="center"/>
              <w:rPr>
                <w:rFonts w:hint="eastAsia" w:ascii="仿宋_GB2312" w:hAnsi="仿宋_GB2312" w:eastAsia="仿宋_GB2312" w:cs="仿宋_GB2312"/>
              </w:rPr>
            </w:pPr>
            <w:r>
              <w:rPr>
                <w:rFonts w:hint="eastAsia" w:ascii="仿宋_GB2312" w:hAnsi="仿宋_GB2312" w:eastAsia="仿宋_GB2312" w:cs="仿宋_GB2312"/>
              </w:rPr>
              <w:t>昆明市</w:t>
            </w:r>
            <w:r>
              <w:rPr>
                <w:rFonts w:hint="eastAsia" w:ascii="仿宋_GB2312" w:hAnsi="仿宋_GB2312" w:eastAsia="仿宋_GB2312" w:cs="仿宋_GB2312"/>
                <w:lang w:eastAsia="zh-CN"/>
              </w:rPr>
              <w:t>晋宁区自然资源局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noWrap w:val="0"/>
            <w:vAlign w:val="center"/>
          </w:tcPr>
          <w:p>
            <w:pPr>
              <w:adjustRightInd w:val="0"/>
              <w:snapToGrid w:val="0"/>
              <w:spacing w:line="360" w:lineRule="auto"/>
              <w:jc w:val="center"/>
              <w:rPr>
                <w:rFonts w:hint="eastAsia" w:ascii="仿宋_GB2312" w:hAnsi="仿宋_GB2312" w:eastAsia="仿宋_GB2312" w:cs="仿宋_GB2312"/>
              </w:rPr>
            </w:pPr>
            <w:r>
              <w:rPr>
                <w:rFonts w:hint="eastAsia" w:ascii="仿宋_GB2312" w:hAnsi="仿宋_GB2312" w:eastAsia="仿宋_GB2312" w:cs="仿宋_GB2312"/>
              </w:rPr>
              <w:t>12</w:t>
            </w:r>
          </w:p>
        </w:tc>
        <w:tc>
          <w:tcPr>
            <w:tcW w:w="3544" w:type="dxa"/>
            <w:noWrap w:val="0"/>
            <w:vAlign w:val="center"/>
          </w:tcPr>
          <w:p>
            <w:pPr>
              <w:adjustRightInd w:val="0"/>
              <w:snapToGrid w:val="0"/>
              <w:spacing w:line="360" w:lineRule="auto"/>
              <w:rPr>
                <w:rFonts w:hint="eastAsia" w:ascii="仿宋_GB2312" w:hAnsi="仿宋_GB2312" w:eastAsia="仿宋_GB2312" w:cs="仿宋_GB2312"/>
              </w:rPr>
            </w:pPr>
            <w:r>
              <w:rPr>
                <w:rFonts w:hint="eastAsia" w:ascii="仿宋_GB2312" w:hAnsi="仿宋_GB2312" w:eastAsia="仿宋_GB2312" w:cs="仿宋_GB2312"/>
                <w:color w:val="333333"/>
              </w:rPr>
              <w:t>土地复垦义务人未按照规定报告土地损毁情况、土地复垦费用使用情况或者土地复垦工程实施情况的</w:t>
            </w:r>
          </w:p>
        </w:tc>
        <w:tc>
          <w:tcPr>
            <w:tcW w:w="3402" w:type="dxa"/>
            <w:noWrap w:val="0"/>
            <w:vAlign w:val="center"/>
          </w:tcPr>
          <w:p>
            <w:pPr>
              <w:adjustRightInd w:val="0"/>
              <w:snapToGrid w:val="0"/>
              <w:spacing w:line="360" w:lineRule="auto"/>
              <w:rPr>
                <w:rFonts w:hint="eastAsia" w:ascii="仿宋_GB2312" w:hAnsi="仿宋_GB2312" w:eastAsia="仿宋_GB2312" w:cs="仿宋_GB2312"/>
              </w:rPr>
            </w:pPr>
            <w:r>
              <w:rPr>
                <w:rFonts w:hint="eastAsia" w:ascii="仿宋_GB2312" w:hAnsi="仿宋_GB2312" w:eastAsia="仿宋_GB2312" w:cs="仿宋_GB2312"/>
                <w:kern w:val="2"/>
              </w:rPr>
              <w:t>《土地复垦条例》第四十一条</w:t>
            </w:r>
          </w:p>
        </w:tc>
        <w:tc>
          <w:tcPr>
            <w:tcW w:w="3260" w:type="dxa"/>
            <w:noWrap w:val="0"/>
            <w:vAlign w:val="center"/>
          </w:tcPr>
          <w:p>
            <w:pPr>
              <w:adjustRightInd w:val="0"/>
              <w:snapToGrid w:val="0"/>
              <w:spacing w:line="360" w:lineRule="auto"/>
              <w:rPr>
                <w:rFonts w:hint="eastAsia" w:ascii="仿宋_GB2312" w:hAnsi="仿宋_GB2312" w:eastAsia="仿宋_GB2312" w:cs="仿宋_GB2312"/>
              </w:rPr>
            </w:pPr>
            <w:r>
              <w:rPr>
                <w:rFonts w:hint="eastAsia" w:ascii="仿宋_GB2312" w:hAnsi="仿宋_GB2312" w:eastAsia="仿宋_GB2312" w:cs="仿宋_GB2312"/>
                <w:color w:val="333333"/>
              </w:rPr>
              <w:t>未按照规定报告，经发现后在一定期限内改正的</w:t>
            </w:r>
            <w:r>
              <w:rPr>
                <w:rFonts w:hint="eastAsia" w:ascii="仿宋_GB2312" w:hAnsi="仿宋_GB2312" w:eastAsia="仿宋_GB2312" w:cs="仿宋_GB2312"/>
                <w:kern w:val="2"/>
              </w:rPr>
              <w:t>。</w:t>
            </w:r>
          </w:p>
        </w:tc>
        <w:tc>
          <w:tcPr>
            <w:tcW w:w="1904" w:type="dxa"/>
            <w:noWrap w:val="0"/>
            <w:vAlign w:val="center"/>
          </w:tcPr>
          <w:p>
            <w:pPr>
              <w:adjustRightInd w:val="0"/>
              <w:snapToGrid w:val="0"/>
              <w:spacing w:line="360" w:lineRule="auto"/>
              <w:jc w:val="center"/>
              <w:rPr>
                <w:rFonts w:hint="eastAsia" w:ascii="仿宋_GB2312" w:hAnsi="仿宋_GB2312" w:eastAsia="仿宋_GB2312" w:cs="仿宋_GB2312"/>
              </w:rPr>
            </w:pPr>
            <w:r>
              <w:rPr>
                <w:rFonts w:hint="eastAsia" w:ascii="仿宋_GB2312" w:hAnsi="仿宋_GB2312" w:eastAsia="仿宋_GB2312" w:cs="仿宋_GB2312"/>
              </w:rPr>
              <w:t>昆明市</w:t>
            </w:r>
            <w:r>
              <w:rPr>
                <w:rFonts w:hint="eastAsia" w:ascii="仿宋_GB2312" w:hAnsi="仿宋_GB2312" w:eastAsia="仿宋_GB2312" w:cs="仿宋_GB2312"/>
                <w:lang w:eastAsia="zh-CN"/>
              </w:rPr>
              <w:t>晋宁区自然资源局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noWrap w:val="0"/>
            <w:vAlign w:val="center"/>
          </w:tcPr>
          <w:p>
            <w:pPr>
              <w:adjustRightInd w:val="0"/>
              <w:snapToGrid w:val="0"/>
              <w:spacing w:line="360" w:lineRule="auto"/>
              <w:jc w:val="center"/>
              <w:rPr>
                <w:rFonts w:hint="eastAsia" w:ascii="仿宋_GB2312" w:hAnsi="仿宋_GB2312" w:eastAsia="仿宋_GB2312" w:cs="仿宋_GB2312"/>
              </w:rPr>
            </w:pPr>
            <w:r>
              <w:rPr>
                <w:rFonts w:hint="eastAsia" w:ascii="仿宋_GB2312" w:hAnsi="仿宋_GB2312" w:eastAsia="仿宋_GB2312" w:cs="仿宋_GB2312"/>
              </w:rPr>
              <w:t>13</w:t>
            </w:r>
          </w:p>
        </w:tc>
        <w:tc>
          <w:tcPr>
            <w:tcW w:w="3544" w:type="dxa"/>
            <w:noWrap w:val="0"/>
            <w:vAlign w:val="center"/>
          </w:tcPr>
          <w:p>
            <w:pPr>
              <w:adjustRightInd w:val="0"/>
              <w:snapToGrid w:val="0"/>
              <w:spacing w:line="360" w:lineRule="auto"/>
              <w:rPr>
                <w:rFonts w:hint="eastAsia" w:ascii="仿宋_GB2312" w:hAnsi="仿宋_GB2312" w:eastAsia="仿宋_GB2312" w:cs="仿宋_GB2312"/>
              </w:rPr>
            </w:pPr>
            <w:r>
              <w:rPr>
                <w:rFonts w:hint="eastAsia" w:ascii="仿宋_GB2312" w:hAnsi="仿宋_GB2312" w:eastAsia="仿宋_GB2312" w:cs="仿宋_GB2312"/>
              </w:rPr>
              <w:t>未取得采矿许可擅自开采矿产资源的</w:t>
            </w:r>
          </w:p>
        </w:tc>
        <w:tc>
          <w:tcPr>
            <w:tcW w:w="3402" w:type="dxa"/>
            <w:noWrap w:val="0"/>
            <w:vAlign w:val="center"/>
          </w:tcPr>
          <w:p>
            <w:pPr>
              <w:adjustRightInd w:val="0"/>
              <w:snapToGrid w:val="0"/>
              <w:spacing w:line="360" w:lineRule="auto"/>
              <w:rPr>
                <w:rFonts w:hint="eastAsia" w:ascii="仿宋_GB2312" w:hAnsi="仿宋_GB2312" w:eastAsia="仿宋_GB2312" w:cs="仿宋_GB2312"/>
              </w:rPr>
            </w:pPr>
            <w:r>
              <w:rPr>
                <w:rFonts w:hint="eastAsia" w:ascii="仿宋_GB2312" w:hAnsi="仿宋_GB2312" w:eastAsia="仿宋_GB2312" w:cs="仿宋_GB2312"/>
              </w:rPr>
              <w:t>《中华人民共和国矿产资源法》第三十九条；《中华人民共和国矿产资源法实施细则》第四十二条。</w:t>
            </w:r>
          </w:p>
        </w:tc>
        <w:tc>
          <w:tcPr>
            <w:tcW w:w="3260" w:type="dxa"/>
            <w:noWrap w:val="0"/>
            <w:vAlign w:val="center"/>
          </w:tcPr>
          <w:p>
            <w:pPr>
              <w:adjustRightInd w:val="0"/>
              <w:snapToGrid w:val="0"/>
              <w:spacing w:line="360" w:lineRule="auto"/>
              <w:rPr>
                <w:rFonts w:hint="eastAsia" w:ascii="仿宋_GB2312" w:hAnsi="仿宋_GB2312" w:eastAsia="仿宋_GB2312" w:cs="仿宋_GB2312"/>
              </w:rPr>
            </w:pPr>
            <w:r>
              <w:rPr>
                <w:rFonts w:hint="eastAsia" w:ascii="仿宋_GB2312" w:hAnsi="仿宋_GB2312" w:eastAsia="仿宋_GB2312" w:cs="仿宋_GB2312"/>
              </w:rPr>
              <w:t>个人少量违法采出矿产品的。</w:t>
            </w:r>
          </w:p>
        </w:tc>
        <w:tc>
          <w:tcPr>
            <w:tcW w:w="1904" w:type="dxa"/>
            <w:noWrap w:val="0"/>
            <w:vAlign w:val="center"/>
          </w:tcPr>
          <w:p>
            <w:pPr>
              <w:adjustRightInd w:val="0"/>
              <w:snapToGrid w:val="0"/>
              <w:spacing w:line="360" w:lineRule="auto"/>
              <w:jc w:val="center"/>
              <w:rPr>
                <w:rFonts w:hint="eastAsia" w:ascii="仿宋_GB2312" w:hAnsi="仿宋_GB2312" w:eastAsia="仿宋_GB2312" w:cs="仿宋_GB2312"/>
              </w:rPr>
            </w:pPr>
            <w:r>
              <w:rPr>
                <w:rFonts w:hint="eastAsia" w:ascii="仿宋_GB2312" w:hAnsi="仿宋_GB2312" w:eastAsia="仿宋_GB2312" w:cs="仿宋_GB2312"/>
              </w:rPr>
              <w:t>昆明市</w:t>
            </w:r>
            <w:r>
              <w:rPr>
                <w:rFonts w:hint="eastAsia" w:ascii="仿宋_GB2312" w:hAnsi="仿宋_GB2312" w:eastAsia="仿宋_GB2312" w:cs="仿宋_GB2312"/>
                <w:lang w:eastAsia="zh-CN"/>
              </w:rPr>
              <w:t>晋宁区自然资源局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noWrap w:val="0"/>
            <w:vAlign w:val="center"/>
          </w:tcPr>
          <w:p>
            <w:pPr>
              <w:adjustRightInd w:val="0"/>
              <w:snapToGrid w:val="0"/>
              <w:spacing w:line="360" w:lineRule="auto"/>
              <w:jc w:val="center"/>
              <w:rPr>
                <w:rFonts w:hint="eastAsia" w:ascii="仿宋_GB2312" w:hAnsi="仿宋_GB2312" w:eastAsia="仿宋_GB2312" w:cs="仿宋_GB2312"/>
              </w:rPr>
            </w:pPr>
            <w:r>
              <w:rPr>
                <w:rFonts w:hint="eastAsia" w:ascii="仿宋_GB2312" w:hAnsi="仿宋_GB2312" w:eastAsia="仿宋_GB2312" w:cs="仿宋_GB2312"/>
              </w:rPr>
              <w:t>14</w:t>
            </w:r>
          </w:p>
        </w:tc>
        <w:tc>
          <w:tcPr>
            <w:tcW w:w="3544" w:type="dxa"/>
            <w:noWrap w:val="0"/>
            <w:vAlign w:val="center"/>
          </w:tcPr>
          <w:p>
            <w:pPr>
              <w:adjustRightInd w:val="0"/>
              <w:snapToGrid w:val="0"/>
              <w:spacing w:line="360" w:lineRule="auto"/>
              <w:rPr>
                <w:rFonts w:hint="eastAsia" w:ascii="仿宋_GB2312" w:hAnsi="仿宋_GB2312" w:eastAsia="仿宋_GB2312" w:cs="仿宋_GB2312"/>
              </w:rPr>
            </w:pPr>
            <w:r>
              <w:rPr>
                <w:rFonts w:hint="eastAsia" w:ascii="仿宋_GB2312" w:hAnsi="仿宋_GB2312" w:eastAsia="仿宋_GB2312" w:cs="仿宋_GB2312"/>
              </w:rPr>
              <w:t>超越批准的矿区范围采矿的</w:t>
            </w:r>
          </w:p>
        </w:tc>
        <w:tc>
          <w:tcPr>
            <w:tcW w:w="3402" w:type="dxa"/>
            <w:noWrap w:val="0"/>
            <w:vAlign w:val="center"/>
          </w:tcPr>
          <w:p>
            <w:pPr>
              <w:adjustRightInd w:val="0"/>
              <w:snapToGrid w:val="0"/>
              <w:spacing w:line="360" w:lineRule="auto"/>
              <w:rPr>
                <w:rFonts w:hint="eastAsia" w:ascii="仿宋_GB2312" w:hAnsi="仿宋_GB2312" w:eastAsia="仿宋_GB2312" w:cs="仿宋_GB2312"/>
              </w:rPr>
            </w:pPr>
            <w:r>
              <w:rPr>
                <w:rFonts w:hint="eastAsia" w:ascii="仿宋_GB2312" w:hAnsi="仿宋_GB2312" w:eastAsia="仿宋_GB2312" w:cs="仿宋_GB2312"/>
              </w:rPr>
              <w:t>《中华人民共和国矿产资源法》第四十条；《中华人民共和国矿产资源法实施细则》第四十二条。</w:t>
            </w:r>
          </w:p>
        </w:tc>
        <w:tc>
          <w:tcPr>
            <w:tcW w:w="3260" w:type="dxa"/>
            <w:noWrap w:val="0"/>
            <w:vAlign w:val="center"/>
          </w:tcPr>
          <w:p>
            <w:pPr>
              <w:adjustRightInd w:val="0"/>
              <w:snapToGrid w:val="0"/>
              <w:spacing w:line="360" w:lineRule="auto"/>
              <w:rPr>
                <w:rFonts w:hint="eastAsia" w:ascii="仿宋_GB2312" w:hAnsi="仿宋_GB2312" w:eastAsia="仿宋_GB2312" w:cs="仿宋_GB2312"/>
              </w:rPr>
            </w:pPr>
            <w:r>
              <w:rPr>
                <w:rFonts w:hint="eastAsia" w:ascii="仿宋_GB2312" w:hAnsi="仿宋_GB2312" w:eastAsia="仿宋_GB2312" w:cs="仿宋_GB2312"/>
              </w:rPr>
              <w:t>违法所得在1万元以下的。</w:t>
            </w:r>
          </w:p>
        </w:tc>
        <w:tc>
          <w:tcPr>
            <w:tcW w:w="1904" w:type="dxa"/>
            <w:noWrap w:val="0"/>
            <w:vAlign w:val="center"/>
          </w:tcPr>
          <w:p>
            <w:pPr>
              <w:adjustRightInd w:val="0"/>
              <w:snapToGrid w:val="0"/>
              <w:spacing w:line="360" w:lineRule="auto"/>
              <w:jc w:val="center"/>
              <w:rPr>
                <w:rFonts w:hint="eastAsia" w:ascii="仿宋_GB2312" w:hAnsi="仿宋_GB2312" w:eastAsia="仿宋_GB2312" w:cs="仿宋_GB2312"/>
              </w:rPr>
            </w:pPr>
            <w:r>
              <w:rPr>
                <w:rFonts w:hint="eastAsia" w:ascii="仿宋_GB2312" w:hAnsi="仿宋_GB2312" w:eastAsia="仿宋_GB2312" w:cs="仿宋_GB2312"/>
              </w:rPr>
              <w:t>昆明市</w:t>
            </w:r>
            <w:r>
              <w:rPr>
                <w:rFonts w:hint="eastAsia" w:ascii="仿宋_GB2312" w:hAnsi="仿宋_GB2312" w:eastAsia="仿宋_GB2312" w:cs="仿宋_GB2312"/>
                <w:lang w:eastAsia="zh-CN"/>
              </w:rPr>
              <w:t>晋宁区自然资源局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noWrap w:val="0"/>
            <w:vAlign w:val="center"/>
          </w:tcPr>
          <w:p>
            <w:pPr>
              <w:jc w:val="center"/>
              <w:textAlignment w:val="center"/>
              <w:rPr>
                <w:rFonts w:hint="eastAsia" w:ascii="仿宋_GB2312" w:hAnsi="仿宋_GB2312" w:eastAsia="仿宋_GB2312" w:cs="仿宋_GB2312"/>
              </w:rPr>
            </w:pPr>
            <w:r>
              <w:rPr>
                <w:rFonts w:hint="eastAsia" w:ascii="仿宋_GB2312" w:hAnsi="仿宋_GB2312" w:eastAsia="仿宋_GB2312" w:cs="仿宋_GB2312"/>
                <w:color w:val="000000"/>
                <w:lang w:bidi="ar"/>
              </w:rPr>
              <w:t>15</w:t>
            </w:r>
          </w:p>
        </w:tc>
        <w:tc>
          <w:tcPr>
            <w:tcW w:w="3544" w:type="dxa"/>
            <w:noWrap w:val="0"/>
            <w:vAlign w:val="center"/>
          </w:tcPr>
          <w:p>
            <w:pPr>
              <w:textAlignment w:val="center"/>
              <w:rPr>
                <w:rFonts w:hint="eastAsia" w:ascii="仿宋_GB2312" w:hAnsi="仿宋_GB2312" w:eastAsia="仿宋_GB2312" w:cs="仿宋_GB2312"/>
              </w:rPr>
            </w:pPr>
            <w:r>
              <w:rPr>
                <w:rFonts w:hint="eastAsia" w:ascii="仿宋_GB2312" w:hAnsi="仿宋_GB2312" w:eastAsia="仿宋_GB2312" w:cs="仿宋_GB2312"/>
                <w:color w:val="000000"/>
                <w:lang w:bidi="ar"/>
              </w:rPr>
              <w:t>未取得勘查许可证擅自进行勘查工作的，超越批准的勘查区块范围进行勘查工作的</w:t>
            </w:r>
          </w:p>
        </w:tc>
        <w:tc>
          <w:tcPr>
            <w:tcW w:w="3402" w:type="dxa"/>
            <w:noWrap w:val="0"/>
            <w:vAlign w:val="center"/>
          </w:tcPr>
          <w:p>
            <w:pPr>
              <w:textAlignment w:val="center"/>
              <w:rPr>
                <w:rFonts w:hint="eastAsia" w:ascii="仿宋_GB2312" w:hAnsi="仿宋_GB2312" w:eastAsia="仿宋_GB2312" w:cs="仿宋_GB2312"/>
              </w:rPr>
            </w:pPr>
            <w:r>
              <w:rPr>
                <w:rFonts w:hint="eastAsia" w:ascii="仿宋_GB2312" w:hAnsi="仿宋_GB2312" w:eastAsia="仿宋_GB2312" w:cs="仿宋_GB2312"/>
                <w:color w:val="000000"/>
                <w:lang w:bidi="ar"/>
              </w:rPr>
              <w:t>《矿产资源勘查区块登记管理办法》（国务院令第653号）第二十六条</w:t>
            </w:r>
          </w:p>
        </w:tc>
        <w:tc>
          <w:tcPr>
            <w:tcW w:w="3260" w:type="dxa"/>
            <w:noWrap w:val="0"/>
            <w:vAlign w:val="center"/>
          </w:tcPr>
          <w:p>
            <w:pPr>
              <w:textAlignment w:val="center"/>
              <w:rPr>
                <w:rFonts w:hint="eastAsia" w:ascii="仿宋_GB2312" w:hAnsi="仿宋_GB2312" w:eastAsia="仿宋_GB2312" w:cs="仿宋_GB2312"/>
              </w:rPr>
            </w:pPr>
            <w:r>
              <w:rPr>
                <w:rFonts w:hint="eastAsia" w:ascii="仿宋_GB2312" w:hAnsi="仿宋_GB2312" w:eastAsia="仿宋_GB2312" w:cs="仿宋_GB2312"/>
                <w:color w:val="000000"/>
                <w:lang w:bidi="ar"/>
              </w:rPr>
              <w:t>超越批准的勘查区块范围在一般区域进行勘查工作的。</w:t>
            </w:r>
          </w:p>
        </w:tc>
        <w:tc>
          <w:tcPr>
            <w:tcW w:w="1904" w:type="dxa"/>
            <w:noWrap w:val="0"/>
            <w:vAlign w:val="center"/>
          </w:tcPr>
          <w:p>
            <w:pPr>
              <w:jc w:val="center"/>
              <w:textAlignment w:val="center"/>
              <w:rPr>
                <w:rFonts w:hint="eastAsia" w:ascii="仿宋_GB2312" w:hAnsi="仿宋_GB2312" w:eastAsia="仿宋_GB2312" w:cs="仿宋_GB2312"/>
              </w:rPr>
            </w:pPr>
            <w:r>
              <w:rPr>
                <w:rFonts w:hint="eastAsia" w:ascii="仿宋_GB2312" w:hAnsi="仿宋_GB2312" w:eastAsia="仿宋_GB2312" w:cs="仿宋_GB2312"/>
              </w:rPr>
              <w:t>昆明市</w:t>
            </w:r>
            <w:r>
              <w:rPr>
                <w:rFonts w:hint="eastAsia" w:ascii="仿宋_GB2312" w:hAnsi="仿宋_GB2312" w:eastAsia="仿宋_GB2312" w:cs="仿宋_GB2312"/>
                <w:lang w:eastAsia="zh-CN"/>
              </w:rPr>
              <w:t>晋宁区自然资源局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noWrap w:val="0"/>
            <w:vAlign w:val="center"/>
          </w:tcPr>
          <w:p>
            <w:pPr>
              <w:jc w:val="center"/>
              <w:textAlignment w:val="center"/>
              <w:rPr>
                <w:rFonts w:hint="eastAsia" w:ascii="仿宋_GB2312" w:hAnsi="仿宋_GB2312" w:eastAsia="仿宋_GB2312" w:cs="仿宋_GB2312"/>
              </w:rPr>
            </w:pPr>
            <w:r>
              <w:rPr>
                <w:rFonts w:hint="eastAsia" w:ascii="仿宋_GB2312" w:hAnsi="仿宋_GB2312" w:eastAsia="仿宋_GB2312" w:cs="仿宋_GB2312"/>
                <w:color w:val="000000"/>
                <w:lang w:bidi="ar"/>
              </w:rPr>
              <w:t>16</w:t>
            </w:r>
          </w:p>
        </w:tc>
        <w:tc>
          <w:tcPr>
            <w:tcW w:w="3544" w:type="dxa"/>
            <w:noWrap w:val="0"/>
            <w:vAlign w:val="center"/>
          </w:tcPr>
          <w:p>
            <w:pPr>
              <w:textAlignment w:val="center"/>
              <w:rPr>
                <w:rFonts w:hint="eastAsia" w:ascii="仿宋_GB2312" w:hAnsi="仿宋_GB2312" w:eastAsia="仿宋_GB2312" w:cs="仿宋_GB2312"/>
              </w:rPr>
            </w:pPr>
            <w:r>
              <w:rPr>
                <w:rFonts w:hint="eastAsia" w:ascii="仿宋_GB2312" w:hAnsi="仿宋_GB2312" w:eastAsia="仿宋_GB2312" w:cs="仿宋_GB2312"/>
                <w:color w:val="000000"/>
                <w:lang w:bidi="ar"/>
              </w:rPr>
              <w:t>未经批准，擅自进行滚动勘探开发、边探边采或者试采的</w:t>
            </w:r>
          </w:p>
        </w:tc>
        <w:tc>
          <w:tcPr>
            <w:tcW w:w="3402" w:type="dxa"/>
            <w:noWrap w:val="0"/>
            <w:vAlign w:val="center"/>
          </w:tcPr>
          <w:p>
            <w:pPr>
              <w:textAlignment w:val="center"/>
              <w:rPr>
                <w:rFonts w:hint="eastAsia" w:ascii="仿宋_GB2312" w:hAnsi="仿宋_GB2312" w:eastAsia="仿宋_GB2312" w:cs="仿宋_GB2312"/>
              </w:rPr>
            </w:pPr>
            <w:r>
              <w:rPr>
                <w:rFonts w:hint="eastAsia" w:ascii="仿宋_GB2312" w:hAnsi="仿宋_GB2312" w:eastAsia="仿宋_GB2312" w:cs="仿宋_GB2312"/>
                <w:color w:val="000000"/>
                <w:lang w:bidi="ar"/>
              </w:rPr>
              <w:t>《矿产资源勘查区块登记管理办法》（国务院令第653号）第二十七条</w:t>
            </w:r>
          </w:p>
        </w:tc>
        <w:tc>
          <w:tcPr>
            <w:tcW w:w="3260" w:type="dxa"/>
            <w:noWrap w:val="0"/>
            <w:vAlign w:val="center"/>
          </w:tcPr>
          <w:p>
            <w:pPr>
              <w:textAlignment w:val="center"/>
              <w:rPr>
                <w:rFonts w:hint="eastAsia" w:ascii="仿宋_GB2312" w:hAnsi="仿宋_GB2312" w:eastAsia="仿宋_GB2312" w:cs="仿宋_GB2312"/>
              </w:rPr>
            </w:pPr>
            <w:r>
              <w:rPr>
                <w:rFonts w:hint="eastAsia" w:ascii="仿宋_GB2312" w:hAnsi="仿宋_GB2312" w:eastAsia="仿宋_GB2312" w:cs="仿宋_GB2312"/>
                <w:color w:val="000000"/>
                <w:lang w:bidi="ar"/>
              </w:rPr>
              <w:t>未经批准，擅自在一般区域滚动勘探开发的。</w:t>
            </w:r>
          </w:p>
        </w:tc>
        <w:tc>
          <w:tcPr>
            <w:tcW w:w="1904" w:type="dxa"/>
            <w:noWrap w:val="0"/>
            <w:vAlign w:val="center"/>
          </w:tcPr>
          <w:p>
            <w:pPr>
              <w:jc w:val="center"/>
              <w:textAlignment w:val="center"/>
              <w:rPr>
                <w:rFonts w:hint="eastAsia" w:ascii="仿宋_GB2312" w:hAnsi="仿宋_GB2312" w:eastAsia="仿宋_GB2312" w:cs="仿宋_GB2312"/>
              </w:rPr>
            </w:pPr>
            <w:r>
              <w:rPr>
                <w:rFonts w:hint="eastAsia" w:ascii="仿宋_GB2312" w:hAnsi="仿宋_GB2312" w:eastAsia="仿宋_GB2312" w:cs="仿宋_GB2312"/>
              </w:rPr>
              <w:t>昆明市</w:t>
            </w:r>
            <w:r>
              <w:rPr>
                <w:rFonts w:hint="eastAsia" w:ascii="仿宋_GB2312" w:hAnsi="仿宋_GB2312" w:eastAsia="仿宋_GB2312" w:cs="仿宋_GB2312"/>
                <w:lang w:eastAsia="zh-CN"/>
              </w:rPr>
              <w:t>晋宁区自然资源局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noWrap w:val="0"/>
            <w:vAlign w:val="center"/>
          </w:tcPr>
          <w:p>
            <w:pPr>
              <w:jc w:val="center"/>
              <w:textAlignment w:val="center"/>
              <w:rPr>
                <w:rFonts w:hint="eastAsia" w:ascii="仿宋_GB2312" w:hAnsi="仿宋_GB2312" w:eastAsia="仿宋_GB2312" w:cs="仿宋_GB2312"/>
              </w:rPr>
            </w:pPr>
            <w:r>
              <w:rPr>
                <w:rFonts w:hint="eastAsia" w:ascii="仿宋_GB2312" w:hAnsi="仿宋_GB2312" w:eastAsia="仿宋_GB2312" w:cs="仿宋_GB2312"/>
                <w:color w:val="000000"/>
                <w:lang w:bidi="ar"/>
              </w:rPr>
              <w:t>17</w:t>
            </w:r>
          </w:p>
        </w:tc>
        <w:tc>
          <w:tcPr>
            <w:tcW w:w="3544" w:type="dxa"/>
            <w:noWrap w:val="0"/>
            <w:vAlign w:val="center"/>
          </w:tcPr>
          <w:p>
            <w:pPr>
              <w:textAlignment w:val="center"/>
              <w:rPr>
                <w:rFonts w:hint="eastAsia" w:ascii="仿宋_GB2312" w:hAnsi="仿宋_GB2312" w:eastAsia="仿宋_GB2312" w:cs="仿宋_GB2312"/>
              </w:rPr>
            </w:pPr>
            <w:r>
              <w:rPr>
                <w:rFonts w:hint="eastAsia" w:ascii="仿宋_GB2312" w:hAnsi="仿宋_GB2312" w:eastAsia="仿宋_GB2312" w:cs="仿宋_GB2312"/>
                <w:color w:val="000000"/>
                <w:lang w:bidi="ar"/>
              </w:rPr>
              <w:t>不依法提交年度报告，拒绝接受监督检查或者弄虚作假的</w:t>
            </w:r>
          </w:p>
        </w:tc>
        <w:tc>
          <w:tcPr>
            <w:tcW w:w="3402" w:type="dxa"/>
            <w:noWrap w:val="0"/>
            <w:vAlign w:val="center"/>
          </w:tcPr>
          <w:p>
            <w:pPr>
              <w:textAlignment w:val="center"/>
              <w:rPr>
                <w:rFonts w:hint="eastAsia" w:ascii="仿宋_GB2312" w:hAnsi="仿宋_GB2312" w:eastAsia="仿宋_GB2312" w:cs="仿宋_GB2312"/>
              </w:rPr>
            </w:pPr>
            <w:r>
              <w:rPr>
                <w:rFonts w:hint="eastAsia" w:ascii="仿宋_GB2312" w:hAnsi="仿宋_GB2312" w:eastAsia="仿宋_GB2312" w:cs="仿宋_GB2312"/>
                <w:color w:val="000000"/>
                <w:lang w:bidi="ar"/>
              </w:rPr>
              <w:t>《矿产资源开采登记管理办法》（国务院令第653号）第十八条</w:t>
            </w:r>
          </w:p>
        </w:tc>
        <w:tc>
          <w:tcPr>
            <w:tcW w:w="3260" w:type="dxa"/>
            <w:noWrap w:val="0"/>
            <w:vAlign w:val="center"/>
          </w:tcPr>
          <w:p>
            <w:pPr>
              <w:textAlignment w:val="center"/>
              <w:rPr>
                <w:rFonts w:hint="eastAsia" w:ascii="仿宋_GB2312" w:hAnsi="仿宋_GB2312" w:eastAsia="仿宋_GB2312" w:cs="仿宋_GB2312"/>
              </w:rPr>
            </w:pPr>
            <w:r>
              <w:rPr>
                <w:rFonts w:hint="eastAsia" w:ascii="仿宋_GB2312" w:hAnsi="仿宋_GB2312" w:eastAsia="仿宋_GB2312" w:cs="仿宋_GB2312"/>
                <w:color w:val="000000"/>
                <w:lang w:bidi="ar"/>
              </w:rPr>
              <w:t>不依法提交年度报告，未自行改正的。</w:t>
            </w:r>
          </w:p>
        </w:tc>
        <w:tc>
          <w:tcPr>
            <w:tcW w:w="1904" w:type="dxa"/>
            <w:noWrap w:val="0"/>
            <w:vAlign w:val="center"/>
          </w:tcPr>
          <w:p>
            <w:pPr>
              <w:jc w:val="center"/>
              <w:textAlignment w:val="center"/>
              <w:rPr>
                <w:rFonts w:hint="eastAsia" w:ascii="仿宋_GB2312" w:hAnsi="仿宋_GB2312" w:eastAsia="仿宋_GB2312" w:cs="仿宋_GB2312"/>
              </w:rPr>
            </w:pPr>
            <w:r>
              <w:rPr>
                <w:rFonts w:hint="eastAsia" w:ascii="仿宋_GB2312" w:hAnsi="仿宋_GB2312" w:eastAsia="仿宋_GB2312" w:cs="仿宋_GB2312"/>
              </w:rPr>
              <w:t>昆明市</w:t>
            </w:r>
            <w:r>
              <w:rPr>
                <w:rFonts w:hint="eastAsia" w:ascii="仿宋_GB2312" w:hAnsi="仿宋_GB2312" w:eastAsia="仿宋_GB2312" w:cs="仿宋_GB2312"/>
                <w:lang w:eastAsia="zh-CN"/>
              </w:rPr>
              <w:t>晋宁区自然资源局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noWrap w:val="0"/>
            <w:vAlign w:val="center"/>
          </w:tcPr>
          <w:p>
            <w:pPr>
              <w:jc w:val="center"/>
              <w:textAlignment w:val="center"/>
              <w:rPr>
                <w:rFonts w:hint="eastAsia" w:ascii="仿宋_GB2312" w:hAnsi="仿宋_GB2312" w:eastAsia="仿宋_GB2312" w:cs="仿宋_GB2312"/>
              </w:rPr>
            </w:pPr>
            <w:r>
              <w:rPr>
                <w:rFonts w:hint="eastAsia" w:ascii="仿宋_GB2312" w:hAnsi="仿宋_GB2312" w:eastAsia="仿宋_GB2312" w:cs="仿宋_GB2312"/>
              </w:rPr>
              <w:t>18</w:t>
            </w:r>
          </w:p>
        </w:tc>
        <w:tc>
          <w:tcPr>
            <w:tcW w:w="3544" w:type="dxa"/>
            <w:noWrap w:val="0"/>
            <w:vAlign w:val="center"/>
          </w:tcPr>
          <w:p>
            <w:pPr>
              <w:textAlignment w:val="center"/>
              <w:rPr>
                <w:rFonts w:hint="eastAsia" w:ascii="仿宋_GB2312" w:hAnsi="仿宋_GB2312" w:eastAsia="仿宋_GB2312" w:cs="仿宋_GB2312"/>
              </w:rPr>
            </w:pPr>
            <w:r>
              <w:rPr>
                <w:rFonts w:hint="eastAsia" w:ascii="仿宋_GB2312" w:hAnsi="仿宋_GB2312" w:eastAsia="仿宋_GB2312" w:cs="仿宋_GB2312"/>
                <w:color w:val="000000"/>
                <w:lang w:bidi="ar"/>
              </w:rPr>
              <w:t>破坏或者擅自移动矿区范围界桩或者地面标志的</w:t>
            </w:r>
          </w:p>
        </w:tc>
        <w:tc>
          <w:tcPr>
            <w:tcW w:w="3402" w:type="dxa"/>
            <w:noWrap w:val="0"/>
            <w:vAlign w:val="center"/>
          </w:tcPr>
          <w:p>
            <w:pPr>
              <w:textAlignment w:val="center"/>
              <w:rPr>
                <w:rFonts w:hint="eastAsia" w:ascii="仿宋_GB2312" w:hAnsi="仿宋_GB2312" w:eastAsia="仿宋_GB2312" w:cs="仿宋_GB2312"/>
              </w:rPr>
            </w:pPr>
            <w:r>
              <w:rPr>
                <w:rFonts w:hint="eastAsia" w:ascii="仿宋_GB2312" w:hAnsi="仿宋_GB2312" w:eastAsia="仿宋_GB2312" w:cs="仿宋_GB2312"/>
                <w:color w:val="000000"/>
                <w:lang w:bidi="ar"/>
              </w:rPr>
              <w:t>《矿产资源开采登记管理办法》（国务院令第653号）第十九条</w:t>
            </w:r>
          </w:p>
        </w:tc>
        <w:tc>
          <w:tcPr>
            <w:tcW w:w="3260" w:type="dxa"/>
            <w:noWrap w:val="0"/>
            <w:vAlign w:val="center"/>
          </w:tcPr>
          <w:p>
            <w:pPr>
              <w:textAlignment w:val="center"/>
              <w:rPr>
                <w:rFonts w:hint="eastAsia" w:ascii="仿宋_GB2312" w:hAnsi="仿宋_GB2312" w:eastAsia="仿宋_GB2312" w:cs="仿宋_GB2312"/>
              </w:rPr>
            </w:pPr>
            <w:r>
              <w:rPr>
                <w:rFonts w:hint="eastAsia" w:ascii="仿宋_GB2312" w:hAnsi="仿宋_GB2312" w:eastAsia="仿宋_GB2312" w:cs="仿宋_GB2312"/>
                <w:color w:val="000000"/>
                <w:lang w:bidi="ar"/>
              </w:rPr>
              <w:t>破坏一个一般矿区范围界桩或者地面标志的，可以修复的。</w:t>
            </w:r>
          </w:p>
        </w:tc>
        <w:tc>
          <w:tcPr>
            <w:tcW w:w="1904" w:type="dxa"/>
            <w:noWrap w:val="0"/>
            <w:vAlign w:val="center"/>
          </w:tcPr>
          <w:p>
            <w:pPr>
              <w:jc w:val="center"/>
              <w:textAlignment w:val="center"/>
              <w:rPr>
                <w:rFonts w:hint="eastAsia" w:ascii="仿宋_GB2312" w:hAnsi="仿宋_GB2312" w:eastAsia="仿宋_GB2312" w:cs="仿宋_GB2312"/>
              </w:rPr>
            </w:pPr>
            <w:r>
              <w:rPr>
                <w:rFonts w:hint="eastAsia" w:ascii="仿宋_GB2312" w:hAnsi="仿宋_GB2312" w:eastAsia="仿宋_GB2312" w:cs="仿宋_GB2312"/>
              </w:rPr>
              <w:t>昆明市</w:t>
            </w:r>
            <w:r>
              <w:rPr>
                <w:rFonts w:hint="eastAsia" w:ascii="仿宋_GB2312" w:hAnsi="仿宋_GB2312" w:eastAsia="仿宋_GB2312" w:cs="仿宋_GB2312"/>
                <w:lang w:eastAsia="zh-CN"/>
              </w:rPr>
              <w:t>晋宁区自然资源局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noWrap w:val="0"/>
            <w:vAlign w:val="center"/>
          </w:tcPr>
          <w:p>
            <w:pPr>
              <w:jc w:val="center"/>
              <w:textAlignment w:val="center"/>
              <w:rPr>
                <w:rFonts w:hint="eastAsia" w:ascii="仿宋_GB2312" w:hAnsi="仿宋_GB2312" w:eastAsia="仿宋_GB2312" w:cs="仿宋_GB2312"/>
              </w:rPr>
            </w:pPr>
            <w:r>
              <w:rPr>
                <w:rFonts w:hint="eastAsia" w:ascii="仿宋_GB2312" w:hAnsi="仿宋_GB2312" w:eastAsia="仿宋_GB2312" w:cs="仿宋_GB2312"/>
              </w:rPr>
              <w:t>19</w:t>
            </w:r>
          </w:p>
        </w:tc>
        <w:tc>
          <w:tcPr>
            <w:tcW w:w="3544" w:type="dxa"/>
            <w:noWrap w:val="0"/>
            <w:vAlign w:val="center"/>
          </w:tcPr>
          <w:p>
            <w:pPr>
              <w:textAlignment w:val="center"/>
              <w:rPr>
                <w:rFonts w:hint="eastAsia" w:ascii="仿宋_GB2312" w:hAnsi="仿宋_GB2312" w:eastAsia="仿宋_GB2312" w:cs="仿宋_GB2312"/>
              </w:rPr>
            </w:pPr>
            <w:r>
              <w:rPr>
                <w:rFonts w:hint="eastAsia" w:ascii="仿宋_GB2312" w:hAnsi="仿宋_GB2312" w:eastAsia="仿宋_GB2312" w:cs="仿宋_GB2312"/>
                <w:color w:val="000000"/>
                <w:lang w:bidi="ar"/>
              </w:rPr>
              <w:t>矿产资源勘查不按照规定备案、报告有关情况、拒绝接受监督检查或者弄虚作假的</w:t>
            </w:r>
          </w:p>
        </w:tc>
        <w:tc>
          <w:tcPr>
            <w:tcW w:w="3402" w:type="dxa"/>
            <w:noWrap w:val="0"/>
            <w:vAlign w:val="center"/>
          </w:tcPr>
          <w:p>
            <w:pPr>
              <w:textAlignment w:val="center"/>
              <w:rPr>
                <w:rFonts w:hint="eastAsia" w:ascii="仿宋_GB2312" w:hAnsi="仿宋_GB2312" w:eastAsia="仿宋_GB2312" w:cs="仿宋_GB2312"/>
              </w:rPr>
            </w:pPr>
            <w:r>
              <w:rPr>
                <w:rFonts w:hint="eastAsia" w:ascii="仿宋_GB2312" w:hAnsi="仿宋_GB2312" w:eastAsia="仿宋_GB2312" w:cs="仿宋_GB2312"/>
                <w:color w:val="000000"/>
                <w:lang w:bidi="ar"/>
              </w:rPr>
              <w:t>《矿产资源勘查区块登记管理办法》（国务院令第653号）第二十九条</w:t>
            </w:r>
          </w:p>
        </w:tc>
        <w:tc>
          <w:tcPr>
            <w:tcW w:w="3260" w:type="dxa"/>
            <w:noWrap w:val="0"/>
            <w:vAlign w:val="center"/>
          </w:tcPr>
          <w:p>
            <w:pPr>
              <w:textAlignment w:val="center"/>
              <w:rPr>
                <w:rFonts w:hint="eastAsia" w:ascii="仿宋_GB2312" w:hAnsi="仿宋_GB2312" w:eastAsia="仿宋_GB2312" w:cs="仿宋_GB2312"/>
              </w:rPr>
            </w:pPr>
            <w:r>
              <w:rPr>
                <w:rFonts w:hint="eastAsia" w:ascii="仿宋_GB2312" w:hAnsi="仿宋_GB2312" w:eastAsia="仿宋_GB2312" w:cs="仿宋_GB2312"/>
                <w:color w:val="000000"/>
                <w:lang w:bidi="ar"/>
              </w:rPr>
              <w:t>不按照本办法的规定备案、报告有关情况、拒绝接受监督检查或者弄虚作假的，经发现后改正的。</w:t>
            </w:r>
          </w:p>
        </w:tc>
        <w:tc>
          <w:tcPr>
            <w:tcW w:w="1904" w:type="dxa"/>
            <w:noWrap w:val="0"/>
            <w:vAlign w:val="center"/>
          </w:tcPr>
          <w:p>
            <w:pPr>
              <w:jc w:val="center"/>
              <w:textAlignment w:val="center"/>
              <w:rPr>
                <w:rFonts w:hint="eastAsia" w:ascii="仿宋_GB2312" w:hAnsi="仿宋_GB2312" w:eastAsia="仿宋_GB2312" w:cs="仿宋_GB2312"/>
              </w:rPr>
            </w:pPr>
            <w:r>
              <w:rPr>
                <w:rFonts w:hint="eastAsia" w:ascii="仿宋_GB2312" w:hAnsi="仿宋_GB2312" w:eastAsia="仿宋_GB2312" w:cs="仿宋_GB2312"/>
              </w:rPr>
              <w:t>昆明市</w:t>
            </w:r>
            <w:r>
              <w:rPr>
                <w:rFonts w:hint="eastAsia" w:ascii="仿宋_GB2312" w:hAnsi="仿宋_GB2312" w:eastAsia="仿宋_GB2312" w:cs="仿宋_GB2312"/>
                <w:lang w:eastAsia="zh-CN"/>
              </w:rPr>
              <w:t>晋宁区自然资源局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noWrap w:val="0"/>
            <w:vAlign w:val="center"/>
          </w:tcPr>
          <w:p>
            <w:pPr>
              <w:jc w:val="center"/>
              <w:textAlignment w:val="center"/>
              <w:rPr>
                <w:rFonts w:hint="eastAsia" w:ascii="仿宋_GB2312" w:hAnsi="仿宋_GB2312" w:eastAsia="仿宋_GB2312" w:cs="仿宋_GB2312"/>
              </w:rPr>
            </w:pPr>
            <w:r>
              <w:rPr>
                <w:rFonts w:hint="eastAsia" w:ascii="仿宋_GB2312" w:hAnsi="仿宋_GB2312" w:eastAsia="仿宋_GB2312" w:cs="仿宋_GB2312"/>
                <w:color w:val="000000"/>
                <w:lang w:bidi="ar"/>
              </w:rPr>
              <w:t>20</w:t>
            </w:r>
          </w:p>
        </w:tc>
        <w:tc>
          <w:tcPr>
            <w:tcW w:w="3544" w:type="dxa"/>
            <w:noWrap w:val="0"/>
            <w:vAlign w:val="center"/>
          </w:tcPr>
          <w:p>
            <w:pPr>
              <w:textAlignment w:val="center"/>
              <w:rPr>
                <w:rFonts w:hint="eastAsia" w:ascii="仿宋_GB2312" w:hAnsi="仿宋_GB2312" w:eastAsia="仿宋_GB2312" w:cs="仿宋_GB2312"/>
              </w:rPr>
            </w:pPr>
            <w:r>
              <w:rPr>
                <w:rFonts w:hint="eastAsia" w:ascii="仿宋_GB2312" w:hAnsi="仿宋_GB2312" w:eastAsia="仿宋_GB2312" w:cs="仿宋_GB2312"/>
                <w:color w:val="000000"/>
                <w:lang w:bidi="ar"/>
              </w:rPr>
              <w:t>未完成最低勘查投入的</w:t>
            </w:r>
          </w:p>
        </w:tc>
        <w:tc>
          <w:tcPr>
            <w:tcW w:w="3402" w:type="dxa"/>
            <w:noWrap w:val="0"/>
            <w:vAlign w:val="center"/>
          </w:tcPr>
          <w:p>
            <w:pPr>
              <w:textAlignment w:val="center"/>
              <w:rPr>
                <w:rFonts w:hint="eastAsia" w:ascii="仿宋_GB2312" w:hAnsi="仿宋_GB2312" w:eastAsia="仿宋_GB2312" w:cs="仿宋_GB2312"/>
              </w:rPr>
            </w:pPr>
            <w:r>
              <w:rPr>
                <w:rFonts w:hint="eastAsia" w:ascii="仿宋_GB2312" w:hAnsi="仿宋_GB2312" w:eastAsia="仿宋_GB2312" w:cs="仿宋_GB2312"/>
                <w:color w:val="000000"/>
                <w:lang w:bidi="ar"/>
              </w:rPr>
              <w:t>《矿产资源勘查区块登记管理办法》（国务院令第653号）第二十九条</w:t>
            </w:r>
          </w:p>
        </w:tc>
        <w:tc>
          <w:tcPr>
            <w:tcW w:w="3260" w:type="dxa"/>
            <w:noWrap w:val="0"/>
            <w:vAlign w:val="center"/>
          </w:tcPr>
          <w:p>
            <w:pPr>
              <w:textAlignment w:val="center"/>
              <w:rPr>
                <w:rFonts w:hint="eastAsia" w:ascii="仿宋_GB2312" w:hAnsi="仿宋_GB2312" w:eastAsia="仿宋_GB2312" w:cs="仿宋_GB2312"/>
              </w:rPr>
            </w:pPr>
            <w:r>
              <w:rPr>
                <w:rFonts w:hint="eastAsia" w:ascii="仿宋_GB2312" w:hAnsi="仿宋_GB2312" w:eastAsia="仿宋_GB2312" w:cs="仿宋_GB2312"/>
                <w:color w:val="000000"/>
                <w:lang w:bidi="ar"/>
              </w:rPr>
              <w:t>未完成最低勘查投入的，经发现后改正的。</w:t>
            </w:r>
          </w:p>
        </w:tc>
        <w:tc>
          <w:tcPr>
            <w:tcW w:w="1904" w:type="dxa"/>
            <w:noWrap w:val="0"/>
            <w:vAlign w:val="center"/>
          </w:tcPr>
          <w:p>
            <w:pPr>
              <w:jc w:val="center"/>
              <w:textAlignment w:val="center"/>
              <w:rPr>
                <w:rFonts w:hint="eastAsia" w:ascii="仿宋_GB2312" w:hAnsi="仿宋_GB2312" w:eastAsia="仿宋_GB2312" w:cs="仿宋_GB2312"/>
              </w:rPr>
            </w:pPr>
            <w:r>
              <w:rPr>
                <w:rFonts w:hint="eastAsia" w:ascii="仿宋_GB2312" w:hAnsi="仿宋_GB2312" w:eastAsia="仿宋_GB2312" w:cs="仿宋_GB2312"/>
              </w:rPr>
              <w:t>昆明市</w:t>
            </w:r>
            <w:r>
              <w:rPr>
                <w:rFonts w:hint="eastAsia" w:ascii="仿宋_GB2312" w:hAnsi="仿宋_GB2312" w:eastAsia="仿宋_GB2312" w:cs="仿宋_GB2312"/>
                <w:lang w:eastAsia="zh-CN"/>
              </w:rPr>
              <w:t>晋宁区自然资源局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noWrap w:val="0"/>
            <w:vAlign w:val="center"/>
          </w:tcPr>
          <w:p>
            <w:pPr>
              <w:jc w:val="center"/>
              <w:textAlignment w:val="center"/>
              <w:rPr>
                <w:rFonts w:hint="eastAsia" w:ascii="仿宋_GB2312" w:hAnsi="仿宋_GB2312" w:eastAsia="仿宋_GB2312" w:cs="仿宋_GB2312"/>
              </w:rPr>
            </w:pPr>
            <w:r>
              <w:rPr>
                <w:rFonts w:hint="eastAsia" w:ascii="仿宋_GB2312" w:hAnsi="仿宋_GB2312" w:eastAsia="仿宋_GB2312" w:cs="仿宋_GB2312"/>
                <w:color w:val="000000"/>
                <w:lang w:bidi="ar"/>
              </w:rPr>
              <w:t>21</w:t>
            </w:r>
          </w:p>
        </w:tc>
        <w:tc>
          <w:tcPr>
            <w:tcW w:w="3544" w:type="dxa"/>
            <w:noWrap w:val="0"/>
            <w:vAlign w:val="center"/>
          </w:tcPr>
          <w:p>
            <w:pPr>
              <w:textAlignment w:val="center"/>
              <w:rPr>
                <w:rFonts w:hint="eastAsia" w:ascii="仿宋_GB2312" w:hAnsi="仿宋_GB2312" w:eastAsia="仿宋_GB2312" w:cs="仿宋_GB2312"/>
              </w:rPr>
            </w:pPr>
            <w:r>
              <w:rPr>
                <w:rFonts w:hint="eastAsia" w:ascii="仿宋_GB2312" w:hAnsi="仿宋_GB2312" w:eastAsia="仿宋_GB2312" w:cs="仿宋_GB2312"/>
                <w:color w:val="000000"/>
                <w:lang w:bidi="ar"/>
              </w:rPr>
              <w:t>已领勘查许可证的勘查项目，满6个月未开始施工，或者施工后无故停止勘查工作满6个月的</w:t>
            </w:r>
          </w:p>
        </w:tc>
        <w:tc>
          <w:tcPr>
            <w:tcW w:w="3402" w:type="dxa"/>
            <w:noWrap w:val="0"/>
            <w:vAlign w:val="center"/>
          </w:tcPr>
          <w:p>
            <w:pPr>
              <w:textAlignment w:val="center"/>
              <w:rPr>
                <w:rFonts w:hint="eastAsia" w:ascii="仿宋_GB2312" w:hAnsi="仿宋_GB2312" w:eastAsia="仿宋_GB2312" w:cs="仿宋_GB2312"/>
              </w:rPr>
            </w:pPr>
            <w:r>
              <w:rPr>
                <w:rFonts w:hint="eastAsia" w:ascii="仿宋_GB2312" w:hAnsi="仿宋_GB2312" w:eastAsia="仿宋_GB2312" w:cs="仿宋_GB2312"/>
                <w:color w:val="000000"/>
                <w:lang w:bidi="ar"/>
              </w:rPr>
              <w:t>《矿产资源勘查区块登记管理办法》（国务院令第653号）第二十九条</w:t>
            </w:r>
          </w:p>
        </w:tc>
        <w:tc>
          <w:tcPr>
            <w:tcW w:w="3260" w:type="dxa"/>
            <w:noWrap w:val="0"/>
            <w:vAlign w:val="center"/>
          </w:tcPr>
          <w:p>
            <w:pPr>
              <w:textAlignment w:val="center"/>
              <w:rPr>
                <w:rFonts w:hint="eastAsia" w:ascii="仿宋_GB2312" w:hAnsi="仿宋_GB2312" w:eastAsia="仿宋_GB2312" w:cs="仿宋_GB2312"/>
              </w:rPr>
            </w:pPr>
            <w:r>
              <w:rPr>
                <w:rFonts w:hint="eastAsia" w:ascii="仿宋_GB2312" w:hAnsi="仿宋_GB2312" w:eastAsia="仿宋_GB2312" w:cs="仿宋_GB2312"/>
                <w:color w:val="000000"/>
                <w:lang w:bidi="ar"/>
              </w:rPr>
              <w:t>已领勘查许可证的勘查项目，满6个月未开始施工，或者施工后无故停止勘查工作满6个月，经发现后改正的。</w:t>
            </w:r>
          </w:p>
        </w:tc>
        <w:tc>
          <w:tcPr>
            <w:tcW w:w="1904" w:type="dxa"/>
            <w:noWrap w:val="0"/>
            <w:vAlign w:val="center"/>
          </w:tcPr>
          <w:p>
            <w:pPr>
              <w:jc w:val="center"/>
              <w:textAlignment w:val="center"/>
              <w:rPr>
                <w:rFonts w:hint="eastAsia" w:ascii="仿宋_GB2312" w:hAnsi="仿宋_GB2312" w:eastAsia="仿宋_GB2312" w:cs="仿宋_GB2312"/>
              </w:rPr>
            </w:pPr>
            <w:r>
              <w:rPr>
                <w:rFonts w:hint="eastAsia" w:ascii="仿宋_GB2312" w:hAnsi="仿宋_GB2312" w:eastAsia="仿宋_GB2312" w:cs="仿宋_GB2312"/>
              </w:rPr>
              <w:t>昆明市</w:t>
            </w:r>
            <w:r>
              <w:rPr>
                <w:rFonts w:hint="eastAsia" w:ascii="仿宋_GB2312" w:hAnsi="仿宋_GB2312" w:eastAsia="仿宋_GB2312" w:cs="仿宋_GB2312"/>
                <w:lang w:eastAsia="zh-CN"/>
              </w:rPr>
              <w:t>晋宁区自然资源局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noWrap w:val="0"/>
            <w:vAlign w:val="center"/>
          </w:tcPr>
          <w:p>
            <w:pPr>
              <w:jc w:val="center"/>
              <w:textAlignment w:val="center"/>
              <w:rPr>
                <w:rFonts w:hint="eastAsia" w:ascii="仿宋_GB2312" w:hAnsi="仿宋_GB2312" w:eastAsia="仿宋_GB2312" w:cs="仿宋_GB2312"/>
              </w:rPr>
            </w:pPr>
            <w:r>
              <w:rPr>
                <w:rFonts w:hint="eastAsia" w:ascii="仿宋_GB2312" w:hAnsi="仿宋_GB2312" w:eastAsia="仿宋_GB2312" w:cs="仿宋_GB2312"/>
                <w:color w:val="000000"/>
                <w:lang w:bidi="ar"/>
              </w:rPr>
              <w:t>22</w:t>
            </w:r>
          </w:p>
        </w:tc>
        <w:tc>
          <w:tcPr>
            <w:tcW w:w="3544" w:type="dxa"/>
            <w:noWrap w:val="0"/>
            <w:vAlign w:val="center"/>
          </w:tcPr>
          <w:p>
            <w:pPr>
              <w:textAlignment w:val="center"/>
              <w:rPr>
                <w:rFonts w:hint="eastAsia" w:ascii="仿宋_GB2312" w:hAnsi="仿宋_GB2312" w:eastAsia="仿宋_GB2312" w:cs="仿宋_GB2312"/>
              </w:rPr>
            </w:pPr>
            <w:r>
              <w:rPr>
                <w:rFonts w:hint="eastAsia" w:ascii="仿宋_GB2312" w:hAnsi="仿宋_GB2312" w:eastAsia="仿宋_GB2312" w:cs="仿宋_GB2312"/>
                <w:color w:val="000000"/>
                <w:lang w:bidi="ar"/>
              </w:rPr>
              <w:t>采矿权人未按规定报送有关资料的</w:t>
            </w:r>
          </w:p>
        </w:tc>
        <w:tc>
          <w:tcPr>
            <w:tcW w:w="3402" w:type="dxa"/>
            <w:noWrap w:val="0"/>
            <w:vAlign w:val="center"/>
          </w:tcPr>
          <w:p>
            <w:pPr>
              <w:textAlignment w:val="center"/>
              <w:rPr>
                <w:rFonts w:hint="eastAsia" w:ascii="仿宋_GB2312" w:hAnsi="仿宋_GB2312" w:eastAsia="仿宋_GB2312" w:cs="仿宋_GB2312"/>
              </w:rPr>
            </w:pPr>
            <w:r>
              <w:rPr>
                <w:rFonts w:hint="eastAsia" w:ascii="仿宋_GB2312" w:hAnsi="仿宋_GB2312" w:eastAsia="仿宋_GB2312" w:cs="仿宋_GB2312"/>
                <w:color w:val="000000"/>
                <w:lang w:bidi="ar"/>
              </w:rPr>
              <w:t>《矿产资源补偿费征收管理规定》（国务院令第150号）第十六条</w:t>
            </w:r>
          </w:p>
        </w:tc>
        <w:tc>
          <w:tcPr>
            <w:tcW w:w="3260" w:type="dxa"/>
            <w:noWrap w:val="0"/>
            <w:vAlign w:val="center"/>
          </w:tcPr>
          <w:p>
            <w:pPr>
              <w:textAlignment w:val="center"/>
              <w:rPr>
                <w:rFonts w:hint="eastAsia" w:ascii="仿宋_GB2312" w:hAnsi="仿宋_GB2312" w:eastAsia="仿宋_GB2312" w:cs="仿宋_GB2312"/>
              </w:rPr>
            </w:pPr>
            <w:r>
              <w:rPr>
                <w:rFonts w:hint="eastAsia" w:ascii="仿宋_GB2312" w:hAnsi="仿宋_GB2312" w:eastAsia="仿宋_GB2312" w:cs="仿宋_GB2312"/>
                <w:color w:val="000000"/>
                <w:lang w:bidi="ar"/>
              </w:rPr>
              <w:t>采矿权人未按规定报送有关资料的。</w:t>
            </w:r>
          </w:p>
        </w:tc>
        <w:tc>
          <w:tcPr>
            <w:tcW w:w="1904" w:type="dxa"/>
            <w:noWrap w:val="0"/>
            <w:vAlign w:val="center"/>
          </w:tcPr>
          <w:p>
            <w:pPr>
              <w:jc w:val="center"/>
              <w:textAlignment w:val="center"/>
              <w:rPr>
                <w:rFonts w:hint="eastAsia" w:ascii="仿宋_GB2312" w:hAnsi="仿宋_GB2312" w:eastAsia="仿宋_GB2312" w:cs="仿宋_GB2312"/>
              </w:rPr>
            </w:pPr>
            <w:r>
              <w:rPr>
                <w:rFonts w:hint="eastAsia" w:ascii="仿宋_GB2312" w:hAnsi="仿宋_GB2312" w:eastAsia="仿宋_GB2312" w:cs="仿宋_GB2312"/>
              </w:rPr>
              <w:t>昆明市</w:t>
            </w:r>
            <w:r>
              <w:rPr>
                <w:rFonts w:hint="eastAsia" w:ascii="仿宋_GB2312" w:hAnsi="仿宋_GB2312" w:eastAsia="仿宋_GB2312" w:cs="仿宋_GB2312"/>
                <w:lang w:eastAsia="zh-CN"/>
              </w:rPr>
              <w:t>晋宁区自然资源局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noWrap w:val="0"/>
            <w:vAlign w:val="center"/>
          </w:tcPr>
          <w:p>
            <w:pPr>
              <w:jc w:val="center"/>
              <w:textAlignment w:val="center"/>
              <w:rPr>
                <w:rFonts w:hint="eastAsia" w:ascii="仿宋_GB2312" w:hAnsi="仿宋_GB2312" w:eastAsia="仿宋_GB2312" w:cs="仿宋_GB2312"/>
              </w:rPr>
            </w:pPr>
            <w:r>
              <w:rPr>
                <w:rFonts w:hint="eastAsia" w:ascii="仿宋_GB2312" w:hAnsi="仿宋_GB2312" w:eastAsia="仿宋_GB2312" w:cs="仿宋_GB2312"/>
                <w:color w:val="000000"/>
                <w:lang w:bidi="ar"/>
              </w:rPr>
              <w:t>23</w:t>
            </w:r>
          </w:p>
        </w:tc>
        <w:tc>
          <w:tcPr>
            <w:tcW w:w="3544" w:type="dxa"/>
            <w:noWrap w:val="0"/>
            <w:vAlign w:val="center"/>
          </w:tcPr>
          <w:p>
            <w:pPr>
              <w:textAlignment w:val="center"/>
              <w:rPr>
                <w:rFonts w:hint="eastAsia" w:ascii="仿宋_GB2312" w:hAnsi="仿宋_GB2312" w:eastAsia="仿宋_GB2312" w:cs="仿宋_GB2312"/>
              </w:rPr>
            </w:pPr>
            <w:r>
              <w:rPr>
                <w:rFonts w:hint="eastAsia" w:ascii="仿宋_GB2312" w:hAnsi="仿宋_GB2312" w:eastAsia="仿宋_GB2312" w:cs="仿宋_GB2312"/>
                <w:color w:val="000000"/>
                <w:lang w:bidi="ar"/>
              </w:rPr>
              <w:t>应当编制矿山地质环境保护与土地复垦方案而未编制的，或者扩大开采规模、变更矿区范围或者开采方式，未重新编制矿山地质环境保护与土地复垦方案并经原审批机关批准的</w:t>
            </w:r>
          </w:p>
        </w:tc>
        <w:tc>
          <w:tcPr>
            <w:tcW w:w="3402" w:type="dxa"/>
            <w:noWrap w:val="0"/>
            <w:vAlign w:val="center"/>
          </w:tcPr>
          <w:p>
            <w:pPr>
              <w:textAlignment w:val="center"/>
              <w:rPr>
                <w:rFonts w:hint="eastAsia" w:ascii="仿宋_GB2312" w:hAnsi="仿宋_GB2312" w:eastAsia="仿宋_GB2312" w:cs="仿宋_GB2312"/>
              </w:rPr>
            </w:pPr>
            <w:r>
              <w:rPr>
                <w:rFonts w:hint="eastAsia" w:ascii="仿宋_GB2312" w:hAnsi="仿宋_GB2312" w:eastAsia="仿宋_GB2312" w:cs="仿宋_GB2312"/>
                <w:color w:val="000000"/>
                <w:lang w:bidi="ar"/>
              </w:rPr>
              <w:t>《矿山地质环境保护规定》第二十六条</w:t>
            </w:r>
          </w:p>
        </w:tc>
        <w:tc>
          <w:tcPr>
            <w:tcW w:w="3260" w:type="dxa"/>
            <w:noWrap w:val="0"/>
            <w:vAlign w:val="center"/>
          </w:tcPr>
          <w:p>
            <w:pPr>
              <w:textAlignment w:val="center"/>
              <w:rPr>
                <w:rFonts w:hint="eastAsia" w:ascii="仿宋_GB2312" w:hAnsi="仿宋_GB2312" w:eastAsia="仿宋_GB2312" w:cs="仿宋_GB2312"/>
              </w:rPr>
            </w:pPr>
            <w:r>
              <w:rPr>
                <w:rFonts w:hint="eastAsia" w:ascii="仿宋_GB2312" w:hAnsi="仿宋_GB2312" w:eastAsia="仿宋_GB2312" w:cs="仿宋_GB2312"/>
                <w:color w:val="000000"/>
                <w:lang w:bidi="ar"/>
              </w:rPr>
              <w:t>应当编制矿山地质环境保护与土地复垦方案而未编制的，或者扩大开采规模、变更矿区范围或者开采方式，未重新编制矿山地质环境保护与土地复垦方案并经原审批机关批准，经发现后改正的。</w:t>
            </w:r>
          </w:p>
        </w:tc>
        <w:tc>
          <w:tcPr>
            <w:tcW w:w="1904" w:type="dxa"/>
            <w:noWrap w:val="0"/>
            <w:vAlign w:val="center"/>
          </w:tcPr>
          <w:p>
            <w:pPr>
              <w:jc w:val="center"/>
              <w:textAlignment w:val="center"/>
              <w:rPr>
                <w:rFonts w:hint="eastAsia" w:ascii="仿宋_GB2312" w:hAnsi="仿宋_GB2312" w:eastAsia="仿宋_GB2312" w:cs="仿宋_GB2312"/>
              </w:rPr>
            </w:pPr>
            <w:r>
              <w:rPr>
                <w:rFonts w:hint="eastAsia" w:ascii="仿宋_GB2312" w:hAnsi="仿宋_GB2312" w:eastAsia="仿宋_GB2312" w:cs="仿宋_GB2312"/>
              </w:rPr>
              <w:t>昆明市</w:t>
            </w:r>
            <w:r>
              <w:rPr>
                <w:rFonts w:hint="eastAsia" w:ascii="仿宋_GB2312" w:hAnsi="仿宋_GB2312" w:eastAsia="仿宋_GB2312" w:cs="仿宋_GB2312"/>
                <w:lang w:eastAsia="zh-CN"/>
              </w:rPr>
              <w:t>晋宁区自然资源局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noWrap w:val="0"/>
            <w:vAlign w:val="center"/>
          </w:tcPr>
          <w:p>
            <w:pPr>
              <w:jc w:val="center"/>
              <w:textAlignment w:val="center"/>
              <w:rPr>
                <w:rFonts w:hint="eastAsia" w:ascii="仿宋_GB2312" w:hAnsi="仿宋_GB2312" w:eastAsia="仿宋_GB2312" w:cs="仿宋_GB2312"/>
              </w:rPr>
            </w:pPr>
            <w:r>
              <w:rPr>
                <w:rFonts w:hint="eastAsia" w:ascii="仿宋_GB2312" w:hAnsi="仿宋_GB2312" w:eastAsia="仿宋_GB2312" w:cs="仿宋_GB2312"/>
                <w:color w:val="000000"/>
                <w:lang w:bidi="ar"/>
              </w:rPr>
              <w:t>24</w:t>
            </w:r>
          </w:p>
        </w:tc>
        <w:tc>
          <w:tcPr>
            <w:tcW w:w="3544" w:type="dxa"/>
            <w:noWrap w:val="0"/>
            <w:vAlign w:val="center"/>
          </w:tcPr>
          <w:p>
            <w:pPr>
              <w:textAlignment w:val="center"/>
              <w:rPr>
                <w:rFonts w:hint="eastAsia" w:ascii="仿宋_GB2312" w:hAnsi="仿宋_GB2312" w:eastAsia="仿宋_GB2312" w:cs="仿宋_GB2312"/>
              </w:rPr>
            </w:pPr>
            <w:r>
              <w:rPr>
                <w:rFonts w:hint="eastAsia" w:ascii="仿宋_GB2312" w:hAnsi="仿宋_GB2312" w:eastAsia="仿宋_GB2312" w:cs="仿宋_GB2312"/>
                <w:color w:val="000000"/>
                <w:lang w:bidi="ar"/>
              </w:rPr>
              <w:t>未按规定计提矿山地质环境治理恢复基金的</w:t>
            </w:r>
          </w:p>
        </w:tc>
        <w:tc>
          <w:tcPr>
            <w:tcW w:w="3402" w:type="dxa"/>
            <w:noWrap w:val="0"/>
            <w:vAlign w:val="center"/>
          </w:tcPr>
          <w:p>
            <w:pPr>
              <w:textAlignment w:val="center"/>
              <w:rPr>
                <w:rFonts w:hint="eastAsia" w:ascii="仿宋_GB2312" w:hAnsi="仿宋_GB2312" w:eastAsia="仿宋_GB2312" w:cs="仿宋_GB2312"/>
              </w:rPr>
            </w:pPr>
            <w:r>
              <w:rPr>
                <w:rFonts w:hint="eastAsia" w:ascii="仿宋_GB2312" w:hAnsi="仿宋_GB2312" w:eastAsia="仿宋_GB2312" w:cs="仿宋_GB2312"/>
                <w:color w:val="000000"/>
                <w:lang w:bidi="ar"/>
              </w:rPr>
              <w:t>《矿山地质环境保护规定》第二十八条</w:t>
            </w:r>
          </w:p>
        </w:tc>
        <w:tc>
          <w:tcPr>
            <w:tcW w:w="3260" w:type="dxa"/>
            <w:noWrap w:val="0"/>
            <w:vAlign w:val="center"/>
          </w:tcPr>
          <w:p>
            <w:pPr>
              <w:textAlignment w:val="center"/>
              <w:rPr>
                <w:rFonts w:hint="eastAsia" w:ascii="仿宋_GB2312" w:hAnsi="仿宋_GB2312" w:eastAsia="仿宋_GB2312" w:cs="仿宋_GB2312"/>
              </w:rPr>
            </w:pPr>
            <w:r>
              <w:rPr>
                <w:rFonts w:hint="eastAsia" w:ascii="仿宋_GB2312" w:hAnsi="仿宋_GB2312" w:eastAsia="仿宋_GB2312" w:cs="仿宋_GB2312"/>
                <w:color w:val="000000"/>
                <w:lang w:bidi="ar"/>
              </w:rPr>
              <w:t>未按规定计提矿山地质环境治理恢复基金的。</w:t>
            </w:r>
          </w:p>
        </w:tc>
        <w:tc>
          <w:tcPr>
            <w:tcW w:w="1904" w:type="dxa"/>
            <w:noWrap w:val="0"/>
            <w:vAlign w:val="center"/>
          </w:tcPr>
          <w:p>
            <w:pPr>
              <w:jc w:val="center"/>
              <w:textAlignment w:val="center"/>
              <w:rPr>
                <w:rFonts w:hint="eastAsia" w:ascii="仿宋_GB2312" w:hAnsi="仿宋_GB2312" w:eastAsia="仿宋_GB2312" w:cs="仿宋_GB2312"/>
              </w:rPr>
            </w:pPr>
            <w:r>
              <w:rPr>
                <w:rFonts w:hint="eastAsia" w:ascii="仿宋_GB2312" w:hAnsi="仿宋_GB2312" w:eastAsia="仿宋_GB2312" w:cs="仿宋_GB2312"/>
              </w:rPr>
              <w:t>昆明市</w:t>
            </w:r>
            <w:r>
              <w:rPr>
                <w:rFonts w:hint="eastAsia" w:ascii="仿宋_GB2312" w:hAnsi="仿宋_GB2312" w:eastAsia="仿宋_GB2312" w:cs="仿宋_GB2312"/>
                <w:lang w:eastAsia="zh-CN"/>
              </w:rPr>
              <w:t>晋宁区自然资源局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noWrap w:val="0"/>
            <w:vAlign w:val="center"/>
          </w:tcPr>
          <w:p>
            <w:pPr>
              <w:jc w:val="center"/>
              <w:textAlignment w:val="center"/>
              <w:rPr>
                <w:rFonts w:hint="eastAsia" w:ascii="仿宋_GB2312" w:hAnsi="仿宋_GB2312" w:eastAsia="仿宋_GB2312" w:cs="仿宋_GB2312"/>
              </w:rPr>
            </w:pPr>
            <w:r>
              <w:rPr>
                <w:rFonts w:hint="eastAsia" w:ascii="仿宋_GB2312" w:hAnsi="仿宋_GB2312" w:eastAsia="仿宋_GB2312" w:cs="仿宋_GB2312"/>
                <w:color w:val="000000"/>
                <w:lang w:bidi="ar"/>
              </w:rPr>
              <w:t>25</w:t>
            </w:r>
          </w:p>
        </w:tc>
        <w:tc>
          <w:tcPr>
            <w:tcW w:w="3544" w:type="dxa"/>
            <w:noWrap w:val="0"/>
            <w:vAlign w:val="center"/>
          </w:tcPr>
          <w:p>
            <w:pPr>
              <w:textAlignment w:val="center"/>
              <w:rPr>
                <w:rFonts w:hint="eastAsia" w:ascii="仿宋_GB2312" w:hAnsi="仿宋_GB2312" w:eastAsia="仿宋_GB2312" w:cs="仿宋_GB2312"/>
              </w:rPr>
            </w:pPr>
            <w:r>
              <w:rPr>
                <w:rFonts w:hint="eastAsia" w:ascii="仿宋_GB2312" w:hAnsi="仿宋_GB2312" w:eastAsia="仿宋_GB2312" w:cs="仿宋_GB2312"/>
                <w:color w:val="000000"/>
                <w:lang w:bidi="ar"/>
              </w:rPr>
              <w:t>探矿权人未采取治理恢复措施的</w:t>
            </w:r>
          </w:p>
        </w:tc>
        <w:tc>
          <w:tcPr>
            <w:tcW w:w="3402" w:type="dxa"/>
            <w:noWrap w:val="0"/>
            <w:vAlign w:val="center"/>
          </w:tcPr>
          <w:p>
            <w:pPr>
              <w:textAlignment w:val="center"/>
              <w:rPr>
                <w:rFonts w:hint="eastAsia" w:ascii="仿宋_GB2312" w:hAnsi="仿宋_GB2312" w:eastAsia="仿宋_GB2312" w:cs="仿宋_GB2312"/>
              </w:rPr>
            </w:pPr>
            <w:r>
              <w:rPr>
                <w:rFonts w:hint="eastAsia" w:ascii="仿宋_GB2312" w:hAnsi="仿宋_GB2312" w:eastAsia="仿宋_GB2312" w:cs="仿宋_GB2312"/>
                <w:color w:val="000000"/>
                <w:lang w:bidi="ar"/>
              </w:rPr>
              <w:t>《矿山地质环境保护规定》第二十九条 、第二十一条</w:t>
            </w:r>
          </w:p>
        </w:tc>
        <w:tc>
          <w:tcPr>
            <w:tcW w:w="3260" w:type="dxa"/>
            <w:noWrap w:val="0"/>
            <w:vAlign w:val="center"/>
          </w:tcPr>
          <w:p>
            <w:pPr>
              <w:textAlignment w:val="center"/>
              <w:rPr>
                <w:rFonts w:hint="eastAsia" w:ascii="仿宋_GB2312" w:hAnsi="仿宋_GB2312" w:eastAsia="仿宋_GB2312" w:cs="仿宋_GB2312"/>
              </w:rPr>
            </w:pPr>
            <w:r>
              <w:rPr>
                <w:rFonts w:hint="eastAsia" w:ascii="仿宋_GB2312" w:hAnsi="仿宋_GB2312" w:eastAsia="仿宋_GB2312" w:cs="仿宋_GB2312"/>
                <w:color w:val="000000"/>
                <w:lang w:bidi="ar"/>
              </w:rPr>
              <w:t>探矿权人未采取治理恢复措施，经发现后，对其勘查矿产资源遗留的钻孔、探井、探槽、巷道进行回填、封闭，对形成的危岩、危坡等进行治理恢复，在一定期限内消除安全隐患的。</w:t>
            </w:r>
          </w:p>
        </w:tc>
        <w:tc>
          <w:tcPr>
            <w:tcW w:w="1904" w:type="dxa"/>
            <w:noWrap w:val="0"/>
            <w:vAlign w:val="center"/>
          </w:tcPr>
          <w:p>
            <w:pPr>
              <w:jc w:val="center"/>
              <w:textAlignment w:val="center"/>
              <w:rPr>
                <w:rFonts w:hint="eastAsia" w:ascii="仿宋_GB2312" w:hAnsi="仿宋_GB2312" w:eastAsia="仿宋_GB2312" w:cs="仿宋_GB2312"/>
              </w:rPr>
            </w:pPr>
            <w:r>
              <w:rPr>
                <w:rFonts w:hint="eastAsia" w:ascii="仿宋_GB2312" w:hAnsi="仿宋_GB2312" w:eastAsia="仿宋_GB2312" w:cs="仿宋_GB2312"/>
              </w:rPr>
              <w:t>昆明市</w:t>
            </w:r>
            <w:r>
              <w:rPr>
                <w:rFonts w:hint="eastAsia" w:ascii="仿宋_GB2312" w:hAnsi="仿宋_GB2312" w:eastAsia="仿宋_GB2312" w:cs="仿宋_GB2312"/>
                <w:lang w:eastAsia="zh-CN"/>
              </w:rPr>
              <w:t>晋宁区自然资源局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noWrap w:val="0"/>
            <w:vAlign w:val="center"/>
          </w:tcPr>
          <w:p>
            <w:pPr>
              <w:jc w:val="center"/>
              <w:textAlignment w:val="center"/>
              <w:rPr>
                <w:rFonts w:hint="eastAsia" w:ascii="仿宋_GB2312" w:hAnsi="仿宋_GB2312" w:eastAsia="仿宋_GB2312" w:cs="仿宋_GB2312"/>
              </w:rPr>
            </w:pPr>
            <w:r>
              <w:rPr>
                <w:rFonts w:hint="eastAsia" w:ascii="仿宋_GB2312" w:hAnsi="仿宋_GB2312" w:eastAsia="仿宋_GB2312" w:cs="仿宋_GB2312"/>
                <w:color w:val="000000"/>
                <w:lang w:bidi="ar"/>
              </w:rPr>
              <w:t>26</w:t>
            </w:r>
          </w:p>
        </w:tc>
        <w:tc>
          <w:tcPr>
            <w:tcW w:w="3544" w:type="dxa"/>
            <w:noWrap w:val="0"/>
            <w:vAlign w:val="center"/>
          </w:tcPr>
          <w:p>
            <w:pPr>
              <w:textAlignment w:val="center"/>
              <w:rPr>
                <w:rFonts w:hint="eastAsia" w:ascii="仿宋_GB2312" w:hAnsi="仿宋_GB2312" w:eastAsia="仿宋_GB2312" w:cs="仿宋_GB2312"/>
              </w:rPr>
            </w:pPr>
            <w:r>
              <w:rPr>
                <w:rFonts w:hint="eastAsia" w:ascii="仿宋_GB2312" w:hAnsi="仿宋_GB2312" w:eastAsia="仿宋_GB2312" w:cs="仿宋_GB2312"/>
                <w:color w:val="000000"/>
                <w:lang w:bidi="ar"/>
              </w:rPr>
              <w:t>古生物化石收藏单位不符合收藏条件收藏古生物化石</w:t>
            </w:r>
          </w:p>
        </w:tc>
        <w:tc>
          <w:tcPr>
            <w:tcW w:w="3402" w:type="dxa"/>
            <w:noWrap w:val="0"/>
            <w:vAlign w:val="center"/>
          </w:tcPr>
          <w:p>
            <w:pPr>
              <w:textAlignment w:val="center"/>
              <w:rPr>
                <w:rFonts w:hint="eastAsia" w:ascii="仿宋_GB2312" w:hAnsi="仿宋_GB2312" w:eastAsia="仿宋_GB2312" w:cs="仿宋_GB2312"/>
              </w:rPr>
            </w:pPr>
            <w:r>
              <w:rPr>
                <w:rFonts w:hint="eastAsia" w:ascii="仿宋_GB2312" w:hAnsi="仿宋_GB2312" w:eastAsia="仿宋_GB2312" w:cs="仿宋_GB2312"/>
                <w:color w:val="000000"/>
                <w:lang w:bidi="ar"/>
              </w:rPr>
              <w:t>《古生物化石保护条例》第三十八条；《古生物化石保护条例实施办法》第五十三条。</w:t>
            </w:r>
          </w:p>
        </w:tc>
        <w:tc>
          <w:tcPr>
            <w:tcW w:w="3260" w:type="dxa"/>
            <w:noWrap w:val="0"/>
            <w:vAlign w:val="center"/>
          </w:tcPr>
          <w:p>
            <w:pPr>
              <w:textAlignment w:val="center"/>
              <w:rPr>
                <w:rFonts w:hint="eastAsia" w:ascii="仿宋_GB2312" w:hAnsi="仿宋_GB2312" w:eastAsia="仿宋_GB2312" w:cs="仿宋_GB2312"/>
              </w:rPr>
            </w:pPr>
            <w:r>
              <w:rPr>
                <w:rFonts w:hint="eastAsia" w:ascii="仿宋_GB2312" w:hAnsi="仿宋_GB2312" w:eastAsia="仿宋_GB2312" w:cs="仿宋_GB2312"/>
                <w:color w:val="000000"/>
                <w:lang w:bidi="ar"/>
              </w:rPr>
              <w:t>古生物化石收藏单位不符合收藏条件收藏古生物化石的。</w:t>
            </w:r>
          </w:p>
        </w:tc>
        <w:tc>
          <w:tcPr>
            <w:tcW w:w="1904" w:type="dxa"/>
            <w:noWrap w:val="0"/>
            <w:vAlign w:val="center"/>
          </w:tcPr>
          <w:p>
            <w:pPr>
              <w:jc w:val="center"/>
              <w:textAlignment w:val="center"/>
              <w:rPr>
                <w:rFonts w:hint="eastAsia" w:ascii="仿宋_GB2312" w:hAnsi="仿宋_GB2312" w:eastAsia="仿宋_GB2312" w:cs="仿宋_GB2312"/>
              </w:rPr>
            </w:pPr>
            <w:r>
              <w:rPr>
                <w:rFonts w:hint="eastAsia" w:ascii="仿宋_GB2312" w:hAnsi="仿宋_GB2312" w:eastAsia="仿宋_GB2312" w:cs="仿宋_GB2312"/>
              </w:rPr>
              <w:t>昆明市</w:t>
            </w:r>
            <w:r>
              <w:rPr>
                <w:rFonts w:hint="eastAsia" w:ascii="仿宋_GB2312" w:hAnsi="仿宋_GB2312" w:eastAsia="仿宋_GB2312" w:cs="仿宋_GB2312"/>
                <w:lang w:eastAsia="zh-CN"/>
              </w:rPr>
              <w:t>晋宁区自然资源局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noWrap w:val="0"/>
            <w:vAlign w:val="center"/>
          </w:tcPr>
          <w:p>
            <w:pPr>
              <w:jc w:val="center"/>
              <w:textAlignment w:val="center"/>
              <w:rPr>
                <w:rFonts w:hint="eastAsia" w:ascii="仿宋_GB2312" w:hAnsi="仿宋_GB2312" w:eastAsia="仿宋_GB2312" w:cs="仿宋_GB2312"/>
              </w:rPr>
            </w:pPr>
            <w:r>
              <w:rPr>
                <w:rFonts w:hint="eastAsia" w:ascii="仿宋_GB2312" w:hAnsi="仿宋_GB2312" w:eastAsia="仿宋_GB2312" w:cs="仿宋_GB2312"/>
              </w:rPr>
              <w:t>27</w:t>
            </w:r>
          </w:p>
        </w:tc>
        <w:tc>
          <w:tcPr>
            <w:tcW w:w="3544" w:type="dxa"/>
            <w:noWrap w:val="0"/>
            <w:vAlign w:val="center"/>
          </w:tcPr>
          <w:p>
            <w:pPr>
              <w:textAlignment w:val="center"/>
              <w:rPr>
                <w:rFonts w:hint="eastAsia" w:ascii="仿宋_GB2312" w:hAnsi="仿宋_GB2312" w:eastAsia="仿宋_GB2312" w:cs="仿宋_GB2312"/>
              </w:rPr>
            </w:pPr>
            <w:r>
              <w:rPr>
                <w:rFonts w:hint="eastAsia" w:ascii="仿宋_GB2312" w:hAnsi="仿宋_GB2312" w:eastAsia="仿宋_GB2312" w:cs="仿宋_GB2312"/>
                <w:color w:val="000000"/>
                <w:lang w:bidi="ar"/>
              </w:rPr>
              <w:t>未依照地热资源地质勘查规范进行地热水资源勘查的，承担无勘查许可证、采矿许可证的地热水资源勘查、开采工程项目施工、监理的</w:t>
            </w:r>
          </w:p>
        </w:tc>
        <w:tc>
          <w:tcPr>
            <w:tcW w:w="3402" w:type="dxa"/>
            <w:noWrap w:val="0"/>
            <w:vAlign w:val="center"/>
          </w:tcPr>
          <w:p>
            <w:pPr>
              <w:textAlignment w:val="center"/>
              <w:rPr>
                <w:rFonts w:hint="eastAsia" w:ascii="仿宋_GB2312" w:hAnsi="仿宋_GB2312" w:eastAsia="仿宋_GB2312" w:cs="仿宋_GB2312"/>
              </w:rPr>
            </w:pPr>
            <w:r>
              <w:rPr>
                <w:rFonts w:hint="eastAsia" w:ascii="仿宋_GB2312" w:hAnsi="仿宋_GB2312" w:eastAsia="仿宋_GB2312" w:cs="仿宋_GB2312"/>
                <w:color w:val="000000"/>
                <w:lang w:bidi="ar"/>
              </w:rPr>
              <w:t>《云南省地热水资源管理条例》第二十一条</w:t>
            </w:r>
          </w:p>
        </w:tc>
        <w:tc>
          <w:tcPr>
            <w:tcW w:w="3260" w:type="dxa"/>
            <w:noWrap w:val="0"/>
            <w:vAlign w:val="center"/>
          </w:tcPr>
          <w:p>
            <w:pPr>
              <w:textAlignment w:val="center"/>
              <w:rPr>
                <w:rFonts w:hint="eastAsia" w:ascii="仿宋_GB2312" w:hAnsi="仿宋_GB2312" w:eastAsia="仿宋_GB2312" w:cs="仿宋_GB2312"/>
              </w:rPr>
            </w:pPr>
            <w:r>
              <w:rPr>
                <w:rFonts w:hint="eastAsia" w:ascii="仿宋_GB2312" w:hAnsi="仿宋_GB2312" w:eastAsia="仿宋_GB2312" w:cs="仿宋_GB2312"/>
                <w:color w:val="000000"/>
                <w:lang w:bidi="ar"/>
              </w:rPr>
              <w:t>未依照地热资源地质勘查规范进行地热水资源勘查，或者承担无勘查许可证、采矿许可证的地热水资源勘查、开采工程项目施工、监理，经发现后改正的。</w:t>
            </w:r>
          </w:p>
        </w:tc>
        <w:tc>
          <w:tcPr>
            <w:tcW w:w="1904" w:type="dxa"/>
            <w:noWrap w:val="0"/>
            <w:vAlign w:val="center"/>
          </w:tcPr>
          <w:p>
            <w:pPr>
              <w:jc w:val="center"/>
              <w:textAlignment w:val="center"/>
              <w:rPr>
                <w:rFonts w:hint="eastAsia" w:ascii="仿宋_GB2312" w:hAnsi="仿宋_GB2312" w:eastAsia="仿宋_GB2312" w:cs="仿宋_GB2312"/>
              </w:rPr>
            </w:pPr>
            <w:r>
              <w:rPr>
                <w:rFonts w:hint="eastAsia" w:ascii="仿宋_GB2312" w:hAnsi="仿宋_GB2312" w:eastAsia="仿宋_GB2312" w:cs="仿宋_GB2312"/>
              </w:rPr>
              <w:t>昆明市</w:t>
            </w:r>
            <w:r>
              <w:rPr>
                <w:rFonts w:hint="eastAsia" w:ascii="仿宋_GB2312" w:hAnsi="仿宋_GB2312" w:eastAsia="仿宋_GB2312" w:cs="仿宋_GB2312"/>
                <w:lang w:eastAsia="zh-CN"/>
              </w:rPr>
              <w:t>晋宁区自然资源局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noWrap w:val="0"/>
            <w:vAlign w:val="center"/>
          </w:tcPr>
          <w:p>
            <w:pPr>
              <w:jc w:val="center"/>
              <w:textAlignment w:val="center"/>
              <w:rPr>
                <w:rFonts w:hint="eastAsia" w:ascii="仿宋_GB2312" w:hAnsi="仿宋_GB2312" w:eastAsia="仿宋_GB2312" w:cs="仿宋_GB2312"/>
              </w:rPr>
            </w:pPr>
            <w:r>
              <w:rPr>
                <w:rFonts w:hint="eastAsia" w:ascii="仿宋_GB2312" w:hAnsi="仿宋_GB2312" w:eastAsia="仿宋_GB2312" w:cs="仿宋_GB2312"/>
              </w:rPr>
              <w:t>28</w:t>
            </w:r>
          </w:p>
        </w:tc>
        <w:tc>
          <w:tcPr>
            <w:tcW w:w="3544" w:type="dxa"/>
            <w:noWrap w:val="0"/>
            <w:vAlign w:val="center"/>
          </w:tcPr>
          <w:p>
            <w:pPr>
              <w:textAlignment w:val="center"/>
              <w:rPr>
                <w:rFonts w:hint="eastAsia" w:ascii="仿宋_GB2312" w:hAnsi="仿宋_GB2312" w:eastAsia="仿宋_GB2312" w:cs="仿宋_GB2312"/>
              </w:rPr>
            </w:pPr>
            <w:r>
              <w:rPr>
                <w:rFonts w:hint="eastAsia" w:ascii="仿宋_GB2312" w:hAnsi="仿宋_GB2312" w:eastAsia="仿宋_GB2312" w:cs="仿宋_GB2312"/>
                <w:color w:val="000000"/>
                <w:lang w:bidi="ar"/>
              </w:rPr>
              <w:t>擅自移动和破坏碑石、界标的</w:t>
            </w:r>
          </w:p>
        </w:tc>
        <w:tc>
          <w:tcPr>
            <w:tcW w:w="3402" w:type="dxa"/>
            <w:noWrap w:val="0"/>
            <w:vAlign w:val="center"/>
          </w:tcPr>
          <w:p>
            <w:pPr>
              <w:textAlignment w:val="center"/>
              <w:rPr>
                <w:rFonts w:hint="eastAsia" w:ascii="仿宋_GB2312" w:hAnsi="仿宋_GB2312" w:eastAsia="仿宋_GB2312" w:cs="仿宋_GB2312"/>
              </w:rPr>
            </w:pPr>
            <w:r>
              <w:rPr>
                <w:rFonts w:hint="eastAsia" w:ascii="仿宋_GB2312" w:hAnsi="仿宋_GB2312" w:eastAsia="仿宋_GB2312" w:cs="仿宋_GB2312"/>
                <w:color w:val="000000"/>
                <w:lang w:bidi="ar"/>
              </w:rPr>
              <w:t>《地质遗迹保护管理规定》第二十条；《中华人民共和国自然保护区条例》第三十四条。</w:t>
            </w:r>
          </w:p>
        </w:tc>
        <w:tc>
          <w:tcPr>
            <w:tcW w:w="3260" w:type="dxa"/>
            <w:noWrap w:val="0"/>
            <w:vAlign w:val="center"/>
          </w:tcPr>
          <w:p>
            <w:pPr>
              <w:textAlignment w:val="center"/>
              <w:rPr>
                <w:rFonts w:hint="eastAsia" w:ascii="仿宋_GB2312" w:hAnsi="仿宋_GB2312" w:eastAsia="仿宋_GB2312" w:cs="仿宋_GB2312"/>
              </w:rPr>
            </w:pPr>
            <w:r>
              <w:rPr>
                <w:rFonts w:hint="eastAsia" w:ascii="仿宋_GB2312" w:hAnsi="仿宋_GB2312" w:eastAsia="仿宋_GB2312" w:cs="仿宋_GB2312"/>
                <w:color w:val="000000"/>
                <w:lang w:bidi="ar"/>
              </w:rPr>
              <w:t>擅自移动碑石、界标，及时自行改正的。</w:t>
            </w:r>
          </w:p>
        </w:tc>
        <w:tc>
          <w:tcPr>
            <w:tcW w:w="1904" w:type="dxa"/>
            <w:noWrap w:val="0"/>
            <w:vAlign w:val="center"/>
          </w:tcPr>
          <w:p>
            <w:pPr>
              <w:jc w:val="center"/>
              <w:textAlignment w:val="center"/>
              <w:rPr>
                <w:rFonts w:hint="eastAsia" w:ascii="仿宋_GB2312" w:hAnsi="仿宋_GB2312" w:eastAsia="仿宋_GB2312" w:cs="仿宋_GB2312"/>
              </w:rPr>
            </w:pPr>
            <w:r>
              <w:rPr>
                <w:rFonts w:hint="eastAsia" w:ascii="仿宋_GB2312" w:hAnsi="仿宋_GB2312" w:eastAsia="仿宋_GB2312" w:cs="仿宋_GB2312"/>
              </w:rPr>
              <w:t>昆明市</w:t>
            </w:r>
            <w:r>
              <w:rPr>
                <w:rFonts w:hint="eastAsia" w:ascii="仿宋_GB2312" w:hAnsi="仿宋_GB2312" w:eastAsia="仿宋_GB2312" w:cs="仿宋_GB2312"/>
                <w:lang w:eastAsia="zh-CN"/>
              </w:rPr>
              <w:t>晋宁区自然资源局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noWrap w:val="0"/>
            <w:vAlign w:val="center"/>
          </w:tcPr>
          <w:p>
            <w:pPr>
              <w:jc w:val="center"/>
              <w:textAlignment w:val="center"/>
              <w:rPr>
                <w:rFonts w:hint="eastAsia" w:ascii="仿宋_GB2312" w:hAnsi="仿宋_GB2312" w:eastAsia="仿宋_GB2312" w:cs="仿宋_GB2312"/>
              </w:rPr>
            </w:pPr>
            <w:r>
              <w:rPr>
                <w:rFonts w:hint="eastAsia" w:ascii="仿宋_GB2312" w:hAnsi="仿宋_GB2312" w:eastAsia="仿宋_GB2312" w:cs="仿宋_GB2312"/>
              </w:rPr>
              <w:t>29</w:t>
            </w:r>
          </w:p>
        </w:tc>
        <w:tc>
          <w:tcPr>
            <w:tcW w:w="3544" w:type="dxa"/>
            <w:noWrap w:val="0"/>
            <w:vAlign w:val="center"/>
          </w:tcPr>
          <w:p>
            <w:pPr>
              <w:textAlignment w:val="center"/>
              <w:rPr>
                <w:rFonts w:hint="eastAsia" w:ascii="仿宋_GB2312" w:hAnsi="仿宋_GB2312" w:eastAsia="仿宋_GB2312" w:cs="仿宋_GB2312"/>
              </w:rPr>
            </w:pPr>
            <w:r>
              <w:rPr>
                <w:rFonts w:hint="eastAsia" w:ascii="仿宋_GB2312" w:hAnsi="仿宋_GB2312" w:eastAsia="仿宋_GB2312" w:cs="仿宋_GB2312"/>
                <w:color w:val="000000"/>
                <w:lang w:bidi="ar"/>
              </w:rPr>
              <w:t>在地质遗迹保护区，违反规定进行采石、取土、开矿、放牧、及采集标本化石的，对地质遗迹造成污染和破坏的，不服从保护区管理机构管理以及从事科研活动未向管理单位提交研究成果副本的。</w:t>
            </w:r>
          </w:p>
        </w:tc>
        <w:tc>
          <w:tcPr>
            <w:tcW w:w="3402" w:type="dxa"/>
            <w:noWrap w:val="0"/>
            <w:vAlign w:val="center"/>
          </w:tcPr>
          <w:p>
            <w:pPr>
              <w:textAlignment w:val="center"/>
              <w:rPr>
                <w:rFonts w:hint="eastAsia" w:ascii="仿宋_GB2312" w:hAnsi="仿宋_GB2312" w:eastAsia="仿宋_GB2312" w:cs="仿宋_GB2312"/>
              </w:rPr>
            </w:pPr>
            <w:r>
              <w:rPr>
                <w:rFonts w:hint="eastAsia" w:ascii="仿宋_GB2312" w:hAnsi="仿宋_GB2312" w:eastAsia="仿宋_GB2312" w:cs="仿宋_GB2312"/>
                <w:color w:val="000000"/>
                <w:lang w:bidi="ar"/>
              </w:rPr>
              <w:t>《地质遗迹保护管理规定》第二十条；《中华人民共和国自然保护区条例》第三十四、三十五条。</w:t>
            </w:r>
          </w:p>
        </w:tc>
        <w:tc>
          <w:tcPr>
            <w:tcW w:w="3260" w:type="dxa"/>
            <w:noWrap w:val="0"/>
            <w:vAlign w:val="center"/>
          </w:tcPr>
          <w:p>
            <w:pPr>
              <w:textAlignment w:val="center"/>
              <w:rPr>
                <w:rFonts w:hint="eastAsia" w:ascii="仿宋_GB2312" w:hAnsi="仿宋_GB2312" w:eastAsia="仿宋_GB2312" w:cs="仿宋_GB2312"/>
              </w:rPr>
            </w:pPr>
            <w:r>
              <w:rPr>
                <w:rFonts w:hint="eastAsia" w:ascii="仿宋_GB2312" w:hAnsi="仿宋_GB2312" w:eastAsia="仿宋_GB2312" w:cs="仿宋_GB2312"/>
                <w:color w:val="000000"/>
                <w:lang w:bidi="ar"/>
              </w:rPr>
              <w:t>放牧且未对保护区造成破坏的。</w:t>
            </w:r>
          </w:p>
        </w:tc>
        <w:tc>
          <w:tcPr>
            <w:tcW w:w="1904" w:type="dxa"/>
            <w:noWrap w:val="0"/>
            <w:vAlign w:val="center"/>
          </w:tcPr>
          <w:p>
            <w:pPr>
              <w:jc w:val="center"/>
              <w:textAlignment w:val="center"/>
              <w:rPr>
                <w:rFonts w:hint="eastAsia" w:ascii="仿宋_GB2312" w:hAnsi="仿宋_GB2312" w:eastAsia="仿宋_GB2312" w:cs="仿宋_GB2312"/>
              </w:rPr>
            </w:pPr>
            <w:r>
              <w:rPr>
                <w:rFonts w:hint="eastAsia" w:ascii="仿宋_GB2312" w:hAnsi="仿宋_GB2312" w:eastAsia="仿宋_GB2312" w:cs="仿宋_GB2312"/>
              </w:rPr>
              <w:t>昆明市</w:t>
            </w:r>
            <w:r>
              <w:rPr>
                <w:rFonts w:hint="eastAsia" w:ascii="仿宋_GB2312" w:hAnsi="仿宋_GB2312" w:eastAsia="仿宋_GB2312" w:cs="仿宋_GB2312"/>
                <w:lang w:eastAsia="zh-CN"/>
              </w:rPr>
              <w:t>晋宁区自然资源局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noWrap w:val="0"/>
            <w:vAlign w:val="center"/>
          </w:tcPr>
          <w:p>
            <w:pPr>
              <w:jc w:val="center"/>
              <w:textAlignment w:val="center"/>
              <w:rPr>
                <w:rFonts w:hint="eastAsia" w:ascii="仿宋_GB2312" w:hAnsi="仿宋_GB2312" w:eastAsia="仿宋_GB2312" w:cs="仿宋_GB2312"/>
              </w:rPr>
            </w:pPr>
            <w:r>
              <w:rPr>
                <w:rFonts w:hint="eastAsia" w:ascii="仿宋_GB2312" w:hAnsi="仿宋_GB2312" w:eastAsia="仿宋_GB2312" w:cs="仿宋_GB2312"/>
                <w:color w:val="000000"/>
                <w:lang w:bidi="ar"/>
              </w:rPr>
              <w:t>30</w:t>
            </w:r>
          </w:p>
        </w:tc>
        <w:tc>
          <w:tcPr>
            <w:tcW w:w="3544" w:type="dxa"/>
            <w:noWrap w:val="0"/>
            <w:vAlign w:val="center"/>
          </w:tcPr>
          <w:p>
            <w:pPr>
              <w:textAlignment w:val="center"/>
              <w:rPr>
                <w:rFonts w:hint="eastAsia" w:ascii="仿宋_GB2312" w:hAnsi="仿宋_GB2312" w:eastAsia="仿宋_GB2312" w:cs="仿宋_GB2312"/>
              </w:rPr>
            </w:pPr>
            <w:r>
              <w:rPr>
                <w:rFonts w:hint="eastAsia" w:ascii="仿宋_GB2312" w:hAnsi="仿宋_GB2312" w:eastAsia="仿宋_GB2312" w:cs="仿宋_GB2312"/>
                <w:color w:val="000000"/>
                <w:lang w:bidi="ar"/>
              </w:rPr>
              <w:t>违反本条例规定，在自然保护区进行砍伐、放牧、狩猎、捕捞、采药、开垦、烧荒、开矿、采石、挖沙等活动的</w:t>
            </w:r>
          </w:p>
        </w:tc>
        <w:tc>
          <w:tcPr>
            <w:tcW w:w="3402" w:type="dxa"/>
            <w:noWrap w:val="0"/>
            <w:vAlign w:val="center"/>
          </w:tcPr>
          <w:p>
            <w:pPr>
              <w:textAlignment w:val="center"/>
              <w:rPr>
                <w:rFonts w:hint="eastAsia" w:ascii="仿宋_GB2312" w:hAnsi="仿宋_GB2312" w:eastAsia="仿宋_GB2312" w:cs="仿宋_GB2312"/>
              </w:rPr>
            </w:pPr>
            <w:r>
              <w:rPr>
                <w:rFonts w:hint="eastAsia" w:ascii="仿宋_GB2312" w:hAnsi="仿宋_GB2312" w:eastAsia="仿宋_GB2312" w:cs="仿宋_GB2312"/>
                <w:color w:val="000000"/>
                <w:lang w:bidi="ar"/>
              </w:rPr>
              <w:t>《中华人民共和国自然保护区条例》第三十五条</w:t>
            </w:r>
          </w:p>
        </w:tc>
        <w:tc>
          <w:tcPr>
            <w:tcW w:w="3260" w:type="dxa"/>
            <w:noWrap w:val="0"/>
            <w:vAlign w:val="center"/>
          </w:tcPr>
          <w:p>
            <w:pPr>
              <w:textAlignment w:val="center"/>
              <w:rPr>
                <w:rFonts w:hint="eastAsia" w:ascii="仿宋_GB2312" w:hAnsi="仿宋_GB2312" w:eastAsia="仿宋_GB2312" w:cs="仿宋_GB2312"/>
              </w:rPr>
            </w:pPr>
            <w:r>
              <w:rPr>
                <w:rFonts w:hint="eastAsia" w:ascii="仿宋_GB2312" w:hAnsi="仿宋_GB2312" w:eastAsia="仿宋_GB2312" w:cs="仿宋_GB2312"/>
                <w:color w:val="000000"/>
                <w:lang w:bidi="ar"/>
              </w:rPr>
              <w:t>放牧且未对保护区造成破坏的。</w:t>
            </w:r>
          </w:p>
        </w:tc>
        <w:tc>
          <w:tcPr>
            <w:tcW w:w="1904" w:type="dxa"/>
            <w:noWrap w:val="0"/>
            <w:vAlign w:val="center"/>
          </w:tcPr>
          <w:p>
            <w:pPr>
              <w:jc w:val="center"/>
              <w:textAlignment w:val="center"/>
              <w:rPr>
                <w:rFonts w:hint="eastAsia" w:ascii="仿宋_GB2312" w:hAnsi="仿宋_GB2312" w:eastAsia="仿宋_GB2312" w:cs="仿宋_GB2312"/>
              </w:rPr>
            </w:pPr>
            <w:r>
              <w:rPr>
                <w:rFonts w:hint="eastAsia" w:ascii="仿宋_GB2312" w:hAnsi="仿宋_GB2312" w:eastAsia="仿宋_GB2312" w:cs="仿宋_GB2312"/>
              </w:rPr>
              <w:t>昆明市</w:t>
            </w:r>
            <w:r>
              <w:rPr>
                <w:rFonts w:hint="eastAsia" w:ascii="仿宋_GB2312" w:hAnsi="仿宋_GB2312" w:eastAsia="仿宋_GB2312" w:cs="仿宋_GB2312"/>
                <w:lang w:eastAsia="zh-CN"/>
              </w:rPr>
              <w:t>晋宁区自然资源局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noWrap w:val="0"/>
            <w:vAlign w:val="center"/>
          </w:tcPr>
          <w:p>
            <w:pPr>
              <w:jc w:val="center"/>
              <w:textAlignment w:val="center"/>
              <w:rPr>
                <w:rFonts w:hint="eastAsia" w:ascii="仿宋_GB2312" w:hAnsi="仿宋_GB2312" w:eastAsia="仿宋_GB2312" w:cs="仿宋_GB2312"/>
              </w:rPr>
            </w:pPr>
            <w:r>
              <w:rPr>
                <w:rFonts w:hint="eastAsia" w:ascii="仿宋_GB2312" w:hAnsi="仿宋_GB2312" w:eastAsia="仿宋_GB2312" w:cs="仿宋_GB2312"/>
                <w:color w:val="000000"/>
                <w:lang w:bidi="ar"/>
              </w:rPr>
              <w:t>31</w:t>
            </w:r>
          </w:p>
        </w:tc>
        <w:tc>
          <w:tcPr>
            <w:tcW w:w="3544" w:type="dxa"/>
            <w:noWrap w:val="0"/>
            <w:vAlign w:val="center"/>
          </w:tcPr>
          <w:p>
            <w:pPr>
              <w:textAlignment w:val="center"/>
              <w:rPr>
                <w:rFonts w:hint="eastAsia" w:ascii="仿宋_GB2312" w:hAnsi="仿宋_GB2312" w:eastAsia="仿宋_GB2312" w:cs="仿宋_GB2312"/>
              </w:rPr>
            </w:pPr>
            <w:r>
              <w:rPr>
                <w:rFonts w:hint="eastAsia" w:ascii="仿宋_GB2312" w:hAnsi="仿宋_GB2312" w:eastAsia="仿宋_GB2312" w:cs="仿宋_GB2312"/>
                <w:color w:val="000000"/>
                <w:lang w:bidi="ar"/>
              </w:rPr>
              <w:t>未按照规定对地质灾害易发区内的建设工程进行地质灾害危险性评估的</w:t>
            </w:r>
          </w:p>
        </w:tc>
        <w:tc>
          <w:tcPr>
            <w:tcW w:w="3402" w:type="dxa"/>
            <w:noWrap w:val="0"/>
            <w:vAlign w:val="center"/>
          </w:tcPr>
          <w:p>
            <w:pPr>
              <w:textAlignment w:val="center"/>
              <w:rPr>
                <w:rFonts w:hint="eastAsia" w:ascii="仿宋_GB2312" w:hAnsi="仿宋_GB2312" w:eastAsia="仿宋_GB2312" w:cs="仿宋_GB2312"/>
              </w:rPr>
            </w:pPr>
            <w:r>
              <w:rPr>
                <w:rFonts w:hint="eastAsia" w:ascii="仿宋_GB2312" w:hAnsi="仿宋_GB2312" w:eastAsia="仿宋_GB2312" w:cs="仿宋_GB2312"/>
                <w:color w:val="000000"/>
                <w:lang w:bidi="ar"/>
              </w:rPr>
              <w:t>《地质灾害防治条例》第四十一条</w:t>
            </w:r>
          </w:p>
        </w:tc>
        <w:tc>
          <w:tcPr>
            <w:tcW w:w="3260" w:type="dxa"/>
            <w:noWrap w:val="0"/>
            <w:vAlign w:val="center"/>
          </w:tcPr>
          <w:p>
            <w:pPr>
              <w:textAlignment w:val="center"/>
              <w:rPr>
                <w:rFonts w:hint="eastAsia" w:ascii="仿宋_GB2312" w:hAnsi="仿宋_GB2312" w:eastAsia="仿宋_GB2312" w:cs="仿宋_GB2312"/>
              </w:rPr>
            </w:pPr>
            <w:r>
              <w:rPr>
                <w:rFonts w:hint="eastAsia" w:ascii="仿宋_GB2312" w:hAnsi="仿宋_GB2312" w:eastAsia="仿宋_GB2312" w:cs="仿宋_GB2312"/>
                <w:color w:val="000000"/>
                <w:lang w:bidi="ar"/>
              </w:rPr>
              <w:t>未按照规定对地质灾害易发区内的建设工程进行地质灾害危险性评估的，经发现后改正的。</w:t>
            </w:r>
          </w:p>
        </w:tc>
        <w:tc>
          <w:tcPr>
            <w:tcW w:w="1904" w:type="dxa"/>
            <w:noWrap w:val="0"/>
            <w:vAlign w:val="center"/>
          </w:tcPr>
          <w:p>
            <w:pPr>
              <w:jc w:val="center"/>
              <w:textAlignment w:val="center"/>
              <w:rPr>
                <w:rFonts w:hint="eastAsia" w:ascii="仿宋_GB2312" w:hAnsi="仿宋_GB2312" w:eastAsia="仿宋_GB2312" w:cs="仿宋_GB2312"/>
              </w:rPr>
            </w:pPr>
            <w:r>
              <w:rPr>
                <w:rFonts w:hint="eastAsia" w:ascii="仿宋_GB2312" w:hAnsi="仿宋_GB2312" w:eastAsia="仿宋_GB2312" w:cs="仿宋_GB2312"/>
              </w:rPr>
              <w:t>昆明市</w:t>
            </w:r>
            <w:r>
              <w:rPr>
                <w:rFonts w:hint="eastAsia" w:ascii="仿宋_GB2312" w:hAnsi="仿宋_GB2312" w:eastAsia="仿宋_GB2312" w:cs="仿宋_GB2312"/>
                <w:lang w:eastAsia="zh-CN"/>
              </w:rPr>
              <w:t>晋宁区自然资源局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noWrap w:val="0"/>
            <w:vAlign w:val="center"/>
          </w:tcPr>
          <w:p>
            <w:pPr>
              <w:jc w:val="center"/>
              <w:textAlignment w:val="center"/>
              <w:rPr>
                <w:rFonts w:hint="eastAsia" w:ascii="仿宋_GB2312" w:hAnsi="仿宋_GB2312" w:eastAsia="仿宋_GB2312" w:cs="仿宋_GB2312"/>
              </w:rPr>
            </w:pPr>
            <w:r>
              <w:rPr>
                <w:rFonts w:hint="eastAsia" w:ascii="仿宋_GB2312" w:hAnsi="仿宋_GB2312" w:eastAsia="仿宋_GB2312" w:cs="仿宋_GB2312"/>
                <w:color w:val="000000"/>
                <w:lang w:bidi="ar"/>
              </w:rPr>
              <w:t>32</w:t>
            </w:r>
          </w:p>
        </w:tc>
        <w:tc>
          <w:tcPr>
            <w:tcW w:w="3544" w:type="dxa"/>
            <w:noWrap w:val="0"/>
            <w:vAlign w:val="center"/>
          </w:tcPr>
          <w:p>
            <w:pPr>
              <w:textAlignment w:val="center"/>
              <w:rPr>
                <w:rFonts w:hint="eastAsia" w:ascii="仿宋_GB2312" w:hAnsi="仿宋_GB2312" w:eastAsia="仿宋_GB2312" w:cs="仿宋_GB2312"/>
              </w:rPr>
            </w:pPr>
            <w:r>
              <w:rPr>
                <w:rFonts w:hint="eastAsia" w:ascii="仿宋_GB2312" w:hAnsi="仿宋_GB2312" w:eastAsia="仿宋_GB2312" w:cs="仿宋_GB2312"/>
                <w:color w:val="000000"/>
                <w:lang w:bidi="ar"/>
              </w:rPr>
              <w:t>配套的地质灾害治理工程未经验收或者经验收不合格，主体工程即投入生产或者使用的</w:t>
            </w:r>
          </w:p>
        </w:tc>
        <w:tc>
          <w:tcPr>
            <w:tcW w:w="3402" w:type="dxa"/>
            <w:noWrap w:val="0"/>
            <w:vAlign w:val="center"/>
          </w:tcPr>
          <w:p>
            <w:pPr>
              <w:textAlignment w:val="center"/>
              <w:rPr>
                <w:rFonts w:hint="eastAsia" w:ascii="仿宋_GB2312" w:hAnsi="仿宋_GB2312" w:eastAsia="仿宋_GB2312" w:cs="仿宋_GB2312"/>
              </w:rPr>
            </w:pPr>
            <w:r>
              <w:rPr>
                <w:rFonts w:hint="eastAsia" w:ascii="仿宋_GB2312" w:hAnsi="仿宋_GB2312" w:eastAsia="仿宋_GB2312" w:cs="仿宋_GB2312"/>
                <w:color w:val="000000"/>
                <w:lang w:bidi="ar"/>
              </w:rPr>
              <w:t>《地质灾害防治条例》第四十一条</w:t>
            </w:r>
          </w:p>
        </w:tc>
        <w:tc>
          <w:tcPr>
            <w:tcW w:w="3260" w:type="dxa"/>
            <w:noWrap w:val="0"/>
            <w:vAlign w:val="center"/>
          </w:tcPr>
          <w:p>
            <w:pPr>
              <w:textAlignment w:val="center"/>
              <w:rPr>
                <w:rFonts w:hint="eastAsia" w:ascii="仿宋_GB2312" w:hAnsi="仿宋_GB2312" w:eastAsia="仿宋_GB2312" w:cs="仿宋_GB2312"/>
              </w:rPr>
            </w:pPr>
            <w:r>
              <w:rPr>
                <w:rFonts w:hint="eastAsia" w:ascii="仿宋_GB2312" w:hAnsi="仿宋_GB2312" w:eastAsia="仿宋_GB2312" w:cs="仿宋_GB2312"/>
                <w:color w:val="000000"/>
                <w:lang w:bidi="ar"/>
              </w:rPr>
              <w:t>配套的地质灾害治理工程未经验收或者经验收不合格，主体工程即投入生产或者使用，经发现后改正的。</w:t>
            </w:r>
          </w:p>
        </w:tc>
        <w:tc>
          <w:tcPr>
            <w:tcW w:w="1904" w:type="dxa"/>
            <w:noWrap w:val="0"/>
            <w:vAlign w:val="center"/>
          </w:tcPr>
          <w:p>
            <w:pPr>
              <w:jc w:val="center"/>
              <w:textAlignment w:val="center"/>
              <w:rPr>
                <w:rFonts w:hint="eastAsia" w:ascii="仿宋_GB2312" w:hAnsi="仿宋_GB2312" w:eastAsia="仿宋_GB2312" w:cs="仿宋_GB2312"/>
              </w:rPr>
            </w:pPr>
            <w:r>
              <w:rPr>
                <w:rFonts w:hint="eastAsia" w:ascii="仿宋_GB2312" w:hAnsi="仿宋_GB2312" w:eastAsia="仿宋_GB2312" w:cs="仿宋_GB2312"/>
              </w:rPr>
              <w:t>昆明市</w:t>
            </w:r>
            <w:r>
              <w:rPr>
                <w:rFonts w:hint="eastAsia" w:ascii="仿宋_GB2312" w:hAnsi="仿宋_GB2312" w:eastAsia="仿宋_GB2312" w:cs="仿宋_GB2312"/>
                <w:lang w:eastAsia="zh-CN"/>
              </w:rPr>
              <w:t>晋宁区自然资源局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noWrap w:val="0"/>
            <w:vAlign w:val="center"/>
          </w:tcPr>
          <w:p>
            <w:pPr>
              <w:jc w:val="cente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33</w:t>
            </w:r>
          </w:p>
        </w:tc>
        <w:tc>
          <w:tcPr>
            <w:tcW w:w="3544"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对工程建设等人为活动引发的地质灾害不予治理的</w:t>
            </w:r>
          </w:p>
        </w:tc>
        <w:tc>
          <w:tcPr>
            <w:tcW w:w="3402"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《地质灾害防治条例》第四十二条</w:t>
            </w:r>
          </w:p>
        </w:tc>
        <w:tc>
          <w:tcPr>
            <w:tcW w:w="3260"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对工程建设等人为活动引发的地质灾害不予治理，经发现后予以治理的。</w:t>
            </w:r>
          </w:p>
        </w:tc>
        <w:tc>
          <w:tcPr>
            <w:tcW w:w="1904" w:type="dxa"/>
            <w:noWrap w:val="0"/>
            <w:vAlign w:val="center"/>
          </w:tcPr>
          <w:p>
            <w:pPr>
              <w:jc w:val="cente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rPr>
              <w:t>昆明市</w:t>
            </w:r>
            <w:r>
              <w:rPr>
                <w:rFonts w:hint="eastAsia" w:ascii="仿宋_GB2312" w:hAnsi="仿宋_GB2312" w:eastAsia="仿宋_GB2312" w:cs="仿宋_GB2312"/>
                <w:lang w:eastAsia="zh-CN"/>
              </w:rPr>
              <w:t>晋宁区自然资源局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838" w:type="dxa"/>
            <w:noWrap w:val="0"/>
            <w:vAlign w:val="center"/>
          </w:tcPr>
          <w:p>
            <w:pPr>
              <w:jc w:val="cente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34</w:t>
            </w:r>
          </w:p>
        </w:tc>
        <w:tc>
          <w:tcPr>
            <w:tcW w:w="3544"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侵占、损毁、损坏地质灾害监测设施或者地质灾害治理工程设施的</w:t>
            </w:r>
          </w:p>
        </w:tc>
        <w:tc>
          <w:tcPr>
            <w:tcW w:w="3402"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《地质灾害防治条例》第四十六条</w:t>
            </w:r>
          </w:p>
        </w:tc>
        <w:tc>
          <w:tcPr>
            <w:tcW w:w="3260"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侵占设施，及时自行改正或者经发现后及时改正的。</w:t>
            </w:r>
          </w:p>
        </w:tc>
        <w:tc>
          <w:tcPr>
            <w:tcW w:w="1904" w:type="dxa"/>
            <w:noWrap w:val="0"/>
            <w:vAlign w:val="center"/>
          </w:tcPr>
          <w:p>
            <w:pPr>
              <w:jc w:val="cente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rPr>
              <w:t>昆明市</w:t>
            </w:r>
            <w:r>
              <w:rPr>
                <w:rFonts w:hint="eastAsia" w:ascii="仿宋_GB2312" w:hAnsi="仿宋_GB2312" w:eastAsia="仿宋_GB2312" w:cs="仿宋_GB2312"/>
                <w:lang w:eastAsia="zh-CN"/>
              </w:rPr>
              <w:t>晋宁区自然资源局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noWrap w:val="0"/>
            <w:vAlign w:val="center"/>
          </w:tcPr>
          <w:p>
            <w:pPr>
              <w:jc w:val="cente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35</w:t>
            </w:r>
          </w:p>
        </w:tc>
        <w:tc>
          <w:tcPr>
            <w:tcW w:w="3544"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地质灾害治理工程监理单位不按照规定及时办理资质证书变更、注销手续的</w:t>
            </w:r>
          </w:p>
        </w:tc>
        <w:tc>
          <w:tcPr>
            <w:tcW w:w="3402"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《地质灾害治理工程监理单位资质管理办法》第二十六条</w:t>
            </w:r>
          </w:p>
        </w:tc>
        <w:tc>
          <w:tcPr>
            <w:tcW w:w="3260"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地质灾害治理工程监理单位不按照规定及时办理资质证书变更、注销手续的。</w:t>
            </w:r>
          </w:p>
        </w:tc>
        <w:tc>
          <w:tcPr>
            <w:tcW w:w="1904" w:type="dxa"/>
            <w:noWrap w:val="0"/>
            <w:vAlign w:val="center"/>
          </w:tcPr>
          <w:p>
            <w:pPr>
              <w:jc w:val="cente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rPr>
              <w:t>昆明市</w:t>
            </w:r>
            <w:r>
              <w:rPr>
                <w:rFonts w:hint="eastAsia" w:ascii="仿宋_GB2312" w:hAnsi="仿宋_GB2312" w:eastAsia="仿宋_GB2312" w:cs="仿宋_GB2312"/>
                <w:lang w:eastAsia="zh-CN"/>
              </w:rPr>
              <w:t>晋宁区自然资源局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noWrap w:val="0"/>
            <w:vAlign w:val="center"/>
          </w:tcPr>
          <w:p>
            <w:pPr>
              <w:jc w:val="cente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36</w:t>
            </w:r>
          </w:p>
        </w:tc>
        <w:tc>
          <w:tcPr>
            <w:tcW w:w="3544"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地质灾害治理工程监理单位不按照规定进行备案的</w:t>
            </w:r>
          </w:p>
        </w:tc>
        <w:tc>
          <w:tcPr>
            <w:tcW w:w="3402"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《地质灾害治理工程监理单位资质管理办法》第二十七条</w:t>
            </w:r>
          </w:p>
        </w:tc>
        <w:tc>
          <w:tcPr>
            <w:tcW w:w="3260"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地质灾害治理工程监理单位不按照规定进行备案的。</w:t>
            </w:r>
          </w:p>
        </w:tc>
        <w:tc>
          <w:tcPr>
            <w:tcW w:w="1904" w:type="dxa"/>
            <w:noWrap w:val="0"/>
            <w:vAlign w:val="center"/>
          </w:tcPr>
          <w:p>
            <w:pPr>
              <w:jc w:val="cente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rPr>
              <w:t>昆明市</w:t>
            </w:r>
            <w:r>
              <w:rPr>
                <w:rFonts w:hint="eastAsia" w:ascii="仿宋_GB2312" w:hAnsi="仿宋_GB2312" w:eastAsia="仿宋_GB2312" w:cs="仿宋_GB2312"/>
                <w:lang w:eastAsia="zh-CN"/>
              </w:rPr>
              <w:t>晋宁区自然资源局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noWrap w:val="0"/>
            <w:vAlign w:val="center"/>
          </w:tcPr>
          <w:p>
            <w:pPr>
              <w:jc w:val="cente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37</w:t>
            </w:r>
          </w:p>
        </w:tc>
        <w:tc>
          <w:tcPr>
            <w:tcW w:w="3544"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地质灾害治理工程勘察设计施工单位不按照规定及时办理资质证书变更、注销手续的</w:t>
            </w:r>
          </w:p>
        </w:tc>
        <w:tc>
          <w:tcPr>
            <w:tcW w:w="3402"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《地质灾害治理工程勘察设计施工单位资质管理办法》第二十八条</w:t>
            </w:r>
          </w:p>
        </w:tc>
        <w:tc>
          <w:tcPr>
            <w:tcW w:w="3260"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不按照规定及时办理资质证书变更、注销手续的。</w:t>
            </w:r>
          </w:p>
        </w:tc>
        <w:tc>
          <w:tcPr>
            <w:tcW w:w="1904" w:type="dxa"/>
            <w:noWrap w:val="0"/>
            <w:vAlign w:val="center"/>
          </w:tcPr>
          <w:p>
            <w:pPr>
              <w:jc w:val="cente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rPr>
              <w:t>昆明市</w:t>
            </w:r>
            <w:r>
              <w:rPr>
                <w:rFonts w:hint="eastAsia" w:ascii="仿宋_GB2312" w:hAnsi="仿宋_GB2312" w:eastAsia="仿宋_GB2312" w:cs="仿宋_GB2312"/>
                <w:lang w:eastAsia="zh-CN"/>
              </w:rPr>
              <w:t>晋宁区自然资源局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noWrap w:val="0"/>
            <w:vAlign w:val="center"/>
          </w:tcPr>
          <w:p>
            <w:pPr>
              <w:jc w:val="cente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38</w:t>
            </w:r>
          </w:p>
        </w:tc>
        <w:tc>
          <w:tcPr>
            <w:tcW w:w="3544"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地质灾害治理工程勘察设计施工单位不按照规定进行备案的</w:t>
            </w:r>
          </w:p>
        </w:tc>
        <w:tc>
          <w:tcPr>
            <w:tcW w:w="3402"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《地质灾害治理工程勘察设计施工单位资质管理办法》第二十九条</w:t>
            </w:r>
          </w:p>
        </w:tc>
        <w:tc>
          <w:tcPr>
            <w:tcW w:w="3260"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不按照规定进行备案的。</w:t>
            </w:r>
          </w:p>
        </w:tc>
        <w:tc>
          <w:tcPr>
            <w:tcW w:w="1904" w:type="dxa"/>
            <w:noWrap w:val="0"/>
            <w:vAlign w:val="center"/>
          </w:tcPr>
          <w:p>
            <w:pPr>
              <w:jc w:val="cente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rPr>
              <w:t>昆明市</w:t>
            </w:r>
            <w:r>
              <w:rPr>
                <w:rFonts w:hint="eastAsia" w:ascii="仿宋_GB2312" w:hAnsi="仿宋_GB2312" w:eastAsia="仿宋_GB2312" w:cs="仿宋_GB2312"/>
                <w:lang w:eastAsia="zh-CN"/>
              </w:rPr>
              <w:t>晋宁区自然资源局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noWrap w:val="0"/>
            <w:vAlign w:val="center"/>
          </w:tcPr>
          <w:p>
            <w:pPr>
              <w:jc w:val="cente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39</w:t>
            </w:r>
          </w:p>
        </w:tc>
        <w:tc>
          <w:tcPr>
            <w:tcW w:w="3544"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地质灾害危险性评估单位不及时办理资质证书变更、注销手续的</w:t>
            </w:r>
          </w:p>
        </w:tc>
        <w:tc>
          <w:tcPr>
            <w:tcW w:w="3402"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《地质灾害危险性评估单位资质管理办法》第二十九条</w:t>
            </w:r>
          </w:p>
        </w:tc>
        <w:tc>
          <w:tcPr>
            <w:tcW w:w="3260"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不及时办理资质证书变更、注销手续的。</w:t>
            </w:r>
          </w:p>
        </w:tc>
        <w:tc>
          <w:tcPr>
            <w:tcW w:w="1904" w:type="dxa"/>
            <w:noWrap w:val="0"/>
            <w:vAlign w:val="center"/>
          </w:tcPr>
          <w:p>
            <w:pPr>
              <w:jc w:val="cente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rPr>
              <w:t>昆明市</w:t>
            </w:r>
            <w:r>
              <w:rPr>
                <w:rFonts w:hint="eastAsia" w:ascii="仿宋_GB2312" w:hAnsi="仿宋_GB2312" w:eastAsia="仿宋_GB2312" w:cs="仿宋_GB2312"/>
                <w:lang w:eastAsia="zh-CN"/>
              </w:rPr>
              <w:t>晋宁区自然资源局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noWrap w:val="0"/>
            <w:vAlign w:val="center"/>
          </w:tcPr>
          <w:p>
            <w:pPr>
              <w:jc w:val="cente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40</w:t>
            </w:r>
          </w:p>
        </w:tc>
        <w:tc>
          <w:tcPr>
            <w:tcW w:w="3544"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地质灾害危险性评估单位不按时进行资质和项目备案的</w:t>
            </w:r>
          </w:p>
        </w:tc>
        <w:tc>
          <w:tcPr>
            <w:tcW w:w="3402"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《地质灾害危险性评估单位资质管理办法》第三十条</w:t>
            </w:r>
          </w:p>
        </w:tc>
        <w:tc>
          <w:tcPr>
            <w:tcW w:w="3260"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不按时进行资质和项目备案的。</w:t>
            </w:r>
          </w:p>
        </w:tc>
        <w:tc>
          <w:tcPr>
            <w:tcW w:w="1904" w:type="dxa"/>
            <w:noWrap w:val="0"/>
            <w:vAlign w:val="center"/>
          </w:tcPr>
          <w:p>
            <w:pPr>
              <w:jc w:val="cente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rPr>
              <w:t>昆明市</w:t>
            </w:r>
            <w:r>
              <w:rPr>
                <w:rFonts w:hint="eastAsia" w:ascii="仿宋_GB2312" w:hAnsi="仿宋_GB2312" w:eastAsia="仿宋_GB2312" w:cs="仿宋_GB2312"/>
                <w:lang w:eastAsia="zh-CN"/>
              </w:rPr>
              <w:t>晋宁区自然资源局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noWrap w:val="0"/>
            <w:vAlign w:val="center"/>
          </w:tcPr>
          <w:p>
            <w:pPr>
              <w:jc w:val="cente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41</w:t>
            </w:r>
          </w:p>
        </w:tc>
        <w:tc>
          <w:tcPr>
            <w:tcW w:w="3544"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勘查、开采矿产资源时，矿山地质环境保护设施未与矿山建设工程同时设计、同时施工、同时投入使用的</w:t>
            </w:r>
          </w:p>
        </w:tc>
        <w:tc>
          <w:tcPr>
            <w:tcW w:w="3402"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《云南省地质环境保护条例》第十八条</w:t>
            </w:r>
          </w:p>
        </w:tc>
        <w:tc>
          <w:tcPr>
            <w:tcW w:w="3260"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矿山地质环境保护设施未与矿山建设工程同时设计、同时施工、同时投入使用的。</w:t>
            </w:r>
          </w:p>
        </w:tc>
        <w:tc>
          <w:tcPr>
            <w:tcW w:w="1904" w:type="dxa"/>
            <w:noWrap w:val="0"/>
            <w:vAlign w:val="center"/>
          </w:tcPr>
          <w:p>
            <w:pPr>
              <w:jc w:val="cente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rPr>
              <w:t>昆明市</w:t>
            </w:r>
            <w:r>
              <w:rPr>
                <w:rFonts w:hint="eastAsia" w:ascii="仿宋_GB2312" w:hAnsi="仿宋_GB2312" w:eastAsia="仿宋_GB2312" w:cs="仿宋_GB2312"/>
                <w:lang w:eastAsia="zh-CN"/>
              </w:rPr>
              <w:t>晋宁区自然资源局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noWrap w:val="0"/>
            <w:vAlign w:val="center"/>
          </w:tcPr>
          <w:p>
            <w:pPr>
              <w:jc w:val="cente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42</w:t>
            </w:r>
          </w:p>
        </w:tc>
        <w:tc>
          <w:tcPr>
            <w:tcW w:w="3544"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对造成地质环境破坏不进行恢复或者治理的</w:t>
            </w:r>
          </w:p>
        </w:tc>
        <w:tc>
          <w:tcPr>
            <w:tcW w:w="3402"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《云南省地质环境保护条例》第十九条</w:t>
            </w:r>
          </w:p>
        </w:tc>
        <w:tc>
          <w:tcPr>
            <w:tcW w:w="3260"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对造成地质环境破坏不进行恢复或者治理的。</w:t>
            </w:r>
          </w:p>
        </w:tc>
        <w:tc>
          <w:tcPr>
            <w:tcW w:w="1904" w:type="dxa"/>
            <w:noWrap w:val="0"/>
            <w:vAlign w:val="center"/>
          </w:tcPr>
          <w:p>
            <w:pPr>
              <w:jc w:val="cente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rPr>
              <w:t>昆明市</w:t>
            </w:r>
            <w:r>
              <w:rPr>
                <w:rFonts w:hint="eastAsia" w:ascii="仿宋_GB2312" w:hAnsi="仿宋_GB2312" w:eastAsia="仿宋_GB2312" w:cs="仿宋_GB2312"/>
                <w:lang w:eastAsia="zh-CN"/>
              </w:rPr>
              <w:t>晋宁区自然资源局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noWrap w:val="0"/>
            <w:vAlign w:val="center"/>
          </w:tcPr>
          <w:p>
            <w:pPr>
              <w:jc w:val="cente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43</w:t>
            </w:r>
          </w:p>
        </w:tc>
        <w:tc>
          <w:tcPr>
            <w:tcW w:w="3544"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拒报或者谎报地质环境监测资的</w:t>
            </w:r>
          </w:p>
        </w:tc>
        <w:tc>
          <w:tcPr>
            <w:tcW w:w="3402"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《云南省地质环境保护条例》第二十条</w:t>
            </w:r>
          </w:p>
        </w:tc>
        <w:tc>
          <w:tcPr>
            <w:tcW w:w="3260"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拒报或者谎报地质环境监测资的。</w:t>
            </w:r>
          </w:p>
        </w:tc>
        <w:tc>
          <w:tcPr>
            <w:tcW w:w="1904" w:type="dxa"/>
            <w:noWrap w:val="0"/>
            <w:vAlign w:val="center"/>
          </w:tcPr>
          <w:p>
            <w:pPr>
              <w:jc w:val="cente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rPr>
              <w:t>昆明市</w:t>
            </w:r>
            <w:r>
              <w:rPr>
                <w:rFonts w:hint="eastAsia" w:ascii="仿宋_GB2312" w:hAnsi="仿宋_GB2312" w:eastAsia="仿宋_GB2312" w:cs="仿宋_GB2312"/>
                <w:lang w:eastAsia="zh-CN"/>
              </w:rPr>
              <w:t>晋宁区自然资源局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noWrap w:val="0"/>
            <w:vAlign w:val="center"/>
          </w:tcPr>
          <w:p>
            <w:pPr>
              <w:jc w:val="cente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44</w:t>
            </w:r>
          </w:p>
        </w:tc>
        <w:tc>
          <w:tcPr>
            <w:tcW w:w="3544"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侵占、毁损地质环境监测、保护设备和设施的行为</w:t>
            </w:r>
          </w:p>
        </w:tc>
        <w:tc>
          <w:tcPr>
            <w:tcW w:w="3402"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《云南省地质环境保护条例》第二十一条</w:t>
            </w:r>
          </w:p>
        </w:tc>
        <w:tc>
          <w:tcPr>
            <w:tcW w:w="3260" w:type="dxa"/>
            <w:noWrap w:val="0"/>
            <w:vAlign w:val="center"/>
          </w:tcPr>
          <w:p>
            <w:pPr>
              <w:textAlignment w:val="center"/>
              <w:rPr>
                <w:rFonts w:hint="eastAsia" w:ascii="仿宋_GB2312" w:hAnsi="仿宋_GB2312" w:eastAsia="仿宋_GB2312" w:cs="仿宋_GB2312"/>
                <w:color w:val="000000"/>
                <w:lang w:bidi="ar"/>
              </w:rPr>
            </w:pPr>
            <w:r>
              <w:rPr>
                <w:rStyle w:val="16"/>
                <w:rFonts w:hint="eastAsia" w:ascii="仿宋_GB2312" w:hAnsi="仿宋_GB2312" w:eastAsia="仿宋_GB2312" w:cs="仿宋_GB2312"/>
                <w:lang w:bidi="ar"/>
              </w:rPr>
              <w:t>侵占设施，及时自行改正的。</w:t>
            </w:r>
          </w:p>
        </w:tc>
        <w:tc>
          <w:tcPr>
            <w:tcW w:w="1904" w:type="dxa"/>
            <w:noWrap w:val="0"/>
            <w:vAlign w:val="center"/>
          </w:tcPr>
          <w:p>
            <w:pPr>
              <w:jc w:val="cente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rPr>
              <w:t>昆明市</w:t>
            </w:r>
            <w:r>
              <w:rPr>
                <w:rFonts w:hint="eastAsia" w:ascii="仿宋_GB2312" w:hAnsi="仿宋_GB2312" w:eastAsia="仿宋_GB2312" w:cs="仿宋_GB2312"/>
                <w:lang w:eastAsia="zh-CN"/>
              </w:rPr>
              <w:t>晋宁区自然资源局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noWrap w:val="0"/>
            <w:vAlign w:val="center"/>
          </w:tcPr>
          <w:p>
            <w:pPr>
              <w:jc w:val="cente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45</w:t>
            </w:r>
          </w:p>
        </w:tc>
        <w:tc>
          <w:tcPr>
            <w:tcW w:w="3544"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未经批准，擅自建立相对独立的平面坐标系统或者采用不符合国家标准的基础地理信息数据建立地理信息系统的</w:t>
            </w:r>
          </w:p>
        </w:tc>
        <w:tc>
          <w:tcPr>
            <w:tcW w:w="3402"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《中华人民共和国测绘法》第五十二条</w:t>
            </w:r>
          </w:p>
        </w:tc>
        <w:tc>
          <w:tcPr>
            <w:tcW w:w="3260"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擅自建立相对独立的平面坐标系统覆盖面积小于区（县）行政区域的。</w:t>
            </w:r>
          </w:p>
        </w:tc>
        <w:tc>
          <w:tcPr>
            <w:tcW w:w="1904" w:type="dxa"/>
            <w:noWrap w:val="0"/>
            <w:vAlign w:val="center"/>
          </w:tcPr>
          <w:p>
            <w:pPr>
              <w:jc w:val="cente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rPr>
              <w:t>昆明市</w:t>
            </w:r>
            <w:r>
              <w:rPr>
                <w:rFonts w:hint="eastAsia" w:ascii="仿宋_GB2312" w:hAnsi="仿宋_GB2312" w:eastAsia="仿宋_GB2312" w:cs="仿宋_GB2312"/>
                <w:lang w:eastAsia="zh-CN"/>
              </w:rPr>
              <w:t>晋宁区自然资源局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noWrap w:val="0"/>
            <w:vAlign w:val="center"/>
          </w:tcPr>
          <w:p>
            <w:pPr>
              <w:jc w:val="cente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46</w:t>
            </w:r>
          </w:p>
        </w:tc>
        <w:tc>
          <w:tcPr>
            <w:tcW w:w="3544"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不汇交测绘成果资料的</w:t>
            </w:r>
          </w:p>
        </w:tc>
        <w:tc>
          <w:tcPr>
            <w:tcW w:w="3402"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《中华人民共和国测绘法》第六十条</w:t>
            </w:r>
          </w:p>
        </w:tc>
        <w:tc>
          <w:tcPr>
            <w:tcW w:w="3260"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不汇交测绘成果资料的，经提醒后在一定期限内汇交的。</w:t>
            </w:r>
          </w:p>
        </w:tc>
        <w:tc>
          <w:tcPr>
            <w:tcW w:w="1904" w:type="dxa"/>
            <w:noWrap w:val="0"/>
            <w:vAlign w:val="center"/>
          </w:tcPr>
          <w:p>
            <w:pPr>
              <w:jc w:val="cente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rPr>
              <w:t>昆明市</w:t>
            </w:r>
            <w:r>
              <w:rPr>
                <w:rFonts w:hint="eastAsia" w:ascii="仿宋_GB2312" w:hAnsi="仿宋_GB2312" w:eastAsia="仿宋_GB2312" w:cs="仿宋_GB2312"/>
                <w:lang w:eastAsia="zh-CN"/>
              </w:rPr>
              <w:t>晋宁区自然资源局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noWrap w:val="0"/>
            <w:vAlign w:val="center"/>
          </w:tcPr>
          <w:p>
            <w:pPr>
              <w:jc w:val="cente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47</w:t>
            </w:r>
          </w:p>
        </w:tc>
        <w:tc>
          <w:tcPr>
            <w:tcW w:w="3544"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在对社会公众有影响的活动中使用未经依法公布的重要地理信息数据的</w:t>
            </w:r>
          </w:p>
        </w:tc>
        <w:tc>
          <w:tcPr>
            <w:tcW w:w="3402"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《中华人民共和国测绘成果管理条例》（国务院令第469号）第二十九条</w:t>
            </w:r>
          </w:p>
        </w:tc>
        <w:tc>
          <w:tcPr>
            <w:tcW w:w="3260"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初次违法，且不涉及国家秘密的。</w:t>
            </w:r>
          </w:p>
        </w:tc>
        <w:tc>
          <w:tcPr>
            <w:tcW w:w="1904" w:type="dxa"/>
            <w:noWrap w:val="0"/>
            <w:vAlign w:val="center"/>
          </w:tcPr>
          <w:p>
            <w:pPr>
              <w:jc w:val="cente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rPr>
              <w:t>昆明市</w:t>
            </w:r>
            <w:r>
              <w:rPr>
                <w:rFonts w:hint="eastAsia" w:ascii="仿宋_GB2312" w:hAnsi="仿宋_GB2312" w:eastAsia="仿宋_GB2312" w:cs="仿宋_GB2312"/>
                <w:lang w:eastAsia="zh-CN"/>
              </w:rPr>
              <w:t>晋宁区自然资源局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noWrap w:val="0"/>
            <w:vAlign w:val="center"/>
          </w:tcPr>
          <w:p>
            <w:pPr>
              <w:jc w:val="cente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48</w:t>
            </w:r>
          </w:p>
        </w:tc>
        <w:tc>
          <w:tcPr>
            <w:tcW w:w="3544"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未取得测绘执业资格，擅自从事测绘活动的</w:t>
            </w:r>
          </w:p>
        </w:tc>
        <w:tc>
          <w:tcPr>
            <w:tcW w:w="3402"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《中华人民共和国测绘法》第五十九条</w:t>
            </w:r>
          </w:p>
        </w:tc>
        <w:tc>
          <w:tcPr>
            <w:tcW w:w="3260"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违法所得在1000元以下的。</w:t>
            </w:r>
          </w:p>
        </w:tc>
        <w:tc>
          <w:tcPr>
            <w:tcW w:w="1904" w:type="dxa"/>
            <w:noWrap w:val="0"/>
            <w:vAlign w:val="center"/>
          </w:tcPr>
          <w:p>
            <w:pPr>
              <w:jc w:val="cente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rPr>
              <w:t>昆明市</w:t>
            </w:r>
            <w:r>
              <w:rPr>
                <w:rFonts w:hint="eastAsia" w:ascii="仿宋_GB2312" w:hAnsi="仿宋_GB2312" w:eastAsia="仿宋_GB2312" w:cs="仿宋_GB2312"/>
                <w:lang w:eastAsia="zh-CN"/>
              </w:rPr>
              <w:t>晋宁区自然资源局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noWrap w:val="0"/>
            <w:vAlign w:val="center"/>
          </w:tcPr>
          <w:p>
            <w:pPr>
              <w:jc w:val="cente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49</w:t>
            </w:r>
          </w:p>
        </w:tc>
        <w:tc>
          <w:tcPr>
            <w:tcW w:w="3544"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对擅自发布中华人民共和国领域和中华人民共和国管辖的其他海域的重要地理信息数据的</w:t>
            </w:r>
          </w:p>
        </w:tc>
        <w:tc>
          <w:tcPr>
            <w:tcW w:w="3402"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《中华人民共和国测绘法》第六十一条</w:t>
            </w:r>
          </w:p>
        </w:tc>
        <w:tc>
          <w:tcPr>
            <w:tcW w:w="3260"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不涉及国家秘密，自行及时纠正的。</w:t>
            </w:r>
          </w:p>
        </w:tc>
        <w:tc>
          <w:tcPr>
            <w:tcW w:w="1904" w:type="dxa"/>
            <w:noWrap w:val="0"/>
            <w:vAlign w:val="center"/>
          </w:tcPr>
          <w:p>
            <w:pPr>
              <w:jc w:val="cente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rPr>
              <w:t>昆明市</w:t>
            </w:r>
            <w:r>
              <w:rPr>
                <w:rFonts w:hint="eastAsia" w:ascii="仿宋_GB2312" w:hAnsi="仿宋_GB2312" w:eastAsia="仿宋_GB2312" w:cs="仿宋_GB2312"/>
                <w:lang w:eastAsia="zh-CN"/>
              </w:rPr>
              <w:t>晋宁区自然资源局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noWrap w:val="0"/>
            <w:vAlign w:val="center"/>
          </w:tcPr>
          <w:p>
            <w:pPr>
              <w:jc w:val="cente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50</w:t>
            </w:r>
          </w:p>
        </w:tc>
        <w:tc>
          <w:tcPr>
            <w:tcW w:w="3544"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损毁、擅自移动永久性测量标志或者正在使用中的临时性测量标志的</w:t>
            </w:r>
          </w:p>
        </w:tc>
        <w:tc>
          <w:tcPr>
            <w:tcW w:w="3402"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《中华人民共和国测绘法》第六十四条</w:t>
            </w:r>
          </w:p>
        </w:tc>
        <w:tc>
          <w:tcPr>
            <w:tcW w:w="3260"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损毁、擅自移动正在使用的临时性测量标志，尚能修复的。</w:t>
            </w:r>
          </w:p>
        </w:tc>
        <w:tc>
          <w:tcPr>
            <w:tcW w:w="1904" w:type="dxa"/>
            <w:noWrap w:val="0"/>
            <w:vAlign w:val="center"/>
          </w:tcPr>
          <w:p>
            <w:pPr>
              <w:jc w:val="cente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rPr>
              <w:t>昆明市</w:t>
            </w:r>
            <w:r>
              <w:rPr>
                <w:rFonts w:hint="eastAsia" w:ascii="仿宋_GB2312" w:hAnsi="仿宋_GB2312" w:eastAsia="仿宋_GB2312" w:cs="仿宋_GB2312"/>
                <w:lang w:eastAsia="zh-CN"/>
              </w:rPr>
              <w:t>晋宁区自然资源局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noWrap w:val="0"/>
            <w:vAlign w:val="center"/>
          </w:tcPr>
          <w:p>
            <w:pPr>
              <w:jc w:val="center"/>
              <w:textAlignment w:val="center"/>
              <w:rPr>
                <w:rFonts w:hint="eastAsia" w:ascii="仿宋_GB2312" w:hAnsi="仿宋_GB2312" w:eastAsia="仿宋_GB2312" w:cs="仿宋_GB2312"/>
                <w:color w:val="000000"/>
                <w:highlight w:val="none"/>
                <w:lang w:bidi="ar"/>
              </w:rPr>
            </w:pPr>
            <w:r>
              <w:rPr>
                <w:rFonts w:hint="eastAsia" w:ascii="仿宋_GB2312" w:hAnsi="仿宋_GB2312" w:eastAsia="仿宋_GB2312" w:cs="仿宋_GB2312"/>
                <w:color w:val="000000"/>
                <w:highlight w:val="none"/>
                <w:lang w:bidi="ar"/>
              </w:rPr>
              <w:t>51</w:t>
            </w:r>
          </w:p>
        </w:tc>
        <w:tc>
          <w:tcPr>
            <w:tcW w:w="3544" w:type="dxa"/>
            <w:noWrap w:val="0"/>
            <w:vAlign w:val="center"/>
          </w:tcPr>
          <w:p>
            <w:pPr>
              <w:textAlignment w:val="center"/>
              <w:rPr>
                <w:rFonts w:hint="eastAsia" w:ascii="仿宋_GB2312" w:hAnsi="仿宋_GB2312" w:eastAsia="仿宋_GB2312" w:cs="仿宋_GB2312"/>
                <w:color w:val="000000"/>
                <w:highlight w:val="none"/>
                <w:lang w:bidi="ar"/>
              </w:rPr>
            </w:pPr>
            <w:r>
              <w:rPr>
                <w:rFonts w:hint="eastAsia" w:ascii="仿宋_GB2312" w:hAnsi="仿宋_GB2312" w:eastAsia="仿宋_GB2312" w:cs="仿宋_GB2312"/>
                <w:color w:val="000000"/>
                <w:highlight w:val="none"/>
                <w:lang w:bidi="ar"/>
              </w:rPr>
              <w:t>擅自拆除永久性测量标志或者使永久性测量标志失去使用效能，或者拒绝支付迁建费用的</w:t>
            </w:r>
          </w:p>
        </w:tc>
        <w:tc>
          <w:tcPr>
            <w:tcW w:w="3402" w:type="dxa"/>
            <w:noWrap w:val="0"/>
            <w:vAlign w:val="center"/>
          </w:tcPr>
          <w:p>
            <w:pPr>
              <w:textAlignment w:val="center"/>
              <w:rPr>
                <w:rFonts w:hint="eastAsia" w:ascii="仿宋_GB2312" w:hAnsi="仿宋_GB2312" w:eastAsia="仿宋_GB2312" w:cs="仿宋_GB2312"/>
                <w:color w:val="000000"/>
                <w:highlight w:val="none"/>
                <w:lang w:bidi="ar"/>
              </w:rPr>
            </w:pPr>
            <w:r>
              <w:rPr>
                <w:rFonts w:hint="eastAsia" w:ascii="仿宋_GB2312" w:hAnsi="仿宋_GB2312" w:eastAsia="仿宋_GB2312" w:cs="仿宋_GB2312"/>
                <w:color w:val="000000"/>
                <w:highlight w:val="none"/>
                <w:lang w:bidi="ar"/>
              </w:rPr>
              <w:t>《中华人民共和国测绘法》第六十四条</w:t>
            </w:r>
          </w:p>
        </w:tc>
        <w:tc>
          <w:tcPr>
            <w:tcW w:w="3260" w:type="dxa"/>
            <w:noWrap w:val="0"/>
            <w:vAlign w:val="center"/>
          </w:tcPr>
          <w:p>
            <w:pPr>
              <w:textAlignment w:val="center"/>
              <w:rPr>
                <w:rFonts w:hint="eastAsia" w:ascii="仿宋_GB2312" w:hAnsi="仿宋_GB2312" w:eastAsia="仿宋_GB2312" w:cs="仿宋_GB2312"/>
                <w:color w:val="000000"/>
                <w:highlight w:val="none"/>
                <w:lang w:bidi="ar"/>
              </w:rPr>
            </w:pPr>
            <w:r>
              <w:rPr>
                <w:rFonts w:hint="eastAsia" w:ascii="仿宋_GB2312" w:hAnsi="仿宋_GB2312" w:eastAsia="仿宋_GB2312" w:cs="仿宋_GB2312"/>
                <w:color w:val="000000"/>
                <w:highlight w:val="none"/>
                <w:lang w:bidi="ar"/>
              </w:rPr>
              <w:t>擅自拆迁测量标志或者使测量标志失去使用效能，且：（一）拒绝支付迁建费用，仅涉及地方永久测量标志的；（二）拒绝支付迁建费用，涉及国家级一般保护的永久测量标志的。</w:t>
            </w:r>
          </w:p>
        </w:tc>
        <w:tc>
          <w:tcPr>
            <w:tcW w:w="1904" w:type="dxa"/>
            <w:noWrap w:val="0"/>
            <w:vAlign w:val="center"/>
          </w:tcPr>
          <w:p>
            <w:pPr>
              <w:jc w:val="center"/>
              <w:textAlignment w:val="center"/>
              <w:rPr>
                <w:rFonts w:hint="eastAsia" w:ascii="仿宋_GB2312" w:hAnsi="仿宋_GB2312" w:eastAsia="仿宋_GB2312" w:cs="仿宋_GB2312"/>
                <w:color w:val="000000"/>
                <w:highlight w:val="none"/>
                <w:lang w:bidi="ar"/>
              </w:rPr>
            </w:pPr>
            <w:r>
              <w:rPr>
                <w:rFonts w:hint="eastAsia" w:ascii="仿宋_GB2312" w:hAnsi="仿宋_GB2312" w:eastAsia="仿宋_GB2312" w:cs="仿宋_GB2312"/>
              </w:rPr>
              <w:t>昆明市</w:t>
            </w:r>
            <w:r>
              <w:rPr>
                <w:rFonts w:hint="eastAsia" w:ascii="仿宋_GB2312" w:hAnsi="仿宋_GB2312" w:eastAsia="仿宋_GB2312" w:cs="仿宋_GB2312"/>
                <w:lang w:eastAsia="zh-CN"/>
              </w:rPr>
              <w:t>晋宁区自然资源局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noWrap w:val="0"/>
            <w:vAlign w:val="center"/>
          </w:tcPr>
          <w:p>
            <w:pPr>
              <w:jc w:val="cente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52</w:t>
            </w:r>
          </w:p>
        </w:tc>
        <w:tc>
          <w:tcPr>
            <w:tcW w:w="3544"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违反操作规程使用永久性测量标志，造成永久性测量标志损毁的</w:t>
            </w:r>
          </w:p>
        </w:tc>
        <w:tc>
          <w:tcPr>
            <w:tcW w:w="3402"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《中华人民共和国测绘法》第六十四条</w:t>
            </w:r>
          </w:p>
        </w:tc>
        <w:tc>
          <w:tcPr>
            <w:tcW w:w="3260"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未造成地方永久性测量标志部分损毁的。</w:t>
            </w:r>
          </w:p>
        </w:tc>
        <w:tc>
          <w:tcPr>
            <w:tcW w:w="1904" w:type="dxa"/>
            <w:noWrap w:val="0"/>
            <w:vAlign w:val="center"/>
          </w:tcPr>
          <w:p>
            <w:pPr>
              <w:jc w:val="cente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rPr>
              <w:t>昆明市</w:t>
            </w:r>
            <w:r>
              <w:rPr>
                <w:rFonts w:hint="eastAsia" w:ascii="仿宋_GB2312" w:hAnsi="仿宋_GB2312" w:eastAsia="仿宋_GB2312" w:cs="仿宋_GB2312"/>
                <w:lang w:eastAsia="zh-CN"/>
              </w:rPr>
              <w:t>晋宁区自然资源局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noWrap w:val="0"/>
            <w:vAlign w:val="center"/>
          </w:tcPr>
          <w:p>
            <w:pPr>
              <w:jc w:val="center"/>
              <w:textAlignment w:val="center"/>
              <w:rPr>
                <w:rFonts w:hint="eastAsia" w:ascii="仿宋_GB2312" w:hAnsi="仿宋_GB2312" w:eastAsia="仿宋_GB2312" w:cs="仿宋_GB2312"/>
                <w:color w:val="000000"/>
                <w:highlight w:val="none"/>
                <w:lang w:bidi="ar"/>
              </w:rPr>
            </w:pPr>
            <w:r>
              <w:rPr>
                <w:rFonts w:hint="eastAsia" w:ascii="仿宋_GB2312" w:hAnsi="仿宋_GB2312" w:eastAsia="仿宋_GB2312" w:cs="仿宋_GB2312"/>
                <w:color w:val="000000"/>
                <w:highlight w:val="none"/>
                <w:lang w:bidi="ar"/>
              </w:rPr>
              <w:t>53</w:t>
            </w:r>
          </w:p>
        </w:tc>
        <w:tc>
          <w:tcPr>
            <w:tcW w:w="3544" w:type="dxa"/>
            <w:noWrap w:val="0"/>
            <w:vAlign w:val="center"/>
          </w:tcPr>
          <w:p>
            <w:pPr>
              <w:textAlignment w:val="center"/>
              <w:rPr>
                <w:rFonts w:hint="eastAsia" w:ascii="仿宋_GB2312" w:hAnsi="仿宋_GB2312" w:eastAsia="仿宋_GB2312" w:cs="仿宋_GB2312"/>
                <w:color w:val="000000"/>
                <w:highlight w:val="none"/>
                <w:lang w:bidi="ar"/>
              </w:rPr>
            </w:pPr>
            <w:r>
              <w:rPr>
                <w:rFonts w:hint="eastAsia" w:ascii="仿宋_GB2312" w:hAnsi="仿宋_GB2312" w:eastAsia="仿宋_GB2312" w:cs="仿宋_GB2312"/>
                <w:color w:val="000000"/>
                <w:highlight w:val="none"/>
                <w:lang w:bidi="ar"/>
              </w:rPr>
              <w:t>在测量标志上架设通讯设施、设置观望台、搭帐篷、拴牲畜或者设置其他有可能损毁测量标志的附着物的</w:t>
            </w:r>
          </w:p>
        </w:tc>
        <w:tc>
          <w:tcPr>
            <w:tcW w:w="3402" w:type="dxa"/>
            <w:noWrap w:val="0"/>
            <w:vAlign w:val="center"/>
          </w:tcPr>
          <w:p>
            <w:pPr>
              <w:textAlignment w:val="center"/>
              <w:rPr>
                <w:rFonts w:hint="eastAsia" w:ascii="仿宋_GB2312" w:hAnsi="仿宋_GB2312" w:eastAsia="仿宋_GB2312" w:cs="仿宋_GB2312"/>
                <w:color w:val="000000"/>
                <w:highlight w:val="none"/>
                <w:lang w:bidi="ar"/>
              </w:rPr>
            </w:pPr>
            <w:r>
              <w:rPr>
                <w:rFonts w:hint="eastAsia" w:ascii="仿宋_GB2312" w:hAnsi="仿宋_GB2312" w:eastAsia="仿宋_GB2312" w:cs="仿宋_GB2312"/>
                <w:color w:val="000000"/>
                <w:highlight w:val="none"/>
                <w:lang w:bidi="ar"/>
              </w:rPr>
              <w:t>《中华人民共和国测量标志保护条例》第二十二条、第二十三条</w:t>
            </w:r>
          </w:p>
        </w:tc>
        <w:tc>
          <w:tcPr>
            <w:tcW w:w="3260" w:type="dxa"/>
            <w:noWrap w:val="0"/>
            <w:vAlign w:val="center"/>
          </w:tcPr>
          <w:p>
            <w:pPr>
              <w:textAlignment w:val="center"/>
              <w:rPr>
                <w:rFonts w:hint="eastAsia" w:ascii="仿宋_GB2312" w:hAnsi="仿宋_GB2312" w:eastAsia="仿宋_GB2312" w:cs="仿宋_GB2312"/>
                <w:color w:val="000000"/>
                <w:highlight w:val="none"/>
                <w:lang w:bidi="ar"/>
              </w:rPr>
            </w:pPr>
            <w:r>
              <w:rPr>
                <w:rFonts w:hint="eastAsia" w:ascii="仿宋_GB2312" w:hAnsi="仿宋_GB2312" w:eastAsia="仿宋_GB2312" w:cs="仿宋_GB2312"/>
                <w:color w:val="000000"/>
                <w:highlight w:val="none"/>
                <w:lang w:bidi="ar"/>
              </w:rPr>
              <w:t>在测量标志上架设通讯设施、设置观望台、搭帐篷、拴牲畜，未对测量标志安全和使用效能造成损害的。</w:t>
            </w:r>
          </w:p>
        </w:tc>
        <w:tc>
          <w:tcPr>
            <w:tcW w:w="1904" w:type="dxa"/>
            <w:noWrap w:val="0"/>
            <w:vAlign w:val="center"/>
          </w:tcPr>
          <w:p>
            <w:pPr>
              <w:jc w:val="center"/>
              <w:textAlignment w:val="center"/>
              <w:rPr>
                <w:rFonts w:hint="eastAsia" w:ascii="仿宋_GB2312" w:hAnsi="仿宋_GB2312" w:eastAsia="仿宋_GB2312" w:cs="仿宋_GB2312"/>
                <w:color w:val="000000"/>
                <w:highlight w:val="none"/>
                <w:lang w:bidi="ar"/>
              </w:rPr>
            </w:pPr>
            <w:r>
              <w:rPr>
                <w:rFonts w:hint="eastAsia" w:ascii="仿宋_GB2312" w:hAnsi="仿宋_GB2312" w:eastAsia="仿宋_GB2312" w:cs="仿宋_GB2312"/>
              </w:rPr>
              <w:t>昆明市</w:t>
            </w:r>
            <w:r>
              <w:rPr>
                <w:rFonts w:hint="eastAsia" w:ascii="仿宋_GB2312" w:hAnsi="仿宋_GB2312" w:eastAsia="仿宋_GB2312" w:cs="仿宋_GB2312"/>
                <w:lang w:eastAsia="zh-CN"/>
              </w:rPr>
              <w:t>晋宁区自然资源局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noWrap w:val="0"/>
            <w:vAlign w:val="center"/>
          </w:tcPr>
          <w:p>
            <w:pPr>
              <w:jc w:val="cente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54</w:t>
            </w:r>
          </w:p>
        </w:tc>
        <w:tc>
          <w:tcPr>
            <w:tcW w:w="3544"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对地理信息生产、保管、利用单位未对属于国家秘密的地理信息的获取、持有、提供、利用情况进行登记、长期保存的，泄露国家秘密的</w:t>
            </w:r>
          </w:p>
        </w:tc>
        <w:tc>
          <w:tcPr>
            <w:tcW w:w="3402"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《中华人民共和国测绘法》第六十五条</w:t>
            </w:r>
          </w:p>
        </w:tc>
        <w:tc>
          <w:tcPr>
            <w:tcW w:w="3260"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未对属于秘密级国家秘密的地理信息的获取、持有、提供、利用情况进行登记、长期保存的。</w:t>
            </w:r>
          </w:p>
        </w:tc>
        <w:tc>
          <w:tcPr>
            <w:tcW w:w="1904" w:type="dxa"/>
            <w:noWrap w:val="0"/>
            <w:vAlign w:val="center"/>
          </w:tcPr>
          <w:p>
            <w:pPr>
              <w:jc w:val="cente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rPr>
              <w:t>昆明市</w:t>
            </w:r>
            <w:r>
              <w:rPr>
                <w:rFonts w:hint="eastAsia" w:ascii="仿宋_GB2312" w:hAnsi="仿宋_GB2312" w:eastAsia="仿宋_GB2312" w:cs="仿宋_GB2312"/>
                <w:lang w:eastAsia="zh-CN"/>
              </w:rPr>
              <w:t>晋宁区自然资源局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noWrap w:val="0"/>
            <w:vAlign w:val="center"/>
          </w:tcPr>
          <w:p>
            <w:pPr>
              <w:jc w:val="cente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55</w:t>
            </w:r>
          </w:p>
        </w:tc>
        <w:tc>
          <w:tcPr>
            <w:tcW w:w="3544"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对违法获取、持有、提供、利用属于国家秘密的地理信息的</w:t>
            </w:r>
          </w:p>
        </w:tc>
        <w:tc>
          <w:tcPr>
            <w:tcW w:w="3402"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《中华人民共和国测绘法》第六十五条</w:t>
            </w:r>
          </w:p>
        </w:tc>
        <w:tc>
          <w:tcPr>
            <w:tcW w:w="3260"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获取、持有秘密级的地理信息的。</w:t>
            </w:r>
          </w:p>
        </w:tc>
        <w:tc>
          <w:tcPr>
            <w:tcW w:w="1904" w:type="dxa"/>
            <w:noWrap w:val="0"/>
            <w:vAlign w:val="center"/>
          </w:tcPr>
          <w:p>
            <w:pPr>
              <w:jc w:val="cente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rPr>
              <w:t>昆明市</w:t>
            </w:r>
            <w:r>
              <w:rPr>
                <w:rFonts w:hint="eastAsia" w:ascii="仿宋_GB2312" w:hAnsi="仿宋_GB2312" w:eastAsia="仿宋_GB2312" w:cs="仿宋_GB2312"/>
                <w:lang w:eastAsia="zh-CN"/>
              </w:rPr>
              <w:t>晋宁区自然资源局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noWrap w:val="0"/>
            <w:vAlign w:val="center"/>
          </w:tcPr>
          <w:p>
            <w:pPr>
              <w:jc w:val="cente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56</w:t>
            </w:r>
          </w:p>
        </w:tc>
        <w:tc>
          <w:tcPr>
            <w:tcW w:w="3544"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对卫星导航定位基准站建设单位未报备案的</w:t>
            </w:r>
          </w:p>
        </w:tc>
        <w:tc>
          <w:tcPr>
            <w:tcW w:w="3402"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《中华人民共和国测绘法》第五十三条</w:t>
            </w:r>
          </w:p>
        </w:tc>
        <w:tc>
          <w:tcPr>
            <w:tcW w:w="3260"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对卫星导航定位基准站建设单位未报备案的。</w:t>
            </w:r>
          </w:p>
        </w:tc>
        <w:tc>
          <w:tcPr>
            <w:tcW w:w="1904" w:type="dxa"/>
            <w:noWrap w:val="0"/>
            <w:vAlign w:val="center"/>
          </w:tcPr>
          <w:p>
            <w:pPr>
              <w:jc w:val="cente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rPr>
              <w:t>昆明市</w:t>
            </w:r>
            <w:r>
              <w:rPr>
                <w:rFonts w:hint="eastAsia" w:ascii="仿宋_GB2312" w:hAnsi="仿宋_GB2312" w:eastAsia="仿宋_GB2312" w:cs="仿宋_GB2312"/>
                <w:lang w:eastAsia="zh-CN"/>
              </w:rPr>
              <w:t>晋宁区自然资源局</w:t>
            </w:r>
          </w:p>
        </w:tc>
      </w:tr>
    </w:tbl>
    <w:p>
      <w:pPr>
        <w:adjustRightInd w:val="0"/>
        <w:snapToGrid w:val="0"/>
        <w:spacing w:line="360" w:lineRule="auto"/>
        <w:rPr>
          <w:rFonts w:hint="eastAsia" w:ascii="仿宋_GB2312" w:hAnsi="仿宋_GB2312" w:eastAsia="仿宋_GB2312" w:cs="仿宋_GB2312"/>
        </w:rPr>
      </w:pPr>
    </w:p>
    <w:p>
      <w:pPr>
        <w:adjustRightInd w:val="0"/>
        <w:snapToGrid w:val="0"/>
        <w:spacing w:line="360" w:lineRule="auto"/>
        <w:jc w:val="both"/>
        <w:rPr>
          <w:rFonts w:hint="eastAsia" w:ascii="仿宋_GB2312" w:hAnsi="仿宋_GB2312" w:eastAsia="仿宋_GB2312" w:cs="仿宋_GB2312"/>
          <w:sz w:val="32"/>
          <w:szCs w:val="32"/>
        </w:rPr>
      </w:pPr>
    </w:p>
    <w:p>
      <w:pPr>
        <w:adjustRightInd w:val="0"/>
        <w:snapToGrid w:val="0"/>
        <w:spacing w:line="360" w:lineRule="auto"/>
        <w:jc w:val="center"/>
        <w:rPr>
          <w:rFonts w:hint="eastAsia" w:ascii="仿宋_GB2312" w:hAnsi="仿宋_GB2312" w:eastAsia="仿宋_GB2312" w:cs="仿宋_GB2312"/>
          <w:sz w:val="32"/>
          <w:szCs w:val="32"/>
        </w:rPr>
      </w:pPr>
    </w:p>
    <w:p>
      <w:pPr>
        <w:adjustRightInd w:val="0"/>
        <w:snapToGrid w:val="0"/>
        <w:spacing w:line="360" w:lineRule="auto"/>
        <w:jc w:val="center"/>
        <w:rPr>
          <w:rFonts w:hint="eastAsia" w:ascii="黑体" w:hAnsi="黑体" w:eastAsia="黑体" w:cs="黑体"/>
          <w:sz w:val="32"/>
          <w:szCs w:val="32"/>
        </w:rPr>
      </w:pPr>
      <w:r>
        <w:rPr>
          <w:rFonts w:hint="eastAsia" w:ascii="黑体" w:hAnsi="黑体" w:eastAsia="黑体" w:cs="黑体"/>
          <w:sz w:val="32"/>
          <w:szCs w:val="32"/>
        </w:rPr>
        <w:t>从轻行政处罚事项清单</w:t>
      </w:r>
    </w:p>
    <w:tbl>
      <w:tblPr>
        <w:tblStyle w:val="9"/>
        <w:tblW w:w="1394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38"/>
        <w:gridCol w:w="3544"/>
        <w:gridCol w:w="3402"/>
        <w:gridCol w:w="3260"/>
        <w:gridCol w:w="19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noWrap w:val="0"/>
            <w:vAlign w:val="center"/>
          </w:tcPr>
          <w:p>
            <w:pPr>
              <w:adjustRightInd w:val="0"/>
              <w:snapToGrid w:val="0"/>
              <w:spacing w:line="360" w:lineRule="auto"/>
              <w:jc w:val="center"/>
              <w:rPr>
                <w:rFonts w:hint="eastAsia" w:ascii="仿宋_GB2312" w:hAnsi="仿宋_GB2312" w:eastAsia="仿宋_GB2312" w:cs="仿宋_GB2312"/>
              </w:rPr>
            </w:pPr>
            <w:r>
              <w:rPr>
                <w:rFonts w:hint="eastAsia" w:ascii="仿宋_GB2312" w:hAnsi="仿宋_GB2312" w:eastAsia="仿宋_GB2312" w:cs="仿宋_GB2312"/>
              </w:rPr>
              <w:t>序号</w:t>
            </w:r>
          </w:p>
        </w:tc>
        <w:tc>
          <w:tcPr>
            <w:tcW w:w="3544" w:type="dxa"/>
            <w:noWrap w:val="0"/>
            <w:vAlign w:val="center"/>
          </w:tcPr>
          <w:p>
            <w:pPr>
              <w:adjustRightInd w:val="0"/>
              <w:snapToGrid w:val="0"/>
              <w:spacing w:line="360" w:lineRule="auto"/>
              <w:jc w:val="center"/>
              <w:rPr>
                <w:rFonts w:hint="eastAsia" w:ascii="仿宋_GB2312" w:hAnsi="仿宋_GB2312" w:eastAsia="仿宋_GB2312" w:cs="仿宋_GB2312"/>
              </w:rPr>
            </w:pPr>
            <w:r>
              <w:rPr>
                <w:rFonts w:hint="eastAsia" w:ascii="仿宋_GB2312" w:hAnsi="仿宋_GB2312" w:eastAsia="仿宋_GB2312" w:cs="仿宋_GB2312"/>
              </w:rPr>
              <w:t>违法行为</w:t>
            </w:r>
          </w:p>
        </w:tc>
        <w:tc>
          <w:tcPr>
            <w:tcW w:w="3402" w:type="dxa"/>
            <w:noWrap w:val="0"/>
            <w:vAlign w:val="center"/>
          </w:tcPr>
          <w:p>
            <w:pPr>
              <w:adjustRightInd w:val="0"/>
              <w:snapToGrid w:val="0"/>
              <w:spacing w:line="360" w:lineRule="auto"/>
              <w:jc w:val="center"/>
              <w:rPr>
                <w:rFonts w:hint="eastAsia" w:ascii="仿宋_GB2312" w:hAnsi="仿宋_GB2312" w:eastAsia="仿宋_GB2312" w:cs="仿宋_GB2312"/>
              </w:rPr>
            </w:pPr>
            <w:r>
              <w:rPr>
                <w:rFonts w:hint="eastAsia" w:ascii="仿宋_GB2312" w:hAnsi="仿宋_GB2312" w:eastAsia="仿宋_GB2312" w:cs="仿宋_GB2312"/>
              </w:rPr>
              <w:t>法律依据</w:t>
            </w:r>
          </w:p>
        </w:tc>
        <w:tc>
          <w:tcPr>
            <w:tcW w:w="3260" w:type="dxa"/>
            <w:noWrap w:val="0"/>
            <w:vAlign w:val="center"/>
          </w:tcPr>
          <w:p>
            <w:pPr>
              <w:adjustRightInd w:val="0"/>
              <w:snapToGrid w:val="0"/>
              <w:spacing w:line="360" w:lineRule="auto"/>
              <w:jc w:val="center"/>
              <w:rPr>
                <w:rFonts w:hint="eastAsia" w:ascii="仿宋_GB2312" w:hAnsi="仿宋_GB2312" w:eastAsia="仿宋_GB2312" w:cs="仿宋_GB2312"/>
              </w:rPr>
            </w:pPr>
            <w:r>
              <w:rPr>
                <w:rFonts w:hint="eastAsia" w:ascii="仿宋_GB2312" w:hAnsi="仿宋_GB2312" w:eastAsia="仿宋_GB2312" w:cs="仿宋_GB2312"/>
              </w:rPr>
              <w:t>适用情形</w:t>
            </w:r>
          </w:p>
        </w:tc>
        <w:tc>
          <w:tcPr>
            <w:tcW w:w="1904" w:type="dxa"/>
            <w:noWrap w:val="0"/>
            <w:vAlign w:val="center"/>
          </w:tcPr>
          <w:p>
            <w:pPr>
              <w:adjustRightInd w:val="0"/>
              <w:snapToGrid w:val="0"/>
              <w:spacing w:line="360" w:lineRule="auto"/>
              <w:jc w:val="center"/>
              <w:rPr>
                <w:rFonts w:hint="eastAsia" w:ascii="仿宋_GB2312" w:hAnsi="仿宋_GB2312" w:eastAsia="仿宋_GB2312" w:cs="仿宋_GB2312"/>
              </w:rPr>
            </w:pPr>
            <w:r>
              <w:rPr>
                <w:rFonts w:hint="eastAsia" w:ascii="仿宋_GB2312" w:hAnsi="仿宋_GB2312" w:eastAsia="仿宋_GB2312" w:cs="仿宋_GB2312"/>
              </w:rPr>
              <w:t>实施主体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noWrap w:val="0"/>
            <w:vAlign w:val="center"/>
          </w:tcPr>
          <w:p>
            <w:pPr>
              <w:adjustRightInd w:val="0"/>
              <w:snapToGrid w:val="0"/>
              <w:spacing w:line="360" w:lineRule="auto"/>
              <w:jc w:val="center"/>
              <w:rPr>
                <w:rFonts w:hint="eastAsia" w:ascii="仿宋_GB2312" w:hAnsi="仿宋_GB2312" w:eastAsia="仿宋_GB2312" w:cs="仿宋_GB2312"/>
              </w:rPr>
            </w:pPr>
            <w:r>
              <w:rPr>
                <w:rFonts w:hint="eastAsia" w:ascii="仿宋_GB2312" w:hAnsi="仿宋_GB2312" w:eastAsia="仿宋_GB2312" w:cs="仿宋_GB2312"/>
              </w:rPr>
              <w:t>1</w:t>
            </w:r>
          </w:p>
        </w:tc>
        <w:tc>
          <w:tcPr>
            <w:tcW w:w="3544" w:type="dxa"/>
            <w:noWrap w:val="0"/>
            <w:vAlign w:val="center"/>
          </w:tcPr>
          <w:p>
            <w:pPr>
              <w:adjustRightInd w:val="0"/>
              <w:snapToGrid w:val="0"/>
              <w:spacing w:line="360" w:lineRule="auto"/>
              <w:rPr>
                <w:rFonts w:hint="eastAsia" w:ascii="仿宋_GB2312" w:hAnsi="仿宋_GB2312" w:eastAsia="仿宋_GB2312" w:cs="仿宋_GB2312"/>
              </w:rPr>
            </w:pPr>
            <w:r>
              <w:rPr>
                <w:rFonts w:hint="eastAsia" w:ascii="仿宋_GB2312" w:hAnsi="仿宋_GB2312" w:eastAsia="仿宋_GB2312" w:cs="仿宋_GB2312"/>
                <w:color w:val="000000"/>
              </w:rPr>
              <w:t>买卖或者以其他形式非法转让土地的</w:t>
            </w:r>
          </w:p>
        </w:tc>
        <w:tc>
          <w:tcPr>
            <w:tcW w:w="3402" w:type="dxa"/>
            <w:noWrap w:val="0"/>
            <w:vAlign w:val="center"/>
          </w:tcPr>
          <w:p>
            <w:pPr>
              <w:adjustRightInd w:val="0"/>
              <w:snapToGrid w:val="0"/>
              <w:spacing w:line="360" w:lineRule="auto"/>
              <w:rPr>
                <w:rFonts w:hint="eastAsia" w:ascii="仿宋_GB2312" w:hAnsi="仿宋_GB2312" w:eastAsia="仿宋_GB2312" w:cs="仿宋_GB2312"/>
              </w:rPr>
            </w:pPr>
            <w:r>
              <w:rPr>
                <w:rFonts w:hint="eastAsia" w:ascii="仿宋_GB2312" w:hAnsi="仿宋_GB2312" w:eastAsia="仿宋_GB2312" w:cs="仿宋_GB2312"/>
                <w:color w:val="000000"/>
              </w:rPr>
              <w:t>《中华人民共和国土地管理法》第七十四条 ；《中华人民共和国土地管理法实施条例》第五十四条；</w:t>
            </w:r>
          </w:p>
        </w:tc>
        <w:tc>
          <w:tcPr>
            <w:tcW w:w="3260" w:type="dxa"/>
            <w:noWrap w:val="0"/>
            <w:vAlign w:val="center"/>
          </w:tcPr>
          <w:p>
            <w:pPr>
              <w:adjustRightInd w:val="0"/>
              <w:snapToGrid w:val="0"/>
              <w:spacing w:line="360" w:lineRule="auto"/>
              <w:rPr>
                <w:rFonts w:hint="eastAsia" w:ascii="仿宋_GB2312" w:hAnsi="仿宋_GB2312" w:eastAsia="仿宋_GB2312" w:cs="仿宋_GB2312"/>
              </w:rPr>
            </w:pPr>
            <w:r>
              <w:rPr>
                <w:rFonts w:hint="eastAsia" w:ascii="仿宋_GB2312" w:hAnsi="仿宋_GB2312" w:eastAsia="仿宋_GB2312" w:cs="仿宋_GB2312"/>
                <w:color w:val="000000"/>
              </w:rPr>
              <w:t>符合土地利用总体规划，非法转让非农用地且用于非经营建设的。</w:t>
            </w:r>
          </w:p>
        </w:tc>
        <w:tc>
          <w:tcPr>
            <w:tcW w:w="1904" w:type="dxa"/>
            <w:noWrap w:val="0"/>
            <w:vAlign w:val="center"/>
          </w:tcPr>
          <w:p>
            <w:pPr>
              <w:adjustRightInd w:val="0"/>
              <w:snapToGrid w:val="0"/>
              <w:spacing w:line="360" w:lineRule="auto"/>
              <w:jc w:val="center"/>
              <w:rPr>
                <w:rFonts w:hint="eastAsia" w:ascii="仿宋_GB2312" w:hAnsi="仿宋_GB2312" w:eastAsia="仿宋_GB2312" w:cs="仿宋_GB2312"/>
              </w:rPr>
            </w:pPr>
            <w:r>
              <w:rPr>
                <w:rFonts w:hint="eastAsia" w:ascii="仿宋_GB2312" w:hAnsi="仿宋_GB2312" w:eastAsia="仿宋_GB2312" w:cs="仿宋_GB2312"/>
              </w:rPr>
              <w:t>昆明市</w:t>
            </w:r>
            <w:r>
              <w:rPr>
                <w:rFonts w:hint="eastAsia" w:ascii="仿宋_GB2312" w:hAnsi="仿宋_GB2312" w:eastAsia="仿宋_GB2312" w:cs="仿宋_GB2312"/>
                <w:lang w:eastAsia="zh-CN"/>
              </w:rPr>
              <w:t>晋宁区自然资源局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noWrap w:val="0"/>
            <w:vAlign w:val="center"/>
          </w:tcPr>
          <w:p>
            <w:pPr>
              <w:adjustRightInd w:val="0"/>
              <w:snapToGrid w:val="0"/>
              <w:spacing w:line="360" w:lineRule="auto"/>
              <w:jc w:val="center"/>
              <w:rPr>
                <w:rFonts w:hint="eastAsia" w:ascii="仿宋_GB2312" w:hAnsi="仿宋_GB2312" w:eastAsia="仿宋_GB2312" w:cs="仿宋_GB2312"/>
              </w:rPr>
            </w:pPr>
            <w:r>
              <w:rPr>
                <w:rFonts w:hint="eastAsia" w:ascii="仿宋_GB2312" w:hAnsi="仿宋_GB2312" w:eastAsia="仿宋_GB2312" w:cs="仿宋_GB2312"/>
              </w:rPr>
              <w:t>2</w:t>
            </w:r>
          </w:p>
        </w:tc>
        <w:tc>
          <w:tcPr>
            <w:tcW w:w="3544" w:type="dxa"/>
            <w:noWrap w:val="0"/>
            <w:vAlign w:val="center"/>
          </w:tcPr>
          <w:p>
            <w:pPr>
              <w:adjustRightInd w:val="0"/>
              <w:snapToGrid w:val="0"/>
              <w:spacing w:line="360" w:lineRule="auto"/>
              <w:rPr>
                <w:rFonts w:hint="eastAsia" w:ascii="仿宋_GB2312" w:hAnsi="仿宋_GB2312" w:eastAsia="仿宋_GB2312" w:cs="仿宋_GB2312"/>
              </w:rPr>
            </w:pPr>
            <w:r>
              <w:rPr>
                <w:rFonts w:hint="eastAsia" w:ascii="仿宋_GB2312" w:hAnsi="仿宋_GB2312" w:eastAsia="仿宋_GB2312" w:cs="仿宋_GB2312"/>
                <w:color w:val="000000"/>
                <w:kern w:val="2"/>
              </w:rPr>
              <w:t>对转让房地产时，不符合法律规定的条件，非法转让以出让方式取得的土地使用权的</w:t>
            </w:r>
          </w:p>
        </w:tc>
        <w:tc>
          <w:tcPr>
            <w:tcW w:w="3402" w:type="dxa"/>
            <w:noWrap w:val="0"/>
            <w:vAlign w:val="center"/>
          </w:tcPr>
          <w:p>
            <w:pPr>
              <w:adjustRightInd w:val="0"/>
              <w:snapToGrid w:val="0"/>
              <w:spacing w:line="360" w:lineRule="auto"/>
              <w:rPr>
                <w:rFonts w:hint="eastAsia" w:ascii="仿宋_GB2312" w:hAnsi="仿宋_GB2312" w:eastAsia="仿宋_GB2312" w:cs="仿宋_GB2312"/>
              </w:rPr>
            </w:pPr>
            <w:r>
              <w:rPr>
                <w:rFonts w:hint="eastAsia" w:ascii="仿宋_GB2312" w:hAnsi="仿宋_GB2312" w:eastAsia="仿宋_GB2312" w:cs="仿宋_GB2312"/>
                <w:color w:val="000000"/>
              </w:rPr>
              <w:t>《中华人民共和国城市房地产管理法》第六十六条；中华人民共和国土地管理法》第七十四条；《中华人民共和国土地管理法实施条例》第五十四条。</w:t>
            </w:r>
          </w:p>
        </w:tc>
        <w:tc>
          <w:tcPr>
            <w:tcW w:w="3260" w:type="dxa"/>
            <w:noWrap w:val="0"/>
            <w:vAlign w:val="center"/>
          </w:tcPr>
          <w:p>
            <w:pPr>
              <w:adjustRightInd w:val="0"/>
              <w:snapToGrid w:val="0"/>
              <w:spacing w:line="360" w:lineRule="auto"/>
              <w:rPr>
                <w:rFonts w:hint="eastAsia" w:ascii="仿宋_GB2312" w:hAnsi="仿宋_GB2312" w:eastAsia="仿宋_GB2312" w:cs="仿宋_GB2312"/>
              </w:rPr>
            </w:pPr>
            <w:r>
              <w:rPr>
                <w:rFonts w:hint="eastAsia" w:ascii="仿宋_GB2312" w:hAnsi="仿宋_GB2312" w:eastAsia="仿宋_GB2312" w:cs="仿宋_GB2312"/>
                <w:color w:val="000000"/>
              </w:rPr>
              <w:t>非法转让的房地产为经营性用途的，且未在非法转让的土地上新建的建筑物和其他设施的。</w:t>
            </w:r>
          </w:p>
        </w:tc>
        <w:tc>
          <w:tcPr>
            <w:tcW w:w="1904" w:type="dxa"/>
            <w:noWrap w:val="0"/>
            <w:vAlign w:val="center"/>
          </w:tcPr>
          <w:p>
            <w:pPr>
              <w:adjustRightInd w:val="0"/>
              <w:snapToGrid w:val="0"/>
              <w:spacing w:line="360" w:lineRule="auto"/>
              <w:jc w:val="center"/>
              <w:rPr>
                <w:rFonts w:hint="eastAsia" w:ascii="仿宋_GB2312" w:hAnsi="仿宋_GB2312" w:eastAsia="仿宋_GB2312" w:cs="仿宋_GB2312"/>
              </w:rPr>
            </w:pPr>
            <w:r>
              <w:rPr>
                <w:rFonts w:hint="eastAsia" w:ascii="仿宋_GB2312" w:hAnsi="仿宋_GB2312" w:eastAsia="仿宋_GB2312" w:cs="仿宋_GB2312"/>
              </w:rPr>
              <w:t>昆明市</w:t>
            </w:r>
            <w:r>
              <w:rPr>
                <w:rFonts w:hint="eastAsia" w:ascii="仿宋_GB2312" w:hAnsi="仿宋_GB2312" w:eastAsia="仿宋_GB2312" w:cs="仿宋_GB2312"/>
                <w:lang w:eastAsia="zh-CN"/>
              </w:rPr>
              <w:t>晋宁区自然资源局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noWrap w:val="0"/>
            <w:vAlign w:val="center"/>
          </w:tcPr>
          <w:p>
            <w:pPr>
              <w:adjustRightInd w:val="0"/>
              <w:snapToGrid w:val="0"/>
              <w:spacing w:line="360" w:lineRule="auto"/>
              <w:jc w:val="center"/>
              <w:rPr>
                <w:rFonts w:hint="eastAsia" w:ascii="仿宋_GB2312" w:hAnsi="仿宋_GB2312" w:eastAsia="仿宋_GB2312" w:cs="仿宋_GB2312"/>
              </w:rPr>
            </w:pPr>
            <w:r>
              <w:rPr>
                <w:rFonts w:hint="eastAsia" w:ascii="仿宋_GB2312" w:hAnsi="仿宋_GB2312" w:eastAsia="仿宋_GB2312" w:cs="仿宋_GB2312"/>
              </w:rPr>
              <w:t>3</w:t>
            </w:r>
          </w:p>
        </w:tc>
        <w:tc>
          <w:tcPr>
            <w:tcW w:w="3544" w:type="dxa"/>
            <w:noWrap w:val="0"/>
            <w:vAlign w:val="center"/>
          </w:tcPr>
          <w:p>
            <w:pPr>
              <w:adjustRightInd w:val="0"/>
              <w:snapToGrid w:val="0"/>
              <w:spacing w:line="360" w:lineRule="auto"/>
              <w:rPr>
                <w:rFonts w:hint="eastAsia" w:ascii="仿宋_GB2312" w:hAnsi="仿宋_GB2312" w:eastAsia="仿宋_GB2312" w:cs="仿宋_GB2312"/>
              </w:rPr>
            </w:pPr>
            <w:r>
              <w:rPr>
                <w:rFonts w:hint="eastAsia" w:ascii="仿宋_GB2312" w:hAnsi="仿宋_GB2312" w:eastAsia="仿宋_GB2312" w:cs="仿宋_GB2312"/>
                <w:color w:val="000000"/>
                <w:kern w:val="2"/>
              </w:rPr>
              <w:t>转让房地产时未经批准非法转让以划拨方式取得的土地使用权的，或者经过批准转让以划拨方式取得的土地使用权，但未按规定缴纳土地使用权出让金的</w:t>
            </w:r>
          </w:p>
        </w:tc>
        <w:tc>
          <w:tcPr>
            <w:tcW w:w="3402" w:type="dxa"/>
            <w:noWrap w:val="0"/>
            <w:vAlign w:val="center"/>
          </w:tcPr>
          <w:p>
            <w:pPr>
              <w:adjustRightInd w:val="0"/>
              <w:snapToGrid w:val="0"/>
              <w:spacing w:line="360" w:lineRule="auto"/>
              <w:rPr>
                <w:rFonts w:hint="eastAsia" w:ascii="仿宋_GB2312" w:hAnsi="仿宋_GB2312" w:eastAsia="仿宋_GB2312" w:cs="仿宋_GB2312"/>
              </w:rPr>
            </w:pPr>
            <w:r>
              <w:rPr>
                <w:rFonts w:hint="eastAsia" w:ascii="仿宋_GB2312" w:hAnsi="仿宋_GB2312" w:eastAsia="仿宋_GB2312" w:cs="仿宋_GB2312"/>
                <w:color w:val="000000"/>
              </w:rPr>
              <w:t>《中华人民共和国城市房地产管理法》第六十七条；中华人民共和国土地管理法》第七十四条；《中华人民共和国土地管理法实施条例》第五十四条。</w:t>
            </w:r>
          </w:p>
        </w:tc>
        <w:tc>
          <w:tcPr>
            <w:tcW w:w="3260" w:type="dxa"/>
            <w:noWrap w:val="0"/>
            <w:vAlign w:val="center"/>
          </w:tcPr>
          <w:p>
            <w:pPr>
              <w:adjustRightInd w:val="0"/>
              <w:snapToGrid w:val="0"/>
              <w:spacing w:line="360" w:lineRule="auto"/>
              <w:rPr>
                <w:rFonts w:hint="eastAsia" w:ascii="仿宋_GB2312" w:hAnsi="仿宋_GB2312" w:eastAsia="仿宋_GB2312" w:cs="仿宋_GB2312"/>
              </w:rPr>
            </w:pPr>
            <w:r>
              <w:rPr>
                <w:rFonts w:hint="eastAsia" w:ascii="仿宋_GB2312" w:hAnsi="仿宋_GB2312" w:eastAsia="仿宋_GB2312" w:cs="仿宋_GB2312"/>
                <w:color w:val="000000"/>
              </w:rPr>
              <w:t>已经批准，在规定的期限内未缴纳土地使用权出让金，转让后用于非经营性用途的。</w:t>
            </w:r>
          </w:p>
        </w:tc>
        <w:tc>
          <w:tcPr>
            <w:tcW w:w="1904" w:type="dxa"/>
            <w:noWrap w:val="0"/>
            <w:vAlign w:val="center"/>
          </w:tcPr>
          <w:p>
            <w:pPr>
              <w:adjustRightInd w:val="0"/>
              <w:snapToGrid w:val="0"/>
              <w:spacing w:line="360" w:lineRule="auto"/>
              <w:jc w:val="center"/>
              <w:rPr>
                <w:rFonts w:hint="eastAsia" w:ascii="仿宋_GB2312" w:hAnsi="仿宋_GB2312" w:eastAsia="仿宋_GB2312" w:cs="仿宋_GB2312"/>
              </w:rPr>
            </w:pPr>
            <w:r>
              <w:rPr>
                <w:rFonts w:hint="eastAsia" w:ascii="仿宋_GB2312" w:hAnsi="仿宋_GB2312" w:eastAsia="仿宋_GB2312" w:cs="仿宋_GB2312"/>
              </w:rPr>
              <w:t>昆明市</w:t>
            </w:r>
            <w:r>
              <w:rPr>
                <w:rFonts w:hint="eastAsia" w:ascii="仿宋_GB2312" w:hAnsi="仿宋_GB2312" w:eastAsia="仿宋_GB2312" w:cs="仿宋_GB2312"/>
                <w:lang w:eastAsia="zh-CN"/>
              </w:rPr>
              <w:t>晋宁区自然资源局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noWrap w:val="0"/>
            <w:vAlign w:val="center"/>
          </w:tcPr>
          <w:p>
            <w:pPr>
              <w:adjustRightInd w:val="0"/>
              <w:snapToGrid w:val="0"/>
              <w:spacing w:line="360" w:lineRule="auto"/>
              <w:jc w:val="center"/>
              <w:rPr>
                <w:rFonts w:hint="eastAsia" w:ascii="仿宋_GB2312" w:hAnsi="仿宋_GB2312" w:eastAsia="仿宋_GB2312" w:cs="仿宋_GB2312"/>
              </w:rPr>
            </w:pPr>
            <w:r>
              <w:rPr>
                <w:rFonts w:hint="eastAsia" w:ascii="仿宋_GB2312" w:hAnsi="仿宋_GB2312" w:eastAsia="仿宋_GB2312" w:cs="仿宋_GB2312"/>
              </w:rPr>
              <w:t>4</w:t>
            </w:r>
          </w:p>
        </w:tc>
        <w:tc>
          <w:tcPr>
            <w:tcW w:w="3544" w:type="dxa"/>
            <w:noWrap w:val="0"/>
            <w:vAlign w:val="center"/>
          </w:tcPr>
          <w:p>
            <w:pPr>
              <w:adjustRightInd w:val="0"/>
              <w:snapToGrid w:val="0"/>
              <w:spacing w:line="360" w:lineRule="auto"/>
              <w:rPr>
                <w:rFonts w:hint="eastAsia" w:ascii="仿宋_GB2312" w:hAnsi="仿宋_GB2312" w:eastAsia="仿宋_GB2312" w:cs="仿宋_GB2312"/>
              </w:rPr>
            </w:pPr>
            <w:r>
              <w:rPr>
                <w:rFonts w:hint="eastAsia" w:ascii="仿宋_GB2312" w:hAnsi="仿宋_GB2312" w:eastAsia="仿宋_GB2312" w:cs="仿宋_GB2312"/>
                <w:color w:val="000000"/>
                <w:kern w:val="2"/>
              </w:rPr>
              <w:t>擅自转让房地产开发项目的</w:t>
            </w:r>
          </w:p>
        </w:tc>
        <w:tc>
          <w:tcPr>
            <w:tcW w:w="3402" w:type="dxa"/>
            <w:noWrap w:val="0"/>
            <w:vAlign w:val="center"/>
          </w:tcPr>
          <w:p>
            <w:pPr>
              <w:adjustRightInd w:val="0"/>
              <w:snapToGrid w:val="0"/>
              <w:spacing w:line="360" w:lineRule="auto"/>
              <w:rPr>
                <w:rFonts w:hint="eastAsia" w:ascii="仿宋_GB2312" w:hAnsi="仿宋_GB2312" w:eastAsia="仿宋_GB2312" w:cs="仿宋_GB2312"/>
              </w:rPr>
            </w:pPr>
            <w:r>
              <w:rPr>
                <w:rFonts w:hint="eastAsia" w:ascii="仿宋_GB2312" w:hAnsi="仿宋_GB2312" w:eastAsia="仿宋_GB2312" w:cs="仿宋_GB2312"/>
                <w:color w:val="000000"/>
              </w:rPr>
              <w:t>《城市房地产开发经营管理条例》第三十五条</w:t>
            </w:r>
          </w:p>
        </w:tc>
        <w:tc>
          <w:tcPr>
            <w:tcW w:w="3260" w:type="dxa"/>
            <w:noWrap w:val="0"/>
            <w:vAlign w:val="center"/>
          </w:tcPr>
          <w:p>
            <w:pPr>
              <w:adjustRightInd w:val="0"/>
              <w:snapToGrid w:val="0"/>
              <w:spacing w:line="360" w:lineRule="auto"/>
              <w:rPr>
                <w:rFonts w:hint="eastAsia" w:ascii="仿宋_GB2312" w:hAnsi="仿宋_GB2312" w:eastAsia="仿宋_GB2312" w:cs="仿宋_GB2312"/>
              </w:rPr>
            </w:pPr>
            <w:r>
              <w:rPr>
                <w:rFonts w:hint="eastAsia" w:ascii="仿宋_GB2312" w:hAnsi="仿宋_GB2312" w:eastAsia="仿宋_GB2312" w:cs="仿宋_GB2312"/>
                <w:color w:val="000000"/>
                <w:lang w:bidi="ar"/>
              </w:rPr>
              <w:t>完成开发投资总额的20%以上不足25%的。</w:t>
            </w:r>
          </w:p>
        </w:tc>
        <w:tc>
          <w:tcPr>
            <w:tcW w:w="1904" w:type="dxa"/>
            <w:noWrap w:val="0"/>
            <w:vAlign w:val="center"/>
          </w:tcPr>
          <w:p>
            <w:pPr>
              <w:adjustRightInd w:val="0"/>
              <w:snapToGrid w:val="0"/>
              <w:spacing w:line="360" w:lineRule="auto"/>
              <w:jc w:val="center"/>
              <w:rPr>
                <w:rFonts w:hint="eastAsia" w:ascii="仿宋_GB2312" w:hAnsi="仿宋_GB2312" w:eastAsia="仿宋_GB2312" w:cs="仿宋_GB2312"/>
              </w:rPr>
            </w:pPr>
            <w:r>
              <w:rPr>
                <w:rFonts w:hint="eastAsia" w:ascii="仿宋_GB2312" w:hAnsi="仿宋_GB2312" w:eastAsia="仿宋_GB2312" w:cs="仿宋_GB2312"/>
              </w:rPr>
              <w:t>昆明市</w:t>
            </w:r>
            <w:r>
              <w:rPr>
                <w:rFonts w:hint="eastAsia" w:ascii="仿宋_GB2312" w:hAnsi="仿宋_GB2312" w:eastAsia="仿宋_GB2312" w:cs="仿宋_GB2312"/>
                <w:lang w:eastAsia="zh-CN"/>
              </w:rPr>
              <w:t>晋宁区自然资源局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noWrap w:val="0"/>
            <w:vAlign w:val="center"/>
          </w:tcPr>
          <w:p>
            <w:pPr>
              <w:adjustRightInd w:val="0"/>
              <w:snapToGrid w:val="0"/>
              <w:spacing w:line="360" w:lineRule="auto"/>
              <w:jc w:val="center"/>
              <w:rPr>
                <w:rFonts w:hint="eastAsia" w:ascii="仿宋_GB2312" w:hAnsi="仿宋_GB2312" w:eastAsia="仿宋_GB2312" w:cs="仿宋_GB2312"/>
              </w:rPr>
            </w:pPr>
            <w:r>
              <w:rPr>
                <w:rFonts w:hint="eastAsia" w:ascii="仿宋_GB2312" w:hAnsi="仿宋_GB2312" w:eastAsia="仿宋_GB2312" w:cs="仿宋_GB2312"/>
              </w:rPr>
              <w:t>5</w:t>
            </w:r>
          </w:p>
        </w:tc>
        <w:tc>
          <w:tcPr>
            <w:tcW w:w="3544" w:type="dxa"/>
            <w:noWrap w:val="0"/>
            <w:vAlign w:val="center"/>
          </w:tcPr>
          <w:p>
            <w:pPr>
              <w:adjustRightInd w:val="0"/>
              <w:snapToGrid w:val="0"/>
              <w:spacing w:line="360" w:lineRule="auto"/>
              <w:rPr>
                <w:rFonts w:hint="eastAsia" w:ascii="仿宋_GB2312" w:hAnsi="仿宋_GB2312" w:eastAsia="仿宋_GB2312" w:cs="仿宋_GB2312"/>
              </w:rPr>
            </w:pPr>
            <w:r>
              <w:rPr>
                <w:rFonts w:hint="eastAsia" w:ascii="仿宋_GB2312" w:hAnsi="仿宋_GB2312" w:eastAsia="仿宋_GB2312" w:cs="仿宋_GB2312"/>
                <w:color w:val="000000"/>
                <w:shd w:val="clear" w:color="auto" w:fill="FFFFFF"/>
              </w:rPr>
              <w:t>占用耕地建窑、建坟或者擅自在耕地上建房、挖砂、采石、采矿、取土等，破坏种植条件的</w:t>
            </w:r>
          </w:p>
        </w:tc>
        <w:tc>
          <w:tcPr>
            <w:tcW w:w="3402" w:type="dxa"/>
            <w:noWrap w:val="0"/>
            <w:vAlign w:val="center"/>
          </w:tcPr>
          <w:p>
            <w:pPr>
              <w:adjustRightInd w:val="0"/>
              <w:snapToGrid w:val="0"/>
              <w:spacing w:line="360" w:lineRule="auto"/>
              <w:rPr>
                <w:rFonts w:hint="eastAsia" w:ascii="仿宋_GB2312" w:hAnsi="仿宋_GB2312" w:eastAsia="仿宋_GB2312" w:cs="仿宋_GB2312"/>
              </w:rPr>
            </w:pPr>
            <w:r>
              <w:rPr>
                <w:rFonts w:hint="eastAsia" w:ascii="仿宋_GB2312" w:hAnsi="仿宋_GB2312" w:eastAsia="仿宋_GB2312" w:cs="仿宋_GB2312"/>
                <w:color w:val="000000"/>
              </w:rPr>
              <w:t>《中华人民共和国土地管理法》第七十五条；《中华人民共和国土地管理法实施条例》第五十五条；《基本农田保护条例》第三十三条。</w:t>
            </w:r>
          </w:p>
        </w:tc>
        <w:tc>
          <w:tcPr>
            <w:tcW w:w="3260" w:type="dxa"/>
            <w:noWrap w:val="0"/>
            <w:vAlign w:val="center"/>
          </w:tcPr>
          <w:p>
            <w:pPr>
              <w:spacing w:line="360" w:lineRule="auto"/>
              <w:rPr>
                <w:rFonts w:hint="eastAsia" w:ascii="仿宋_GB2312" w:hAnsi="仿宋_GB2312" w:eastAsia="仿宋_GB2312" w:cs="仿宋_GB2312"/>
                <w:color w:val="000000"/>
              </w:rPr>
            </w:pPr>
            <w:r>
              <w:rPr>
                <w:rFonts w:hint="eastAsia" w:ascii="仿宋_GB2312" w:hAnsi="仿宋_GB2312" w:eastAsia="仿宋_GB2312" w:cs="仿宋_GB2312"/>
                <w:color w:val="000000"/>
                <w:kern w:val="2"/>
              </w:rPr>
              <w:t>破坏一般耕地2亩以下的。</w:t>
            </w:r>
          </w:p>
        </w:tc>
        <w:tc>
          <w:tcPr>
            <w:tcW w:w="1904" w:type="dxa"/>
            <w:noWrap w:val="0"/>
            <w:vAlign w:val="center"/>
          </w:tcPr>
          <w:p>
            <w:pPr>
              <w:adjustRightInd w:val="0"/>
              <w:snapToGrid w:val="0"/>
              <w:spacing w:line="360" w:lineRule="auto"/>
              <w:jc w:val="center"/>
              <w:rPr>
                <w:rFonts w:hint="eastAsia" w:ascii="仿宋_GB2312" w:hAnsi="仿宋_GB2312" w:eastAsia="仿宋_GB2312" w:cs="仿宋_GB2312"/>
              </w:rPr>
            </w:pPr>
            <w:r>
              <w:rPr>
                <w:rFonts w:hint="eastAsia" w:ascii="仿宋_GB2312" w:hAnsi="仿宋_GB2312" w:eastAsia="仿宋_GB2312" w:cs="仿宋_GB2312"/>
              </w:rPr>
              <w:t>昆明市</w:t>
            </w:r>
            <w:r>
              <w:rPr>
                <w:rFonts w:hint="eastAsia" w:ascii="仿宋_GB2312" w:hAnsi="仿宋_GB2312" w:eastAsia="仿宋_GB2312" w:cs="仿宋_GB2312"/>
                <w:lang w:eastAsia="zh-CN"/>
              </w:rPr>
              <w:t>晋宁区自然资源局</w:t>
            </w:r>
            <w:r>
              <w:rPr>
                <w:rFonts w:hint="eastAsia" w:ascii="仿宋_GB2312" w:hAnsi="仿宋_GB2312" w:eastAsia="仿宋_GB2312" w:cs="仿宋_GB2312"/>
              </w:rPr>
              <w:t>、</w:t>
            </w:r>
            <w:r>
              <w:rPr>
                <w:rFonts w:hint="eastAsia" w:ascii="仿宋_GB2312" w:hAnsi="仿宋_GB2312" w:eastAsia="仿宋_GB2312" w:cs="仿宋_GB2312"/>
                <w:lang w:eastAsia="zh-CN"/>
              </w:rPr>
              <w:t>晋宁区</w:t>
            </w:r>
            <w:r>
              <w:rPr>
                <w:rFonts w:hint="eastAsia" w:ascii="仿宋_GB2312" w:hAnsi="仿宋_GB2312" w:eastAsia="仿宋_GB2312" w:cs="仿宋_GB2312"/>
              </w:rPr>
              <w:t>农业农村局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noWrap w:val="0"/>
            <w:vAlign w:val="center"/>
          </w:tcPr>
          <w:p>
            <w:pPr>
              <w:adjustRightInd w:val="0"/>
              <w:snapToGrid w:val="0"/>
              <w:spacing w:line="360" w:lineRule="auto"/>
              <w:jc w:val="center"/>
              <w:rPr>
                <w:rFonts w:hint="eastAsia" w:ascii="仿宋_GB2312" w:hAnsi="仿宋_GB2312" w:eastAsia="仿宋_GB2312" w:cs="仿宋_GB2312"/>
              </w:rPr>
            </w:pPr>
            <w:r>
              <w:rPr>
                <w:rFonts w:hint="eastAsia" w:ascii="仿宋_GB2312" w:hAnsi="仿宋_GB2312" w:eastAsia="仿宋_GB2312" w:cs="仿宋_GB2312"/>
              </w:rPr>
              <w:t>6</w:t>
            </w:r>
          </w:p>
        </w:tc>
        <w:tc>
          <w:tcPr>
            <w:tcW w:w="3544" w:type="dxa"/>
            <w:noWrap w:val="0"/>
            <w:vAlign w:val="center"/>
          </w:tcPr>
          <w:p>
            <w:pPr>
              <w:adjustRightInd w:val="0"/>
              <w:snapToGrid w:val="0"/>
              <w:spacing w:line="360" w:lineRule="auto"/>
              <w:rPr>
                <w:rFonts w:hint="eastAsia" w:ascii="仿宋_GB2312" w:hAnsi="仿宋_GB2312" w:eastAsia="仿宋_GB2312" w:cs="仿宋_GB2312"/>
              </w:rPr>
            </w:pPr>
            <w:r>
              <w:rPr>
                <w:rFonts w:hint="eastAsia" w:ascii="仿宋_GB2312" w:hAnsi="仿宋_GB2312" w:eastAsia="仿宋_GB2312" w:cs="仿宋_GB2312"/>
                <w:color w:val="000000"/>
                <w:kern w:val="2"/>
              </w:rPr>
              <w:t>拒不履行土地复垦义务</w:t>
            </w:r>
          </w:p>
        </w:tc>
        <w:tc>
          <w:tcPr>
            <w:tcW w:w="3402" w:type="dxa"/>
            <w:noWrap w:val="0"/>
            <w:vAlign w:val="center"/>
          </w:tcPr>
          <w:p>
            <w:pPr>
              <w:adjustRightInd w:val="0"/>
              <w:snapToGrid w:val="0"/>
              <w:spacing w:line="360" w:lineRule="auto"/>
              <w:rPr>
                <w:rFonts w:hint="eastAsia" w:ascii="仿宋_GB2312" w:hAnsi="仿宋_GB2312" w:eastAsia="仿宋_GB2312" w:cs="仿宋_GB2312"/>
              </w:rPr>
            </w:pPr>
            <w:r>
              <w:rPr>
                <w:rFonts w:hint="eastAsia" w:ascii="仿宋_GB2312" w:hAnsi="仿宋_GB2312" w:eastAsia="仿宋_GB2312" w:cs="仿宋_GB2312"/>
                <w:color w:val="000000"/>
                <w:kern w:val="2"/>
              </w:rPr>
              <w:t>《中华人民共和国土地管理法》第七十六条；《中华人民共和国土地管理法实施条例》第五十六条；《土地复垦条例》第四十二条。</w:t>
            </w:r>
          </w:p>
        </w:tc>
        <w:tc>
          <w:tcPr>
            <w:tcW w:w="3260" w:type="dxa"/>
            <w:noWrap w:val="0"/>
            <w:vAlign w:val="center"/>
          </w:tcPr>
          <w:p>
            <w:pPr>
              <w:adjustRightInd w:val="0"/>
              <w:snapToGrid w:val="0"/>
              <w:spacing w:line="360" w:lineRule="auto"/>
              <w:rPr>
                <w:rFonts w:hint="eastAsia" w:ascii="仿宋_GB2312" w:hAnsi="仿宋_GB2312" w:eastAsia="仿宋_GB2312" w:cs="仿宋_GB2312"/>
              </w:rPr>
            </w:pPr>
            <w:r>
              <w:rPr>
                <w:rFonts w:hint="eastAsia" w:ascii="仿宋_GB2312" w:hAnsi="仿宋_GB2312" w:eastAsia="仿宋_GB2312" w:cs="仿宋_GB2312"/>
                <w:color w:val="000000"/>
                <w:kern w:val="2"/>
              </w:rPr>
              <w:t>责令限期改正拒不改正，逾期1个月以上3个月以内的</w:t>
            </w:r>
            <w:r>
              <w:rPr>
                <w:rFonts w:hint="eastAsia" w:ascii="仿宋_GB2312" w:hAnsi="仿宋_GB2312" w:eastAsia="仿宋_GB2312" w:cs="仿宋_GB2312"/>
              </w:rPr>
              <w:t>。</w:t>
            </w:r>
          </w:p>
        </w:tc>
        <w:tc>
          <w:tcPr>
            <w:tcW w:w="1904" w:type="dxa"/>
            <w:noWrap w:val="0"/>
            <w:vAlign w:val="center"/>
          </w:tcPr>
          <w:p>
            <w:pPr>
              <w:adjustRightInd w:val="0"/>
              <w:snapToGrid w:val="0"/>
              <w:spacing w:line="360" w:lineRule="auto"/>
              <w:jc w:val="center"/>
              <w:rPr>
                <w:rFonts w:hint="eastAsia" w:ascii="仿宋_GB2312" w:hAnsi="仿宋_GB2312" w:eastAsia="仿宋_GB2312" w:cs="仿宋_GB2312"/>
              </w:rPr>
            </w:pPr>
            <w:r>
              <w:rPr>
                <w:rFonts w:hint="eastAsia" w:ascii="仿宋_GB2312" w:hAnsi="仿宋_GB2312" w:eastAsia="仿宋_GB2312" w:cs="仿宋_GB2312"/>
              </w:rPr>
              <w:t>昆明市</w:t>
            </w:r>
            <w:r>
              <w:rPr>
                <w:rFonts w:hint="eastAsia" w:ascii="仿宋_GB2312" w:hAnsi="仿宋_GB2312" w:eastAsia="仿宋_GB2312" w:cs="仿宋_GB2312"/>
                <w:lang w:eastAsia="zh-CN"/>
              </w:rPr>
              <w:t>晋宁区自然资源局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noWrap w:val="0"/>
            <w:vAlign w:val="center"/>
          </w:tcPr>
          <w:p>
            <w:pPr>
              <w:adjustRightInd w:val="0"/>
              <w:snapToGrid w:val="0"/>
              <w:spacing w:line="360" w:lineRule="auto"/>
              <w:jc w:val="center"/>
              <w:rPr>
                <w:rFonts w:hint="eastAsia" w:ascii="仿宋_GB2312" w:hAnsi="仿宋_GB2312" w:eastAsia="仿宋_GB2312" w:cs="仿宋_GB2312"/>
              </w:rPr>
            </w:pPr>
            <w:r>
              <w:rPr>
                <w:rFonts w:hint="eastAsia" w:ascii="仿宋_GB2312" w:hAnsi="仿宋_GB2312" w:eastAsia="仿宋_GB2312" w:cs="仿宋_GB2312"/>
              </w:rPr>
              <w:t>7</w:t>
            </w:r>
          </w:p>
        </w:tc>
        <w:tc>
          <w:tcPr>
            <w:tcW w:w="3544" w:type="dxa"/>
            <w:noWrap w:val="0"/>
            <w:vAlign w:val="center"/>
          </w:tcPr>
          <w:p>
            <w:pPr>
              <w:adjustRightInd w:val="0"/>
              <w:snapToGrid w:val="0"/>
              <w:spacing w:line="360" w:lineRule="auto"/>
              <w:rPr>
                <w:rFonts w:hint="eastAsia" w:ascii="仿宋_GB2312" w:hAnsi="仿宋_GB2312" w:eastAsia="仿宋_GB2312" w:cs="仿宋_GB2312"/>
              </w:rPr>
            </w:pPr>
            <w:r>
              <w:rPr>
                <w:rFonts w:hint="eastAsia" w:ascii="仿宋_GB2312" w:hAnsi="仿宋_GB2312" w:eastAsia="仿宋_GB2312" w:cs="仿宋_GB2312"/>
                <w:color w:val="000000"/>
                <w:kern w:val="2"/>
              </w:rPr>
              <w:t>未经批准或者采取欺骗手段骗取批准，非法占用土地的；超过批准的数量占用土地的；非法批准、使用的土地，有关当事人拒不归还的</w:t>
            </w:r>
          </w:p>
        </w:tc>
        <w:tc>
          <w:tcPr>
            <w:tcW w:w="3402" w:type="dxa"/>
            <w:noWrap w:val="0"/>
            <w:vAlign w:val="center"/>
          </w:tcPr>
          <w:p>
            <w:pPr>
              <w:adjustRightInd w:val="0"/>
              <w:snapToGrid w:val="0"/>
              <w:spacing w:line="360" w:lineRule="auto"/>
              <w:rPr>
                <w:rFonts w:hint="eastAsia" w:ascii="仿宋_GB2312" w:hAnsi="仿宋_GB2312" w:eastAsia="仿宋_GB2312" w:cs="仿宋_GB2312"/>
              </w:rPr>
            </w:pPr>
            <w:r>
              <w:rPr>
                <w:rFonts w:hint="eastAsia" w:ascii="仿宋_GB2312" w:hAnsi="仿宋_GB2312" w:eastAsia="仿宋_GB2312" w:cs="仿宋_GB2312"/>
                <w:color w:val="000000"/>
                <w:kern w:val="2"/>
              </w:rPr>
              <w:t>《中华人民共和国土地管理法》第七十七条、七十九条；《中华人民共和国土地管理法实施条例》第五十七条、五十八条；《基本农田保护条例》第三十条；《云南省基本农田保护条例》第十七条。</w:t>
            </w:r>
          </w:p>
        </w:tc>
        <w:tc>
          <w:tcPr>
            <w:tcW w:w="3260" w:type="dxa"/>
            <w:noWrap w:val="0"/>
            <w:vAlign w:val="center"/>
          </w:tcPr>
          <w:p>
            <w:pPr>
              <w:adjustRightInd w:val="0"/>
              <w:snapToGrid w:val="0"/>
              <w:spacing w:line="360" w:lineRule="auto"/>
              <w:rPr>
                <w:rFonts w:hint="eastAsia" w:ascii="仿宋_GB2312" w:hAnsi="仿宋_GB2312" w:eastAsia="仿宋_GB2312" w:cs="仿宋_GB2312"/>
              </w:rPr>
            </w:pPr>
            <w:r>
              <w:rPr>
                <w:rFonts w:hint="eastAsia" w:ascii="仿宋_GB2312" w:hAnsi="仿宋_GB2312" w:eastAsia="仿宋_GB2312" w:cs="仿宋_GB2312"/>
                <w:color w:val="000000"/>
              </w:rPr>
              <w:t>符合土地利用总体规划，占用非农用地且用于非经营建设的</w:t>
            </w:r>
            <w:r>
              <w:rPr>
                <w:rFonts w:hint="eastAsia" w:ascii="仿宋_GB2312" w:hAnsi="仿宋_GB2312" w:eastAsia="仿宋_GB2312" w:cs="仿宋_GB2312"/>
              </w:rPr>
              <w:t>。</w:t>
            </w:r>
          </w:p>
        </w:tc>
        <w:tc>
          <w:tcPr>
            <w:tcW w:w="1904" w:type="dxa"/>
            <w:noWrap w:val="0"/>
            <w:vAlign w:val="center"/>
          </w:tcPr>
          <w:p>
            <w:pPr>
              <w:adjustRightInd w:val="0"/>
              <w:snapToGrid w:val="0"/>
              <w:spacing w:line="360" w:lineRule="auto"/>
              <w:jc w:val="center"/>
              <w:rPr>
                <w:rFonts w:hint="eastAsia" w:ascii="仿宋_GB2312" w:hAnsi="仿宋_GB2312" w:eastAsia="仿宋_GB2312" w:cs="仿宋_GB2312"/>
              </w:rPr>
            </w:pPr>
            <w:r>
              <w:rPr>
                <w:rFonts w:hint="eastAsia" w:ascii="仿宋_GB2312" w:hAnsi="仿宋_GB2312" w:eastAsia="仿宋_GB2312" w:cs="仿宋_GB2312"/>
              </w:rPr>
              <w:t>昆明市</w:t>
            </w:r>
            <w:r>
              <w:rPr>
                <w:rFonts w:hint="eastAsia" w:ascii="仿宋_GB2312" w:hAnsi="仿宋_GB2312" w:eastAsia="仿宋_GB2312" w:cs="仿宋_GB2312"/>
                <w:lang w:eastAsia="zh-CN"/>
              </w:rPr>
              <w:t>晋宁区自然资源局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noWrap w:val="0"/>
            <w:vAlign w:val="center"/>
          </w:tcPr>
          <w:p>
            <w:pPr>
              <w:adjustRightInd w:val="0"/>
              <w:snapToGrid w:val="0"/>
              <w:spacing w:line="360" w:lineRule="auto"/>
              <w:jc w:val="center"/>
              <w:rPr>
                <w:rFonts w:hint="eastAsia" w:ascii="仿宋_GB2312" w:hAnsi="仿宋_GB2312" w:eastAsia="仿宋_GB2312" w:cs="仿宋_GB2312"/>
              </w:rPr>
            </w:pPr>
            <w:r>
              <w:rPr>
                <w:rFonts w:hint="eastAsia" w:ascii="仿宋_GB2312" w:hAnsi="仿宋_GB2312" w:eastAsia="仿宋_GB2312" w:cs="仿宋_GB2312"/>
              </w:rPr>
              <w:t>8</w:t>
            </w:r>
          </w:p>
        </w:tc>
        <w:tc>
          <w:tcPr>
            <w:tcW w:w="3544" w:type="dxa"/>
            <w:noWrap w:val="0"/>
            <w:vAlign w:val="center"/>
          </w:tcPr>
          <w:p>
            <w:pPr>
              <w:adjustRightInd w:val="0"/>
              <w:snapToGrid w:val="0"/>
              <w:spacing w:line="360" w:lineRule="auto"/>
              <w:rPr>
                <w:rFonts w:hint="eastAsia" w:ascii="仿宋_GB2312" w:hAnsi="仿宋_GB2312" w:eastAsia="仿宋_GB2312" w:cs="仿宋_GB2312"/>
              </w:rPr>
            </w:pPr>
            <w:r>
              <w:rPr>
                <w:rFonts w:hint="eastAsia" w:ascii="仿宋_GB2312" w:hAnsi="仿宋_GB2312" w:eastAsia="仿宋_GB2312" w:cs="仿宋_GB2312"/>
                <w:color w:val="000000"/>
                <w:kern w:val="2"/>
              </w:rPr>
              <w:t>对在土地利用总体规划确定的禁止开垦区进行开垦</w:t>
            </w:r>
          </w:p>
        </w:tc>
        <w:tc>
          <w:tcPr>
            <w:tcW w:w="3402" w:type="dxa"/>
            <w:noWrap w:val="0"/>
            <w:vAlign w:val="center"/>
          </w:tcPr>
          <w:p>
            <w:pPr>
              <w:adjustRightInd w:val="0"/>
              <w:snapToGrid w:val="0"/>
              <w:spacing w:line="360" w:lineRule="auto"/>
              <w:rPr>
                <w:rFonts w:hint="eastAsia" w:ascii="仿宋_GB2312" w:hAnsi="仿宋_GB2312" w:eastAsia="仿宋_GB2312" w:cs="仿宋_GB2312"/>
              </w:rPr>
            </w:pPr>
            <w:r>
              <w:rPr>
                <w:rFonts w:hint="eastAsia" w:ascii="仿宋_GB2312" w:hAnsi="仿宋_GB2312" w:eastAsia="仿宋_GB2312" w:cs="仿宋_GB2312"/>
                <w:color w:val="000000"/>
                <w:kern w:val="2"/>
              </w:rPr>
              <w:t>《中华人民共和国土地管理法》第七十七条；《中华人民共和国土地管理法实施条例》第五十七条。</w:t>
            </w:r>
          </w:p>
        </w:tc>
        <w:tc>
          <w:tcPr>
            <w:tcW w:w="3260" w:type="dxa"/>
            <w:noWrap w:val="0"/>
            <w:vAlign w:val="center"/>
          </w:tcPr>
          <w:p>
            <w:pPr>
              <w:adjustRightInd w:val="0"/>
              <w:snapToGrid w:val="0"/>
              <w:spacing w:line="360" w:lineRule="auto"/>
              <w:rPr>
                <w:rFonts w:hint="eastAsia" w:ascii="仿宋_GB2312" w:hAnsi="仿宋_GB2312" w:eastAsia="仿宋_GB2312" w:cs="仿宋_GB2312"/>
              </w:rPr>
            </w:pPr>
            <w:r>
              <w:rPr>
                <w:rFonts w:hint="eastAsia" w:ascii="仿宋_GB2312" w:hAnsi="仿宋_GB2312" w:eastAsia="仿宋_GB2312" w:cs="仿宋_GB2312"/>
                <w:color w:val="000000"/>
                <w:kern w:val="2"/>
              </w:rPr>
              <w:t>逾期不改正，非法开垦土地0.5亩以下的</w:t>
            </w:r>
            <w:r>
              <w:rPr>
                <w:rFonts w:hint="eastAsia" w:ascii="仿宋_GB2312" w:hAnsi="仿宋_GB2312" w:eastAsia="仿宋_GB2312" w:cs="仿宋_GB2312"/>
              </w:rPr>
              <w:t>。</w:t>
            </w:r>
          </w:p>
        </w:tc>
        <w:tc>
          <w:tcPr>
            <w:tcW w:w="1904" w:type="dxa"/>
            <w:noWrap w:val="0"/>
            <w:vAlign w:val="center"/>
          </w:tcPr>
          <w:p>
            <w:pPr>
              <w:adjustRightInd w:val="0"/>
              <w:snapToGrid w:val="0"/>
              <w:spacing w:line="360" w:lineRule="auto"/>
              <w:jc w:val="center"/>
              <w:rPr>
                <w:rFonts w:hint="eastAsia" w:ascii="仿宋_GB2312" w:hAnsi="仿宋_GB2312" w:eastAsia="仿宋_GB2312" w:cs="仿宋_GB2312"/>
              </w:rPr>
            </w:pPr>
            <w:r>
              <w:rPr>
                <w:rFonts w:hint="eastAsia" w:ascii="仿宋_GB2312" w:hAnsi="仿宋_GB2312" w:eastAsia="仿宋_GB2312" w:cs="仿宋_GB2312"/>
              </w:rPr>
              <w:t>昆明市</w:t>
            </w:r>
            <w:r>
              <w:rPr>
                <w:rFonts w:hint="eastAsia" w:ascii="仿宋_GB2312" w:hAnsi="仿宋_GB2312" w:eastAsia="仿宋_GB2312" w:cs="仿宋_GB2312"/>
                <w:lang w:eastAsia="zh-CN"/>
              </w:rPr>
              <w:t>晋宁区自然资源局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noWrap w:val="0"/>
            <w:vAlign w:val="center"/>
          </w:tcPr>
          <w:p>
            <w:pPr>
              <w:adjustRightInd w:val="0"/>
              <w:snapToGrid w:val="0"/>
              <w:spacing w:line="360" w:lineRule="auto"/>
              <w:jc w:val="center"/>
              <w:rPr>
                <w:rFonts w:hint="eastAsia" w:ascii="仿宋_GB2312" w:hAnsi="仿宋_GB2312" w:eastAsia="仿宋_GB2312" w:cs="仿宋_GB2312"/>
              </w:rPr>
            </w:pPr>
            <w:r>
              <w:rPr>
                <w:rFonts w:hint="eastAsia" w:ascii="仿宋_GB2312" w:hAnsi="仿宋_GB2312" w:eastAsia="仿宋_GB2312" w:cs="仿宋_GB2312"/>
              </w:rPr>
              <w:t>9</w:t>
            </w:r>
          </w:p>
        </w:tc>
        <w:tc>
          <w:tcPr>
            <w:tcW w:w="3544" w:type="dxa"/>
            <w:noWrap w:val="0"/>
            <w:vAlign w:val="center"/>
          </w:tcPr>
          <w:p>
            <w:pPr>
              <w:adjustRightInd w:val="0"/>
              <w:snapToGrid w:val="0"/>
              <w:spacing w:line="360" w:lineRule="auto"/>
              <w:rPr>
                <w:rFonts w:hint="eastAsia" w:ascii="仿宋_GB2312" w:hAnsi="仿宋_GB2312" w:eastAsia="仿宋_GB2312" w:cs="仿宋_GB2312"/>
                <w:color w:val="000000"/>
                <w:kern w:val="2"/>
              </w:rPr>
            </w:pPr>
            <w:r>
              <w:rPr>
                <w:rFonts w:hint="eastAsia" w:ascii="仿宋_GB2312" w:hAnsi="仿宋_GB2312" w:eastAsia="仿宋_GB2312" w:cs="仿宋_GB2312"/>
                <w:color w:val="000000"/>
                <w:kern w:val="2"/>
              </w:rPr>
              <w:t>依法收回国有土地使用权当事人拒不交出土地的，临时使用土地期满拒不归还土地的，或者不按照批准的用途使用国有土地的</w:t>
            </w:r>
          </w:p>
        </w:tc>
        <w:tc>
          <w:tcPr>
            <w:tcW w:w="3402" w:type="dxa"/>
            <w:noWrap w:val="0"/>
            <w:vAlign w:val="center"/>
          </w:tcPr>
          <w:p>
            <w:pPr>
              <w:adjustRightInd w:val="0"/>
              <w:snapToGrid w:val="0"/>
              <w:spacing w:line="360" w:lineRule="auto"/>
              <w:rPr>
                <w:rFonts w:hint="eastAsia" w:ascii="仿宋_GB2312" w:hAnsi="仿宋_GB2312" w:eastAsia="仿宋_GB2312" w:cs="仿宋_GB2312"/>
                <w:color w:val="000000"/>
                <w:kern w:val="2"/>
              </w:rPr>
            </w:pPr>
            <w:r>
              <w:rPr>
                <w:rFonts w:hint="eastAsia" w:ascii="仿宋_GB2312" w:hAnsi="仿宋_GB2312" w:eastAsia="仿宋_GB2312" w:cs="仿宋_GB2312"/>
                <w:color w:val="000000"/>
                <w:kern w:val="2"/>
              </w:rPr>
              <w:t>《中华人民共和国土地管理法》第八十一条；《中华人民共和国土地管理法实施条例》第五十九条。</w:t>
            </w:r>
          </w:p>
        </w:tc>
        <w:tc>
          <w:tcPr>
            <w:tcW w:w="3260" w:type="dxa"/>
            <w:noWrap w:val="0"/>
            <w:vAlign w:val="center"/>
          </w:tcPr>
          <w:p>
            <w:pPr>
              <w:adjustRightInd w:val="0"/>
              <w:snapToGrid w:val="0"/>
              <w:spacing w:line="360" w:lineRule="auto"/>
              <w:textAlignment w:val="center"/>
              <w:rPr>
                <w:rFonts w:hint="eastAsia" w:ascii="仿宋_GB2312" w:hAnsi="仿宋_GB2312" w:eastAsia="仿宋_GB2312" w:cs="仿宋_GB2312"/>
                <w:color w:val="000000"/>
              </w:rPr>
            </w:pPr>
            <w:r>
              <w:rPr>
                <w:rFonts w:hint="eastAsia" w:ascii="仿宋_GB2312" w:hAnsi="仿宋_GB2312" w:eastAsia="仿宋_GB2312" w:cs="仿宋_GB2312"/>
                <w:color w:val="000000"/>
                <w:kern w:val="2"/>
              </w:rPr>
              <w:t>不按照批准的用途使用国有土地，符合城市规划，实际用途为非经营性的</w:t>
            </w:r>
            <w:r>
              <w:rPr>
                <w:rFonts w:hint="eastAsia" w:ascii="仿宋_GB2312" w:hAnsi="仿宋_GB2312" w:eastAsia="仿宋_GB2312" w:cs="仿宋_GB2312"/>
              </w:rPr>
              <w:t>。</w:t>
            </w:r>
          </w:p>
        </w:tc>
        <w:tc>
          <w:tcPr>
            <w:tcW w:w="1904" w:type="dxa"/>
            <w:noWrap w:val="0"/>
            <w:vAlign w:val="center"/>
          </w:tcPr>
          <w:p>
            <w:pPr>
              <w:adjustRightInd w:val="0"/>
              <w:snapToGrid w:val="0"/>
              <w:spacing w:line="360" w:lineRule="auto"/>
              <w:jc w:val="center"/>
              <w:rPr>
                <w:rFonts w:hint="eastAsia" w:ascii="仿宋_GB2312" w:hAnsi="仿宋_GB2312" w:eastAsia="仿宋_GB2312" w:cs="仿宋_GB2312"/>
              </w:rPr>
            </w:pPr>
            <w:r>
              <w:rPr>
                <w:rFonts w:hint="eastAsia" w:ascii="仿宋_GB2312" w:hAnsi="仿宋_GB2312" w:eastAsia="仿宋_GB2312" w:cs="仿宋_GB2312"/>
              </w:rPr>
              <w:t>昆明市</w:t>
            </w:r>
            <w:r>
              <w:rPr>
                <w:rFonts w:hint="eastAsia" w:ascii="仿宋_GB2312" w:hAnsi="仿宋_GB2312" w:eastAsia="仿宋_GB2312" w:cs="仿宋_GB2312"/>
                <w:lang w:eastAsia="zh-CN"/>
              </w:rPr>
              <w:t>晋宁区自然资源局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noWrap w:val="0"/>
            <w:vAlign w:val="center"/>
          </w:tcPr>
          <w:p>
            <w:pPr>
              <w:adjustRightInd w:val="0"/>
              <w:snapToGrid w:val="0"/>
              <w:spacing w:line="360" w:lineRule="auto"/>
              <w:jc w:val="center"/>
              <w:rPr>
                <w:rFonts w:hint="eastAsia" w:ascii="仿宋_GB2312" w:hAnsi="仿宋_GB2312" w:eastAsia="仿宋_GB2312" w:cs="仿宋_GB2312"/>
              </w:rPr>
            </w:pPr>
            <w:r>
              <w:rPr>
                <w:rFonts w:hint="eastAsia" w:ascii="仿宋_GB2312" w:hAnsi="仿宋_GB2312" w:eastAsia="仿宋_GB2312" w:cs="仿宋_GB2312"/>
              </w:rPr>
              <w:t>10</w:t>
            </w:r>
          </w:p>
        </w:tc>
        <w:tc>
          <w:tcPr>
            <w:tcW w:w="3544" w:type="dxa"/>
            <w:noWrap w:val="0"/>
            <w:vAlign w:val="center"/>
          </w:tcPr>
          <w:p>
            <w:pPr>
              <w:adjustRightInd w:val="0"/>
              <w:snapToGrid w:val="0"/>
              <w:spacing w:line="360" w:lineRule="auto"/>
              <w:rPr>
                <w:rFonts w:hint="eastAsia" w:ascii="仿宋_GB2312" w:hAnsi="仿宋_GB2312" w:eastAsia="仿宋_GB2312" w:cs="仿宋_GB2312"/>
                <w:color w:val="000000"/>
                <w:kern w:val="2"/>
              </w:rPr>
            </w:pPr>
            <w:r>
              <w:rPr>
                <w:rFonts w:hint="eastAsia" w:ascii="仿宋_GB2312" w:hAnsi="仿宋_GB2312" w:eastAsia="仿宋_GB2312" w:cs="仿宋_GB2312"/>
                <w:color w:val="000000"/>
                <w:kern w:val="2"/>
              </w:rPr>
              <w:t>擅自将农民集体所有的土地的使用权出让、转让或者出租用于非农业建设的</w:t>
            </w:r>
          </w:p>
        </w:tc>
        <w:tc>
          <w:tcPr>
            <w:tcW w:w="3402" w:type="dxa"/>
            <w:noWrap w:val="0"/>
            <w:vAlign w:val="center"/>
          </w:tcPr>
          <w:p>
            <w:pPr>
              <w:adjustRightInd w:val="0"/>
              <w:snapToGrid w:val="0"/>
              <w:spacing w:line="360" w:lineRule="auto"/>
              <w:rPr>
                <w:rFonts w:hint="eastAsia" w:ascii="仿宋_GB2312" w:hAnsi="仿宋_GB2312" w:eastAsia="仿宋_GB2312" w:cs="仿宋_GB2312"/>
                <w:color w:val="000000"/>
                <w:kern w:val="2"/>
              </w:rPr>
            </w:pPr>
            <w:r>
              <w:rPr>
                <w:rFonts w:hint="eastAsia" w:ascii="仿宋_GB2312" w:hAnsi="仿宋_GB2312" w:eastAsia="仿宋_GB2312" w:cs="仿宋_GB2312"/>
                <w:color w:val="000000"/>
                <w:kern w:val="2"/>
              </w:rPr>
              <w:t>《中华人民共和国土地管理法》第八十二条；《中华人民共和国土地管理法实施条例》第六十条。</w:t>
            </w:r>
          </w:p>
        </w:tc>
        <w:tc>
          <w:tcPr>
            <w:tcW w:w="3260" w:type="dxa"/>
            <w:noWrap w:val="0"/>
            <w:vAlign w:val="center"/>
          </w:tcPr>
          <w:p>
            <w:pPr>
              <w:adjustRightInd w:val="0"/>
              <w:snapToGrid w:val="0"/>
              <w:spacing w:line="360" w:lineRule="auto"/>
              <w:textAlignment w:val="center"/>
              <w:rPr>
                <w:rFonts w:hint="eastAsia" w:ascii="仿宋_GB2312" w:hAnsi="仿宋_GB2312" w:eastAsia="仿宋_GB2312" w:cs="仿宋_GB2312"/>
              </w:rPr>
            </w:pPr>
            <w:r>
              <w:rPr>
                <w:rFonts w:hint="eastAsia" w:ascii="仿宋_GB2312" w:hAnsi="仿宋_GB2312" w:eastAsia="仿宋_GB2312" w:cs="仿宋_GB2312"/>
                <w:color w:val="000000"/>
                <w:kern w:val="2"/>
              </w:rPr>
              <w:t>符合土地用总体规划，尚未进行非农建设或者能够自行纠正的</w:t>
            </w:r>
            <w:r>
              <w:rPr>
                <w:rFonts w:hint="eastAsia" w:ascii="仿宋_GB2312" w:hAnsi="仿宋_GB2312" w:eastAsia="仿宋_GB2312" w:cs="仿宋_GB2312"/>
              </w:rPr>
              <w:t>。</w:t>
            </w:r>
          </w:p>
        </w:tc>
        <w:tc>
          <w:tcPr>
            <w:tcW w:w="1904" w:type="dxa"/>
            <w:noWrap w:val="0"/>
            <w:vAlign w:val="center"/>
          </w:tcPr>
          <w:p>
            <w:pPr>
              <w:adjustRightInd w:val="0"/>
              <w:snapToGrid w:val="0"/>
              <w:spacing w:line="360" w:lineRule="auto"/>
              <w:jc w:val="center"/>
              <w:rPr>
                <w:rFonts w:hint="eastAsia" w:ascii="仿宋_GB2312" w:hAnsi="仿宋_GB2312" w:eastAsia="仿宋_GB2312" w:cs="仿宋_GB2312"/>
              </w:rPr>
            </w:pPr>
            <w:r>
              <w:rPr>
                <w:rFonts w:hint="eastAsia" w:ascii="仿宋_GB2312" w:hAnsi="仿宋_GB2312" w:eastAsia="仿宋_GB2312" w:cs="仿宋_GB2312"/>
              </w:rPr>
              <w:t>昆明市</w:t>
            </w:r>
            <w:r>
              <w:rPr>
                <w:rFonts w:hint="eastAsia" w:ascii="仿宋_GB2312" w:hAnsi="仿宋_GB2312" w:eastAsia="仿宋_GB2312" w:cs="仿宋_GB2312"/>
                <w:lang w:eastAsia="zh-CN"/>
              </w:rPr>
              <w:t>晋宁区自然资源局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noWrap w:val="0"/>
            <w:vAlign w:val="center"/>
          </w:tcPr>
          <w:p>
            <w:pPr>
              <w:adjustRightInd w:val="0"/>
              <w:snapToGrid w:val="0"/>
              <w:spacing w:line="360" w:lineRule="auto"/>
              <w:jc w:val="center"/>
              <w:rPr>
                <w:rFonts w:hint="eastAsia" w:ascii="仿宋_GB2312" w:hAnsi="仿宋_GB2312" w:eastAsia="仿宋_GB2312" w:cs="仿宋_GB2312"/>
              </w:rPr>
            </w:pPr>
            <w:r>
              <w:rPr>
                <w:rFonts w:hint="eastAsia" w:ascii="仿宋_GB2312" w:hAnsi="仿宋_GB2312" w:eastAsia="仿宋_GB2312" w:cs="仿宋_GB2312"/>
              </w:rPr>
              <w:t>11</w:t>
            </w:r>
          </w:p>
        </w:tc>
        <w:tc>
          <w:tcPr>
            <w:tcW w:w="3544" w:type="dxa"/>
            <w:noWrap w:val="0"/>
            <w:vAlign w:val="center"/>
          </w:tcPr>
          <w:p>
            <w:pPr>
              <w:adjustRightInd w:val="0"/>
              <w:snapToGrid w:val="0"/>
              <w:spacing w:line="360" w:lineRule="auto"/>
              <w:rPr>
                <w:rFonts w:hint="eastAsia" w:ascii="仿宋_GB2312" w:hAnsi="仿宋_GB2312" w:eastAsia="仿宋_GB2312" w:cs="仿宋_GB2312"/>
              </w:rPr>
            </w:pPr>
            <w:r>
              <w:rPr>
                <w:rFonts w:hint="eastAsia" w:ascii="仿宋_GB2312" w:hAnsi="仿宋_GB2312" w:eastAsia="仿宋_GB2312" w:cs="仿宋_GB2312"/>
                <w:kern w:val="2"/>
              </w:rPr>
              <w:t>对建设项目施工和地质勘查临时占用耕地的土地使用者，自临时用地期满之日起1年以上未恢复种植条件的</w:t>
            </w:r>
          </w:p>
        </w:tc>
        <w:tc>
          <w:tcPr>
            <w:tcW w:w="3402" w:type="dxa"/>
            <w:noWrap w:val="0"/>
            <w:vAlign w:val="center"/>
          </w:tcPr>
          <w:p>
            <w:pPr>
              <w:adjustRightInd w:val="0"/>
              <w:snapToGrid w:val="0"/>
              <w:spacing w:line="360" w:lineRule="auto"/>
              <w:rPr>
                <w:rFonts w:hint="eastAsia" w:ascii="仿宋_GB2312" w:hAnsi="仿宋_GB2312" w:eastAsia="仿宋_GB2312" w:cs="仿宋_GB2312"/>
              </w:rPr>
            </w:pPr>
            <w:r>
              <w:rPr>
                <w:rFonts w:hint="eastAsia" w:ascii="仿宋_GB2312" w:hAnsi="仿宋_GB2312" w:eastAsia="仿宋_GB2312" w:cs="仿宋_GB2312"/>
                <w:color w:val="000000"/>
                <w:kern w:val="2"/>
              </w:rPr>
              <w:t>《中华人民共和国土地管理法》第五十七条、七十六条；</w:t>
            </w:r>
            <w:r>
              <w:rPr>
                <w:rFonts w:hint="eastAsia" w:ascii="仿宋_GB2312" w:hAnsi="仿宋_GB2312" w:eastAsia="仿宋_GB2312" w:cs="仿宋_GB2312"/>
                <w:kern w:val="2"/>
              </w:rPr>
              <w:t>《中华人民共和国土地管理法实施条例》第五十二条、五十六条。</w:t>
            </w:r>
          </w:p>
        </w:tc>
        <w:tc>
          <w:tcPr>
            <w:tcW w:w="3260" w:type="dxa"/>
            <w:noWrap w:val="0"/>
            <w:vAlign w:val="center"/>
          </w:tcPr>
          <w:p>
            <w:pPr>
              <w:adjustRightInd w:val="0"/>
              <w:snapToGrid w:val="0"/>
              <w:spacing w:line="360" w:lineRule="auto"/>
              <w:rPr>
                <w:rFonts w:hint="eastAsia" w:ascii="仿宋_GB2312" w:hAnsi="仿宋_GB2312" w:eastAsia="仿宋_GB2312" w:cs="仿宋_GB2312"/>
              </w:rPr>
            </w:pPr>
            <w:r>
              <w:rPr>
                <w:rFonts w:hint="eastAsia" w:ascii="仿宋_GB2312" w:hAnsi="仿宋_GB2312" w:eastAsia="仿宋_GB2312" w:cs="仿宋_GB2312"/>
                <w:kern w:val="2"/>
              </w:rPr>
              <w:t>占用耕地100平方米以上300平方米以下的。</w:t>
            </w:r>
          </w:p>
        </w:tc>
        <w:tc>
          <w:tcPr>
            <w:tcW w:w="1904" w:type="dxa"/>
            <w:noWrap w:val="0"/>
            <w:vAlign w:val="center"/>
          </w:tcPr>
          <w:p>
            <w:pPr>
              <w:adjustRightInd w:val="0"/>
              <w:snapToGrid w:val="0"/>
              <w:spacing w:line="360" w:lineRule="auto"/>
              <w:jc w:val="center"/>
              <w:rPr>
                <w:rFonts w:hint="eastAsia" w:ascii="仿宋_GB2312" w:hAnsi="仿宋_GB2312" w:eastAsia="仿宋_GB2312" w:cs="仿宋_GB2312"/>
              </w:rPr>
            </w:pPr>
            <w:r>
              <w:rPr>
                <w:rFonts w:hint="eastAsia" w:ascii="仿宋_GB2312" w:hAnsi="仿宋_GB2312" w:eastAsia="仿宋_GB2312" w:cs="仿宋_GB2312"/>
              </w:rPr>
              <w:t>昆明市</w:t>
            </w:r>
            <w:r>
              <w:rPr>
                <w:rFonts w:hint="eastAsia" w:ascii="仿宋_GB2312" w:hAnsi="仿宋_GB2312" w:eastAsia="仿宋_GB2312" w:cs="仿宋_GB2312"/>
                <w:lang w:eastAsia="zh-CN"/>
              </w:rPr>
              <w:t>晋宁区自然资源局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noWrap w:val="0"/>
            <w:vAlign w:val="center"/>
          </w:tcPr>
          <w:p>
            <w:pPr>
              <w:adjustRightInd w:val="0"/>
              <w:snapToGrid w:val="0"/>
              <w:spacing w:line="360" w:lineRule="auto"/>
              <w:jc w:val="center"/>
              <w:rPr>
                <w:rFonts w:hint="eastAsia" w:ascii="仿宋_GB2312" w:hAnsi="仿宋_GB2312" w:eastAsia="仿宋_GB2312" w:cs="仿宋_GB2312"/>
              </w:rPr>
            </w:pPr>
            <w:r>
              <w:rPr>
                <w:rFonts w:hint="eastAsia" w:ascii="仿宋_GB2312" w:hAnsi="仿宋_GB2312" w:eastAsia="仿宋_GB2312" w:cs="仿宋_GB2312"/>
              </w:rPr>
              <w:t>12</w:t>
            </w:r>
          </w:p>
        </w:tc>
        <w:tc>
          <w:tcPr>
            <w:tcW w:w="3544" w:type="dxa"/>
            <w:noWrap w:val="0"/>
            <w:vAlign w:val="center"/>
          </w:tcPr>
          <w:p>
            <w:pPr>
              <w:adjustRightInd w:val="0"/>
              <w:snapToGrid w:val="0"/>
              <w:spacing w:line="360" w:lineRule="auto"/>
              <w:rPr>
                <w:rFonts w:hint="eastAsia" w:ascii="仿宋_GB2312" w:hAnsi="仿宋_GB2312" w:eastAsia="仿宋_GB2312" w:cs="仿宋_GB2312"/>
              </w:rPr>
            </w:pPr>
            <w:r>
              <w:rPr>
                <w:rFonts w:hint="eastAsia" w:ascii="仿宋_GB2312" w:hAnsi="仿宋_GB2312" w:eastAsia="仿宋_GB2312" w:cs="仿宋_GB2312"/>
                <w:kern w:val="2"/>
              </w:rPr>
              <w:t>破坏或者擅自改变基本农田保护区标志</w:t>
            </w:r>
          </w:p>
        </w:tc>
        <w:tc>
          <w:tcPr>
            <w:tcW w:w="3402" w:type="dxa"/>
            <w:noWrap w:val="0"/>
            <w:vAlign w:val="center"/>
          </w:tcPr>
          <w:p>
            <w:pPr>
              <w:adjustRightInd w:val="0"/>
              <w:snapToGrid w:val="0"/>
              <w:spacing w:line="360" w:lineRule="auto"/>
              <w:rPr>
                <w:rFonts w:hint="eastAsia" w:ascii="仿宋_GB2312" w:hAnsi="仿宋_GB2312" w:eastAsia="仿宋_GB2312" w:cs="仿宋_GB2312"/>
              </w:rPr>
            </w:pPr>
            <w:r>
              <w:rPr>
                <w:rFonts w:hint="eastAsia" w:ascii="仿宋_GB2312" w:hAnsi="仿宋_GB2312" w:eastAsia="仿宋_GB2312" w:cs="仿宋_GB2312"/>
                <w:kern w:val="2"/>
              </w:rPr>
              <w:t>《基本农田保护条例》第三十二条。</w:t>
            </w:r>
          </w:p>
        </w:tc>
        <w:tc>
          <w:tcPr>
            <w:tcW w:w="3260" w:type="dxa"/>
            <w:noWrap w:val="0"/>
            <w:vAlign w:val="center"/>
          </w:tcPr>
          <w:p>
            <w:pPr>
              <w:adjustRightInd w:val="0"/>
              <w:snapToGrid w:val="0"/>
              <w:spacing w:line="360" w:lineRule="auto"/>
              <w:rPr>
                <w:rFonts w:hint="eastAsia" w:ascii="仿宋_GB2312" w:hAnsi="仿宋_GB2312" w:eastAsia="仿宋_GB2312" w:cs="仿宋_GB2312"/>
              </w:rPr>
            </w:pPr>
            <w:r>
              <w:rPr>
                <w:rFonts w:hint="eastAsia" w:ascii="仿宋_GB2312" w:hAnsi="仿宋_GB2312" w:eastAsia="仿宋_GB2312" w:cs="仿宋_GB2312"/>
                <w:kern w:val="2"/>
              </w:rPr>
              <w:t>有明显痕迹，但不影响标示作用，需要修缮的</w:t>
            </w:r>
            <w:r>
              <w:rPr>
                <w:rFonts w:hint="eastAsia" w:ascii="仿宋_GB2312" w:hAnsi="仿宋_GB2312" w:eastAsia="仿宋_GB2312" w:cs="仿宋_GB2312"/>
              </w:rPr>
              <w:t>。</w:t>
            </w:r>
          </w:p>
        </w:tc>
        <w:tc>
          <w:tcPr>
            <w:tcW w:w="1904" w:type="dxa"/>
            <w:noWrap w:val="0"/>
            <w:vAlign w:val="center"/>
          </w:tcPr>
          <w:p>
            <w:pPr>
              <w:adjustRightInd w:val="0"/>
              <w:snapToGrid w:val="0"/>
              <w:spacing w:line="360" w:lineRule="auto"/>
              <w:jc w:val="center"/>
              <w:rPr>
                <w:rFonts w:hint="eastAsia" w:ascii="仿宋_GB2312" w:hAnsi="仿宋_GB2312" w:eastAsia="仿宋_GB2312" w:cs="仿宋_GB2312"/>
              </w:rPr>
            </w:pPr>
            <w:r>
              <w:rPr>
                <w:rFonts w:hint="eastAsia" w:ascii="仿宋_GB2312" w:hAnsi="仿宋_GB2312" w:eastAsia="仿宋_GB2312" w:cs="仿宋_GB2312"/>
              </w:rPr>
              <w:t>昆明市</w:t>
            </w:r>
            <w:r>
              <w:rPr>
                <w:rFonts w:hint="eastAsia" w:ascii="仿宋_GB2312" w:hAnsi="仿宋_GB2312" w:eastAsia="仿宋_GB2312" w:cs="仿宋_GB2312"/>
                <w:lang w:eastAsia="zh-CN"/>
              </w:rPr>
              <w:t>晋宁区自然资源局</w:t>
            </w:r>
            <w:r>
              <w:rPr>
                <w:rFonts w:hint="eastAsia" w:ascii="仿宋_GB2312" w:hAnsi="仿宋_GB2312" w:eastAsia="仿宋_GB2312" w:cs="仿宋_GB2312"/>
              </w:rPr>
              <w:t>、</w:t>
            </w:r>
            <w:r>
              <w:rPr>
                <w:rFonts w:hint="eastAsia" w:ascii="仿宋_GB2312" w:hAnsi="仿宋_GB2312" w:eastAsia="仿宋_GB2312" w:cs="仿宋_GB2312"/>
                <w:lang w:eastAsia="zh-CN"/>
              </w:rPr>
              <w:t>晋宁区</w:t>
            </w:r>
            <w:r>
              <w:rPr>
                <w:rFonts w:hint="eastAsia" w:ascii="仿宋_GB2312" w:hAnsi="仿宋_GB2312" w:eastAsia="仿宋_GB2312" w:cs="仿宋_GB2312"/>
              </w:rPr>
              <w:t>农业农村局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noWrap w:val="0"/>
            <w:vAlign w:val="center"/>
          </w:tcPr>
          <w:p>
            <w:pPr>
              <w:adjustRightInd w:val="0"/>
              <w:snapToGrid w:val="0"/>
              <w:spacing w:line="360" w:lineRule="auto"/>
              <w:jc w:val="center"/>
              <w:rPr>
                <w:rFonts w:hint="eastAsia" w:ascii="仿宋_GB2312" w:hAnsi="仿宋_GB2312" w:eastAsia="仿宋_GB2312" w:cs="仿宋_GB2312"/>
              </w:rPr>
            </w:pPr>
            <w:r>
              <w:rPr>
                <w:rFonts w:hint="eastAsia" w:ascii="仿宋_GB2312" w:hAnsi="仿宋_GB2312" w:eastAsia="仿宋_GB2312" w:cs="仿宋_GB2312"/>
              </w:rPr>
              <w:t>13</w:t>
            </w:r>
          </w:p>
        </w:tc>
        <w:tc>
          <w:tcPr>
            <w:tcW w:w="3544" w:type="dxa"/>
            <w:noWrap w:val="0"/>
            <w:vAlign w:val="center"/>
          </w:tcPr>
          <w:p>
            <w:pPr>
              <w:adjustRightInd w:val="0"/>
              <w:snapToGrid w:val="0"/>
              <w:spacing w:line="360" w:lineRule="auto"/>
              <w:rPr>
                <w:rFonts w:hint="eastAsia" w:ascii="仿宋_GB2312" w:hAnsi="仿宋_GB2312" w:eastAsia="仿宋_GB2312" w:cs="仿宋_GB2312"/>
              </w:rPr>
            </w:pPr>
            <w:r>
              <w:rPr>
                <w:rFonts w:hint="eastAsia" w:ascii="仿宋_GB2312" w:hAnsi="仿宋_GB2312" w:eastAsia="仿宋_GB2312" w:cs="仿宋_GB2312"/>
                <w:kern w:val="2"/>
              </w:rPr>
              <w:t>不按土地使用权出让合同约定的期限和条件开发、利用土地的</w:t>
            </w:r>
          </w:p>
        </w:tc>
        <w:tc>
          <w:tcPr>
            <w:tcW w:w="3402" w:type="dxa"/>
            <w:noWrap w:val="0"/>
            <w:vAlign w:val="center"/>
          </w:tcPr>
          <w:p>
            <w:pPr>
              <w:adjustRightInd w:val="0"/>
              <w:snapToGrid w:val="0"/>
              <w:spacing w:line="360" w:lineRule="auto"/>
              <w:rPr>
                <w:rFonts w:hint="eastAsia" w:ascii="仿宋_GB2312" w:hAnsi="仿宋_GB2312" w:eastAsia="仿宋_GB2312" w:cs="仿宋_GB2312"/>
              </w:rPr>
            </w:pPr>
            <w:r>
              <w:rPr>
                <w:rFonts w:hint="eastAsia" w:ascii="仿宋_GB2312" w:hAnsi="仿宋_GB2312" w:eastAsia="仿宋_GB2312" w:cs="仿宋_GB2312"/>
                <w:kern w:val="2"/>
              </w:rPr>
              <w:t>《中华人民共和国城镇国有土地使用权出让和转让暂行条例》第十七条；《云南省城镇国有土地使用权出让和转让实施办法》第十七条。</w:t>
            </w:r>
          </w:p>
        </w:tc>
        <w:tc>
          <w:tcPr>
            <w:tcW w:w="3260" w:type="dxa"/>
            <w:noWrap w:val="0"/>
            <w:vAlign w:val="center"/>
          </w:tcPr>
          <w:p>
            <w:pPr>
              <w:adjustRightInd w:val="0"/>
              <w:snapToGrid w:val="0"/>
              <w:spacing w:line="360" w:lineRule="auto"/>
              <w:rPr>
                <w:rFonts w:hint="eastAsia" w:ascii="仿宋_GB2312" w:hAnsi="仿宋_GB2312" w:eastAsia="仿宋_GB2312" w:cs="仿宋_GB2312"/>
              </w:rPr>
            </w:pPr>
            <w:r>
              <w:rPr>
                <w:rFonts w:hint="eastAsia" w:ascii="仿宋_GB2312" w:hAnsi="仿宋_GB2312" w:eastAsia="仿宋_GB2312" w:cs="仿宋_GB2312"/>
                <w:kern w:val="2"/>
              </w:rPr>
              <w:t>已动工开发建设但开发建设的面积占应动工开发建设总面积不足三分之一或者已投资额占总投资额不足25%且未经批准中止开发建设连续满一年的</w:t>
            </w:r>
            <w:r>
              <w:rPr>
                <w:rFonts w:hint="eastAsia" w:ascii="仿宋_GB2312" w:hAnsi="仿宋_GB2312" w:eastAsia="仿宋_GB2312" w:cs="仿宋_GB2312"/>
              </w:rPr>
              <w:t>。</w:t>
            </w:r>
          </w:p>
        </w:tc>
        <w:tc>
          <w:tcPr>
            <w:tcW w:w="1904" w:type="dxa"/>
            <w:noWrap w:val="0"/>
            <w:vAlign w:val="center"/>
          </w:tcPr>
          <w:p>
            <w:pPr>
              <w:adjustRightInd w:val="0"/>
              <w:snapToGrid w:val="0"/>
              <w:spacing w:line="360" w:lineRule="auto"/>
              <w:jc w:val="center"/>
              <w:rPr>
                <w:rFonts w:hint="eastAsia" w:ascii="仿宋_GB2312" w:hAnsi="仿宋_GB2312" w:eastAsia="仿宋_GB2312" w:cs="仿宋_GB2312"/>
              </w:rPr>
            </w:pPr>
            <w:r>
              <w:rPr>
                <w:rFonts w:hint="eastAsia" w:ascii="仿宋_GB2312" w:hAnsi="仿宋_GB2312" w:eastAsia="仿宋_GB2312" w:cs="仿宋_GB2312"/>
              </w:rPr>
              <w:t>昆明市</w:t>
            </w:r>
            <w:r>
              <w:rPr>
                <w:rFonts w:hint="eastAsia" w:ascii="仿宋_GB2312" w:hAnsi="仿宋_GB2312" w:eastAsia="仿宋_GB2312" w:cs="仿宋_GB2312"/>
                <w:lang w:eastAsia="zh-CN"/>
              </w:rPr>
              <w:t>晋宁区自然资源局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trPr>
        <w:tc>
          <w:tcPr>
            <w:tcW w:w="1838" w:type="dxa"/>
            <w:noWrap w:val="0"/>
            <w:vAlign w:val="center"/>
          </w:tcPr>
          <w:p>
            <w:pPr>
              <w:adjustRightInd w:val="0"/>
              <w:snapToGrid w:val="0"/>
              <w:spacing w:line="360" w:lineRule="auto"/>
              <w:jc w:val="center"/>
              <w:rPr>
                <w:rFonts w:hint="eastAsia" w:ascii="仿宋_GB2312" w:hAnsi="仿宋_GB2312" w:eastAsia="仿宋_GB2312" w:cs="仿宋_GB2312"/>
              </w:rPr>
            </w:pPr>
            <w:r>
              <w:rPr>
                <w:rFonts w:hint="eastAsia" w:ascii="仿宋_GB2312" w:hAnsi="仿宋_GB2312" w:eastAsia="仿宋_GB2312" w:cs="仿宋_GB2312"/>
              </w:rPr>
              <w:t>14</w:t>
            </w:r>
          </w:p>
        </w:tc>
        <w:tc>
          <w:tcPr>
            <w:tcW w:w="3544" w:type="dxa"/>
            <w:noWrap w:val="0"/>
            <w:vAlign w:val="center"/>
          </w:tcPr>
          <w:p>
            <w:pPr>
              <w:adjustRightInd w:val="0"/>
              <w:snapToGrid w:val="0"/>
              <w:spacing w:line="360" w:lineRule="auto"/>
              <w:rPr>
                <w:rFonts w:hint="eastAsia" w:ascii="仿宋_GB2312" w:hAnsi="仿宋_GB2312" w:eastAsia="仿宋_GB2312" w:cs="仿宋_GB2312"/>
              </w:rPr>
            </w:pPr>
            <w:r>
              <w:rPr>
                <w:rFonts w:hint="eastAsia" w:ascii="仿宋_GB2312" w:hAnsi="仿宋_GB2312" w:eastAsia="仿宋_GB2312" w:cs="仿宋_GB2312"/>
              </w:rPr>
              <w:t>对接受调查的单位和个人不履行现场指界义务，拒绝提供或提供虚假调查资料的</w:t>
            </w:r>
          </w:p>
        </w:tc>
        <w:tc>
          <w:tcPr>
            <w:tcW w:w="3402" w:type="dxa"/>
            <w:noWrap w:val="0"/>
            <w:vAlign w:val="center"/>
          </w:tcPr>
          <w:p>
            <w:pPr>
              <w:adjustRightInd w:val="0"/>
              <w:snapToGrid w:val="0"/>
              <w:spacing w:line="360" w:lineRule="auto"/>
              <w:rPr>
                <w:rFonts w:hint="eastAsia" w:ascii="仿宋_GB2312" w:hAnsi="仿宋_GB2312" w:eastAsia="仿宋_GB2312" w:cs="仿宋_GB2312"/>
              </w:rPr>
            </w:pPr>
            <w:r>
              <w:rPr>
                <w:rFonts w:hint="eastAsia" w:ascii="仿宋_GB2312" w:hAnsi="仿宋_GB2312" w:eastAsia="仿宋_GB2312" w:cs="仿宋_GB2312"/>
              </w:rPr>
              <w:t>《土地调查条例》第三十二条；《土地调查条例实施办法》第二十九条。</w:t>
            </w:r>
          </w:p>
        </w:tc>
        <w:tc>
          <w:tcPr>
            <w:tcW w:w="3260" w:type="dxa"/>
            <w:noWrap w:val="0"/>
            <w:vAlign w:val="center"/>
          </w:tcPr>
          <w:p>
            <w:pPr>
              <w:adjustRightInd w:val="0"/>
              <w:snapToGrid w:val="0"/>
              <w:spacing w:line="360" w:lineRule="auto"/>
              <w:rPr>
                <w:rFonts w:hint="eastAsia" w:ascii="仿宋_GB2312" w:hAnsi="仿宋_GB2312" w:eastAsia="仿宋_GB2312" w:cs="仿宋_GB2312"/>
              </w:rPr>
            </w:pPr>
            <w:r>
              <w:rPr>
                <w:rFonts w:hint="eastAsia" w:ascii="仿宋_GB2312" w:hAnsi="仿宋_GB2312" w:eastAsia="仿宋_GB2312" w:cs="仿宋_GB2312"/>
              </w:rPr>
              <w:t>无正当理由不履行现场指界义务，未造成严重后果的。</w:t>
            </w:r>
          </w:p>
        </w:tc>
        <w:tc>
          <w:tcPr>
            <w:tcW w:w="1904" w:type="dxa"/>
            <w:noWrap w:val="0"/>
            <w:vAlign w:val="center"/>
          </w:tcPr>
          <w:p>
            <w:pPr>
              <w:adjustRightInd w:val="0"/>
              <w:snapToGrid w:val="0"/>
              <w:spacing w:line="360" w:lineRule="auto"/>
              <w:jc w:val="center"/>
              <w:rPr>
                <w:rFonts w:hint="eastAsia" w:ascii="仿宋_GB2312" w:hAnsi="仿宋_GB2312" w:eastAsia="仿宋_GB2312" w:cs="仿宋_GB2312"/>
              </w:rPr>
            </w:pPr>
            <w:r>
              <w:rPr>
                <w:rFonts w:hint="eastAsia" w:ascii="仿宋_GB2312" w:hAnsi="仿宋_GB2312" w:eastAsia="仿宋_GB2312" w:cs="仿宋_GB2312"/>
              </w:rPr>
              <w:t>昆明市</w:t>
            </w:r>
            <w:r>
              <w:rPr>
                <w:rFonts w:hint="eastAsia" w:ascii="仿宋_GB2312" w:hAnsi="仿宋_GB2312" w:eastAsia="仿宋_GB2312" w:cs="仿宋_GB2312"/>
                <w:lang w:eastAsia="zh-CN"/>
              </w:rPr>
              <w:t>晋宁区自然资源局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noWrap w:val="0"/>
            <w:vAlign w:val="center"/>
          </w:tcPr>
          <w:p>
            <w:pPr>
              <w:adjustRightInd w:val="0"/>
              <w:snapToGrid w:val="0"/>
              <w:spacing w:line="360" w:lineRule="auto"/>
              <w:jc w:val="center"/>
              <w:rPr>
                <w:rFonts w:hint="eastAsia" w:ascii="仿宋_GB2312" w:hAnsi="仿宋_GB2312" w:eastAsia="仿宋_GB2312" w:cs="仿宋_GB2312"/>
              </w:rPr>
            </w:pPr>
            <w:r>
              <w:rPr>
                <w:rFonts w:hint="eastAsia" w:ascii="仿宋_GB2312" w:hAnsi="仿宋_GB2312" w:eastAsia="仿宋_GB2312" w:cs="仿宋_GB2312"/>
              </w:rPr>
              <w:t>15</w:t>
            </w:r>
          </w:p>
        </w:tc>
        <w:tc>
          <w:tcPr>
            <w:tcW w:w="3544" w:type="dxa"/>
            <w:noWrap w:val="0"/>
            <w:vAlign w:val="center"/>
          </w:tcPr>
          <w:p>
            <w:pPr>
              <w:adjustRightInd w:val="0"/>
              <w:snapToGrid w:val="0"/>
              <w:spacing w:line="360" w:lineRule="auto"/>
              <w:rPr>
                <w:rFonts w:hint="eastAsia" w:ascii="仿宋_GB2312" w:hAnsi="仿宋_GB2312" w:eastAsia="仿宋_GB2312" w:cs="仿宋_GB2312"/>
              </w:rPr>
            </w:pPr>
            <w:r>
              <w:rPr>
                <w:rFonts w:hint="eastAsia" w:ascii="仿宋_GB2312" w:hAnsi="仿宋_GB2312" w:eastAsia="仿宋_GB2312" w:cs="仿宋_GB2312"/>
              </w:rPr>
              <w:t>接受调查的单位和个人拒绝或者阻挠土地调查人员依法进行调查的，转移、隐匿、篡改、毁弃原始记录、土地登记簿等相关资料的</w:t>
            </w:r>
          </w:p>
        </w:tc>
        <w:tc>
          <w:tcPr>
            <w:tcW w:w="3402" w:type="dxa"/>
            <w:noWrap w:val="0"/>
            <w:vAlign w:val="center"/>
          </w:tcPr>
          <w:p>
            <w:pPr>
              <w:adjustRightInd w:val="0"/>
              <w:snapToGrid w:val="0"/>
              <w:spacing w:line="360" w:lineRule="auto"/>
              <w:rPr>
                <w:rFonts w:hint="eastAsia" w:ascii="仿宋_GB2312" w:hAnsi="仿宋_GB2312" w:eastAsia="仿宋_GB2312" w:cs="仿宋_GB2312"/>
              </w:rPr>
            </w:pPr>
            <w:r>
              <w:rPr>
                <w:rFonts w:hint="eastAsia" w:ascii="仿宋_GB2312" w:hAnsi="仿宋_GB2312" w:eastAsia="仿宋_GB2312" w:cs="仿宋_GB2312"/>
              </w:rPr>
              <w:t>《土地调查条例》第三十二条</w:t>
            </w:r>
          </w:p>
        </w:tc>
        <w:tc>
          <w:tcPr>
            <w:tcW w:w="3260" w:type="dxa"/>
            <w:noWrap w:val="0"/>
            <w:vAlign w:val="center"/>
          </w:tcPr>
          <w:p>
            <w:pPr>
              <w:adjustRightInd w:val="0"/>
              <w:snapToGrid w:val="0"/>
              <w:spacing w:line="360" w:lineRule="auto"/>
              <w:rPr>
                <w:rFonts w:hint="eastAsia" w:ascii="仿宋_GB2312" w:hAnsi="仿宋_GB2312" w:eastAsia="仿宋_GB2312" w:cs="仿宋_GB2312"/>
              </w:rPr>
            </w:pPr>
            <w:r>
              <w:rPr>
                <w:rFonts w:hint="eastAsia" w:ascii="仿宋_GB2312" w:hAnsi="仿宋_GB2312" w:eastAsia="仿宋_GB2312" w:cs="仿宋_GB2312"/>
              </w:rPr>
              <w:t>拒绝调查，未造成严重后果的。</w:t>
            </w:r>
          </w:p>
        </w:tc>
        <w:tc>
          <w:tcPr>
            <w:tcW w:w="1904" w:type="dxa"/>
            <w:noWrap w:val="0"/>
            <w:vAlign w:val="center"/>
          </w:tcPr>
          <w:p>
            <w:pPr>
              <w:adjustRightInd w:val="0"/>
              <w:snapToGrid w:val="0"/>
              <w:spacing w:line="360" w:lineRule="auto"/>
              <w:jc w:val="center"/>
              <w:rPr>
                <w:rFonts w:hint="eastAsia" w:ascii="仿宋_GB2312" w:hAnsi="仿宋_GB2312" w:eastAsia="仿宋_GB2312" w:cs="仿宋_GB2312"/>
              </w:rPr>
            </w:pPr>
            <w:r>
              <w:rPr>
                <w:rFonts w:hint="eastAsia" w:ascii="仿宋_GB2312" w:hAnsi="仿宋_GB2312" w:eastAsia="仿宋_GB2312" w:cs="仿宋_GB2312"/>
              </w:rPr>
              <w:t>昆明市</w:t>
            </w:r>
            <w:r>
              <w:rPr>
                <w:rFonts w:hint="eastAsia" w:ascii="仿宋_GB2312" w:hAnsi="仿宋_GB2312" w:eastAsia="仿宋_GB2312" w:cs="仿宋_GB2312"/>
                <w:lang w:eastAsia="zh-CN"/>
              </w:rPr>
              <w:t>晋宁区自然资源局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noWrap w:val="0"/>
            <w:vAlign w:val="center"/>
          </w:tcPr>
          <w:p>
            <w:pPr>
              <w:adjustRightInd w:val="0"/>
              <w:snapToGrid w:val="0"/>
              <w:spacing w:line="360" w:lineRule="auto"/>
              <w:jc w:val="center"/>
              <w:rPr>
                <w:rFonts w:hint="eastAsia" w:ascii="仿宋_GB2312" w:hAnsi="仿宋_GB2312" w:eastAsia="仿宋_GB2312" w:cs="仿宋_GB2312"/>
              </w:rPr>
            </w:pPr>
            <w:r>
              <w:rPr>
                <w:rFonts w:hint="eastAsia" w:ascii="仿宋_GB2312" w:hAnsi="仿宋_GB2312" w:eastAsia="仿宋_GB2312" w:cs="仿宋_GB2312"/>
              </w:rPr>
              <w:t>16</w:t>
            </w:r>
          </w:p>
        </w:tc>
        <w:tc>
          <w:tcPr>
            <w:tcW w:w="3544" w:type="dxa"/>
            <w:noWrap w:val="0"/>
            <w:vAlign w:val="center"/>
          </w:tcPr>
          <w:p>
            <w:pPr>
              <w:adjustRightInd w:val="0"/>
              <w:snapToGrid w:val="0"/>
              <w:spacing w:line="360" w:lineRule="auto"/>
              <w:rPr>
                <w:rFonts w:hint="eastAsia" w:ascii="仿宋_GB2312" w:hAnsi="仿宋_GB2312" w:eastAsia="仿宋_GB2312" w:cs="仿宋_GB2312"/>
              </w:rPr>
            </w:pPr>
            <w:r>
              <w:rPr>
                <w:rFonts w:hint="eastAsia" w:ascii="仿宋_GB2312" w:hAnsi="仿宋_GB2312" w:eastAsia="仿宋_GB2312" w:cs="仿宋_GB2312"/>
              </w:rPr>
              <w:t>《土地复垦条例》实施前已经办理建设用地手续或者领取采矿许可证，《土地复垦条例》施行后继续从事生产建设活动造成土地损毁的土地复垦义务人未按照规定补充编制土地复垦方案</w:t>
            </w:r>
          </w:p>
        </w:tc>
        <w:tc>
          <w:tcPr>
            <w:tcW w:w="3402" w:type="dxa"/>
            <w:noWrap w:val="0"/>
            <w:vAlign w:val="center"/>
          </w:tcPr>
          <w:p>
            <w:pPr>
              <w:adjustRightInd w:val="0"/>
              <w:snapToGrid w:val="0"/>
              <w:spacing w:line="360" w:lineRule="auto"/>
              <w:rPr>
                <w:rFonts w:hint="eastAsia" w:ascii="仿宋_GB2312" w:hAnsi="仿宋_GB2312" w:eastAsia="仿宋_GB2312" w:cs="仿宋_GB2312"/>
              </w:rPr>
            </w:pPr>
            <w:r>
              <w:rPr>
                <w:rFonts w:hint="eastAsia" w:ascii="仿宋_GB2312" w:hAnsi="仿宋_GB2312" w:eastAsia="仿宋_GB2312" w:cs="仿宋_GB2312"/>
              </w:rPr>
              <w:t>《土地复垦条例》第三十七条</w:t>
            </w:r>
          </w:p>
        </w:tc>
        <w:tc>
          <w:tcPr>
            <w:tcW w:w="3260" w:type="dxa"/>
            <w:noWrap w:val="0"/>
            <w:vAlign w:val="center"/>
          </w:tcPr>
          <w:p>
            <w:pPr>
              <w:adjustRightInd w:val="0"/>
              <w:snapToGrid w:val="0"/>
              <w:spacing w:line="360" w:lineRule="auto"/>
              <w:rPr>
                <w:rFonts w:hint="eastAsia" w:ascii="仿宋_GB2312" w:hAnsi="仿宋_GB2312" w:eastAsia="仿宋_GB2312" w:cs="仿宋_GB2312"/>
              </w:rPr>
            </w:pPr>
            <w:r>
              <w:rPr>
                <w:rFonts w:hint="eastAsia" w:ascii="仿宋_GB2312" w:hAnsi="仿宋_GB2312" w:eastAsia="仿宋_GB2312" w:cs="仿宋_GB2312"/>
              </w:rPr>
              <w:t>责令限期改正，逾期后在1个月以内改正的。</w:t>
            </w:r>
          </w:p>
        </w:tc>
        <w:tc>
          <w:tcPr>
            <w:tcW w:w="1904" w:type="dxa"/>
            <w:noWrap w:val="0"/>
            <w:vAlign w:val="center"/>
          </w:tcPr>
          <w:p>
            <w:pPr>
              <w:adjustRightInd w:val="0"/>
              <w:snapToGrid w:val="0"/>
              <w:spacing w:line="360" w:lineRule="auto"/>
              <w:jc w:val="center"/>
              <w:rPr>
                <w:rFonts w:hint="eastAsia" w:ascii="仿宋_GB2312" w:hAnsi="仿宋_GB2312" w:eastAsia="仿宋_GB2312" w:cs="仿宋_GB2312"/>
              </w:rPr>
            </w:pPr>
            <w:r>
              <w:rPr>
                <w:rFonts w:hint="eastAsia" w:ascii="仿宋_GB2312" w:hAnsi="仿宋_GB2312" w:eastAsia="仿宋_GB2312" w:cs="仿宋_GB2312"/>
              </w:rPr>
              <w:t>昆明市</w:t>
            </w:r>
            <w:r>
              <w:rPr>
                <w:rFonts w:hint="eastAsia" w:ascii="仿宋_GB2312" w:hAnsi="仿宋_GB2312" w:eastAsia="仿宋_GB2312" w:cs="仿宋_GB2312"/>
                <w:lang w:eastAsia="zh-CN"/>
              </w:rPr>
              <w:t>晋宁区自然资源局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noWrap w:val="0"/>
            <w:vAlign w:val="center"/>
          </w:tcPr>
          <w:p>
            <w:pPr>
              <w:adjustRightInd w:val="0"/>
              <w:snapToGrid w:val="0"/>
              <w:spacing w:line="360" w:lineRule="auto"/>
              <w:jc w:val="center"/>
              <w:rPr>
                <w:rFonts w:hint="eastAsia" w:ascii="仿宋_GB2312" w:hAnsi="仿宋_GB2312" w:eastAsia="仿宋_GB2312" w:cs="仿宋_GB2312"/>
              </w:rPr>
            </w:pPr>
            <w:r>
              <w:rPr>
                <w:rFonts w:hint="eastAsia" w:ascii="仿宋_GB2312" w:hAnsi="仿宋_GB2312" w:eastAsia="仿宋_GB2312" w:cs="仿宋_GB2312"/>
              </w:rPr>
              <w:t>17</w:t>
            </w:r>
          </w:p>
        </w:tc>
        <w:tc>
          <w:tcPr>
            <w:tcW w:w="3544" w:type="dxa"/>
            <w:noWrap w:val="0"/>
            <w:vAlign w:val="center"/>
          </w:tcPr>
          <w:p>
            <w:pPr>
              <w:adjustRightInd w:val="0"/>
              <w:snapToGrid w:val="0"/>
              <w:spacing w:line="360" w:lineRule="auto"/>
              <w:rPr>
                <w:rFonts w:hint="eastAsia" w:ascii="仿宋_GB2312" w:hAnsi="仿宋_GB2312" w:eastAsia="仿宋_GB2312" w:cs="仿宋_GB2312"/>
              </w:rPr>
            </w:pPr>
            <w:r>
              <w:rPr>
                <w:rFonts w:hint="eastAsia" w:ascii="仿宋_GB2312" w:hAnsi="仿宋_GB2312" w:eastAsia="仿宋_GB2312" w:cs="仿宋_GB2312"/>
              </w:rPr>
              <w:t>土地复垦义务人未按照规定将土地复垦费用列入生产成本或者建设项目总投资的</w:t>
            </w:r>
          </w:p>
        </w:tc>
        <w:tc>
          <w:tcPr>
            <w:tcW w:w="3402" w:type="dxa"/>
            <w:noWrap w:val="0"/>
            <w:vAlign w:val="center"/>
          </w:tcPr>
          <w:p>
            <w:pPr>
              <w:adjustRightInd w:val="0"/>
              <w:snapToGrid w:val="0"/>
              <w:spacing w:line="360" w:lineRule="auto"/>
              <w:rPr>
                <w:rFonts w:hint="eastAsia" w:ascii="仿宋_GB2312" w:hAnsi="仿宋_GB2312" w:eastAsia="仿宋_GB2312" w:cs="仿宋_GB2312"/>
              </w:rPr>
            </w:pPr>
            <w:r>
              <w:rPr>
                <w:rFonts w:hint="eastAsia" w:ascii="仿宋_GB2312" w:hAnsi="仿宋_GB2312" w:eastAsia="仿宋_GB2312" w:cs="仿宋_GB2312"/>
              </w:rPr>
              <w:t>《土地复垦条例》第三十八条</w:t>
            </w:r>
          </w:p>
        </w:tc>
        <w:tc>
          <w:tcPr>
            <w:tcW w:w="3260" w:type="dxa"/>
            <w:noWrap w:val="0"/>
            <w:vAlign w:val="center"/>
          </w:tcPr>
          <w:p>
            <w:pPr>
              <w:adjustRightInd w:val="0"/>
              <w:snapToGrid w:val="0"/>
              <w:spacing w:line="360" w:lineRule="auto"/>
              <w:rPr>
                <w:rFonts w:hint="eastAsia" w:ascii="仿宋_GB2312" w:hAnsi="仿宋_GB2312" w:eastAsia="仿宋_GB2312" w:cs="仿宋_GB2312"/>
              </w:rPr>
            </w:pPr>
            <w:r>
              <w:rPr>
                <w:rFonts w:hint="eastAsia" w:ascii="仿宋_GB2312" w:hAnsi="仿宋_GB2312" w:eastAsia="仿宋_GB2312" w:cs="仿宋_GB2312"/>
              </w:rPr>
              <w:t>责令限期改正，逾期后在1个月以内改正的。</w:t>
            </w:r>
          </w:p>
        </w:tc>
        <w:tc>
          <w:tcPr>
            <w:tcW w:w="1904" w:type="dxa"/>
            <w:noWrap w:val="0"/>
            <w:vAlign w:val="center"/>
          </w:tcPr>
          <w:p>
            <w:pPr>
              <w:adjustRightInd w:val="0"/>
              <w:snapToGrid w:val="0"/>
              <w:spacing w:line="360" w:lineRule="auto"/>
              <w:jc w:val="center"/>
              <w:rPr>
                <w:rFonts w:hint="eastAsia" w:ascii="仿宋_GB2312" w:hAnsi="仿宋_GB2312" w:eastAsia="仿宋_GB2312" w:cs="仿宋_GB2312"/>
              </w:rPr>
            </w:pPr>
            <w:r>
              <w:rPr>
                <w:rFonts w:hint="eastAsia" w:ascii="仿宋_GB2312" w:hAnsi="仿宋_GB2312" w:eastAsia="仿宋_GB2312" w:cs="仿宋_GB2312"/>
              </w:rPr>
              <w:t>昆明市</w:t>
            </w:r>
            <w:r>
              <w:rPr>
                <w:rFonts w:hint="eastAsia" w:ascii="仿宋_GB2312" w:hAnsi="仿宋_GB2312" w:eastAsia="仿宋_GB2312" w:cs="仿宋_GB2312"/>
                <w:lang w:eastAsia="zh-CN"/>
              </w:rPr>
              <w:t>晋宁区自然资源局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noWrap w:val="0"/>
            <w:vAlign w:val="center"/>
          </w:tcPr>
          <w:p>
            <w:pPr>
              <w:adjustRightInd w:val="0"/>
              <w:snapToGrid w:val="0"/>
              <w:spacing w:line="360" w:lineRule="auto"/>
              <w:jc w:val="center"/>
              <w:rPr>
                <w:rFonts w:hint="eastAsia" w:ascii="仿宋_GB2312" w:hAnsi="仿宋_GB2312" w:eastAsia="仿宋_GB2312" w:cs="仿宋_GB2312"/>
              </w:rPr>
            </w:pPr>
            <w:r>
              <w:rPr>
                <w:rFonts w:hint="eastAsia" w:ascii="仿宋_GB2312" w:hAnsi="仿宋_GB2312" w:eastAsia="仿宋_GB2312" w:cs="仿宋_GB2312"/>
              </w:rPr>
              <w:t>18</w:t>
            </w:r>
          </w:p>
        </w:tc>
        <w:tc>
          <w:tcPr>
            <w:tcW w:w="3544" w:type="dxa"/>
            <w:noWrap w:val="0"/>
            <w:vAlign w:val="center"/>
          </w:tcPr>
          <w:p>
            <w:pPr>
              <w:adjustRightInd w:val="0"/>
              <w:snapToGrid w:val="0"/>
              <w:spacing w:line="360" w:lineRule="auto"/>
              <w:rPr>
                <w:rFonts w:hint="eastAsia" w:ascii="仿宋_GB2312" w:hAnsi="仿宋_GB2312" w:eastAsia="仿宋_GB2312" w:cs="仿宋_GB2312"/>
              </w:rPr>
            </w:pPr>
            <w:r>
              <w:rPr>
                <w:rFonts w:hint="eastAsia" w:ascii="仿宋_GB2312" w:hAnsi="仿宋_GB2312" w:eastAsia="仿宋_GB2312" w:cs="仿宋_GB2312"/>
                <w:color w:val="333333"/>
              </w:rPr>
              <w:t>土地复垦义务人未按照规定报告土地损毁情况、土地复垦费用使用情况或者土地复垦工程实施情况的</w:t>
            </w:r>
          </w:p>
        </w:tc>
        <w:tc>
          <w:tcPr>
            <w:tcW w:w="3402" w:type="dxa"/>
            <w:noWrap w:val="0"/>
            <w:vAlign w:val="center"/>
          </w:tcPr>
          <w:p>
            <w:pPr>
              <w:adjustRightInd w:val="0"/>
              <w:snapToGrid w:val="0"/>
              <w:spacing w:line="360" w:lineRule="auto"/>
              <w:rPr>
                <w:rFonts w:hint="eastAsia" w:ascii="仿宋_GB2312" w:hAnsi="仿宋_GB2312" w:eastAsia="仿宋_GB2312" w:cs="仿宋_GB2312"/>
              </w:rPr>
            </w:pPr>
            <w:r>
              <w:rPr>
                <w:rFonts w:hint="eastAsia" w:ascii="仿宋_GB2312" w:hAnsi="仿宋_GB2312" w:eastAsia="仿宋_GB2312" w:cs="仿宋_GB2312"/>
              </w:rPr>
              <w:t>《土地复垦条例》第四十一条</w:t>
            </w:r>
          </w:p>
        </w:tc>
        <w:tc>
          <w:tcPr>
            <w:tcW w:w="3260" w:type="dxa"/>
            <w:noWrap w:val="0"/>
            <w:vAlign w:val="center"/>
          </w:tcPr>
          <w:p>
            <w:pPr>
              <w:adjustRightInd w:val="0"/>
              <w:snapToGrid w:val="0"/>
              <w:spacing w:line="360" w:lineRule="auto"/>
              <w:rPr>
                <w:rFonts w:hint="eastAsia" w:ascii="仿宋_GB2312" w:hAnsi="仿宋_GB2312" w:eastAsia="仿宋_GB2312" w:cs="仿宋_GB2312"/>
              </w:rPr>
            </w:pPr>
            <w:r>
              <w:rPr>
                <w:rFonts w:hint="eastAsia" w:ascii="仿宋_GB2312" w:hAnsi="仿宋_GB2312" w:eastAsia="仿宋_GB2312" w:cs="仿宋_GB2312"/>
              </w:rPr>
              <w:t>责令限期改正，逾期后在1个月以内改正的。</w:t>
            </w:r>
          </w:p>
        </w:tc>
        <w:tc>
          <w:tcPr>
            <w:tcW w:w="1904" w:type="dxa"/>
            <w:noWrap w:val="0"/>
            <w:vAlign w:val="center"/>
          </w:tcPr>
          <w:p>
            <w:pPr>
              <w:adjustRightInd w:val="0"/>
              <w:snapToGrid w:val="0"/>
              <w:spacing w:line="360" w:lineRule="auto"/>
              <w:jc w:val="center"/>
              <w:rPr>
                <w:rFonts w:hint="eastAsia" w:ascii="仿宋_GB2312" w:hAnsi="仿宋_GB2312" w:eastAsia="仿宋_GB2312" w:cs="仿宋_GB2312"/>
              </w:rPr>
            </w:pPr>
            <w:r>
              <w:rPr>
                <w:rFonts w:hint="eastAsia" w:ascii="仿宋_GB2312" w:hAnsi="仿宋_GB2312" w:eastAsia="仿宋_GB2312" w:cs="仿宋_GB2312"/>
              </w:rPr>
              <w:t>昆明市</w:t>
            </w:r>
            <w:r>
              <w:rPr>
                <w:rFonts w:hint="eastAsia" w:ascii="仿宋_GB2312" w:hAnsi="仿宋_GB2312" w:eastAsia="仿宋_GB2312" w:cs="仿宋_GB2312"/>
                <w:lang w:eastAsia="zh-CN"/>
              </w:rPr>
              <w:t>晋宁区自然资源局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noWrap w:val="0"/>
            <w:vAlign w:val="center"/>
          </w:tcPr>
          <w:p>
            <w:pPr>
              <w:adjustRightInd w:val="0"/>
              <w:snapToGrid w:val="0"/>
              <w:spacing w:line="360" w:lineRule="auto"/>
              <w:jc w:val="center"/>
              <w:rPr>
                <w:rFonts w:hint="eastAsia" w:ascii="仿宋_GB2312" w:hAnsi="仿宋_GB2312" w:eastAsia="仿宋_GB2312" w:cs="仿宋_GB2312"/>
              </w:rPr>
            </w:pPr>
            <w:r>
              <w:rPr>
                <w:rFonts w:hint="eastAsia" w:ascii="仿宋_GB2312" w:hAnsi="仿宋_GB2312" w:eastAsia="仿宋_GB2312" w:cs="仿宋_GB2312"/>
              </w:rPr>
              <w:t>19</w:t>
            </w:r>
          </w:p>
        </w:tc>
        <w:tc>
          <w:tcPr>
            <w:tcW w:w="3544" w:type="dxa"/>
            <w:noWrap w:val="0"/>
            <w:vAlign w:val="center"/>
          </w:tcPr>
          <w:p>
            <w:pPr>
              <w:adjustRightInd w:val="0"/>
              <w:snapToGrid w:val="0"/>
              <w:spacing w:line="360" w:lineRule="auto"/>
              <w:rPr>
                <w:rFonts w:hint="eastAsia" w:ascii="仿宋_GB2312" w:hAnsi="仿宋_GB2312" w:eastAsia="仿宋_GB2312" w:cs="仿宋_GB2312"/>
              </w:rPr>
            </w:pPr>
            <w:r>
              <w:rPr>
                <w:rFonts w:hint="eastAsia" w:ascii="仿宋_GB2312" w:hAnsi="仿宋_GB2312" w:eastAsia="仿宋_GB2312" w:cs="仿宋_GB2312"/>
              </w:rPr>
              <w:t>土地复垦义务人拒绝、阻碍自然资源主管部门监督检查，或者在接受监督检查时弄虚作假的</w:t>
            </w:r>
          </w:p>
        </w:tc>
        <w:tc>
          <w:tcPr>
            <w:tcW w:w="3402" w:type="dxa"/>
            <w:noWrap w:val="0"/>
            <w:vAlign w:val="center"/>
          </w:tcPr>
          <w:p>
            <w:pPr>
              <w:adjustRightInd w:val="0"/>
              <w:snapToGrid w:val="0"/>
              <w:spacing w:line="360" w:lineRule="auto"/>
              <w:rPr>
                <w:rFonts w:hint="eastAsia" w:ascii="仿宋_GB2312" w:hAnsi="仿宋_GB2312" w:eastAsia="仿宋_GB2312" w:cs="仿宋_GB2312"/>
              </w:rPr>
            </w:pPr>
            <w:r>
              <w:rPr>
                <w:rFonts w:hint="eastAsia" w:ascii="仿宋_GB2312" w:hAnsi="仿宋_GB2312" w:eastAsia="仿宋_GB2312" w:cs="仿宋_GB2312"/>
              </w:rPr>
              <w:t>《土地复垦条例》第四十三条</w:t>
            </w:r>
          </w:p>
        </w:tc>
        <w:tc>
          <w:tcPr>
            <w:tcW w:w="3260" w:type="dxa"/>
            <w:noWrap w:val="0"/>
            <w:vAlign w:val="center"/>
          </w:tcPr>
          <w:p>
            <w:pPr>
              <w:adjustRightInd w:val="0"/>
              <w:snapToGrid w:val="0"/>
              <w:spacing w:line="360" w:lineRule="auto"/>
              <w:rPr>
                <w:rFonts w:hint="eastAsia" w:ascii="仿宋_GB2312" w:hAnsi="仿宋_GB2312" w:eastAsia="仿宋_GB2312" w:cs="仿宋_GB2312"/>
              </w:rPr>
            </w:pPr>
            <w:r>
              <w:rPr>
                <w:rFonts w:hint="eastAsia" w:ascii="仿宋_GB2312" w:hAnsi="仿宋_GB2312" w:eastAsia="仿宋_GB2312" w:cs="仿宋_GB2312"/>
              </w:rPr>
              <w:t>拒绝自然资源主管部门监督检查改正的，未造成不当后果的。</w:t>
            </w:r>
          </w:p>
        </w:tc>
        <w:tc>
          <w:tcPr>
            <w:tcW w:w="1904" w:type="dxa"/>
            <w:noWrap w:val="0"/>
            <w:vAlign w:val="center"/>
          </w:tcPr>
          <w:p>
            <w:pPr>
              <w:adjustRightInd w:val="0"/>
              <w:snapToGrid w:val="0"/>
              <w:spacing w:line="360" w:lineRule="auto"/>
              <w:jc w:val="center"/>
              <w:rPr>
                <w:rFonts w:hint="eastAsia" w:ascii="仿宋_GB2312" w:hAnsi="仿宋_GB2312" w:eastAsia="仿宋_GB2312" w:cs="仿宋_GB2312"/>
              </w:rPr>
            </w:pPr>
            <w:r>
              <w:rPr>
                <w:rFonts w:hint="eastAsia" w:ascii="仿宋_GB2312" w:hAnsi="仿宋_GB2312" w:eastAsia="仿宋_GB2312" w:cs="仿宋_GB2312"/>
              </w:rPr>
              <w:t>昆明市</w:t>
            </w:r>
            <w:r>
              <w:rPr>
                <w:rFonts w:hint="eastAsia" w:ascii="仿宋_GB2312" w:hAnsi="仿宋_GB2312" w:eastAsia="仿宋_GB2312" w:cs="仿宋_GB2312"/>
                <w:lang w:eastAsia="zh-CN"/>
              </w:rPr>
              <w:t>晋宁区自然资源局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noWrap w:val="0"/>
            <w:vAlign w:val="center"/>
          </w:tcPr>
          <w:p>
            <w:pPr>
              <w:jc w:val="center"/>
              <w:textAlignment w:val="center"/>
              <w:rPr>
                <w:rFonts w:hint="eastAsia" w:ascii="仿宋_GB2312" w:hAnsi="仿宋_GB2312" w:eastAsia="仿宋_GB2312" w:cs="仿宋_GB2312"/>
              </w:rPr>
            </w:pPr>
            <w:r>
              <w:rPr>
                <w:rFonts w:hint="eastAsia" w:ascii="仿宋_GB2312" w:hAnsi="仿宋_GB2312" w:eastAsia="仿宋_GB2312" w:cs="仿宋_GB2312"/>
                <w:color w:val="000000"/>
                <w:lang w:bidi="ar"/>
              </w:rPr>
              <w:t>20</w:t>
            </w:r>
          </w:p>
        </w:tc>
        <w:tc>
          <w:tcPr>
            <w:tcW w:w="3544" w:type="dxa"/>
            <w:noWrap w:val="0"/>
            <w:vAlign w:val="center"/>
          </w:tcPr>
          <w:p>
            <w:pPr>
              <w:textAlignment w:val="center"/>
              <w:rPr>
                <w:rFonts w:hint="eastAsia" w:ascii="仿宋_GB2312" w:hAnsi="仿宋_GB2312" w:eastAsia="仿宋_GB2312" w:cs="仿宋_GB2312"/>
              </w:rPr>
            </w:pPr>
            <w:r>
              <w:rPr>
                <w:rFonts w:hint="eastAsia" w:ascii="仿宋_GB2312" w:hAnsi="仿宋_GB2312" w:eastAsia="仿宋_GB2312" w:cs="仿宋_GB2312"/>
                <w:color w:val="000000"/>
                <w:lang w:bidi="ar"/>
              </w:rPr>
              <w:t>未取得采矿许可擅自开采矿产资源的</w:t>
            </w:r>
          </w:p>
        </w:tc>
        <w:tc>
          <w:tcPr>
            <w:tcW w:w="3402" w:type="dxa"/>
            <w:noWrap w:val="0"/>
            <w:vAlign w:val="center"/>
          </w:tcPr>
          <w:p>
            <w:pPr>
              <w:textAlignment w:val="center"/>
              <w:rPr>
                <w:rFonts w:hint="eastAsia" w:ascii="仿宋_GB2312" w:hAnsi="仿宋_GB2312" w:eastAsia="仿宋_GB2312" w:cs="仿宋_GB2312"/>
              </w:rPr>
            </w:pPr>
            <w:r>
              <w:rPr>
                <w:rFonts w:hint="eastAsia" w:ascii="仿宋_GB2312" w:hAnsi="仿宋_GB2312" w:eastAsia="仿宋_GB2312" w:cs="仿宋_GB2312"/>
                <w:color w:val="000000"/>
                <w:lang w:bidi="ar"/>
              </w:rPr>
              <w:t>《中华人民共和国矿产资源法》第三十九条；《中华人民共和国矿产资源法实施细则》第四十二条。</w:t>
            </w:r>
          </w:p>
        </w:tc>
        <w:tc>
          <w:tcPr>
            <w:tcW w:w="3260" w:type="dxa"/>
            <w:noWrap w:val="0"/>
            <w:vAlign w:val="center"/>
          </w:tcPr>
          <w:p>
            <w:pPr>
              <w:textAlignment w:val="center"/>
              <w:rPr>
                <w:rFonts w:hint="eastAsia" w:ascii="仿宋_GB2312" w:hAnsi="仿宋_GB2312" w:eastAsia="仿宋_GB2312" w:cs="仿宋_GB2312"/>
              </w:rPr>
            </w:pPr>
            <w:r>
              <w:rPr>
                <w:rFonts w:hint="eastAsia" w:ascii="仿宋_GB2312" w:hAnsi="仿宋_GB2312" w:eastAsia="仿宋_GB2312" w:cs="仿宋_GB2312"/>
                <w:color w:val="000000"/>
                <w:lang w:bidi="ar"/>
              </w:rPr>
              <w:t>违法采出的矿产品和违法所得价值在1万元以下的。</w:t>
            </w:r>
          </w:p>
        </w:tc>
        <w:tc>
          <w:tcPr>
            <w:tcW w:w="1904" w:type="dxa"/>
            <w:noWrap w:val="0"/>
            <w:vAlign w:val="center"/>
          </w:tcPr>
          <w:p>
            <w:pPr>
              <w:jc w:val="center"/>
              <w:textAlignment w:val="center"/>
              <w:rPr>
                <w:rFonts w:hint="eastAsia" w:ascii="仿宋_GB2312" w:hAnsi="仿宋_GB2312" w:eastAsia="仿宋_GB2312" w:cs="仿宋_GB2312"/>
              </w:rPr>
            </w:pPr>
            <w:r>
              <w:rPr>
                <w:rFonts w:hint="eastAsia" w:ascii="仿宋_GB2312" w:hAnsi="仿宋_GB2312" w:eastAsia="仿宋_GB2312" w:cs="仿宋_GB2312"/>
              </w:rPr>
              <w:t>昆明市</w:t>
            </w:r>
            <w:r>
              <w:rPr>
                <w:rFonts w:hint="eastAsia" w:ascii="仿宋_GB2312" w:hAnsi="仿宋_GB2312" w:eastAsia="仿宋_GB2312" w:cs="仿宋_GB2312"/>
                <w:lang w:eastAsia="zh-CN"/>
              </w:rPr>
              <w:t>晋宁区自然资源局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noWrap w:val="0"/>
            <w:vAlign w:val="center"/>
          </w:tcPr>
          <w:p>
            <w:pPr>
              <w:jc w:val="center"/>
              <w:textAlignment w:val="center"/>
              <w:rPr>
                <w:rFonts w:hint="eastAsia" w:ascii="仿宋_GB2312" w:hAnsi="仿宋_GB2312" w:eastAsia="仿宋_GB2312" w:cs="仿宋_GB2312"/>
              </w:rPr>
            </w:pPr>
            <w:r>
              <w:rPr>
                <w:rFonts w:hint="eastAsia" w:ascii="仿宋_GB2312" w:hAnsi="仿宋_GB2312" w:eastAsia="仿宋_GB2312" w:cs="仿宋_GB2312"/>
                <w:color w:val="000000"/>
                <w:lang w:bidi="ar"/>
              </w:rPr>
              <w:t>21</w:t>
            </w:r>
          </w:p>
        </w:tc>
        <w:tc>
          <w:tcPr>
            <w:tcW w:w="3544" w:type="dxa"/>
            <w:noWrap w:val="0"/>
            <w:vAlign w:val="center"/>
          </w:tcPr>
          <w:p>
            <w:pPr>
              <w:textAlignment w:val="center"/>
              <w:rPr>
                <w:rFonts w:hint="eastAsia" w:ascii="仿宋_GB2312" w:hAnsi="仿宋_GB2312" w:eastAsia="仿宋_GB2312" w:cs="仿宋_GB2312"/>
              </w:rPr>
            </w:pPr>
            <w:r>
              <w:rPr>
                <w:rFonts w:hint="eastAsia" w:ascii="仿宋_GB2312" w:hAnsi="仿宋_GB2312" w:eastAsia="仿宋_GB2312" w:cs="仿宋_GB2312"/>
                <w:color w:val="000000"/>
                <w:lang w:bidi="ar"/>
              </w:rPr>
              <w:t>超越批准的矿区范围采矿的</w:t>
            </w:r>
          </w:p>
        </w:tc>
        <w:tc>
          <w:tcPr>
            <w:tcW w:w="3402" w:type="dxa"/>
            <w:noWrap w:val="0"/>
            <w:vAlign w:val="center"/>
          </w:tcPr>
          <w:p>
            <w:pPr>
              <w:textAlignment w:val="center"/>
              <w:rPr>
                <w:rFonts w:hint="eastAsia" w:ascii="仿宋_GB2312" w:hAnsi="仿宋_GB2312" w:eastAsia="仿宋_GB2312" w:cs="仿宋_GB2312"/>
              </w:rPr>
            </w:pPr>
            <w:r>
              <w:rPr>
                <w:rFonts w:hint="eastAsia" w:ascii="仿宋_GB2312" w:hAnsi="仿宋_GB2312" w:eastAsia="仿宋_GB2312" w:cs="仿宋_GB2312"/>
                <w:color w:val="000000"/>
                <w:lang w:bidi="ar"/>
              </w:rPr>
              <w:t>《中华人民共和国矿产资源法》；第四十条《中华人民共和国矿产资源法实施细则》第四十二条。</w:t>
            </w:r>
          </w:p>
        </w:tc>
        <w:tc>
          <w:tcPr>
            <w:tcW w:w="3260" w:type="dxa"/>
            <w:noWrap w:val="0"/>
            <w:vAlign w:val="center"/>
          </w:tcPr>
          <w:p>
            <w:pPr>
              <w:textAlignment w:val="center"/>
              <w:rPr>
                <w:rFonts w:hint="eastAsia" w:ascii="仿宋_GB2312" w:hAnsi="仿宋_GB2312" w:eastAsia="仿宋_GB2312" w:cs="仿宋_GB2312"/>
              </w:rPr>
            </w:pPr>
            <w:r>
              <w:rPr>
                <w:rFonts w:hint="eastAsia" w:ascii="仿宋_GB2312" w:hAnsi="仿宋_GB2312" w:eastAsia="仿宋_GB2312" w:cs="仿宋_GB2312"/>
                <w:color w:val="000000"/>
                <w:lang w:bidi="ar"/>
              </w:rPr>
              <w:t>越界开采违法所得在1万元以上10万元以下的。</w:t>
            </w:r>
          </w:p>
        </w:tc>
        <w:tc>
          <w:tcPr>
            <w:tcW w:w="1904" w:type="dxa"/>
            <w:noWrap w:val="0"/>
            <w:vAlign w:val="center"/>
          </w:tcPr>
          <w:p>
            <w:pPr>
              <w:jc w:val="center"/>
              <w:textAlignment w:val="center"/>
              <w:rPr>
                <w:rFonts w:hint="eastAsia" w:ascii="仿宋_GB2312" w:hAnsi="仿宋_GB2312" w:eastAsia="仿宋_GB2312" w:cs="仿宋_GB2312"/>
              </w:rPr>
            </w:pPr>
            <w:r>
              <w:rPr>
                <w:rFonts w:hint="eastAsia" w:ascii="仿宋_GB2312" w:hAnsi="仿宋_GB2312" w:eastAsia="仿宋_GB2312" w:cs="仿宋_GB2312"/>
              </w:rPr>
              <w:t>昆明市</w:t>
            </w:r>
            <w:r>
              <w:rPr>
                <w:rFonts w:hint="eastAsia" w:ascii="仿宋_GB2312" w:hAnsi="仿宋_GB2312" w:eastAsia="仿宋_GB2312" w:cs="仿宋_GB2312"/>
                <w:lang w:eastAsia="zh-CN"/>
              </w:rPr>
              <w:t>晋宁区自然资源局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noWrap w:val="0"/>
            <w:vAlign w:val="center"/>
          </w:tcPr>
          <w:p>
            <w:pPr>
              <w:jc w:val="center"/>
              <w:textAlignment w:val="center"/>
              <w:rPr>
                <w:rFonts w:hint="eastAsia" w:ascii="仿宋_GB2312" w:hAnsi="仿宋_GB2312" w:eastAsia="仿宋_GB2312" w:cs="仿宋_GB2312"/>
              </w:rPr>
            </w:pPr>
            <w:r>
              <w:rPr>
                <w:rFonts w:hint="eastAsia" w:ascii="仿宋_GB2312" w:hAnsi="仿宋_GB2312" w:eastAsia="仿宋_GB2312" w:cs="仿宋_GB2312"/>
                <w:color w:val="000000"/>
                <w:lang w:bidi="ar"/>
              </w:rPr>
              <w:t>22</w:t>
            </w:r>
          </w:p>
        </w:tc>
        <w:tc>
          <w:tcPr>
            <w:tcW w:w="3544" w:type="dxa"/>
            <w:noWrap w:val="0"/>
            <w:vAlign w:val="center"/>
          </w:tcPr>
          <w:p>
            <w:pPr>
              <w:textAlignment w:val="center"/>
              <w:rPr>
                <w:rFonts w:hint="eastAsia" w:ascii="仿宋_GB2312" w:hAnsi="仿宋_GB2312" w:eastAsia="仿宋_GB2312" w:cs="仿宋_GB2312"/>
              </w:rPr>
            </w:pPr>
            <w:r>
              <w:rPr>
                <w:rFonts w:hint="eastAsia" w:ascii="仿宋_GB2312" w:hAnsi="仿宋_GB2312" w:eastAsia="仿宋_GB2312" w:cs="仿宋_GB2312"/>
                <w:color w:val="000000"/>
                <w:lang w:bidi="ar"/>
              </w:rPr>
              <w:t>买卖、出租或者以其他形式非法转让矿产资源的</w:t>
            </w:r>
          </w:p>
        </w:tc>
        <w:tc>
          <w:tcPr>
            <w:tcW w:w="3402" w:type="dxa"/>
            <w:noWrap w:val="0"/>
            <w:vAlign w:val="center"/>
          </w:tcPr>
          <w:p>
            <w:pPr>
              <w:textAlignment w:val="center"/>
              <w:rPr>
                <w:rFonts w:hint="eastAsia" w:ascii="仿宋_GB2312" w:hAnsi="仿宋_GB2312" w:eastAsia="仿宋_GB2312" w:cs="仿宋_GB2312"/>
              </w:rPr>
            </w:pPr>
            <w:r>
              <w:rPr>
                <w:rFonts w:hint="eastAsia" w:ascii="仿宋_GB2312" w:hAnsi="仿宋_GB2312" w:eastAsia="仿宋_GB2312" w:cs="仿宋_GB2312"/>
                <w:color w:val="000000"/>
                <w:lang w:bidi="ar"/>
              </w:rPr>
              <w:t>《中华人民共和国矿产资源法》第四十二条；《中华人民共和国矿产资源法实施细则》第四十二条。</w:t>
            </w:r>
          </w:p>
        </w:tc>
        <w:tc>
          <w:tcPr>
            <w:tcW w:w="3260" w:type="dxa"/>
            <w:noWrap w:val="0"/>
            <w:vAlign w:val="center"/>
          </w:tcPr>
          <w:p>
            <w:pPr>
              <w:textAlignment w:val="center"/>
              <w:rPr>
                <w:rFonts w:hint="eastAsia" w:ascii="仿宋_GB2312" w:hAnsi="仿宋_GB2312" w:eastAsia="仿宋_GB2312" w:cs="仿宋_GB2312"/>
              </w:rPr>
            </w:pPr>
            <w:r>
              <w:rPr>
                <w:rFonts w:hint="eastAsia" w:ascii="仿宋_GB2312" w:hAnsi="仿宋_GB2312" w:eastAsia="仿宋_GB2312" w:cs="仿宋_GB2312"/>
                <w:color w:val="000000"/>
                <w:lang w:bidi="ar"/>
              </w:rPr>
              <w:t>违法所得价值在1万元以下的。</w:t>
            </w:r>
          </w:p>
        </w:tc>
        <w:tc>
          <w:tcPr>
            <w:tcW w:w="1904" w:type="dxa"/>
            <w:noWrap w:val="0"/>
            <w:vAlign w:val="center"/>
          </w:tcPr>
          <w:p>
            <w:pPr>
              <w:jc w:val="center"/>
              <w:textAlignment w:val="center"/>
              <w:rPr>
                <w:rFonts w:hint="eastAsia" w:ascii="仿宋_GB2312" w:hAnsi="仿宋_GB2312" w:eastAsia="仿宋_GB2312" w:cs="仿宋_GB2312"/>
              </w:rPr>
            </w:pPr>
            <w:r>
              <w:rPr>
                <w:rFonts w:hint="eastAsia" w:ascii="仿宋_GB2312" w:hAnsi="仿宋_GB2312" w:eastAsia="仿宋_GB2312" w:cs="仿宋_GB2312"/>
              </w:rPr>
              <w:t>昆明市</w:t>
            </w:r>
            <w:r>
              <w:rPr>
                <w:rFonts w:hint="eastAsia" w:ascii="仿宋_GB2312" w:hAnsi="仿宋_GB2312" w:eastAsia="仿宋_GB2312" w:cs="仿宋_GB2312"/>
                <w:lang w:eastAsia="zh-CN"/>
              </w:rPr>
              <w:t>晋宁区自然资源局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noWrap w:val="0"/>
            <w:vAlign w:val="center"/>
          </w:tcPr>
          <w:p>
            <w:pPr>
              <w:jc w:val="center"/>
              <w:textAlignment w:val="center"/>
              <w:rPr>
                <w:rFonts w:hint="eastAsia" w:ascii="仿宋_GB2312" w:hAnsi="仿宋_GB2312" w:eastAsia="仿宋_GB2312" w:cs="仿宋_GB2312"/>
              </w:rPr>
            </w:pPr>
            <w:r>
              <w:rPr>
                <w:rFonts w:hint="eastAsia" w:ascii="仿宋_GB2312" w:hAnsi="仿宋_GB2312" w:eastAsia="仿宋_GB2312" w:cs="仿宋_GB2312"/>
                <w:color w:val="000000"/>
                <w:lang w:bidi="ar"/>
              </w:rPr>
              <w:t>23</w:t>
            </w:r>
          </w:p>
        </w:tc>
        <w:tc>
          <w:tcPr>
            <w:tcW w:w="3544" w:type="dxa"/>
            <w:noWrap w:val="0"/>
            <w:vAlign w:val="center"/>
          </w:tcPr>
          <w:p>
            <w:pPr>
              <w:textAlignment w:val="center"/>
              <w:rPr>
                <w:rFonts w:hint="eastAsia" w:ascii="仿宋_GB2312" w:hAnsi="仿宋_GB2312" w:eastAsia="仿宋_GB2312" w:cs="仿宋_GB2312"/>
              </w:rPr>
            </w:pPr>
            <w:r>
              <w:rPr>
                <w:rFonts w:hint="eastAsia" w:ascii="仿宋_GB2312" w:hAnsi="仿宋_GB2312" w:eastAsia="仿宋_GB2312" w:cs="仿宋_GB2312"/>
                <w:color w:val="000000"/>
                <w:lang w:bidi="ar"/>
              </w:rPr>
              <w:t>未经批准，擅自转让探矿权、采矿权的</w:t>
            </w:r>
          </w:p>
        </w:tc>
        <w:tc>
          <w:tcPr>
            <w:tcW w:w="3402" w:type="dxa"/>
            <w:noWrap w:val="0"/>
            <w:vAlign w:val="center"/>
          </w:tcPr>
          <w:p>
            <w:pPr>
              <w:textAlignment w:val="center"/>
              <w:rPr>
                <w:rFonts w:hint="eastAsia" w:ascii="仿宋_GB2312" w:hAnsi="仿宋_GB2312" w:eastAsia="仿宋_GB2312" w:cs="仿宋_GB2312"/>
              </w:rPr>
            </w:pPr>
            <w:r>
              <w:rPr>
                <w:rFonts w:hint="eastAsia" w:ascii="仿宋_GB2312" w:hAnsi="仿宋_GB2312" w:eastAsia="仿宋_GB2312" w:cs="仿宋_GB2312"/>
                <w:color w:val="000000"/>
                <w:lang w:bidi="ar"/>
              </w:rPr>
              <w:t>《中华人民共和国矿产资源法》第四十二条；《中华人民共和国矿产资源法实施细则》第四十二条。</w:t>
            </w:r>
          </w:p>
        </w:tc>
        <w:tc>
          <w:tcPr>
            <w:tcW w:w="3260" w:type="dxa"/>
            <w:noWrap w:val="0"/>
            <w:vAlign w:val="center"/>
          </w:tcPr>
          <w:p>
            <w:pPr>
              <w:textAlignment w:val="center"/>
              <w:rPr>
                <w:rFonts w:hint="eastAsia" w:ascii="仿宋_GB2312" w:hAnsi="仿宋_GB2312" w:eastAsia="仿宋_GB2312" w:cs="仿宋_GB2312"/>
              </w:rPr>
            </w:pPr>
            <w:r>
              <w:rPr>
                <w:rFonts w:hint="eastAsia" w:ascii="仿宋_GB2312" w:hAnsi="仿宋_GB2312" w:eastAsia="仿宋_GB2312" w:cs="仿宋_GB2312"/>
                <w:color w:val="000000"/>
                <w:lang w:bidi="ar"/>
              </w:rPr>
              <w:t>非牟利为目的，无违法所得的。</w:t>
            </w:r>
          </w:p>
        </w:tc>
        <w:tc>
          <w:tcPr>
            <w:tcW w:w="1904" w:type="dxa"/>
            <w:noWrap w:val="0"/>
            <w:vAlign w:val="center"/>
          </w:tcPr>
          <w:p>
            <w:pPr>
              <w:jc w:val="center"/>
              <w:textAlignment w:val="center"/>
              <w:rPr>
                <w:rFonts w:hint="eastAsia" w:ascii="仿宋_GB2312" w:hAnsi="仿宋_GB2312" w:eastAsia="仿宋_GB2312" w:cs="仿宋_GB2312"/>
              </w:rPr>
            </w:pPr>
            <w:r>
              <w:rPr>
                <w:rFonts w:hint="eastAsia" w:ascii="仿宋_GB2312" w:hAnsi="仿宋_GB2312" w:eastAsia="仿宋_GB2312" w:cs="仿宋_GB2312"/>
              </w:rPr>
              <w:t>昆明市</w:t>
            </w:r>
            <w:r>
              <w:rPr>
                <w:rFonts w:hint="eastAsia" w:ascii="仿宋_GB2312" w:hAnsi="仿宋_GB2312" w:eastAsia="仿宋_GB2312" w:cs="仿宋_GB2312"/>
                <w:lang w:eastAsia="zh-CN"/>
              </w:rPr>
              <w:t>晋宁区自然资源局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noWrap w:val="0"/>
            <w:vAlign w:val="center"/>
          </w:tcPr>
          <w:p>
            <w:pPr>
              <w:jc w:val="center"/>
              <w:textAlignment w:val="center"/>
              <w:rPr>
                <w:rFonts w:hint="eastAsia" w:ascii="仿宋_GB2312" w:hAnsi="仿宋_GB2312" w:eastAsia="仿宋_GB2312" w:cs="仿宋_GB2312"/>
              </w:rPr>
            </w:pPr>
            <w:r>
              <w:rPr>
                <w:rFonts w:hint="eastAsia" w:ascii="仿宋_GB2312" w:hAnsi="仿宋_GB2312" w:eastAsia="仿宋_GB2312" w:cs="仿宋_GB2312"/>
                <w:color w:val="000000"/>
                <w:lang w:bidi="ar"/>
              </w:rPr>
              <w:t>24</w:t>
            </w:r>
          </w:p>
        </w:tc>
        <w:tc>
          <w:tcPr>
            <w:tcW w:w="3544" w:type="dxa"/>
            <w:noWrap w:val="0"/>
            <w:vAlign w:val="center"/>
          </w:tcPr>
          <w:p>
            <w:pPr>
              <w:textAlignment w:val="center"/>
              <w:rPr>
                <w:rFonts w:hint="eastAsia" w:ascii="仿宋_GB2312" w:hAnsi="仿宋_GB2312" w:eastAsia="仿宋_GB2312" w:cs="仿宋_GB2312"/>
              </w:rPr>
            </w:pPr>
            <w:r>
              <w:rPr>
                <w:rFonts w:hint="eastAsia" w:ascii="仿宋_GB2312" w:hAnsi="仿宋_GB2312" w:eastAsia="仿宋_GB2312" w:cs="仿宋_GB2312"/>
                <w:color w:val="000000"/>
                <w:lang w:bidi="ar"/>
              </w:rPr>
              <w:t>非法用采矿权作抵押的</w:t>
            </w:r>
          </w:p>
        </w:tc>
        <w:tc>
          <w:tcPr>
            <w:tcW w:w="3402" w:type="dxa"/>
            <w:noWrap w:val="0"/>
            <w:vAlign w:val="center"/>
          </w:tcPr>
          <w:p>
            <w:pPr>
              <w:textAlignment w:val="center"/>
              <w:rPr>
                <w:rFonts w:hint="eastAsia" w:ascii="仿宋_GB2312" w:hAnsi="仿宋_GB2312" w:eastAsia="仿宋_GB2312" w:cs="仿宋_GB2312"/>
              </w:rPr>
            </w:pPr>
            <w:r>
              <w:rPr>
                <w:rFonts w:hint="eastAsia" w:ascii="仿宋_GB2312" w:hAnsi="仿宋_GB2312" w:eastAsia="仿宋_GB2312" w:cs="仿宋_GB2312"/>
                <w:color w:val="000000"/>
                <w:lang w:bidi="ar"/>
              </w:rPr>
              <w:t>《中华人民共和国矿产资源法实施细则》第四十二条</w:t>
            </w:r>
          </w:p>
        </w:tc>
        <w:tc>
          <w:tcPr>
            <w:tcW w:w="3260" w:type="dxa"/>
            <w:noWrap w:val="0"/>
            <w:vAlign w:val="center"/>
          </w:tcPr>
          <w:p>
            <w:pPr>
              <w:textAlignment w:val="center"/>
              <w:rPr>
                <w:rFonts w:hint="eastAsia" w:ascii="仿宋_GB2312" w:hAnsi="仿宋_GB2312" w:eastAsia="仿宋_GB2312" w:cs="仿宋_GB2312"/>
              </w:rPr>
            </w:pPr>
            <w:r>
              <w:rPr>
                <w:rFonts w:hint="eastAsia" w:ascii="仿宋_GB2312" w:hAnsi="仿宋_GB2312" w:eastAsia="仿宋_GB2312" w:cs="仿宋_GB2312"/>
                <w:color w:val="000000"/>
                <w:lang w:bidi="ar"/>
              </w:rPr>
              <w:t>矿产储量规模为小型的。</w:t>
            </w:r>
          </w:p>
        </w:tc>
        <w:tc>
          <w:tcPr>
            <w:tcW w:w="1904" w:type="dxa"/>
            <w:noWrap w:val="0"/>
            <w:vAlign w:val="center"/>
          </w:tcPr>
          <w:p>
            <w:pPr>
              <w:jc w:val="center"/>
              <w:textAlignment w:val="center"/>
              <w:rPr>
                <w:rFonts w:hint="eastAsia" w:ascii="仿宋_GB2312" w:hAnsi="仿宋_GB2312" w:eastAsia="仿宋_GB2312" w:cs="仿宋_GB2312"/>
              </w:rPr>
            </w:pPr>
            <w:r>
              <w:rPr>
                <w:rFonts w:hint="eastAsia" w:ascii="仿宋_GB2312" w:hAnsi="仿宋_GB2312" w:eastAsia="仿宋_GB2312" w:cs="仿宋_GB2312"/>
              </w:rPr>
              <w:t>昆明市</w:t>
            </w:r>
            <w:r>
              <w:rPr>
                <w:rFonts w:hint="eastAsia" w:ascii="仿宋_GB2312" w:hAnsi="仿宋_GB2312" w:eastAsia="仿宋_GB2312" w:cs="仿宋_GB2312"/>
                <w:lang w:eastAsia="zh-CN"/>
              </w:rPr>
              <w:t>晋宁区自然资源局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noWrap w:val="0"/>
            <w:vAlign w:val="center"/>
          </w:tcPr>
          <w:p>
            <w:pPr>
              <w:jc w:val="center"/>
              <w:textAlignment w:val="center"/>
              <w:rPr>
                <w:rFonts w:hint="eastAsia" w:ascii="仿宋_GB2312" w:hAnsi="仿宋_GB2312" w:eastAsia="仿宋_GB2312" w:cs="仿宋_GB2312"/>
              </w:rPr>
            </w:pPr>
            <w:r>
              <w:rPr>
                <w:rFonts w:hint="eastAsia" w:ascii="仿宋_GB2312" w:hAnsi="仿宋_GB2312" w:eastAsia="仿宋_GB2312" w:cs="仿宋_GB2312"/>
                <w:color w:val="000000"/>
                <w:lang w:bidi="ar"/>
              </w:rPr>
              <w:t>25</w:t>
            </w:r>
          </w:p>
        </w:tc>
        <w:tc>
          <w:tcPr>
            <w:tcW w:w="3544" w:type="dxa"/>
            <w:noWrap w:val="0"/>
            <w:vAlign w:val="center"/>
          </w:tcPr>
          <w:p>
            <w:pPr>
              <w:textAlignment w:val="center"/>
              <w:rPr>
                <w:rFonts w:hint="eastAsia" w:ascii="仿宋_GB2312" w:hAnsi="仿宋_GB2312" w:eastAsia="仿宋_GB2312" w:cs="仿宋_GB2312"/>
              </w:rPr>
            </w:pPr>
            <w:r>
              <w:rPr>
                <w:rFonts w:hint="eastAsia" w:ascii="仿宋_GB2312" w:hAnsi="仿宋_GB2312" w:eastAsia="仿宋_GB2312" w:cs="仿宋_GB2312"/>
                <w:color w:val="000000"/>
                <w:lang w:bidi="ar"/>
              </w:rPr>
              <w:t>未取得勘查许可证擅自进行勘查工作的，超越批准的勘查区块范围进行勘查工作的</w:t>
            </w:r>
          </w:p>
        </w:tc>
        <w:tc>
          <w:tcPr>
            <w:tcW w:w="3402" w:type="dxa"/>
            <w:noWrap w:val="0"/>
            <w:vAlign w:val="center"/>
          </w:tcPr>
          <w:p>
            <w:pPr>
              <w:textAlignment w:val="center"/>
              <w:rPr>
                <w:rFonts w:hint="eastAsia" w:ascii="仿宋_GB2312" w:hAnsi="仿宋_GB2312" w:eastAsia="仿宋_GB2312" w:cs="仿宋_GB2312"/>
              </w:rPr>
            </w:pPr>
            <w:r>
              <w:rPr>
                <w:rFonts w:hint="eastAsia" w:ascii="仿宋_GB2312" w:hAnsi="仿宋_GB2312" w:eastAsia="仿宋_GB2312" w:cs="仿宋_GB2312"/>
                <w:color w:val="000000"/>
                <w:lang w:bidi="ar"/>
              </w:rPr>
              <w:t>《矿产资源勘查区块登记管理办法》（国务院令第653号）第二十六条</w:t>
            </w:r>
          </w:p>
        </w:tc>
        <w:tc>
          <w:tcPr>
            <w:tcW w:w="3260" w:type="dxa"/>
            <w:noWrap w:val="0"/>
            <w:vAlign w:val="center"/>
          </w:tcPr>
          <w:p>
            <w:pPr>
              <w:textAlignment w:val="center"/>
              <w:rPr>
                <w:rFonts w:hint="eastAsia" w:ascii="仿宋_GB2312" w:hAnsi="仿宋_GB2312" w:eastAsia="仿宋_GB2312" w:cs="仿宋_GB2312"/>
              </w:rPr>
            </w:pPr>
            <w:r>
              <w:rPr>
                <w:rFonts w:hint="eastAsia" w:ascii="仿宋_GB2312" w:hAnsi="仿宋_GB2312" w:eastAsia="仿宋_GB2312" w:cs="仿宋_GB2312"/>
                <w:color w:val="000000"/>
                <w:lang w:bidi="ar"/>
              </w:rPr>
              <w:t>未取得勘查许可证擅自在一般区域进行勘查工作的。</w:t>
            </w:r>
          </w:p>
        </w:tc>
        <w:tc>
          <w:tcPr>
            <w:tcW w:w="1904" w:type="dxa"/>
            <w:noWrap w:val="0"/>
            <w:vAlign w:val="center"/>
          </w:tcPr>
          <w:p>
            <w:pPr>
              <w:jc w:val="center"/>
              <w:textAlignment w:val="center"/>
              <w:rPr>
                <w:rFonts w:hint="eastAsia" w:ascii="仿宋_GB2312" w:hAnsi="仿宋_GB2312" w:eastAsia="仿宋_GB2312" w:cs="仿宋_GB2312"/>
              </w:rPr>
            </w:pPr>
            <w:r>
              <w:rPr>
                <w:rFonts w:hint="eastAsia" w:ascii="仿宋_GB2312" w:hAnsi="仿宋_GB2312" w:eastAsia="仿宋_GB2312" w:cs="仿宋_GB2312"/>
              </w:rPr>
              <w:t>昆明市</w:t>
            </w:r>
            <w:r>
              <w:rPr>
                <w:rFonts w:hint="eastAsia" w:ascii="仿宋_GB2312" w:hAnsi="仿宋_GB2312" w:eastAsia="仿宋_GB2312" w:cs="仿宋_GB2312"/>
                <w:lang w:eastAsia="zh-CN"/>
              </w:rPr>
              <w:t>晋宁区自然资源局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noWrap w:val="0"/>
            <w:vAlign w:val="center"/>
          </w:tcPr>
          <w:p>
            <w:pPr>
              <w:jc w:val="center"/>
              <w:textAlignment w:val="center"/>
              <w:rPr>
                <w:rFonts w:hint="eastAsia" w:ascii="仿宋_GB2312" w:hAnsi="仿宋_GB2312" w:eastAsia="仿宋_GB2312" w:cs="仿宋_GB2312"/>
              </w:rPr>
            </w:pPr>
            <w:r>
              <w:rPr>
                <w:rFonts w:hint="eastAsia" w:ascii="仿宋_GB2312" w:hAnsi="仿宋_GB2312" w:eastAsia="仿宋_GB2312" w:cs="仿宋_GB2312"/>
                <w:color w:val="000000"/>
                <w:lang w:bidi="ar"/>
              </w:rPr>
              <w:t>26</w:t>
            </w:r>
          </w:p>
        </w:tc>
        <w:tc>
          <w:tcPr>
            <w:tcW w:w="3544" w:type="dxa"/>
            <w:noWrap w:val="0"/>
            <w:vAlign w:val="center"/>
          </w:tcPr>
          <w:p>
            <w:pPr>
              <w:textAlignment w:val="center"/>
              <w:rPr>
                <w:rFonts w:hint="eastAsia" w:ascii="仿宋_GB2312" w:hAnsi="仿宋_GB2312" w:eastAsia="仿宋_GB2312" w:cs="仿宋_GB2312"/>
              </w:rPr>
            </w:pPr>
            <w:r>
              <w:rPr>
                <w:rFonts w:hint="eastAsia" w:ascii="仿宋_GB2312" w:hAnsi="仿宋_GB2312" w:eastAsia="仿宋_GB2312" w:cs="仿宋_GB2312"/>
                <w:color w:val="000000"/>
                <w:lang w:bidi="ar"/>
              </w:rPr>
              <w:t>未经批准，擅自进行滚动勘探开发、边探边采或者试采的</w:t>
            </w:r>
          </w:p>
        </w:tc>
        <w:tc>
          <w:tcPr>
            <w:tcW w:w="3402" w:type="dxa"/>
            <w:noWrap w:val="0"/>
            <w:vAlign w:val="center"/>
          </w:tcPr>
          <w:p>
            <w:pPr>
              <w:textAlignment w:val="center"/>
              <w:rPr>
                <w:rFonts w:hint="eastAsia" w:ascii="仿宋_GB2312" w:hAnsi="仿宋_GB2312" w:eastAsia="仿宋_GB2312" w:cs="仿宋_GB2312"/>
              </w:rPr>
            </w:pPr>
            <w:r>
              <w:rPr>
                <w:rFonts w:hint="eastAsia" w:ascii="仿宋_GB2312" w:hAnsi="仿宋_GB2312" w:eastAsia="仿宋_GB2312" w:cs="仿宋_GB2312"/>
                <w:color w:val="000000"/>
                <w:lang w:bidi="ar"/>
              </w:rPr>
              <w:t>《矿产资源勘查区块登记管理办法》（国务院令第653号）第二十七条</w:t>
            </w:r>
          </w:p>
        </w:tc>
        <w:tc>
          <w:tcPr>
            <w:tcW w:w="3260" w:type="dxa"/>
            <w:noWrap w:val="0"/>
            <w:vAlign w:val="center"/>
          </w:tcPr>
          <w:p>
            <w:pPr>
              <w:textAlignment w:val="center"/>
              <w:rPr>
                <w:rFonts w:hint="eastAsia" w:ascii="仿宋_GB2312" w:hAnsi="仿宋_GB2312" w:eastAsia="仿宋_GB2312" w:cs="仿宋_GB2312"/>
              </w:rPr>
            </w:pPr>
            <w:r>
              <w:rPr>
                <w:rFonts w:hint="eastAsia" w:ascii="仿宋_GB2312" w:hAnsi="仿宋_GB2312" w:eastAsia="仿宋_GB2312" w:cs="仿宋_GB2312"/>
                <w:color w:val="000000"/>
                <w:lang w:bidi="ar"/>
              </w:rPr>
              <w:t>未经批准，擅自在一般区域边探边采或者试采的。</w:t>
            </w:r>
          </w:p>
        </w:tc>
        <w:tc>
          <w:tcPr>
            <w:tcW w:w="1904" w:type="dxa"/>
            <w:noWrap w:val="0"/>
            <w:vAlign w:val="center"/>
          </w:tcPr>
          <w:p>
            <w:pPr>
              <w:jc w:val="center"/>
              <w:textAlignment w:val="center"/>
              <w:rPr>
                <w:rFonts w:hint="eastAsia" w:ascii="仿宋_GB2312" w:hAnsi="仿宋_GB2312" w:eastAsia="仿宋_GB2312" w:cs="仿宋_GB2312"/>
              </w:rPr>
            </w:pPr>
            <w:r>
              <w:rPr>
                <w:rFonts w:hint="eastAsia" w:ascii="仿宋_GB2312" w:hAnsi="仿宋_GB2312" w:eastAsia="仿宋_GB2312" w:cs="仿宋_GB2312"/>
              </w:rPr>
              <w:t>昆明市</w:t>
            </w:r>
            <w:r>
              <w:rPr>
                <w:rFonts w:hint="eastAsia" w:ascii="仿宋_GB2312" w:hAnsi="仿宋_GB2312" w:eastAsia="仿宋_GB2312" w:cs="仿宋_GB2312"/>
                <w:lang w:eastAsia="zh-CN"/>
              </w:rPr>
              <w:t>晋宁区自然资源局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noWrap w:val="0"/>
            <w:vAlign w:val="center"/>
          </w:tcPr>
          <w:p>
            <w:pPr>
              <w:jc w:val="center"/>
              <w:textAlignment w:val="center"/>
              <w:rPr>
                <w:rFonts w:hint="eastAsia" w:ascii="仿宋_GB2312" w:hAnsi="仿宋_GB2312" w:eastAsia="仿宋_GB2312" w:cs="仿宋_GB2312"/>
              </w:rPr>
            </w:pPr>
            <w:r>
              <w:rPr>
                <w:rFonts w:hint="eastAsia" w:ascii="仿宋_GB2312" w:hAnsi="仿宋_GB2312" w:eastAsia="仿宋_GB2312" w:cs="仿宋_GB2312"/>
                <w:color w:val="000000"/>
                <w:lang w:bidi="ar"/>
              </w:rPr>
              <w:t>27</w:t>
            </w:r>
          </w:p>
        </w:tc>
        <w:tc>
          <w:tcPr>
            <w:tcW w:w="3544" w:type="dxa"/>
            <w:noWrap w:val="0"/>
            <w:vAlign w:val="center"/>
          </w:tcPr>
          <w:p>
            <w:pPr>
              <w:textAlignment w:val="center"/>
              <w:rPr>
                <w:rFonts w:hint="eastAsia" w:ascii="仿宋_GB2312" w:hAnsi="仿宋_GB2312" w:eastAsia="仿宋_GB2312" w:cs="仿宋_GB2312"/>
              </w:rPr>
            </w:pPr>
            <w:r>
              <w:rPr>
                <w:rFonts w:hint="eastAsia" w:ascii="仿宋_GB2312" w:hAnsi="仿宋_GB2312" w:eastAsia="仿宋_GB2312" w:cs="仿宋_GB2312"/>
                <w:color w:val="000000"/>
                <w:lang w:bidi="ar"/>
              </w:rPr>
              <w:t>破坏或者擅自移动矿区范围界桩或者地面标志的</w:t>
            </w:r>
          </w:p>
        </w:tc>
        <w:tc>
          <w:tcPr>
            <w:tcW w:w="3402" w:type="dxa"/>
            <w:noWrap w:val="0"/>
            <w:vAlign w:val="center"/>
          </w:tcPr>
          <w:p>
            <w:pPr>
              <w:textAlignment w:val="center"/>
              <w:rPr>
                <w:rFonts w:hint="eastAsia" w:ascii="仿宋_GB2312" w:hAnsi="仿宋_GB2312" w:eastAsia="仿宋_GB2312" w:cs="仿宋_GB2312"/>
              </w:rPr>
            </w:pPr>
            <w:r>
              <w:rPr>
                <w:rFonts w:hint="eastAsia" w:ascii="仿宋_GB2312" w:hAnsi="仿宋_GB2312" w:eastAsia="仿宋_GB2312" w:cs="仿宋_GB2312"/>
                <w:color w:val="000000"/>
                <w:lang w:bidi="ar"/>
              </w:rPr>
              <w:t>《矿产资源开采登记管理办法》（国务院令第653号）第十九条</w:t>
            </w:r>
          </w:p>
        </w:tc>
        <w:tc>
          <w:tcPr>
            <w:tcW w:w="3260" w:type="dxa"/>
            <w:noWrap w:val="0"/>
            <w:vAlign w:val="center"/>
          </w:tcPr>
          <w:p>
            <w:pPr>
              <w:textAlignment w:val="center"/>
              <w:rPr>
                <w:rFonts w:hint="eastAsia" w:ascii="仿宋_GB2312" w:hAnsi="仿宋_GB2312" w:eastAsia="仿宋_GB2312" w:cs="仿宋_GB2312"/>
              </w:rPr>
            </w:pPr>
            <w:r>
              <w:rPr>
                <w:rFonts w:hint="eastAsia" w:ascii="仿宋_GB2312" w:hAnsi="仿宋_GB2312" w:eastAsia="仿宋_GB2312" w:cs="仿宋_GB2312"/>
                <w:color w:val="000000"/>
                <w:lang w:bidi="ar"/>
              </w:rPr>
              <w:t>破坏或者擅自移动一般矿区一个范围界桩或者地面标志，破坏程度难以修复的。</w:t>
            </w:r>
          </w:p>
        </w:tc>
        <w:tc>
          <w:tcPr>
            <w:tcW w:w="1904" w:type="dxa"/>
            <w:noWrap w:val="0"/>
            <w:vAlign w:val="center"/>
          </w:tcPr>
          <w:p>
            <w:pPr>
              <w:jc w:val="center"/>
              <w:textAlignment w:val="center"/>
              <w:rPr>
                <w:rFonts w:hint="eastAsia" w:ascii="仿宋_GB2312" w:hAnsi="仿宋_GB2312" w:eastAsia="仿宋_GB2312" w:cs="仿宋_GB2312"/>
              </w:rPr>
            </w:pPr>
            <w:r>
              <w:rPr>
                <w:rFonts w:hint="eastAsia" w:ascii="仿宋_GB2312" w:hAnsi="仿宋_GB2312" w:eastAsia="仿宋_GB2312" w:cs="仿宋_GB2312"/>
              </w:rPr>
              <w:t>昆明市</w:t>
            </w:r>
            <w:r>
              <w:rPr>
                <w:rFonts w:hint="eastAsia" w:ascii="仿宋_GB2312" w:hAnsi="仿宋_GB2312" w:eastAsia="仿宋_GB2312" w:cs="仿宋_GB2312"/>
                <w:lang w:eastAsia="zh-CN"/>
              </w:rPr>
              <w:t>晋宁区自然资源局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noWrap w:val="0"/>
            <w:vAlign w:val="center"/>
          </w:tcPr>
          <w:p>
            <w:pPr>
              <w:jc w:val="cente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28</w:t>
            </w:r>
          </w:p>
        </w:tc>
        <w:tc>
          <w:tcPr>
            <w:tcW w:w="3544"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因开采设计、采掘计划的决策错误，造成资源损失的；开采回采率、采矿贫化率和选矿回收率长期达不到设计要求，造成资源破坏损失的</w:t>
            </w:r>
          </w:p>
        </w:tc>
        <w:tc>
          <w:tcPr>
            <w:tcW w:w="3402"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《矿产资源监督管理暂行办法》第二十三条</w:t>
            </w:r>
          </w:p>
        </w:tc>
        <w:tc>
          <w:tcPr>
            <w:tcW w:w="3260"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损失10万元以上20万元以下的。</w:t>
            </w:r>
          </w:p>
        </w:tc>
        <w:tc>
          <w:tcPr>
            <w:tcW w:w="1904" w:type="dxa"/>
            <w:noWrap w:val="0"/>
            <w:vAlign w:val="center"/>
          </w:tcPr>
          <w:p>
            <w:pPr>
              <w:jc w:val="cente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rPr>
              <w:t>昆明市</w:t>
            </w:r>
            <w:r>
              <w:rPr>
                <w:rFonts w:hint="eastAsia" w:ascii="仿宋_GB2312" w:hAnsi="仿宋_GB2312" w:eastAsia="仿宋_GB2312" w:cs="仿宋_GB2312"/>
                <w:lang w:eastAsia="zh-CN"/>
              </w:rPr>
              <w:t>晋宁区自然资源局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noWrap w:val="0"/>
            <w:vAlign w:val="center"/>
          </w:tcPr>
          <w:p>
            <w:pPr>
              <w:jc w:val="cente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29</w:t>
            </w:r>
          </w:p>
        </w:tc>
        <w:tc>
          <w:tcPr>
            <w:tcW w:w="3544"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采矿权人在规定期限内未足额缴纳矿产资源补偿费和滞纳金的</w:t>
            </w:r>
          </w:p>
        </w:tc>
        <w:tc>
          <w:tcPr>
            <w:tcW w:w="3402"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《矿产资源补偿费征收管理规定》（国务院令第150号）第十四条</w:t>
            </w:r>
          </w:p>
        </w:tc>
        <w:tc>
          <w:tcPr>
            <w:tcW w:w="3260"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未缴费用不到应缴费用20%的。</w:t>
            </w:r>
          </w:p>
        </w:tc>
        <w:tc>
          <w:tcPr>
            <w:tcW w:w="1904" w:type="dxa"/>
            <w:noWrap w:val="0"/>
            <w:vAlign w:val="center"/>
          </w:tcPr>
          <w:p>
            <w:pPr>
              <w:jc w:val="cente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rPr>
              <w:t>昆明市</w:t>
            </w:r>
            <w:r>
              <w:rPr>
                <w:rFonts w:hint="eastAsia" w:ascii="仿宋_GB2312" w:hAnsi="仿宋_GB2312" w:eastAsia="仿宋_GB2312" w:cs="仿宋_GB2312"/>
                <w:lang w:eastAsia="zh-CN"/>
              </w:rPr>
              <w:t>晋宁区自然资源局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noWrap w:val="0"/>
            <w:vAlign w:val="center"/>
          </w:tcPr>
          <w:p>
            <w:pPr>
              <w:jc w:val="cente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30</w:t>
            </w:r>
          </w:p>
        </w:tc>
        <w:tc>
          <w:tcPr>
            <w:tcW w:w="3544"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采矿权人采取伪报矿种，隐匿产量、销售数量或者伪报销售价格、实际开采回采率等手段，不缴或少缴矿产资源补偿费的</w:t>
            </w:r>
          </w:p>
        </w:tc>
        <w:tc>
          <w:tcPr>
            <w:tcW w:w="3402"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《矿产资源补偿费征收管理规定》（国务院令第150号）第十五条</w:t>
            </w:r>
          </w:p>
        </w:tc>
        <w:tc>
          <w:tcPr>
            <w:tcW w:w="3260"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未缴费用不到应缴费用20%的。</w:t>
            </w:r>
          </w:p>
        </w:tc>
        <w:tc>
          <w:tcPr>
            <w:tcW w:w="1904" w:type="dxa"/>
            <w:noWrap w:val="0"/>
            <w:vAlign w:val="center"/>
          </w:tcPr>
          <w:p>
            <w:pPr>
              <w:jc w:val="cente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rPr>
              <w:t>昆明市</w:t>
            </w:r>
            <w:r>
              <w:rPr>
                <w:rFonts w:hint="eastAsia" w:ascii="仿宋_GB2312" w:hAnsi="仿宋_GB2312" w:eastAsia="仿宋_GB2312" w:cs="仿宋_GB2312"/>
                <w:lang w:eastAsia="zh-CN"/>
              </w:rPr>
              <w:t>晋宁区自然资源局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noWrap w:val="0"/>
            <w:vAlign w:val="center"/>
          </w:tcPr>
          <w:p>
            <w:pPr>
              <w:jc w:val="cente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31</w:t>
            </w:r>
          </w:p>
        </w:tc>
        <w:tc>
          <w:tcPr>
            <w:tcW w:w="3544"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采矿权人未按规定报送有关资料的</w:t>
            </w:r>
          </w:p>
        </w:tc>
        <w:tc>
          <w:tcPr>
            <w:tcW w:w="3402"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《矿产资源补偿费征收管理规定》（国务院令第150号）第十六条</w:t>
            </w:r>
          </w:p>
        </w:tc>
        <w:tc>
          <w:tcPr>
            <w:tcW w:w="3260"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责令限期报送，逾期15天以下不报送的。</w:t>
            </w:r>
          </w:p>
        </w:tc>
        <w:tc>
          <w:tcPr>
            <w:tcW w:w="1904" w:type="dxa"/>
            <w:noWrap w:val="0"/>
            <w:vAlign w:val="center"/>
          </w:tcPr>
          <w:p>
            <w:pPr>
              <w:jc w:val="cente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rPr>
              <w:t>昆明市</w:t>
            </w:r>
            <w:r>
              <w:rPr>
                <w:rFonts w:hint="eastAsia" w:ascii="仿宋_GB2312" w:hAnsi="仿宋_GB2312" w:eastAsia="仿宋_GB2312" w:cs="仿宋_GB2312"/>
                <w:lang w:eastAsia="zh-CN"/>
              </w:rPr>
              <w:t>晋宁区自然资源局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noWrap w:val="0"/>
            <w:vAlign w:val="center"/>
          </w:tcPr>
          <w:p>
            <w:pPr>
              <w:jc w:val="cente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32</w:t>
            </w:r>
          </w:p>
        </w:tc>
        <w:tc>
          <w:tcPr>
            <w:tcW w:w="3544"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未按规定计提矿山地质环境治理恢复基金的</w:t>
            </w:r>
          </w:p>
        </w:tc>
        <w:tc>
          <w:tcPr>
            <w:tcW w:w="3402"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《矿山地质环境保护规定》第二十八条</w:t>
            </w:r>
          </w:p>
        </w:tc>
        <w:tc>
          <w:tcPr>
            <w:tcW w:w="3260"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责令限期计提，逾期15天以下不计提的。</w:t>
            </w:r>
          </w:p>
        </w:tc>
        <w:tc>
          <w:tcPr>
            <w:tcW w:w="1904" w:type="dxa"/>
            <w:noWrap w:val="0"/>
            <w:vAlign w:val="center"/>
          </w:tcPr>
          <w:p>
            <w:pPr>
              <w:jc w:val="cente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rPr>
              <w:t>昆明市</w:t>
            </w:r>
            <w:r>
              <w:rPr>
                <w:rFonts w:hint="eastAsia" w:ascii="仿宋_GB2312" w:hAnsi="仿宋_GB2312" w:eastAsia="仿宋_GB2312" w:cs="仿宋_GB2312"/>
                <w:lang w:eastAsia="zh-CN"/>
              </w:rPr>
              <w:t>晋宁区自然资源局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noWrap w:val="0"/>
            <w:vAlign w:val="center"/>
          </w:tcPr>
          <w:p>
            <w:pPr>
              <w:jc w:val="cente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33</w:t>
            </w:r>
          </w:p>
        </w:tc>
        <w:tc>
          <w:tcPr>
            <w:tcW w:w="3544"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未经批准发掘古生物化石或者未按照批准的发掘方案发掘古生物化石的</w:t>
            </w:r>
          </w:p>
        </w:tc>
        <w:tc>
          <w:tcPr>
            <w:tcW w:w="3402"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《古生物化石保护条例》第三十六条；《古生物化石保护条例实施办法》第五十条。</w:t>
            </w:r>
          </w:p>
        </w:tc>
        <w:tc>
          <w:tcPr>
            <w:tcW w:w="3260"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个人以收藏为目的在非国家级古生物化石自然保护区、国家地质公园和重点保护古生物化石集中产地内零星采集古生物化石的。</w:t>
            </w:r>
          </w:p>
        </w:tc>
        <w:tc>
          <w:tcPr>
            <w:tcW w:w="1904" w:type="dxa"/>
            <w:noWrap w:val="0"/>
            <w:vAlign w:val="center"/>
          </w:tcPr>
          <w:p>
            <w:pPr>
              <w:jc w:val="cente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rPr>
              <w:t>昆明市</w:t>
            </w:r>
            <w:r>
              <w:rPr>
                <w:rFonts w:hint="eastAsia" w:ascii="仿宋_GB2312" w:hAnsi="仿宋_GB2312" w:eastAsia="仿宋_GB2312" w:cs="仿宋_GB2312"/>
                <w:lang w:eastAsia="zh-CN"/>
              </w:rPr>
              <w:t>晋宁区自然资源局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noWrap w:val="0"/>
            <w:vAlign w:val="center"/>
          </w:tcPr>
          <w:p>
            <w:pPr>
              <w:jc w:val="cente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34</w:t>
            </w:r>
          </w:p>
        </w:tc>
        <w:tc>
          <w:tcPr>
            <w:tcW w:w="3544"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国有收藏单位将其收藏的重点保护古生物化石违法转让、交换、赠与给非国有收藏单位或者个人的</w:t>
            </w:r>
          </w:p>
        </w:tc>
        <w:tc>
          <w:tcPr>
            <w:tcW w:w="3402"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《古生物化石保护条例》第四十一条；《古生物化石保护条例实施办法》第五十五条。</w:t>
            </w:r>
          </w:p>
        </w:tc>
        <w:tc>
          <w:tcPr>
            <w:tcW w:w="3260"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涉及三级重点保护古生物化石，且数量小于3件的。</w:t>
            </w:r>
          </w:p>
        </w:tc>
        <w:tc>
          <w:tcPr>
            <w:tcW w:w="1904" w:type="dxa"/>
            <w:noWrap w:val="0"/>
            <w:vAlign w:val="center"/>
          </w:tcPr>
          <w:p>
            <w:pPr>
              <w:jc w:val="cente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rPr>
              <w:t>昆明市</w:t>
            </w:r>
            <w:r>
              <w:rPr>
                <w:rFonts w:hint="eastAsia" w:ascii="仿宋_GB2312" w:hAnsi="仿宋_GB2312" w:eastAsia="仿宋_GB2312" w:cs="仿宋_GB2312"/>
                <w:lang w:eastAsia="zh-CN"/>
              </w:rPr>
              <w:t>晋宁区自然资源局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noWrap w:val="0"/>
            <w:vAlign w:val="center"/>
          </w:tcPr>
          <w:p>
            <w:pPr>
              <w:jc w:val="cente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35</w:t>
            </w:r>
          </w:p>
        </w:tc>
        <w:tc>
          <w:tcPr>
            <w:tcW w:w="3544"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单位或者个人将其收藏的重点保护古生物化石转让、交换、赠与、质押给外国人或者外国组织的</w:t>
            </w:r>
          </w:p>
        </w:tc>
        <w:tc>
          <w:tcPr>
            <w:tcW w:w="3402"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《古生物化石保护条例》第四十二条；《古生物化石保护条例实施办法》第五十六条。</w:t>
            </w:r>
          </w:p>
        </w:tc>
        <w:tc>
          <w:tcPr>
            <w:tcW w:w="3260"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涉及三级重点保护古生物化石，且数量小于3件的。</w:t>
            </w:r>
          </w:p>
        </w:tc>
        <w:tc>
          <w:tcPr>
            <w:tcW w:w="1904" w:type="dxa"/>
            <w:noWrap w:val="0"/>
            <w:vAlign w:val="center"/>
          </w:tcPr>
          <w:p>
            <w:pPr>
              <w:jc w:val="cente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rPr>
              <w:t>昆明市</w:t>
            </w:r>
            <w:r>
              <w:rPr>
                <w:rFonts w:hint="eastAsia" w:ascii="仿宋_GB2312" w:hAnsi="仿宋_GB2312" w:eastAsia="仿宋_GB2312" w:cs="仿宋_GB2312"/>
                <w:lang w:eastAsia="zh-CN"/>
              </w:rPr>
              <w:t>晋宁区自然资源局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noWrap w:val="0"/>
            <w:vAlign w:val="center"/>
          </w:tcPr>
          <w:p>
            <w:pPr>
              <w:jc w:val="cente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36</w:t>
            </w:r>
          </w:p>
        </w:tc>
        <w:tc>
          <w:tcPr>
            <w:tcW w:w="3544"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单位或者个人在生产、建设活动中发现古生物化石不报告的</w:t>
            </w:r>
          </w:p>
        </w:tc>
        <w:tc>
          <w:tcPr>
            <w:tcW w:w="3402"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《古生物化石保护条例实施办法》第五十一条</w:t>
            </w:r>
          </w:p>
        </w:tc>
        <w:tc>
          <w:tcPr>
            <w:tcW w:w="3260"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个人在生产、建设活动中发现古生物化石不报告的，未造成古生物化石毁损的。</w:t>
            </w:r>
          </w:p>
        </w:tc>
        <w:tc>
          <w:tcPr>
            <w:tcW w:w="1904" w:type="dxa"/>
            <w:noWrap w:val="0"/>
            <w:vAlign w:val="center"/>
          </w:tcPr>
          <w:p>
            <w:pPr>
              <w:jc w:val="cente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rPr>
              <w:t>昆明市</w:t>
            </w:r>
            <w:r>
              <w:rPr>
                <w:rFonts w:hint="eastAsia" w:ascii="仿宋_GB2312" w:hAnsi="仿宋_GB2312" w:eastAsia="仿宋_GB2312" w:cs="仿宋_GB2312"/>
                <w:lang w:eastAsia="zh-CN"/>
              </w:rPr>
              <w:t>晋宁区自然资源局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noWrap w:val="0"/>
            <w:vAlign w:val="center"/>
          </w:tcPr>
          <w:p>
            <w:pPr>
              <w:jc w:val="cente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37</w:t>
            </w:r>
          </w:p>
        </w:tc>
        <w:tc>
          <w:tcPr>
            <w:tcW w:w="3544"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单位或者个人违反《古生物化石保护条例实施办法》的规定，收藏违法获得或者不能证明合法来源的重点保护古生物化石的</w:t>
            </w:r>
          </w:p>
        </w:tc>
        <w:tc>
          <w:tcPr>
            <w:tcW w:w="3402"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《古生物化石保护条例实施办法》第五十四条</w:t>
            </w:r>
          </w:p>
        </w:tc>
        <w:tc>
          <w:tcPr>
            <w:tcW w:w="3260"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涉及三级重点保护古生物化石，且数量小于3件的。</w:t>
            </w:r>
          </w:p>
        </w:tc>
        <w:tc>
          <w:tcPr>
            <w:tcW w:w="1904" w:type="dxa"/>
            <w:noWrap w:val="0"/>
            <w:vAlign w:val="center"/>
          </w:tcPr>
          <w:p>
            <w:pPr>
              <w:jc w:val="cente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rPr>
              <w:t>昆明市</w:t>
            </w:r>
            <w:r>
              <w:rPr>
                <w:rFonts w:hint="eastAsia" w:ascii="仿宋_GB2312" w:hAnsi="仿宋_GB2312" w:eastAsia="仿宋_GB2312" w:cs="仿宋_GB2312"/>
                <w:lang w:eastAsia="zh-CN"/>
              </w:rPr>
              <w:t>晋宁区自然资源局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noWrap w:val="0"/>
            <w:vAlign w:val="center"/>
          </w:tcPr>
          <w:p>
            <w:pPr>
              <w:jc w:val="cente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38</w:t>
            </w:r>
          </w:p>
        </w:tc>
        <w:tc>
          <w:tcPr>
            <w:tcW w:w="3544"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擅自移动和破坏碑石、界标的</w:t>
            </w:r>
          </w:p>
        </w:tc>
        <w:tc>
          <w:tcPr>
            <w:tcW w:w="3402"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《地质遗迹保护管理规定》第二十条；《中华人民共和国自然保护区条例》第三十四条。</w:t>
            </w:r>
          </w:p>
        </w:tc>
        <w:tc>
          <w:tcPr>
            <w:tcW w:w="3260"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破坏碑石、界标，但不影响使用的。</w:t>
            </w:r>
          </w:p>
        </w:tc>
        <w:tc>
          <w:tcPr>
            <w:tcW w:w="1904" w:type="dxa"/>
            <w:noWrap w:val="0"/>
            <w:vAlign w:val="center"/>
          </w:tcPr>
          <w:p>
            <w:pPr>
              <w:jc w:val="cente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rPr>
              <w:t>昆明市</w:t>
            </w:r>
            <w:r>
              <w:rPr>
                <w:rFonts w:hint="eastAsia" w:ascii="仿宋_GB2312" w:hAnsi="仿宋_GB2312" w:eastAsia="仿宋_GB2312" w:cs="仿宋_GB2312"/>
                <w:lang w:eastAsia="zh-CN"/>
              </w:rPr>
              <w:t>晋宁区自然资源局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noWrap w:val="0"/>
            <w:vAlign w:val="center"/>
          </w:tcPr>
          <w:p>
            <w:pPr>
              <w:jc w:val="cente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39</w:t>
            </w:r>
          </w:p>
        </w:tc>
        <w:tc>
          <w:tcPr>
            <w:tcW w:w="3544"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在地质遗迹保护区，违反规定进行采石、取土、开矿、放牧、及采集标本化石的，对地质遗迹造成污染和破坏的，不服从保护区管理机构管理以及从事科研活动未向管理单位提交研究成果副本的。</w:t>
            </w:r>
          </w:p>
        </w:tc>
        <w:tc>
          <w:tcPr>
            <w:tcW w:w="3402"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《地质遗迹保护管理规定》第二十条；《中华人民共和国自然保护区条例》第三十四、三十五条。</w:t>
            </w:r>
          </w:p>
        </w:tc>
        <w:tc>
          <w:tcPr>
            <w:tcW w:w="3260"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少量的采石、取土、砍伐行为。</w:t>
            </w:r>
          </w:p>
        </w:tc>
        <w:tc>
          <w:tcPr>
            <w:tcW w:w="1904" w:type="dxa"/>
            <w:noWrap w:val="0"/>
            <w:vAlign w:val="center"/>
          </w:tcPr>
          <w:p>
            <w:pPr>
              <w:jc w:val="cente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rPr>
              <w:t>昆明市</w:t>
            </w:r>
            <w:r>
              <w:rPr>
                <w:rFonts w:hint="eastAsia" w:ascii="仿宋_GB2312" w:hAnsi="仿宋_GB2312" w:eastAsia="仿宋_GB2312" w:cs="仿宋_GB2312"/>
                <w:lang w:eastAsia="zh-CN"/>
              </w:rPr>
              <w:t>晋宁区自然资源局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noWrap w:val="0"/>
            <w:vAlign w:val="center"/>
          </w:tcPr>
          <w:p>
            <w:pPr>
              <w:jc w:val="cente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40</w:t>
            </w:r>
          </w:p>
        </w:tc>
        <w:tc>
          <w:tcPr>
            <w:tcW w:w="3544"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违反本条例规定，在自然保护区进行砍伐、放牧、狩猎、捕捞、采药、开垦、烧荒、开矿、采石、挖沙等活动的</w:t>
            </w:r>
          </w:p>
        </w:tc>
        <w:tc>
          <w:tcPr>
            <w:tcW w:w="3402"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《中华人民共和国自然保护区条例》第三十五条</w:t>
            </w:r>
          </w:p>
        </w:tc>
        <w:tc>
          <w:tcPr>
            <w:tcW w:w="3260"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自用少量的采石、取土、采药、挖沙等行为，未对保护区造成破坏的。</w:t>
            </w:r>
          </w:p>
        </w:tc>
        <w:tc>
          <w:tcPr>
            <w:tcW w:w="1904" w:type="dxa"/>
            <w:noWrap w:val="0"/>
            <w:vAlign w:val="center"/>
          </w:tcPr>
          <w:p>
            <w:pPr>
              <w:jc w:val="cente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rPr>
              <w:t>昆明市</w:t>
            </w:r>
            <w:r>
              <w:rPr>
                <w:rFonts w:hint="eastAsia" w:ascii="仿宋_GB2312" w:hAnsi="仿宋_GB2312" w:eastAsia="仿宋_GB2312" w:cs="仿宋_GB2312"/>
                <w:lang w:eastAsia="zh-CN"/>
              </w:rPr>
              <w:t>晋宁区自然资源局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noWrap w:val="0"/>
            <w:vAlign w:val="center"/>
          </w:tcPr>
          <w:p>
            <w:pPr>
              <w:jc w:val="cente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41</w:t>
            </w:r>
          </w:p>
        </w:tc>
        <w:tc>
          <w:tcPr>
            <w:tcW w:w="3544"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对工程建设等人为活动引发的地质灾害不予治理的</w:t>
            </w:r>
          </w:p>
        </w:tc>
        <w:tc>
          <w:tcPr>
            <w:tcW w:w="3402"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《地质灾害防治条例》第四十二条</w:t>
            </w:r>
          </w:p>
        </w:tc>
        <w:tc>
          <w:tcPr>
            <w:tcW w:w="3260"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造成小型地质灾害但未造成人员伤亡，责令限期治理，但治理不符合要求的。</w:t>
            </w:r>
          </w:p>
        </w:tc>
        <w:tc>
          <w:tcPr>
            <w:tcW w:w="1904" w:type="dxa"/>
            <w:noWrap w:val="0"/>
            <w:vAlign w:val="center"/>
          </w:tcPr>
          <w:p>
            <w:pPr>
              <w:jc w:val="cente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rPr>
              <w:t>昆明市</w:t>
            </w:r>
            <w:r>
              <w:rPr>
                <w:rFonts w:hint="eastAsia" w:ascii="仿宋_GB2312" w:hAnsi="仿宋_GB2312" w:eastAsia="仿宋_GB2312" w:cs="仿宋_GB2312"/>
                <w:lang w:eastAsia="zh-CN"/>
              </w:rPr>
              <w:t>晋宁区自然资源局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noWrap w:val="0"/>
            <w:vAlign w:val="center"/>
          </w:tcPr>
          <w:p>
            <w:pPr>
              <w:jc w:val="cente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42</w:t>
            </w:r>
          </w:p>
        </w:tc>
        <w:tc>
          <w:tcPr>
            <w:tcW w:w="3544"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在地质灾害危险区内爆破、削坡、进行工程建设以及从事其他可能引发地质灾害活动的</w:t>
            </w:r>
          </w:p>
        </w:tc>
        <w:tc>
          <w:tcPr>
            <w:tcW w:w="3402"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《地质灾害防治条例》第四十三条</w:t>
            </w:r>
          </w:p>
        </w:tc>
        <w:tc>
          <w:tcPr>
            <w:tcW w:w="3260"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个人活动可能引发小型地质灾害。</w:t>
            </w:r>
          </w:p>
        </w:tc>
        <w:tc>
          <w:tcPr>
            <w:tcW w:w="1904" w:type="dxa"/>
            <w:noWrap w:val="0"/>
            <w:vAlign w:val="center"/>
          </w:tcPr>
          <w:p>
            <w:pPr>
              <w:jc w:val="cente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rPr>
              <w:t>昆明市</w:t>
            </w:r>
            <w:r>
              <w:rPr>
                <w:rFonts w:hint="eastAsia" w:ascii="仿宋_GB2312" w:hAnsi="仿宋_GB2312" w:eastAsia="仿宋_GB2312" w:cs="仿宋_GB2312"/>
                <w:lang w:eastAsia="zh-CN"/>
              </w:rPr>
              <w:t>晋宁区自然资源局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noWrap w:val="0"/>
            <w:vAlign w:val="center"/>
          </w:tcPr>
          <w:p>
            <w:pPr>
              <w:jc w:val="cente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43</w:t>
            </w:r>
          </w:p>
        </w:tc>
        <w:tc>
          <w:tcPr>
            <w:tcW w:w="3544"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在地质灾害危险性评估中弄虚作假或者故意隐瞒地质灾害真实情况的</w:t>
            </w:r>
          </w:p>
        </w:tc>
        <w:tc>
          <w:tcPr>
            <w:tcW w:w="3402"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《地质灾害防治条例》第四十四条</w:t>
            </w:r>
          </w:p>
        </w:tc>
        <w:tc>
          <w:tcPr>
            <w:tcW w:w="3260"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不影响评估结论，且项目不涉及幼儿园、学校、医院、农贸市场等人员密集场所的校、医院、农贸市场等人员密集场所的。</w:t>
            </w:r>
          </w:p>
        </w:tc>
        <w:tc>
          <w:tcPr>
            <w:tcW w:w="1904" w:type="dxa"/>
            <w:noWrap w:val="0"/>
            <w:vAlign w:val="center"/>
          </w:tcPr>
          <w:p>
            <w:pPr>
              <w:jc w:val="cente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rPr>
              <w:t>昆明市</w:t>
            </w:r>
            <w:r>
              <w:rPr>
                <w:rFonts w:hint="eastAsia" w:ascii="仿宋_GB2312" w:hAnsi="仿宋_GB2312" w:eastAsia="仿宋_GB2312" w:cs="仿宋_GB2312"/>
                <w:lang w:eastAsia="zh-CN"/>
              </w:rPr>
              <w:t>晋宁区自然资源局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noWrap w:val="0"/>
            <w:vAlign w:val="center"/>
          </w:tcPr>
          <w:p>
            <w:pPr>
              <w:jc w:val="cente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44</w:t>
            </w:r>
          </w:p>
        </w:tc>
        <w:tc>
          <w:tcPr>
            <w:tcW w:w="3544"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在地质灾害治理工程勘查、设计、施工以及监理活动中弄虚作假、降低工程质量的</w:t>
            </w:r>
          </w:p>
        </w:tc>
        <w:tc>
          <w:tcPr>
            <w:tcW w:w="3402"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《地质灾害防治条例》第四十四条</w:t>
            </w:r>
          </w:p>
        </w:tc>
        <w:tc>
          <w:tcPr>
            <w:tcW w:w="3260"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项目不涉及幼儿园、学校、医院、农贸市场等人员密集场所，且未造成实际损失的。</w:t>
            </w:r>
          </w:p>
        </w:tc>
        <w:tc>
          <w:tcPr>
            <w:tcW w:w="1904" w:type="dxa"/>
            <w:noWrap w:val="0"/>
            <w:vAlign w:val="center"/>
          </w:tcPr>
          <w:p>
            <w:pPr>
              <w:jc w:val="cente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rPr>
              <w:t>昆明市</w:t>
            </w:r>
            <w:r>
              <w:rPr>
                <w:rFonts w:hint="eastAsia" w:ascii="仿宋_GB2312" w:hAnsi="仿宋_GB2312" w:eastAsia="仿宋_GB2312" w:cs="仿宋_GB2312"/>
                <w:lang w:eastAsia="zh-CN"/>
              </w:rPr>
              <w:t>晋宁区自然资源局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noWrap w:val="0"/>
            <w:vAlign w:val="center"/>
          </w:tcPr>
          <w:p>
            <w:pPr>
              <w:jc w:val="cente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45</w:t>
            </w:r>
          </w:p>
        </w:tc>
        <w:tc>
          <w:tcPr>
            <w:tcW w:w="3544"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无资质证书或者超越其资质等级许可的范围承揽地质灾害危险性评估、地质灾害治理工程勘查、设计、施工及监理业务的</w:t>
            </w:r>
          </w:p>
        </w:tc>
        <w:tc>
          <w:tcPr>
            <w:tcW w:w="3402"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《地质灾害防治条例》第四十四条</w:t>
            </w:r>
          </w:p>
        </w:tc>
        <w:tc>
          <w:tcPr>
            <w:tcW w:w="3260"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超越资质，项目不涉及幼儿园、学校、医院、农贸市场等人员密集场所，且未造成实际损失的。</w:t>
            </w:r>
          </w:p>
        </w:tc>
        <w:tc>
          <w:tcPr>
            <w:tcW w:w="1904" w:type="dxa"/>
            <w:noWrap w:val="0"/>
            <w:vAlign w:val="center"/>
          </w:tcPr>
          <w:p>
            <w:pPr>
              <w:jc w:val="cente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rPr>
              <w:t>昆明市</w:t>
            </w:r>
            <w:r>
              <w:rPr>
                <w:rFonts w:hint="eastAsia" w:ascii="仿宋_GB2312" w:hAnsi="仿宋_GB2312" w:eastAsia="仿宋_GB2312" w:cs="仿宋_GB2312"/>
                <w:lang w:eastAsia="zh-CN"/>
              </w:rPr>
              <w:t>晋宁区自然资源局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noWrap w:val="0"/>
            <w:vAlign w:val="center"/>
          </w:tcPr>
          <w:p>
            <w:pPr>
              <w:jc w:val="cente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46</w:t>
            </w:r>
          </w:p>
        </w:tc>
        <w:tc>
          <w:tcPr>
            <w:tcW w:w="3544"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以其他单位的名义或者允许其他单位以本单位的名义承揽地质灾害危险性评估、地质灾害治理工程勘查、设计、施工和监理业务的。</w:t>
            </w:r>
          </w:p>
        </w:tc>
        <w:tc>
          <w:tcPr>
            <w:tcW w:w="3402"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《地质灾害防治条例》第四十四条</w:t>
            </w:r>
          </w:p>
        </w:tc>
        <w:tc>
          <w:tcPr>
            <w:tcW w:w="3260"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项目不涉及幼儿园、学校、医院、农贸市场等人员密集场所，且未造成实际损失的。</w:t>
            </w:r>
          </w:p>
        </w:tc>
        <w:tc>
          <w:tcPr>
            <w:tcW w:w="1904" w:type="dxa"/>
            <w:noWrap w:val="0"/>
            <w:vAlign w:val="center"/>
          </w:tcPr>
          <w:p>
            <w:pPr>
              <w:jc w:val="cente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rPr>
              <w:t>昆明市</w:t>
            </w:r>
            <w:r>
              <w:rPr>
                <w:rFonts w:hint="eastAsia" w:ascii="仿宋_GB2312" w:hAnsi="仿宋_GB2312" w:eastAsia="仿宋_GB2312" w:cs="仿宋_GB2312"/>
                <w:lang w:eastAsia="zh-CN"/>
              </w:rPr>
              <w:t>晋宁区自然资源局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noWrap w:val="0"/>
            <w:vAlign w:val="center"/>
          </w:tcPr>
          <w:p>
            <w:pPr>
              <w:jc w:val="cente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47</w:t>
            </w:r>
          </w:p>
        </w:tc>
        <w:tc>
          <w:tcPr>
            <w:tcW w:w="3544"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侵占、损毁、损坏地质灾害监测设施或者地质灾害治理工程设施的</w:t>
            </w:r>
          </w:p>
        </w:tc>
        <w:tc>
          <w:tcPr>
            <w:tcW w:w="3402"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《地质灾害防治条例》第四十六条</w:t>
            </w:r>
          </w:p>
        </w:tc>
        <w:tc>
          <w:tcPr>
            <w:tcW w:w="3260"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损坏程度较轻，不影响使用的。</w:t>
            </w:r>
          </w:p>
        </w:tc>
        <w:tc>
          <w:tcPr>
            <w:tcW w:w="1904" w:type="dxa"/>
            <w:noWrap w:val="0"/>
            <w:vAlign w:val="center"/>
          </w:tcPr>
          <w:p>
            <w:pPr>
              <w:jc w:val="cente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rPr>
              <w:t>昆明市</w:t>
            </w:r>
            <w:r>
              <w:rPr>
                <w:rFonts w:hint="eastAsia" w:ascii="仿宋_GB2312" w:hAnsi="仿宋_GB2312" w:eastAsia="仿宋_GB2312" w:cs="仿宋_GB2312"/>
                <w:lang w:eastAsia="zh-CN"/>
              </w:rPr>
              <w:t>晋宁区自然资源局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noWrap w:val="0"/>
            <w:vAlign w:val="center"/>
          </w:tcPr>
          <w:p>
            <w:pPr>
              <w:jc w:val="cente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48</w:t>
            </w:r>
          </w:p>
        </w:tc>
        <w:tc>
          <w:tcPr>
            <w:tcW w:w="3544"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对造成地质环境破坏不进行恢复或者治理的</w:t>
            </w:r>
          </w:p>
        </w:tc>
        <w:tc>
          <w:tcPr>
            <w:tcW w:w="3402"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《云南省地质环境保护条例》第十九条</w:t>
            </w:r>
          </w:p>
        </w:tc>
        <w:tc>
          <w:tcPr>
            <w:tcW w:w="3260"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逾期不恢复或者不治理，恢复或者治理费用小于5万的。</w:t>
            </w:r>
          </w:p>
        </w:tc>
        <w:tc>
          <w:tcPr>
            <w:tcW w:w="1904" w:type="dxa"/>
            <w:noWrap w:val="0"/>
            <w:vAlign w:val="center"/>
          </w:tcPr>
          <w:p>
            <w:pPr>
              <w:jc w:val="cente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rPr>
              <w:t>昆明市</w:t>
            </w:r>
            <w:r>
              <w:rPr>
                <w:rFonts w:hint="eastAsia" w:ascii="仿宋_GB2312" w:hAnsi="仿宋_GB2312" w:eastAsia="仿宋_GB2312" w:cs="仿宋_GB2312"/>
                <w:lang w:eastAsia="zh-CN"/>
              </w:rPr>
              <w:t>晋宁区自然资源局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noWrap w:val="0"/>
            <w:vAlign w:val="center"/>
          </w:tcPr>
          <w:p>
            <w:pPr>
              <w:jc w:val="cente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49</w:t>
            </w:r>
          </w:p>
        </w:tc>
        <w:tc>
          <w:tcPr>
            <w:tcW w:w="3544"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拒报或者谎报地质环境监测资的</w:t>
            </w:r>
          </w:p>
        </w:tc>
        <w:tc>
          <w:tcPr>
            <w:tcW w:w="3402"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《云南省地质环境保护条例》第二十条</w:t>
            </w:r>
          </w:p>
        </w:tc>
        <w:tc>
          <w:tcPr>
            <w:tcW w:w="3260"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责令限期改正，逾期不改正，拒报地质环境监测资料的，未造成不利后果的。</w:t>
            </w:r>
          </w:p>
        </w:tc>
        <w:tc>
          <w:tcPr>
            <w:tcW w:w="1904" w:type="dxa"/>
            <w:noWrap w:val="0"/>
            <w:vAlign w:val="center"/>
          </w:tcPr>
          <w:p>
            <w:pPr>
              <w:jc w:val="cente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rPr>
              <w:t>昆明市</w:t>
            </w:r>
            <w:r>
              <w:rPr>
                <w:rFonts w:hint="eastAsia" w:ascii="仿宋_GB2312" w:hAnsi="仿宋_GB2312" w:eastAsia="仿宋_GB2312" w:cs="仿宋_GB2312"/>
                <w:lang w:eastAsia="zh-CN"/>
              </w:rPr>
              <w:t>晋宁区自然资源局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noWrap w:val="0"/>
            <w:vAlign w:val="center"/>
          </w:tcPr>
          <w:p>
            <w:pPr>
              <w:jc w:val="cente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50</w:t>
            </w:r>
          </w:p>
        </w:tc>
        <w:tc>
          <w:tcPr>
            <w:tcW w:w="3544"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侵占、毁损地质环境监测、保护设备和设施的行为</w:t>
            </w:r>
          </w:p>
        </w:tc>
        <w:tc>
          <w:tcPr>
            <w:tcW w:w="3402"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《云南省地质环境保护条例》第二十一条</w:t>
            </w:r>
          </w:p>
        </w:tc>
        <w:tc>
          <w:tcPr>
            <w:tcW w:w="3260"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损坏程度较轻，不影响使用的。</w:t>
            </w:r>
          </w:p>
        </w:tc>
        <w:tc>
          <w:tcPr>
            <w:tcW w:w="1904" w:type="dxa"/>
            <w:noWrap w:val="0"/>
            <w:vAlign w:val="center"/>
          </w:tcPr>
          <w:p>
            <w:pPr>
              <w:jc w:val="cente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rPr>
              <w:t>昆明市</w:t>
            </w:r>
            <w:r>
              <w:rPr>
                <w:rFonts w:hint="eastAsia" w:ascii="仿宋_GB2312" w:hAnsi="仿宋_GB2312" w:eastAsia="仿宋_GB2312" w:cs="仿宋_GB2312"/>
                <w:lang w:eastAsia="zh-CN"/>
              </w:rPr>
              <w:t>晋宁区自然资源局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noWrap w:val="0"/>
            <w:vAlign w:val="center"/>
          </w:tcPr>
          <w:p>
            <w:pPr>
              <w:jc w:val="cente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51</w:t>
            </w:r>
          </w:p>
        </w:tc>
        <w:tc>
          <w:tcPr>
            <w:tcW w:w="3544"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未经批准，擅自建立相对独立的平面坐标系统或者采用不符合国家标准的基础地理信息数据建立地理信息系统的</w:t>
            </w:r>
          </w:p>
        </w:tc>
        <w:tc>
          <w:tcPr>
            <w:tcW w:w="3402"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《中华人民共和国测绘法》第五十二条</w:t>
            </w:r>
          </w:p>
        </w:tc>
        <w:tc>
          <w:tcPr>
            <w:tcW w:w="3260"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采用不符合国家标准的基础地理信息数据，建立区（县）级以下地理信息系统的。</w:t>
            </w:r>
          </w:p>
        </w:tc>
        <w:tc>
          <w:tcPr>
            <w:tcW w:w="1904" w:type="dxa"/>
            <w:noWrap w:val="0"/>
            <w:vAlign w:val="center"/>
          </w:tcPr>
          <w:p>
            <w:pPr>
              <w:jc w:val="cente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rPr>
              <w:t>昆明市</w:t>
            </w:r>
            <w:r>
              <w:rPr>
                <w:rFonts w:hint="eastAsia" w:ascii="仿宋_GB2312" w:hAnsi="仿宋_GB2312" w:eastAsia="仿宋_GB2312" w:cs="仿宋_GB2312"/>
                <w:lang w:eastAsia="zh-CN"/>
              </w:rPr>
              <w:t>晋宁区自然资源局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noWrap w:val="0"/>
            <w:vAlign w:val="center"/>
          </w:tcPr>
          <w:p>
            <w:pPr>
              <w:jc w:val="cente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52</w:t>
            </w:r>
          </w:p>
        </w:tc>
        <w:tc>
          <w:tcPr>
            <w:tcW w:w="3544"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不汇交测绘成果资料的</w:t>
            </w:r>
          </w:p>
        </w:tc>
        <w:tc>
          <w:tcPr>
            <w:tcW w:w="3402"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《中华人民共和国测绘法》第六十条</w:t>
            </w:r>
          </w:p>
        </w:tc>
        <w:tc>
          <w:tcPr>
            <w:tcW w:w="3260"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责令限期汇交，逾期一个月内的。</w:t>
            </w:r>
          </w:p>
        </w:tc>
        <w:tc>
          <w:tcPr>
            <w:tcW w:w="1904" w:type="dxa"/>
            <w:noWrap w:val="0"/>
            <w:vAlign w:val="center"/>
          </w:tcPr>
          <w:p>
            <w:pPr>
              <w:jc w:val="cente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rPr>
              <w:t>昆明市</w:t>
            </w:r>
            <w:r>
              <w:rPr>
                <w:rFonts w:hint="eastAsia" w:ascii="仿宋_GB2312" w:hAnsi="仿宋_GB2312" w:eastAsia="仿宋_GB2312" w:cs="仿宋_GB2312"/>
                <w:lang w:eastAsia="zh-CN"/>
              </w:rPr>
              <w:t>晋宁区自然资源局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noWrap w:val="0"/>
            <w:vAlign w:val="center"/>
          </w:tcPr>
          <w:p>
            <w:pPr>
              <w:jc w:val="cente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53</w:t>
            </w:r>
          </w:p>
        </w:tc>
        <w:tc>
          <w:tcPr>
            <w:tcW w:w="3544"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在对社会公众有影响的活动中使用未经依法公布的重要地理信息数据的</w:t>
            </w:r>
          </w:p>
        </w:tc>
        <w:tc>
          <w:tcPr>
            <w:tcW w:w="3402"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《中华人民共和国测绘成果管理条例》（国务院令第469号）第二十九条</w:t>
            </w:r>
          </w:p>
        </w:tc>
        <w:tc>
          <w:tcPr>
            <w:tcW w:w="3260"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初次违法，涉及秘密级国家秘密信息的。</w:t>
            </w:r>
          </w:p>
        </w:tc>
        <w:tc>
          <w:tcPr>
            <w:tcW w:w="1904" w:type="dxa"/>
            <w:noWrap w:val="0"/>
            <w:vAlign w:val="center"/>
          </w:tcPr>
          <w:p>
            <w:pPr>
              <w:jc w:val="cente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rPr>
              <w:t>昆明市</w:t>
            </w:r>
            <w:r>
              <w:rPr>
                <w:rFonts w:hint="eastAsia" w:ascii="仿宋_GB2312" w:hAnsi="仿宋_GB2312" w:eastAsia="仿宋_GB2312" w:cs="仿宋_GB2312"/>
                <w:lang w:eastAsia="zh-CN"/>
              </w:rPr>
              <w:t>晋宁区自然资源局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noWrap w:val="0"/>
            <w:vAlign w:val="center"/>
          </w:tcPr>
          <w:p>
            <w:pPr>
              <w:jc w:val="cente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54</w:t>
            </w:r>
          </w:p>
        </w:tc>
        <w:tc>
          <w:tcPr>
            <w:tcW w:w="3544"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未取得测绘资质证书，擅自从事测绘活动的</w:t>
            </w:r>
          </w:p>
        </w:tc>
        <w:tc>
          <w:tcPr>
            <w:tcW w:w="3402"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《中华人民共和国测绘法》第五十五条</w:t>
            </w:r>
          </w:p>
        </w:tc>
        <w:tc>
          <w:tcPr>
            <w:tcW w:w="3260"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测绘项目约定报酬在5万以下的。</w:t>
            </w:r>
          </w:p>
        </w:tc>
        <w:tc>
          <w:tcPr>
            <w:tcW w:w="1904" w:type="dxa"/>
            <w:noWrap w:val="0"/>
            <w:vAlign w:val="center"/>
          </w:tcPr>
          <w:p>
            <w:pPr>
              <w:jc w:val="cente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rPr>
              <w:t>昆明市</w:t>
            </w:r>
            <w:r>
              <w:rPr>
                <w:rFonts w:hint="eastAsia" w:ascii="仿宋_GB2312" w:hAnsi="仿宋_GB2312" w:eastAsia="仿宋_GB2312" w:cs="仿宋_GB2312"/>
                <w:lang w:eastAsia="zh-CN"/>
              </w:rPr>
              <w:t>晋宁区自然资源局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noWrap w:val="0"/>
            <w:vAlign w:val="center"/>
          </w:tcPr>
          <w:p>
            <w:pPr>
              <w:jc w:val="cente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55</w:t>
            </w:r>
          </w:p>
        </w:tc>
        <w:tc>
          <w:tcPr>
            <w:tcW w:w="3544"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对以欺骗手段取得测绘资质证书从事测绘活动的</w:t>
            </w:r>
          </w:p>
        </w:tc>
        <w:tc>
          <w:tcPr>
            <w:tcW w:w="3402"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《中华人民共和国测绘法》第五十五条</w:t>
            </w:r>
          </w:p>
        </w:tc>
        <w:tc>
          <w:tcPr>
            <w:tcW w:w="3260"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测绘项目约定报酬在5万以下的。</w:t>
            </w:r>
          </w:p>
        </w:tc>
        <w:tc>
          <w:tcPr>
            <w:tcW w:w="1904" w:type="dxa"/>
            <w:noWrap w:val="0"/>
            <w:vAlign w:val="center"/>
          </w:tcPr>
          <w:p>
            <w:pPr>
              <w:jc w:val="cente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rPr>
              <w:t>昆明市</w:t>
            </w:r>
            <w:r>
              <w:rPr>
                <w:rFonts w:hint="eastAsia" w:ascii="仿宋_GB2312" w:hAnsi="仿宋_GB2312" w:eastAsia="仿宋_GB2312" w:cs="仿宋_GB2312"/>
                <w:lang w:eastAsia="zh-CN"/>
              </w:rPr>
              <w:t>晋宁区自然资源局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noWrap w:val="0"/>
            <w:vAlign w:val="center"/>
          </w:tcPr>
          <w:p>
            <w:pPr>
              <w:jc w:val="cente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56</w:t>
            </w:r>
          </w:p>
        </w:tc>
        <w:tc>
          <w:tcPr>
            <w:tcW w:w="3544"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未取得相应测绘资质，擅自编制地图的</w:t>
            </w:r>
          </w:p>
        </w:tc>
        <w:tc>
          <w:tcPr>
            <w:tcW w:w="3402"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《中华人民共和国测绘法》第五十五条</w:t>
            </w:r>
          </w:p>
        </w:tc>
        <w:tc>
          <w:tcPr>
            <w:tcW w:w="3260"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约定报酬在5万以下的。</w:t>
            </w:r>
          </w:p>
        </w:tc>
        <w:tc>
          <w:tcPr>
            <w:tcW w:w="1904" w:type="dxa"/>
            <w:noWrap w:val="0"/>
            <w:vAlign w:val="center"/>
          </w:tcPr>
          <w:p>
            <w:pPr>
              <w:jc w:val="cente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rPr>
              <w:t>昆明市</w:t>
            </w:r>
            <w:r>
              <w:rPr>
                <w:rFonts w:hint="eastAsia" w:ascii="仿宋_GB2312" w:hAnsi="仿宋_GB2312" w:eastAsia="仿宋_GB2312" w:cs="仿宋_GB2312"/>
                <w:lang w:eastAsia="zh-CN"/>
              </w:rPr>
              <w:t>晋宁区自然资源局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noWrap w:val="0"/>
            <w:vAlign w:val="center"/>
          </w:tcPr>
          <w:p>
            <w:pPr>
              <w:jc w:val="cente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57</w:t>
            </w:r>
          </w:p>
        </w:tc>
        <w:tc>
          <w:tcPr>
            <w:tcW w:w="3544"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超越资质等级许可的范围从事测绘活动的</w:t>
            </w:r>
          </w:p>
        </w:tc>
        <w:tc>
          <w:tcPr>
            <w:tcW w:w="3402"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《中华人民共和国测绘法》第五十六条</w:t>
            </w:r>
          </w:p>
        </w:tc>
        <w:tc>
          <w:tcPr>
            <w:tcW w:w="3260"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测绘项目约定报酬在5万以下的。</w:t>
            </w:r>
          </w:p>
        </w:tc>
        <w:tc>
          <w:tcPr>
            <w:tcW w:w="1904" w:type="dxa"/>
            <w:noWrap w:val="0"/>
            <w:vAlign w:val="center"/>
          </w:tcPr>
          <w:p>
            <w:pPr>
              <w:jc w:val="cente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rPr>
              <w:t>昆明市</w:t>
            </w:r>
            <w:r>
              <w:rPr>
                <w:rFonts w:hint="eastAsia" w:ascii="仿宋_GB2312" w:hAnsi="仿宋_GB2312" w:eastAsia="仿宋_GB2312" w:cs="仿宋_GB2312"/>
                <w:lang w:eastAsia="zh-CN"/>
              </w:rPr>
              <w:t>晋宁区自然资源局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noWrap w:val="0"/>
            <w:vAlign w:val="center"/>
          </w:tcPr>
          <w:p>
            <w:pPr>
              <w:jc w:val="cente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58</w:t>
            </w:r>
          </w:p>
        </w:tc>
        <w:tc>
          <w:tcPr>
            <w:tcW w:w="3544"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以其他测绘单位的名义从事测绘活动的</w:t>
            </w:r>
          </w:p>
        </w:tc>
        <w:tc>
          <w:tcPr>
            <w:tcW w:w="3402"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《中华人民共和国测绘法》第五十六条</w:t>
            </w:r>
          </w:p>
        </w:tc>
        <w:tc>
          <w:tcPr>
            <w:tcW w:w="3260"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测绘项目约定报酬在5万以下的。</w:t>
            </w:r>
          </w:p>
        </w:tc>
        <w:tc>
          <w:tcPr>
            <w:tcW w:w="1904" w:type="dxa"/>
            <w:noWrap w:val="0"/>
            <w:vAlign w:val="center"/>
          </w:tcPr>
          <w:p>
            <w:pPr>
              <w:jc w:val="cente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rPr>
              <w:t>昆明市</w:t>
            </w:r>
            <w:r>
              <w:rPr>
                <w:rFonts w:hint="eastAsia" w:ascii="仿宋_GB2312" w:hAnsi="仿宋_GB2312" w:eastAsia="仿宋_GB2312" w:cs="仿宋_GB2312"/>
                <w:lang w:eastAsia="zh-CN"/>
              </w:rPr>
              <w:t>晋宁区自然资源局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noWrap w:val="0"/>
            <w:vAlign w:val="center"/>
          </w:tcPr>
          <w:p>
            <w:pPr>
              <w:jc w:val="cente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59</w:t>
            </w:r>
          </w:p>
        </w:tc>
        <w:tc>
          <w:tcPr>
            <w:tcW w:w="3544"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允许其他单位以本单位的名义从事测绘活动的</w:t>
            </w:r>
          </w:p>
        </w:tc>
        <w:tc>
          <w:tcPr>
            <w:tcW w:w="3402"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《中华人民共和国测绘法》第五十六条</w:t>
            </w:r>
          </w:p>
        </w:tc>
        <w:tc>
          <w:tcPr>
            <w:tcW w:w="3260"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测绘项目约定报酬在5万以下的。</w:t>
            </w:r>
          </w:p>
        </w:tc>
        <w:tc>
          <w:tcPr>
            <w:tcW w:w="1904" w:type="dxa"/>
            <w:noWrap w:val="0"/>
            <w:vAlign w:val="center"/>
          </w:tcPr>
          <w:p>
            <w:pPr>
              <w:jc w:val="cente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rPr>
              <w:t>昆明市</w:t>
            </w:r>
            <w:r>
              <w:rPr>
                <w:rFonts w:hint="eastAsia" w:ascii="仿宋_GB2312" w:hAnsi="仿宋_GB2312" w:eastAsia="仿宋_GB2312" w:cs="仿宋_GB2312"/>
                <w:lang w:eastAsia="zh-CN"/>
              </w:rPr>
              <w:t>晋宁区自然资源局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noWrap w:val="0"/>
            <w:vAlign w:val="center"/>
          </w:tcPr>
          <w:p>
            <w:pPr>
              <w:jc w:val="cente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60</w:t>
            </w:r>
          </w:p>
        </w:tc>
        <w:tc>
          <w:tcPr>
            <w:tcW w:w="3544"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测绘项目的招标单位让不具有相应资质等级的测绘单位中标，或者让测绘单位低于测绘成本中标的</w:t>
            </w:r>
          </w:p>
        </w:tc>
        <w:tc>
          <w:tcPr>
            <w:tcW w:w="3402"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《中华人民共和国测绘法》第五十七条</w:t>
            </w:r>
          </w:p>
        </w:tc>
        <w:tc>
          <w:tcPr>
            <w:tcW w:w="3260"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以测绘成本80%以上90％以下承包的。</w:t>
            </w:r>
          </w:p>
        </w:tc>
        <w:tc>
          <w:tcPr>
            <w:tcW w:w="1904" w:type="dxa"/>
            <w:noWrap w:val="0"/>
            <w:vAlign w:val="center"/>
          </w:tcPr>
          <w:p>
            <w:pPr>
              <w:jc w:val="cente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rPr>
              <w:t>昆明市</w:t>
            </w:r>
            <w:r>
              <w:rPr>
                <w:rFonts w:hint="eastAsia" w:ascii="仿宋_GB2312" w:hAnsi="仿宋_GB2312" w:eastAsia="仿宋_GB2312" w:cs="仿宋_GB2312"/>
                <w:lang w:eastAsia="zh-CN"/>
              </w:rPr>
              <w:t>晋宁区自然资源局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noWrap w:val="0"/>
            <w:vAlign w:val="center"/>
          </w:tcPr>
          <w:p>
            <w:pPr>
              <w:jc w:val="cente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61</w:t>
            </w:r>
          </w:p>
        </w:tc>
        <w:tc>
          <w:tcPr>
            <w:tcW w:w="3544"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测绘单位将测绘项目转包的</w:t>
            </w:r>
          </w:p>
        </w:tc>
        <w:tc>
          <w:tcPr>
            <w:tcW w:w="3402"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《中华人民共和国测绘法》第五十八条</w:t>
            </w:r>
          </w:p>
        </w:tc>
        <w:tc>
          <w:tcPr>
            <w:tcW w:w="3260"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受让方具有相应资质，且尚未开始测绘工作，及时改正的。</w:t>
            </w:r>
          </w:p>
        </w:tc>
        <w:tc>
          <w:tcPr>
            <w:tcW w:w="1904" w:type="dxa"/>
            <w:noWrap w:val="0"/>
            <w:vAlign w:val="center"/>
          </w:tcPr>
          <w:p>
            <w:pPr>
              <w:jc w:val="cente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rPr>
              <w:t>昆明市</w:t>
            </w:r>
            <w:r>
              <w:rPr>
                <w:rFonts w:hint="eastAsia" w:ascii="仿宋_GB2312" w:hAnsi="仿宋_GB2312" w:eastAsia="仿宋_GB2312" w:cs="仿宋_GB2312"/>
                <w:lang w:eastAsia="zh-CN"/>
              </w:rPr>
              <w:t>晋宁区自然资源局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noWrap w:val="0"/>
            <w:vAlign w:val="center"/>
          </w:tcPr>
          <w:p>
            <w:pPr>
              <w:jc w:val="cente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62</w:t>
            </w:r>
          </w:p>
        </w:tc>
        <w:tc>
          <w:tcPr>
            <w:tcW w:w="3544"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未取得测绘执业资格，擅自从事测绘活动的</w:t>
            </w:r>
          </w:p>
        </w:tc>
        <w:tc>
          <w:tcPr>
            <w:tcW w:w="3402"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《中华人民共和国测绘法》第五十九条</w:t>
            </w:r>
          </w:p>
        </w:tc>
        <w:tc>
          <w:tcPr>
            <w:tcW w:w="3260"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违法所得在1000元以上5000元以下。</w:t>
            </w:r>
          </w:p>
        </w:tc>
        <w:tc>
          <w:tcPr>
            <w:tcW w:w="1904" w:type="dxa"/>
            <w:noWrap w:val="0"/>
            <w:vAlign w:val="center"/>
          </w:tcPr>
          <w:p>
            <w:pPr>
              <w:jc w:val="cente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rPr>
              <w:t>昆明市</w:t>
            </w:r>
            <w:r>
              <w:rPr>
                <w:rFonts w:hint="eastAsia" w:ascii="仿宋_GB2312" w:hAnsi="仿宋_GB2312" w:eastAsia="仿宋_GB2312" w:cs="仿宋_GB2312"/>
                <w:lang w:eastAsia="zh-CN"/>
              </w:rPr>
              <w:t>晋宁区自然资源局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noWrap w:val="0"/>
            <w:vAlign w:val="center"/>
          </w:tcPr>
          <w:p>
            <w:pPr>
              <w:jc w:val="cente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63</w:t>
            </w:r>
          </w:p>
        </w:tc>
        <w:tc>
          <w:tcPr>
            <w:tcW w:w="3544"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损毁、擅自移动永久性测量标志或者正在使用中的临时性测量标志的</w:t>
            </w:r>
          </w:p>
        </w:tc>
        <w:tc>
          <w:tcPr>
            <w:tcW w:w="3402"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《中华人民共和国测绘法》第六十四条</w:t>
            </w:r>
          </w:p>
        </w:tc>
        <w:tc>
          <w:tcPr>
            <w:tcW w:w="3260"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损毁、擅自移动正在使用的临时性测量标志，无法修复的。</w:t>
            </w:r>
          </w:p>
        </w:tc>
        <w:tc>
          <w:tcPr>
            <w:tcW w:w="1904" w:type="dxa"/>
            <w:noWrap w:val="0"/>
            <w:vAlign w:val="center"/>
          </w:tcPr>
          <w:p>
            <w:pPr>
              <w:jc w:val="cente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rPr>
              <w:t>昆明市</w:t>
            </w:r>
            <w:r>
              <w:rPr>
                <w:rFonts w:hint="eastAsia" w:ascii="仿宋_GB2312" w:hAnsi="仿宋_GB2312" w:eastAsia="仿宋_GB2312" w:cs="仿宋_GB2312"/>
                <w:lang w:eastAsia="zh-CN"/>
              </w:rPr>
              <w:t>晋宁区自然资源局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noWrap w:val="0"/>
            <w:vAlign w:val="center"/>
          </w:tcPr>
          <w:p>
            <w:pPr>
              <w:jc w:val="cente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64</w:t>
            </w:r>
          </w:p>
        </w:tc>
        <w:tc>
          <w:tcPr>
            <w:tcW w:w="3544"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在测量标志占地范围内烧荒、耕作、取土、挖沙或者侵占永久性测量标志用地的</w:t>
            </w:r>
          </w:p>
        </w:tc>
        <w:tc>
          <w:tcPr>
            <w:tcW w:w="3402"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《中华人民共和国测绘法》第六十四条；《中华人民共和国测量标志保护条例》第二十二条；《中华人民共和国测量标志保护条例》第二十三条</w:t>
            </w:r>
          </w:p>
        </w:tc>
        <w:tc>
          <w:tcPr>
            <w:tcW w:w="3260"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在测量标志占地范围内烧荒、耕作、取土、挖沙的。</w:t>
            </w:r>
          </w:p>
        </w:tc>
        <w:tc>
          <w:tcPr>
            <w:tcW w:w="1904" w:type="dxa"/>
            <w:noWrap w:val="0"/>
            <w:vAlign w:val="center"/>
          </w:tcPr>
          <w:p>
            <w:pPr>
              <w:jc w:val="cente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rPr>
              <w:t>昆明市</w:t>
            </w:r>
            <w:r>
              <w:rPr>
                <w:rFonts w:hint="eastAsia" w:ascii="仿宋_GB2312" w:hAnsi="仿宋_GB2312" w:eastAsia="仿宋_GB2312" w:cs="仿宋_GB2312"/>
                <w:lang w:eastAsia="zh-CN"/>
              </w:rPr>
              <w:t>晋宁区自然资源局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noWrap w:val="0"/>
            <w:vAlign w:val="center"/>
          </w:tcPr>
          <w:p>
            <w:pPr>
              <w:jc w:val="cente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65</w:t>
            </w:r>
          </w:p>
        </w:tc>
        <w:tc>
          <w:tcPr>
            <w:tcW w:w="3544"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在永久性测量标志安全控制范围内从事危害测量标志安全和使用效能的</w:t>
            </w:r>
          </w:p>
        </w:tc>
        <w:tc>
          <w:tcPr>
            <w:tcW w:w="3402"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《中华人民共和国测绘法》第六十四条</w:t>
            </w:r>
          </w:p>
        </w:tc>
        <w:tc>
          <w:tcPr>
            <w:tcW w:w="3260"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涉及地方性测量标志，导致测量标志失去部分使用效能的。</w:t>
            </w:r>
          </w:p>
        </w:tc>
        <w:tc>
          <w:tcPr>
            <w:tcW w:w="1904" w:type="dxa"/>
            <w:noWrap w:val="0"/>
            <w:vAlign w:val="center"/>
          </w:tcPr>
          <w:p>
            <w:pPr>
              <w:jc w:val="cente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rPr>
              <w:t>昆明市</w:t>
            </w:r>
            <w:r>
              <w:rPr>
                <w:rFonts w:hint="eastAsia" w:ascii="仿宋_GB2312" w:hAnsi="仿宋_GB2312" w:eastAsia="仿宋_GB2312" w:cs="仿宋_GB2312"/>
                <w:lang w:eastAsia="zh-CN"/>
              </w:rPr>
              <w:t>晋宁区自然资源局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noWrap w:val="0"/>
            <w:vAlign w:val="center"/>
          </w:tcPr>
          <w:p>
            <w:pPr>
              <w:jc w:val="cente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66</w:t>
            </w:r>
          </w:p>
        </w:tc>
        <w:tc>
          <w:tcPr>
            <w:tcW w:w="3544"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违反操作规程使用永久性测量标志，造成永久性测量标志损毁的</w:t>
            </w:r>
          </w:p>
        </w:tc>
        <w:tc>
          <w:tcPr>
            <w:tcW w:w="3402"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《中华人民共和国测绘法》第六十四条</w:t>
            </w:r>
          </w:p>
        </w:tc>
        <w:tc>
          <w:tcPr>
            <w:tcW w:w="3260"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未造成地方永久性测量标志完全损毁的。</w:t>
            </w:r>
          </w:p>
        </w:tc>
        <w:tc>
          <w:tcPr>
            <w:tcW w:w="1904" w:type="dxa"/>
            <w:noWrap w:val="0"/>
            <w:vAlign w:val="center"/>
          </w:tcPr>
          <w:p>
            <w:pPr>
              <w:jc w:val="cente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rPr>
              <w:t>昆明市</w:t>
            </w:r>
            <w:r>
              <w:rPr>
                <w:rFonts w:hint="eastAsia" w:ascii="仿宋_GB2312" w:hAnsi="仿宋_GB2312" w:eastAsia="仿宋_GB2312" w:cs="仿宋_GB2312"/>
                <w:lang w:eastAsia="zh-CN"/>
              </w:rPr>
              <w:t>晋宁区自然资源局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noWrap w:val="0"/>
            <w:vAlign w:val="center"/>
          </w:tcPr>
          <w:p>
            <w:pPr>
              <w:jc w:val="cente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67</w:t>
            </w:r>
          </w:p>
        </w:tc>
        <w:tc>
          <w:tcPr>
            <w:tcW w:w="3544"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在测量标志的占地范围内，建设影响测量标志使用效能的建筑物的</w:t>
            </w:r>
          </w:p>
        </w:tc>
        <w:tc>
          <w:tcPr>
            <w:tcW w:w="3402"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《中华人民共和国测量标志保护条例》第二十二条、第二十三条</w:t>
            </w:r>
          </w:p>
        </w:tc>
        <w:tc>
          <w:tcPr>
            <w:tcW w:w="3260"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涉及地方测量标志，未造成损失的。</w:t>
            </w:r>
          </w:p>
        </w:tc>
        <w:tc>
          <w:tcPr>
            <w:tcW w:w="1904" w:type="dxa"/>
            <w:noWrap w:val="0"/>
            <w:vAlign w:val="center"/>
          </w:tcPr>
          <w:p>
            <w:pPr>
              <w:jc w:val="cente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rPr>
              <w:t>昆明市</w:t>
            </w:r>
            <w:r>
              <w:rPr>
                <w:rFonts w:hint="eastAsia" w:ascii="仿宋_GB2312" w:hAnsi="仿宋_GB2312" w:eastAsia="仿宋_GB2312" w:cs="仿宋_GB2312"/>
                <w:lang w:eastAsia="zh-CN"/>
              </w:rPr>
              <w:t>晋宁区自然资源局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noWrap w:val="0"/>
            <w:vAlign w:val="center"/>
          </w:tcPr>
          <w:p>
            <w:pPr>
              <w:jc w:val="cente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68</w:t>
            </w:r>
          </w:p>
        </w:tc>
        <w:tc>
          <w:tcPr>
            <w:tcW w:w="3544"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擅自拆除设有测量标志的建筑物或者拆除建筑物上的测量标志的</w:t>
            </w:r>
          </w:p>
        </w:tc>
        <w:tc>
          <w:tcPr>
            <w:tcW w:w="3402"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《中华人民共和国测量标志保护条例》第二十二条、第二十三条</w:t>
            </w:r>
          </w:p>
        </w:tc>
        <w:tc>
          <w:tcPr>
            <w:tcW w:w="3260"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擅自拆除建筑物上的地方测量标志的。</w:t>
            </w:r>
          </w:p>
        </w:tc>
        <w:tc>
          <w:tcPr>
            <w:tcW w:w="1904" w:type="dxa"/>
            <w:noWrap w:val="0"/>
            <w:vAlign w:val="center"/>
          </w:tcPr>
          <w:p>
            <w:pPr>
              <w:jc w:val="cente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rPr>
              <w:t>昆明市</w:t>
            </w:r>
            <w:r>
              <w:rPr>
                <w:rFonts w:hint="eastAsia" w:ascii="仿宋_GB2312" w:hAnsi="仿宋_GB2312" w:eastAsia="仿宋_GB2312" w:cs="仿宋_GB2312"/>
                <w:lang w:eastAsia="zh-CN"/>
              </w:rPr>
              <w:t>晋宁区自然资源局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noWrap w:val="0"/>
            <w:vAlign w:val="center"/>
          </w:tcPr>
          <w:p>
            <w:pPr>
              <w:jc w:val="cente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69</w:t>
            </w:r>
          </w:p>
        </w:tc>
        <w:tc>
          <w:tcPr>
            <w:tcW w:w="3544"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无证使用永久性测量标志并且拒绝县级以上人民政府管理测绘工作的部门监督和负责保管测量标志的单位和人员查询的</w:t>
            </w:r>
          </w:p>
        </w:tc>
        <w:tc>
          <w:tcPr>
            <w:tcW w:w="3402"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《中华人民共和国测量标志保护条例》第二十三条</w:t>
            </w:r>
          </w:p>
        </w:tc>
        <w:tc>
          <w:tcPr>
            <w:tcW w:w="3260"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涉及地方测量标志，未造成损失的。</w:t>
            </w:r>
          </w:p>
        </w:tc>
        <w:tc>
          <w:tcPr>
            <w:tcW w:w="1904" w:type="dxa"/>
            <w:noWrap w:val="0"/>
            <w:vAlign w:val="center"/>
          </w:tcPr>
          <w:p>
            <w:pPr>
              <w:jc w:val="cente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rPr>
              <w:t>昆明市</w:t>
            </w:r>
            <w:r>
              <w:rPr>
                <w:rFonts w:hint="eastAsia" w:ascii="仿宋_GB2312" w:hAnsi="仿宋_GB2312" w:eastAsia="仿宋_GB2312" w:cs="仿宋_GB2312"/>
                <w:lang w:eastAsia="zh-CN"/>
              </w:rPr>
              <w:t>晋宁区自然资源局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noWrap w:val="0"/>
            <w:vAlign w:val="center"/>
          </w:tcPr>
          <w:p>
            <w:pPr>
              <w:jc w:val="cente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70</w:t>
            </w:r>
          </w:p>
        </w:tc>
        <w:tc>
          <w:tcPr>
            <w:tcW w:w="3544"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对地理信息生产、保管、利用单位未对属于国家秘密的地理信息的获取、持有、提供、利用情况进行登记、长期保存的，泄露国家秘密的</w:t>
            </w:r>
          </w:p>
        </w:tc>
        <w:tc>
          <w:tcPr>
            <w:tcW w:w="3402"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《中华人民共和国测绘法》第六十五条</w:t>
            </w:r>
          </w:p>
        </w:tc>
        <w:tc>
          <w:tcPr>
            <w:tcW w:w="3260"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未对属于机密级国家秘密的地理信息的获取、持有、提供、利用情况进行登记、长期保存的。</w:t>
            </w:r>
          </w:p>
        </w:tc>
        <w:tc>
          <w:tcPr>
            <w:tcW w:w="1904" w:type="dxa"/>
            <w:noWrap w:val="0"/>
            <w:vAlign w:val="center"/>
          </w:tcPr>
          <w:p>
            <w:pPr>
              <w:jc w:val="cente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rPr>
              <w:t>昆明市</w:t>
            </w:r>
            <w:r>
              <w:rPr>
                <w:rFonts w:hint="eastAsia" w:ascii="仿宋_GB2312" w:hAnsi="仿宋_GB2312" w:eastAsia="仿宋_GB2312" w:cs="仿宋_GB2312"/>
                <w:lang w:eastAsia="zh-CN"/>
              </w:rPr>
              <w:t>晋宁区自然资源局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noWrap w:val="0"/>
            <w:vAlign w:val="center"/>
          </w:tcPr>
          <w:p>
            <w:pPr>
              <w:jc w:val="cente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71</w:t>
            </w:r>
          </w:p>
        </w:tc>
        <w:tc>
          <w:tcPr>
            <w:tcW w:w="3544"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外国的组织或者个人未经批准，或者未与中华人民共和国有关部门、单位合作，擅自在中华人民共和国领域和管辖的其他海域从事测绘活动的</w:t>
            </w:r>
          </w:p>
        </w:tc>
        <w:tc>
          <w:tcPr>
            <w:tcW w:w="3402"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《中华人民共和国测绘法》第五十一条</w:t>
            </w:r>
          </w:p>
        </w:tc>
        <w:tc>
          <w:tcPr>
            <w:tcW w:w="3260"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外国个人未与中华人民共和国有关部门、单位合作，不涉及国家秘密的。</w:t>
            </w:r>
          </w:p>
        </w:tc>
        <w:tc>
          <w:tcPr>
            <w:tcW w:w="1904" w:type="dxa"/>
            <w:noWrap w:val="0"/>
            <w:vAlign w:val="center"/>
          </w:tcPr>
          <w:p>
            <w:pPr>
              <w:jc w:val="cente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rPr>
              <w:t>昆明市</w:t>
            </w:r>
            <w:r>
              <w:rPr>
                <w:rFonts w:hint="eastAsia" w:ascii="仿宋_GB2312" w:hAnsi="仿宋_GB2312" w:eastAsia="仿宋_GB2312" w:cs="仿宋_GB2312"/>
                <w:lang w:eastAsia="zh-CN"/>
              </w:rPr>
              <w:t>晋宁区自然资源局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noWrap w:val="0"/>
            <w:vAlign w:val="center"/>
          </w:tcPr>
          <w:p>
            <w:pPr>
              <w:jc w:val="cente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72</w:t>
            </w:r>
          </w:p>
        </w:tc>
        <w:tc>
          <w:tcPr>
            <w:tcW w:w="3544"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对卫星导航定位基准站建设单位未报备案的</w:t>
            </w:r>
          </w:p>
        </w:tc>
        <w:tc>
          <w:tcPr>
            <w:tcW w:w="3402"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《中华人民共和国测绘法》第五十三条</w:t>
            </w:r>
          </w:p>
        </w:tc>
        <w:tc>
          <w:tcPr>
            <w:tcW w:w="3260" w:type="dxa"/>
            <w:noWrap w:val="0"/>
            <w:vAlign w:val="center"/>
          </w:tcPr>
          <w:p>
            <w:pP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color w:val="000000"/>
                <w:lang w:bidi="ar"/>
              </w:rPr>
              <w:t>逾期不改正，且基准站数量为1个的。</w:t>
            </w:r>
          </w:p>
        </w:tc>
        <w:tc>
          <w:tcPr>
            <w:tcW w:w="1904" w:type="dxa"/>
            <w:noWrap w:val="0"/>
            <w:vAlign w:val="center"/>
          </w:tcPr>
          <w:p>
            <w:pPr>
              <w:jc w:val="center"/>
              <w:textAlignment w:val="center"/>
              <w:rPr>
                <w:rFonts w:hint="eastAsia" w:ascii="仿宋_GB2312" w:hAnsi="仿宋_GB2312" w:eastAsia="仿宋_GB2312" w:cs="仿宋_GB2312"/>
                <w:color w:val="000000"/>
                <w:lang w:bidi="ar"/>
              </w:rPr>
            </w:pPr>
            <w:r>
              <w:rPr>
                <w:rFonts w:hint="eastAsia" w:ascii="仿宋_GB2312" w:hAnsi="仿宋_GB2312" w:eastAsia="仿宋_GB2312" w:cs="仿宋_GB2312"/>
              </w:rPr>
              <w:t>昆明市</w:t>
            </w:r>
            <w:r>
              <w:rPr>
                <w:rFonts w:hint="eastAsia" w:ascii="仿宋_GB2312" w:hAnsi="仿宋_GB2312" w:eastAsia="仿宋_GB2312" w:cs="仿宋_GB2312"/>
                <w:lang w:eastAsia="zh-CN"/>
              </w:rPr>
              <w:t>晋宁区自然资源局</w:t>
            </w:r>
          </w:p>
        </w:tc>
      </w:tr>
    </w:tbl>
    <w:p>
      <w:pPr>
        <w:adjustRightInd w:val="0"/>
        <w:snapToGrid w:val="0"/>
        <w:spacing w:line="360" w:lineRule="auto"/>
        <w:jc w:val="both"/>
        <w:rPr>
          <w:rFonts w:hint="eastAsia" w:ascii="仿宋_GB2312" w:hAnsi="仿宋_GB2312" w:eastAsia="仿宋_GB2312" w:cs="仿宋_GB2312"/>
          <w:sz w:val="32"/>
          <w:szCs w:val="32"/>
          <w:lang w:val="en-US"/>
        </w:rPr>
      </w:pPr>
    </w:p>
    <w:p>
      <w:pPr>
        <w:adjustRightInd w:val="0"/>
        <w:snapToGrid w:val="0"/>
        <w:spacing w:line="360" w:lineRule="auto"/>
        <w:jc w:val="center"/>
        <w:rPr>
          <w:rFonts w:hint="eastAsia" w:ascii="仿宋_GB2312" w:hAnsi="仿宋_GB2312" w:eastAsia="仿宋_GB2312" w:cs="仿宋_GB2312"/>
          <w:sz w:val="32"/>
          <w:szCs w:val="32"/>
        </w:rPr>
      </w:pPr>
      <w:r>
        <w:rPr>
          <w:rFonts w:hint="eastAsia" w:ascii="黑体" w:hAnsi="黑体" w:eastAsia="黑体" w:cs="黑体"/>
          <w:sz w:val="32"/>
          <w:szCs w:val="32"/>
        </w:rPr>
        <w:t>减轻行政处罚事项清单</w:t>
      </w:r>
    </w:p>
    <w:tbl>
      <w:tblPr>
        <w:tblStyle w:val="9"/>
        <w:tblW w:w="1394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38"/>
        <w:gridCol w:w="3544"/>
        <w:gridCol w:w="3402"/>
        <w:gridCol w:w="3118"/>
        <w:gridCol w:w="20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noWrap w:val="0"/>
            <w:vAlign w:val="center"/>
          </w:tcPr>
          <w:p>
            <w:pPr>
              <w:adjustRightInd w:val="0"/>
              <w:snapToGrid w:val="0"/>
              <w:spacing w:line="360" w:lineRule="auto"/>
              <w:jc w:val="center"/>
              <w:rPr>
                <w:rFonts w:hint="eastAsia" w:ascii="仿宋_GB2312" w:hAnsi="仿宋_GB2312" w:eastAsia="仿宋_GB2312" w:cs="仿宋_GB2312"/>
              </w:rPr>
            </w:pPr>
            <w:r>
              <w:rPr>
                <w:rFonts w:hint="eastAsia" w:ascii="仿宋_GB2312" w:hAnsi="仿宋_GB2312" w:eastAsia="仿宋_GB2312" w:cs="仿宋_GB2312"/>
              </w:rPr>
              <w:t>序号</w:t>
            </w:r>
          </w:p>
        </w:tc>
        <w:tc>
          <w:tcPr>
            <w:tcW w:w="3544" w:type="dxa"/>
            <w:noWrap w:val="0"/>
            <w:vAlign w:val="center"/>
          </w:tcPr>
          <w:p>
            <w:pPr>
              <w:adjustRightInd w:val="0"/>
              <w:snapToGrid w:val="0"/>
              <w:spacing w:line="360" w:lineRule="auto"/>
              <w:jc w:val="center"/>
              <w:rPr>
                <w:rFonts w:hint="eastAsia" w:ascii="仿宋_GB2312" w:hAnsi="仿宋_GB2312" w:eastAsia="仿宋_GB2312" w:cs="仿宋_GB2312"/>
              </w:rPr>
            </w:pPr>
            <w:r>
              <w:rPr>
                <w:rFonts w:hint="eastAsia" w:ascii="仿宋_GB2312" w:hAnsi="仿宋_GB2312" w:eastAsia="仿宋_GB2312" w:cs="仿宋_GB2312"/>
              </w:rPr>
              <w:t>违法行为</w:t>
            </w:r>
          </w:p>
        </w:tc>
        <w:tc>
          <w:tcPr>
            <w:tcW w:w="3402" w:type="dxa"/>
            <w:noWrap w:val="0"/>
            <w:vAlign w:val="center"/>
          </w:tcPr>
          <w:p>
            <w:pPr>
              <w:adjustRightInd w:val="0"/>
              <w:snapToGrid w:val="0"/>
              <w:spacing w:line="360" w:lineRule="auto"/>
              <w:jc w:val="center"/>
              <w:rPr>
                <w:rFonts w:hint="eastAsia" w:ascii="仿宋_GB2312" w:hAnsi="仿宋_GB2312" w:eastAsia="仿宋_GB2312" w:cs="仿宋_GB2312"/>
              </w:rPr>
            </w:pPr>
            <w:r>
              <w:rPr>
                <w:rFonts w:hint="eastAsia" w:ascii="仿宋_GB2312" w:hAnsi="仿宋_GB2312" w:eastAsia="仿宋_GB2312" w:cs="仿宋_GB2312"/>
              </w:rPr>
              <w:t>法律依据</w:t>
            </w:r>
          </w:p>
        </w:tc>
        <w:tc>
          <w:tcPr>
            <w:tcW w:w="3118" w:type="dxa"/>
            <w:noWrap w:val="0"/>
            <w:vAlign w:val="center"/>
          </w:tcPr>
          <w:p>
            <w:pPr>
              <w:adjustRightInd w:val="0"/>
              <w:snapToGrid w:val="0"/>
              <w:spacing w:line="360" w:lineRule="auto"/>
              <w:jc w:val="center"/>
              <w:rPr>
                <w:rFonts w:hint="eastAsia" w:ascii="仿宋_GB2312" w:hAnsi="仿宋_GB2312" w:eastAsia="仿宋_GB2312" w:cs="仿宋_GB2312"/>
              </w:rPr>
            </w:pPr>
            <w:r>
              <w:rPr>
                <w:rFonts w:hint="eastAsia" w:ascii="仿宋_GB2312" w:hAnsi="仿宋_GB2312" w:eastAsia="仿宋_GB2312" w:cs="仿宋_GB2312"/>
              </w:rPr>
              <w:t>适用情形</w:t>
            </w:r>
          </w:p>
        </w:tc>
        <w:tc>
          <w:tcPr>
            <w:tcW w:w="2046" w:type="dxa"/>
            <w:noWrap w:val="0"/>
            <w:vAlign w:val="center"/>
          </w:tcPr>
          <w:p>
            <w:pPr>
              <w:adjustRightInd w:val="0"/>
              <w:snapToGrid w:val="0"/>
              <w:spacing w:line="360" w:lineRule="auto"/>
              <w:jc w:val="center"/>
              <w:rPr>
                <w:rFonts w:hint="eastAsia" w:ascii="仿宋_GB2312" w:hAnsi="仿宋_GB2312" w:eastAsia="仿宋_GB2312" w:cs="仿宋_GB2312"/>
              </w:rPr>
            </w:pPr>
            <w:r>
              <w:rPr>
                <w:rFonts w:hint="eastAsia" w:ascii="仿宋_GB2312" w:hAnsi="仿宋_GB2312" w:eastAsia="仿宋_GB2312" w:cs="仿宋_GB2312"/>
              </w:rPr>
              <w:t>实施主体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noWrap w:val="0"/>
            <w:vAlign w:val="center"/>
          </w:tcPr>
          <w:p>
            <w:pPr>
              <w:adjustRightInd w:val="0"/>
              <w:snapToGrid w:val="0"/>
              <w:spacing w:line="360" w:lineRule="auto"/>
              <w:jc w:val="center"/>
              <w:rPr>
                <w:rFonts w:hint="eastAsia" w:ascii="仿宋_GB2312" w:hAnsi="仿宋_GB2312" w:eastAsia="仿宋_GB2312" w:cs="仿宋_GB2312"/>
              </w:rPr>
            </w:pPr>
          </w:p>
        </w:tc>
        <w:tc>
          <w:tcPr>
            <w:tcW w:w="3544" w:type="dxa"/>
            <w:noWrap w:val="0"/>
            <w:vAlign w:val="center"/>
          </w:tcPr>
          <w:p>
            <w:pPr>
              <w:adjustRightInd w:val="0"/>
              <w:snapToGrid w:val="0"/>
              <w:spacing w:line="360" w:lineRule="auto"/>
              <w:rPr>
                <w:rFonts w:hint="eastAsia" w:ascii="仿宋_GB2312" w:hAnsi="仿宋_GB2312" w:eastAsia="仿宋_GB2312" w:cs="仿宋_GB2312"/>
              </w:rPr>
            </w:pPr>
          </w:p>
        </w:tc>
        <w:tc>
          <w:tcPr>
            <w:tcW w:w="3402" w:type="dxa"/>
            <w:noWrap w:val="0"/>
            <w:vAlign w:val="center"/>
          </w:tcPr>
          <w:p>
            <w:pPr>
              <w:adjustRightInd w:val="0"/>
              <w:snapToGrid w:val="0"/>
              <w:spacing w:line="360" w:lineRule="auto"/>
              <w:rPr>
                <w:rFonts w:hint="eastAsia" w:ascii="仿宋_GB2312" w:hAnsi="仿宋_GB2312" w:eastAsia="仿宋_GB2312" w:cs="仿宋_GB2312"/>
              </w:rPr>
            </w:pPr>
          </w:p>
        </w:tc>
        <w:tc>
          <w:tcPr>
            <w:tcW w:w="3118" w:type="dxa"/>
            <w:noWrap w:val="0"/>
            <w:vAlign w:val="center"/>
          </w:tcPr>
          <w:p>
            <w:pPr>
              <w:adjustRightInd w:val="0"/>
              <w:snapToGrid w:val="0"/>
              <w:spacing w:line="360" w:lineRule="auto"/>
              <w:rPr>
                <w:rFonts w:hint="eastAsia" w:ascii="仿宋_GB2312" w:hAnsi="仿宋_GB2312" w:eastAsia="仿宋_GB2312" w:cs="仿宋_GB2312"/>
              </w:rPr>
            </w:pPr>
          </w:p>
        </w:tc>
        <w:tc>
          <w:tcPr>
            <w:tcW w:w="2046" w:type="dxa"/>
            <w:noWrap w:val="0"/>
            <w:vAlign w:val="center"/>
          </w:tcPr>
          <w:p>
            <w:pPr>
              <w:adjustRightInd w:val="0"/>
              <w:snapToGrid w:val="0"/>
              <w:spacing w:line="360" w:lineRule="auto"/>
              <w:jc w:val="center"/>
              <w:rPr>
                <w:rFonts w:hint="eastAsia" w:ascii="仿宋_GB2312" w:hAnsi="仿宋_GB2312" w:eastAsia="仿宋_GB2312" w:cs="仿宋_GB231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noWrap w:val="0"/>
            <w:vAlign w:val="center"/>
          </w:tcPr>
          <w:p>
            <w:pPr>
              <w:adjustRightInd w:val="0"/>
              <w:snapToGrid w:val="0"/>
              <w:spacing w:line="360" w:lineRule="auto"/>
              <w:jc w:val="center"/>
              <w:rPr>
                <w:rFonts w:ascii="简宋" w:hAnsi="简宋" w:eastAsia="简宋"/>
              </w:rPr>
            </w:pPr>
          </w:p>
        </w:tc>
        <w:tc>
          <w:tcPr>
            <w:tcW w:w="3544" w:type="dxa"/>
            <w:noWrap w:val="0"/>
            <w:vAlign w:val="center"/>
          </w:tcPr>
          <w:p>
            <w:pPr>
              <w:adjustRightInd w:val="0"/>
              <w:snapToGrid w:val="0"/>
              <w:spacing w:line="360" w:lineRule="auto"/>
              <w:rPr>
                <w:rFonts w:ascii="简宋" w:hAnsi="简宋" w:eastAsia="简宋"/>
              </w:rPr>
            </w:pPr>
          </w:p>
        </w:tc>
        <w:tc>
          <w:tcPr>
            <w:tcW w:w="3402" w:type="dxa"/>
            <w:noWrap w:val="0"/>
            <w:vAlign w:val="center"/>
          </w:tcPr>
          <w:p>
            <w:pPr>
              <w:adjustRightInd w:val="0"/>
              <w:snapToGrid w:val="0"/>
              <w:spacing w:line="360" w:lineRule="auto"/>
              <w:rPr>
                <w:rFonts w:ascii="简宋" w:hAnsi="简宋" w:eastAsia="简宋"/>
              </w:rPr>
            </w:pPr>
          </w:p>
        </w:tc>
        <w:tc>
          <w:tcPr>
            <w:tcW w:w="3118" w:type="dxa"/>
            <w:noWrap w:val="0"/>
            <w:vAlign w:val="center"/>
          </w:tcPr>
          <w:p>
            <w:pPr>
              <w:adjustRightInd w:val="0"/>
              <w:snapToGrid w:val="0"/>
              <w:spacing w:line="360" w:lineRule="auto"/>
              <w:rPr>
                <w:rFonts w:ascii="简宋" w:hAnsi="简宋" w:eastAsia="简宋"/>
              </w:rPr>
            </w:pPr>
          </w:p>
        </w:tc>
        <w:tc>
          <w:tcPr>
            <w:tcW w:w="2046" w:type="dxa"/>
            <w:noWrap w:val="0"/>
            <w:vAlign w:val="center"/>
          </w:tcPr>
          <w:p>
            <w:pPr>
              <w:adjustRightInd w:val="0"/>
              <w:snapToGrid w:val="0"/>
              <w:spacing w:line="360" w:lineRule="auto"/>
              <w:jc w:val="center"/>
              <w:rPr>
                <w:rFonts w:ascii="简宋" w:hAnsi="简宋" w:eastAsia="简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838" w:type="dxa"/>
            <w:noWrap w:val="0"/>
            <w:vAlign w:val="center"/>
          </w:tcPr>
          <w:p>
            <w:pPr>
              <w:adjustRightInd w:val="0"/>
              <w:snapToGrid w:val="0"/>
              <w:spacing w:line="360" w:lineRule="auto"/>
              <w:jc w:val="center"/>
              <w:rPr>
                <w:rFonts w:ascii="简宋" w:hAnsi="简宋" w:eastAsia="简宋"/>
              </w:rPr>
            </w:pPr>
          </w:p>
        </w:tc>
        <w:tc>
          <w:tcPr>
            <w:tcW w:w="3544" w:type="dxa"/>
            <w:noWrap w:val="0"/>
            <w:vAlign w:val="center"/>
          </w:tcPr>
          <w:p>
            <w:pPr>
              <w:adjustRightInd w:val="0"/>
              <w:snapToGrid w:val="0"/>
              <w:spacing w:line="360" w:lineRule="auto"/>
              <w:rPr>
                <w:rFonts w:ascii="简宋" w:hAnsi="简宋" w:eastAsia="简宋"/>
              </w:rPr>
            </w:pPr>
          </w:p>
        </w:tc>
        <w:tc>
          <w:tcPr>
            <w:tcW w:w="3402" w:type="dxa"/>
            <w:noWrap w:val="0"/>
            <w:vAlign w:val="center"/>
          </w:tcPr>
          <w:p>
            <w:pPr>
              <w:adjustRightInd w:val="0"/>
              <w:snapToGrid w:val="0"/>
              <w:spacing w:line="360" w:lineRule="auto"/>
              <w:rPr>
                <w:rFonts w:ascii="简宋" w:hAnsi="简宋" w:eastAsia="简宋"/>
              </w:rPr>
            </w:pPr>
          </w:p>
        </w:tc>
        <w:tc>
          <w:tcPr>
            <w:tcW w:w="3118" w:type="dxa"/>
            <w:noWrap w:val="0"/>
            <w:vAlign w:val="center"/>
          </w:tcPr>
          <w:p>
            <w:pPr>
              <w:adjustRightInd w:val="0"/>
              <w:snapToGrid w:val="0"/>
              <w:spacing w:line="360" w:lineRule="auto"/>
              <w:rPr>
                <w:rFonts w:ascii="简宋" w:hAnsi="简宋" w:eastAsia="简宋"/>
              </w:rPr>
            </w:pPr>
          </w:p>
        </w:tc>
        <w:tc>
          <w:tcPr>
            <w:tcW w:w="2046" w:type="dxa"/>
            <w:noWrap w:val="0"/>
            <w:vAlign w:val="center"/>
          </w:tcPr>
          <w:p>
            <w:pPr>
              <w:adjustRightInd w:val="0"/>
              <w:snapToGrid w:val="0"/>
              <w:spacing w:line="360" w:lineRule="auto"/>
              <w:jc w:val="center"/>
              <w:rPr>
                <w:rFonts w:ascii="简宋" w:hAnsi="简宋" w:eastAsia="简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noWrap w:val="0"/>
            <w:vAlign w:val="center"/>
          </w:tcPr>
          <w:p>
            <w:pPr>
              <w:adjustRightInd w:val="0"/>
              <w:snapToGrid w:val="0"/>
              <w:spacing w:line="360" w:lineRule="auto"/>
              <w:jc w:val="center"/>
              <w:rPr>
                <w:rFonts w:ascii="简宋" w:hAnsi="简宋" w:eastAsia="简宋"/>
              </w:rPr>
            </w:pPr>
          </w:p>
        </w:tc>
        <w:tc>
          <w:tcPr>
            <w:tcW w:w="3544" w:type="dxa"/>
            <w:noWrap w:val="0"/>
            <w:vAlign w:val="center"/>
          </w:tcPr>
          <w:p>
            <w:pPr>
              <w:adjustRightInd w:val="0"/>
              <w:snapToGrid w:val="0"/>
              <w:spacing w:line="360" w:lineRule="auto"/>
              <w:rPr>
                <w:rFonts w:ascii="简宋" w:hAnsi="简宋" w:eastAsia="简宋"/>
              </w:rPr>
            </w:pPr>
          </w:p>
        </w:tc>
        <w:tc>
          <w:tcPr>
            <w:tcW w:w="3402" w:type="dxa"/>
            <w:noWrap w:val="0"/>
            <w:vAlign w:val="center"/>
          </w:tcPr>
          <w:p>
            <w:pPr>
              <w:adjustRightInd w:val="0"/>
              <w:snapToGrid w:val="0"/>
              <w:spacing w:line="360" w:lineRule="auto"/>
              <w:rPr>
                <w:rFonts w:ascii="简宋" w:hAnsi="简宋" w:eastAsia="简宋"/>
              </w:rPr>
            </w:pPr>
          </w:p>
        </w:tc>
        <w:tc>
          <w:tcPr>
            <w:tcW w:w="3118" w:type="dxa"/>
            <w:noWrap w:val="0"/>
            <w:vAlign w:val="center"/>
          </w:tcPr>
          <w:p>
            <w:pPr>
              <w:adjustRightInd w:val="0"/>
              <w:snapToGrid w:val="0"/>
              <w:spacing w:line="360" w:lineRule="auto"/>
              <w:rPr>
                <w:rFonts w:ascii="简宋" w:hAnsi="简宋" w:eastAsia="简宋"/>
              </w:rPr>
            </w:pPr>
          </w:p>
        </w:tc>
        <w:tc>
          <w:tcPr>
            <w:tcW w:w="2046" w:type="dxa"/>
            <w:noWrap w:val="0"/>
            <w:vAlign w:val="center"/>
          </w:tcPr>
          <w:p>
            <w:pPr>
              <w:adjustRightInd w:val="0"/>
              <w:snapToGrid w:val="0"/>
              <w:spacing w:line="360" w:lineRule="auto"/>
              <w:jc w:val="center"/>
              <w:rPr>
                <w:rFonts w:ascii="简宋" w:hAnsi="简宋" w:eastAsia="简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noWrap w:val="0"/>
            <w:vAlign w:val="center"/>
          </w:tcPr>
          <w:p>
            <w:pPr>
              <w:adjustRightInd w:val="0"/>
              <w:snapToGrid w:val="0"/>
              <w:spacing w:line="360" w:lineRule="auto"/>
              <w:jc w:val="center"/>
              <w:rPr>
                <w:rFonts w:ascii="简宋" w:hAnsi="简宋" w:eastAsia="简宋"/>
              </w:rPr>
            </w:pPr>
          </w:p>
        </w:tc>
        <w:tc>
          <w:tcPr>
            <w:tcW w:w="3544" w:type="dxa"/>
            <w:noWrap w:val="0"/>
            <w:vAlign w:val="center"/>
          </w:tcPr>
          <w:p>
            <w:pPr>
              <w:adjustRightInd w:val="0"/>
              <w:snapToGrid w:val="0"/>
              <w:spacing w:line="360" w:lineRule="auto"/>
              <w:rPr>
                <w:rFonts w:ascii="简宋" w:hAnsi="简宋" w:eastAsia="简宋"/>
              </w:rPr>
            </w:pPr>
          </w:p>
        </w:tc>
        <w:tc>
          <w:tcPr>
            <w:tcW w:w="3402" w:type="dxa"/>
            <w:noWrap w:val="0"/>
            <w:vAlign w:val="center"/>
          </w:tcPr>
          <w:p>
            <w:pPr>
              <w:adjustRightInd w:val="0"/>
              <w:snapToGrid w:val="0"/>
              <w:spacing w:line="360" w:lineRule="auto"/>
              <w:rPr>
                <w:rFonts w:ascii="简宋" w:hAnsi="简宋" w:eastAsia="简宋"/>
              </w:rPr>
            </w:pPr>
          </w:p>
        </w:tc>
        <w:tc>
          <w:tcPr>
            <w:tcW w:w="3118" w:type="dxa"/>
            <w:noWrap w:val="0"/>
            <w:vAlign w:val="center"/>
          </w:tcPr>
          <w:p>
            <w:pPr>
              <w:adjustRightInd w:val="0"/>
              <w:snapToGrid w:val="0"/>
              <w:spacing w:line="360" w:lineRule="auto"/>
              <w:rPr>
                <w:rFonts w:ascii="简宋" w:hAnsi="简宋" w:eastAsia="简宋"/>
              </w:rPr>
            </w:pPr>
          </w:p>
        </w:tc>
        <w:tc>
          <w:tcPr>
            <w:tcW w:w="2046" w:type="dxa"/>
            <w:noWrap w:val="0"/>
            <w:vAlign w:val="center"/>
          </w:tcPr>
          <w:p>
            <w:pPr>
              <w:adjustRightInd w:val="0"/>
              <w:snapToGrid w:val="0"/>
              <w:spacing w:line="360" w:lineRule="auto"/>
              <w:jc w:val="center"/>
              <w:rPr>
                <w:rFonts w:ascii="简宋" w:hAnsi="简宋" w:eastAsia="简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noWrap w:val="0"/>
            <w:vAlign w:val="center"/>
          </w:tcPr>
          <w:p>
            <w:pPr>
              <w:adjustRightInd w:val="0"/>
              <w:snapToGrid w:val="0"/>
              <w:spacing w:line="360" w:lineRule="auto"/>
              <w:jc w:val="center"/>
              <w:rPr>
                <w:rFonts w:ascii="简宋" w:hAnsi="简宋" w:eastAsia="简宋"/>
              </w:rPr>
            </w:pPr>
          </w:p>
        </w:tc>
        <w:tc>
          <w:tcPr>
            <w:tcW w:w="3544" w:type="dxa"/>
            <w:noWrap w:val="0"/>
            <w:vAlign w:val="center"/>
          </w:tcPr>
          <w:p>
            <w:pPr>
              <w:adjustRightInd w:val="0"/>
              <w:snapToGrid w:val="0"/>
              <w:spacing w:line="360" w:lineRule="auto"/>
              <w:rPr>
                <w:rFonts w:ascii="简宋" w:hAnsi="简宋" w:eastAsia="简宋"/>
              </w:rPr>
            </w:pPr>
          </w:p>
        </w:tc>
        <w:tc>
          <w:tcPr>
            <w:tcW w:w="3402" w:type="dxa"/>
            <w:noWrap w:val="0"/>
            <w:vAlign w:val="center"/>
          </w:tcPr>
          <w:p>
            <w:pPr>
              <w:adjustRightInd w:val="0"/>
              <w:snapToGrid w:val="0"/>
              <w:spacing w:line="360" w:lineRule="auto"/>
              <w:rPr>
                <w:rFonts w:ascii="简宋" w:hAnsi="简宋" w:eastAsia="简宋"/>
              </w:rPr>
            </w:pPr>
          </w:p>
        </w:tc>
        <w:tc>
          <w:tcPr>
            <w:tcW w:w="3118" w:type="dxa"/>
            <w:noWrap w:val="0"/>
            <w:vAlign w:val="center"/>
          </w:tcPr>
          <w:p>
            <w:pPr>
              <w:adjustRightInd w:val="0"/>
              <w:snapToGrid w:val="0"/>
              <w:spacing w:line="360" w:lineRule="auto"/>
              <w:rPr>
                <w:rFonts w:ascii="简宋" w:hAnsi="简宋" w:eastAsia="简宋"/>
              </w:rPr>
            </w:pPr>
          </w:p>
        </w:tc>
        <w:tc>
          <w:tcPr>
            <w:tcW w:w="2046" w:type="dxa"/>
            <w:noWrap w:val="0"/>
            <w:vAlign w:val="center"/>
          </w:tcPr>
          <w:p>
            <w:pPr>
              <w:adjustRightInd w:val="0"/>
              <w:snapToGrid w:val="0"/>
              <w:spacing w:line="360" w:lineRule="auto"/>
              <w:jc w:val="center"/>
              <w:rPr>
                <w:rFonts w:ascii="简宋" w:hAnsi="简宋" w:eastAsia="简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838" w:type="dxa"/>
            <w:noWrap w:val="0"/>
            <w:vAlign w:val="center"/>
          </w:tcPr>
          <w:p>
            <w:pPr>
              <w:adjustRightInd w:val="0"/>
              <w:snapToGrid w:val="0"/>
              <w:spacing w:line="360" w:lineRule="auto"/>
              <w:jc w:val="center"/>
              <w:rPr>
                <w:rFonts w:ascii="简宋" w:hAnsi="简宋" w:eastAsia="简宋"/>
              </w:rPr>
            </w:pPr>
          </w:p>
        </w:tc>
        <w:tc>
          <w:tcPr>
            <w:tcW w:w="3544" w:type="dxa"/>
            <w:noWrap w:val="0"/>
            <w:vAlign w:val="center"/>
          </w:tcPr>
          <w:p>
            <w:pPr>
              <w:adjustRightInd w:val="0"/>
              <w:snapToGrid w:val="0"/>
              <w:spacing w:line="360" w:lineRule="auto"/>
              <w:rPr>
                <w:rFonts w:ascii="简宋" w:hAnsi="简宋" w:eastAsia="简宋"/>
              </w:rPr>
            </w:pPr>
          </w:p>
        </w:tc>
        <w:tc>
          <w:tcPr>
            <w:tcW w:w="3402" w:type="dxa"/>
            <w:noWrap w:val="0"/>
            <w:vAlign w:val="center"/>
          </w:tcPr>
          <w:p>
            <w:pPr>
              <w:adjustRightInd w:val="0"/>
              <w:snapToGrid w:val="0"/>
              <w:spacing w:line="360" w:lineRule="auto"/>
              <w:rPr>
                <w:rFonts w:ascii="简宋" w:hAnsi="简宋" w:eastAsia="简宋"/>
              </w:rPr>
            </w:pPr>
          </w:p>
        </w:tc>
        <w:tc>
          <w:tcPr>
            <w:tcW w:w="3118" w:type="dxa"/>
            <w:noWrap w:val="0"/>
            <w:vAlign w:val="center"/>
          </w:tcPr>
          <w:p>
            <w:pPr>
              <w:adjustRightInd w:val="0"/>
              <w:snapToGrid w:val="0"/>
              <w:spacing w:line="360" w:lineRule="auto"/>
              <w:rPr>
                <w:rFonts w:ascii="简宋" w:hAnsi="简宋" w:eastAsia="简宋"/>
              </w:rPr>
            </w:pPr>
          </w:p>
        </w:tc>
        <w:tc>
          <w:tcPr>
            <w:tcW w:w="2046" w:type="dxa"/>
            <w:noWrap w:val="0"/>
            <w:vAlign w:val="center"/>
          </w:tcPr>
          <w:p>
            <w:pPr>
              <w:adjustRightInd w:val="0"/>
              <w:snapToGrid w:val="0"/>
              <w:spacing w:line="360" w:lineRule="auto"/>
              <w:jc w:val="center"/>
              <w:rPr>
                <w:rFonts w:ascii="简宋" w:hAnsi="简宋" w:eastAsia="简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noWrap w:val="0"/>
            <w:vAlign w:val="center"/>
          </w:tcPr>
          <w:p>
            <w:pPr>
              <w:adjustRightInd w:val="0"/>
              <w:snapToGrid w:val="0"/>
              <w:spacing w:line="360" w:lineRule="auto"/>
              <w:jc w:val="center"/>
              <w:rPr>
                <w:rFonts w:ascii="简宋" w:hAnsi="简宋" w:eastAsia="简宋"/>
              </w:rPr>
            </w:pPr>
          </w:p>
        </w:tc>
        <w:tc>
          <w:tcPr>
            <w:tcW w:w="3544" w:type="dxa"/>
            <w:noWrap w:val="0"/>
            <w:vAlign w:val="center"/>
          </w:tcPr>
          <w:p>
            <w:pPr>
              <w:adjustRightInd w:val="0"/>
              <w:snapToGrid w:val="0"/>
              <w:spacing w:line="360" w:lineRule="auto"/>
              <w:rPr>
                <w:rFonts w:ascii="简宋" w:hAnsi="简宋" w:eastAsia="简宋"/>
              </w:rPr>
            </w:pPr>
          </w:p>
        </w:tc>
        <w:tc>
          <w:tcPr>
            <w:tcW w:w="3402" w:type="dxa"/>
            <w:noWrap w:val="0"/>
            <w:vAlign w:val="center"/>
          </w:tcPr>
          <w:p>
            <w:pPr>
              <w:adjustRightInd w:val="0"/>
              <w:snapToGrid w:val="0"/>
              <w:spacing w:line="360" w:lineRule="auto"/>
              <w:rPr>
                <w:rFonts w:ascii="简宋" w:hAnsi="简宋" w:eastAsia="简宋"/>
              </w:rPr>
            </w:pPr>
          </w:p>
        </w:tc>
        <w:tc>
          <w:tcPr>
            <w:tcW w:w="3118" w:type="dxa"/>
            <w:noWrap w:val="0"/>
            <w:vAlign w:val="center"/>
          </w:tcPr>
          <w:p>
            <w:pPr>
              <w:adjustRightInd w:val="0"/>
              <w:snapToGrid w:val="0"/>
              <w:spacing w:line="360" w:lineRule="auto"/>
              <w:rPr>
                <w:rFonts w:ascii="简宋" w:hAnsi="简宋" w:eastAsia="简宋"/>
              </w:rPr>
            </w:pPr>
          </w:p>
        </w:tc>
        <w:tc>
          <w:tcPr>
            <w:tcW w:w="2046" w:type="dxa"/>
            <w:noWrap w:val="0"/>
            <w:vAlign w:val="center"/>
          </w:tcPr>
          <w:p>
            <w:pPr>
              <w:adjustRightInd w:val="0"/>
              <w:snapToGrid w:val="0"/>
              <w:spacing w:line="360" w:lineRule="auto"/>
              <w:jc w:val="center"/>
              <w:rPr>
                <w:rFonts w:ascii="简宋" w:hAnsi="简宋" w:eastAsia="简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noWrap w:val="0"/>
            <w:vAlign w:val="center"/>
          </w:tcPr>
          <w:p>
            <w:pPr>
              <w:adjustRightInd w:val="0"/>
              <w:snapToGrid w:val="0"/>
              <w:spacing w:line="360" w:lineRule="auto"/>
              <w:jc w:val="center"/>
              <w:rPr>
                <w:rFonts w:ascii="简宋" w:hAnsi="简宋" w:eastAsia="简宋"/>
              </w:rPr>
            </w:pPr>
          </w:p>
        </w:tc>
        <w:tc>
          <w:tcPr>
            <w:tcW w:w="3544" w:type="dxa"/>
            <w:noWrap w:val="0"/>
            <w:vAlign w:val="center"/>
          </w:tcPr>
          <w:p>
            <w:pPr>
              <w:adjustRightInd w:val="0"/>
              <w:snapToGrid w:val="0"/>
              <w:spacing w:line="360" w:lineRule="auto"/>
              <w:rPr>
                <w:rFonts w:ascii="简宋" w:hAnsi="简宋" w:eastAsia="简宋"/>
              </w:rPr>
            </w:pPr>
          </w:p>
        </w:tc>
        <w:tc>
          <w:tcPr>
            <w:tcW w:w="3402" w:type="dxa"/>
            <w:noWrap w:val="0"/>
            <w:vAlign w:val="center"/>
          </w:tcPr>
          <w:p>
            <w:pPr>
              <w:adjustRightInd w:val="0"/>
              <w:snapToGrid w:val="0"/>
              <w:spacing w:line="360" w:lineRule="auto"/>
              <w:rPr>
                <w:rFonts w:ascii="简宋" w:hAnsi="简宋" w:eastAsia="简宋"/>
              </w:rPr>
            </w:pPr>
          </w:p>
        </w:tc>
        <w:tc>
          <w:tcPr>
            <w:tcW w:w="3118" w:type="dxa"/>
            <w:noWrap w:val="0"/>
            <w:vAlign w:val="center"/>
          </w:tcPr>
          <w:p>
            <w:pPr>
              <w:adjustRightInd w:val="0"/>
              <w:snapToGrid w:val="0"/>
              <w:spacing w:line="360" w:lineRule="auto"/>
              <w:rPr>
                <w:rFonts w:ascii="简宋" w:hAnsi="简宋" w:eastAsia="简宋"/>
              </w:rPr>
            </w:pPr>
          </w:p>
        </w:tc>
        <w:tc>
          <w:tcPr>
            <w:tcW w:w="2046" w:type="dxa"/>
            <w:noWrap w:val="0"/>
            <w:vAlign w:val="center"/>
          </w:tcPr>
          <w:p>
            <w:pPr>
              <w:adjustRightInd w:val="0"/>
              <w:snapToGrid w:val="0"/>
              <w:spacing w:line="360" w:lineRule="auto"/>
              <w:jc w:val="center"/>
              <w:rPr>
                <w:rFonts w:ascii="简宋" w:hAnsi="简宋" w:eastAsia="简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noWrap w:val="0"/>
            <w:vAlign w:val="center"/>
          </w:tcPr>
          <w:p>
            <w:pPr>
              <w:adjustRightInd w:val="0"/>
              <w:snapToGrid w:val="0"/>
              <w:spacing w:line="360" w:lineRule="auto"/>
              <w:jc w:val="center"/>
              <w:rPr>
                <w:rFonts w:ascii="简宋" w:hAnsi="简宋" w:eastAsia="简宋"/>
              </w:rPr>
            </w:pPr>
          </w:p>
        </w:tc>
        <w:tc>
          <w:tcPr>
            <w:tcW w:w="3544" w:type="dxa"/>
            <w:noWrap w:val="0"/>
            <w:vAlign w:val="center"/>
          </w:tcPr>
          <w:p>
            <w:pPr>
              <w:adjustRightInd w:val="0"/>
              <w:snapToGrid w:val="0"/>
              <w:spacing w:line="360" w:lineRule="auto"/>
              <w:rPr>
                <w:rFonts w:ascii="简宋" w:hAnsi="简宋" w:eastAsia="简宋"/>
              </w:rPr>
            </w:pPr>
          </w:p>
        </w:tc>
        <w:tc>
          <w:tcPr>
            <w:tcW w:w="3402" w:type="dxa"/>
            <w:noWrap w:val="0"/>
            <w:vAlign w:val="center"/>
          </w:tcPr>
          <w:p>
            <w:pPr>
              <w:adjustRightInd w:val="0"/>
              <w:snapToGrid w:val="0"/>
              <w:spacing w:line="360" w:lineRule="auto"/>
              <w:rPr>
                <w:rFonts w:ascii="简宋" w:hAnsi="简宋" w:eastAsia="简宋"/>
              </w:rPr>
            </w:pPr>
          </w:p>
        </w:tc>
        <w:tc>
          <w:tcPr>
            <w:tcW w:w="3118" w:type="dxa"/>
            <w:noWrap w:val="0"/>
            <w:vAlign w:val="center"/>
          </w:tcPr>
          <w:p>
            <w:pPr>
              <w:adjustRightInd w:val="0"/>
              <w:snapToGrid w:val="0"/>
              <w:spacing w:line="360" w:lineRule="auto"/>
              <w:rPr>
                <w:rFonts w:ascii="简宋" w:hAnsi="简宋" w:eastAsia="简宋"/>
              </w:rPr>
            </w:pPr>
          </w:p>
        </w:tc>
        <w:tc>
          <w:tcPr>
            <w:tcW w:w="2046" w:type="dxa"/>
            <w:noWrap w:val="0"/>
            <w:vAlign w:val="center"/>
          </w:tcPr>
          <w:p>
            <w:pPr>
              <w:adjustRightInd w:val="0"/>
              <w:snapToGrid w:val="0"/>
              <w:spacing w:line="360" w:lineRule="auto"/>
              <w:jc w:val="center"/>
              <w:rPr>
                <w:rFonts w:ascii="简宋" w:hAnsi="简宋" w:eastAsia="简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838" w:type="dxa"/>
            <w:noWrap w:val="0"/>
            <w:vAlign w:val="center"/>
          </w:tcPr>
          <w:p>
            <w:pPr>
              <w:adjustRightInd w:val="0"/>
              <w:snapToGrid w:val="0"/>
              <w:spacing w:line="360" w:lineRule="auto"/>
              <w:jc w:val="center"/>
              <w:rPr>
                <w:rFonts w:ascii="简宋" w:hAnsi="简宋" w:eastAsia="简宋"/>
              </w:rPr>
            </w:pPr>
          </w:p>
        </w:tc>
        <w:tc>
          <w:tcPr>
            <w:tcW w:w="3544" w:type="dxa"/>
            <w:noWrap w:val="0"/>
            <w:vAlign w:val="center"/>
          </w:tcPr>
          <w:p>
            <w:pPr>
              <w:adjustRightInd w:val="0"/>
              <w:snapToGrid w:val="0"/>
              <w:spacing w:line="360" w:lineRule="auto"/>
              <w:rPr>
                <w:rFonts w:ascii="简宋" w:hAnsi="简宋" w:eastAsia="简宋"/>
              </w:rPr>
            </w:pPr>
          </w:p>
        </w:tc>
        <w:tc>
          <w:tcPr>
            <w:tcW w:w="3402" w:type="dxa"/>
            <w:noWrap w:val="0"/>
            <w:vAlign w:val="center"/>
          </w:tcPr>
          <w:p>
            <w:pPr>
              <w:adjustRightInd w:val="0"/>
              <w:snapToGrid w:val="0"/>
              <w:spacing w:line="360" w:lineRule="auto"/>
              <w:rPr>
                <w:rFonts w:ascii="简宋" w:hAnsi="简宋" w:eastAsia="简宋"/>
              </w:rPr>
            </w:pPr>
          </w:p>
        </w:tc>
        <w:tc>
          <w:tcPr>
            <w:tcW w:w="3118" w:type="dxa"/>
            <w:noWrap w:val="0"/>
            <w:vAlign w:val="center"/>
          </w:tcPr>
          <w:p>
            <w:pPr>
              <w:adjustRightInd w:val="0"/>
              <w:snapToGrid w:val="0"/>
              <w:spacing w:line="360" w:lineRule="auto"/>
              <w:rPr>
                <w:rFonts w:ascii="简宋" w:hAnsi="简宋" w:eastAsia="简宋"/>
              </w:rPr>
            </w:pPr>
          </w:p>
        </w:tc>
        <w:tc>
          <w:tcPr>
            <w:tcW w:w="2046" w:type="dxa"/>
            <w:noWrap w:val="0"/>
            <w:vAlign w:val="center"/>
          </w:tcPr>
          <w:p>
            <w:pPr>
              <w:adjustRightInd w:val="0"/>
              <w:snapToGrid w:val="0"/>
              <w:spacing w:line="360" w:lineRule="auto"/>
              <w:jc w:val="center"/>
              <w:rPr>
                <w:rFonts w:ascii="简宋" w:hAnsi="简宋" w:eastAsia="简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noWrap w:val="0"/>
            <w:vAlign w:val="center"/>
          </w:tcPr>
          <w:p>
            <w:pPr>
              <w:adjustRightInd w:val="0"/>
              <w:snapToGrid w:val="0"/>
              <w:spacing w:line="360" w:lineRule="auto"/>
              <w:jc w:val="center"/>
              <w:rPr>
                <w:rFonts w:ascii="简宋" w:hAnsi="简宋" w:eastAsia="简宋"/>
              </w:rPr>
            </w:pPr>
          </w:p>
        </w:tc>
        <w:tc>
          <w:tcPr>
            <w:tcW w:w="3544" w:type="dxa"/>
            <w:noWrap w:val="0"/>
            <w:vAlign w:val="center"/>
          </w:tcPr>
          <w:p>
            <w:pPr>
              <w:adjustRightInd w:val="0"/>
              <w:snapToGrid w:val="0"/>
              <w:spacing w:line="360" w:lineRule="auto"/>
              <w:rPr>
                <w:rFonts w:ascii="简宋" w:hAnsi="简宋" w:eastAsia="简宋"/>
              </w:rPr>
            </w:pPr>
          </w:p>
        </w:tc>
        <w:tc>
          <w:tcPr>
            <w:tcW w:w="3402" w:type="dxa"/>
            <w:noWrap w:val="0"/>
            <w:vAlign w:val="center"/>
          </w:tcPr>
          <w:p>
            <w:pPr>
              <w:adjustRightInd w:val="0"/>
              <w:snapToGrid w:val="0"/>
              <w:spacing w:line="360" w:lineRule="auto"/>
              <w:rPr>
                <w:rFonts w:ascii="简宋" w:hAnsi="简宋" w:eastAsia="简宋"/>
              </w:rPr>
            </w:pPr>
          </w:p>
        </w:tc>
        <w:tc>
          <w:tcPr>
            <w:tcW w:w="3118" w:type="dxa"/>
            <w:noWrap w:val="0"/>
            <w:vAlign w:val="center"/>
          </w:tcPr>
          <w:p>
            <w:pPr>
              <w:adjustRightInd w:val="0"/>
              <w:snapToGrid w:val="0"/>
              <w:spacing w:line="360" w:lineRule="auto"/>
              <w:rPr>
                <w:rFonts w:ascii="简宋" w:hAnsi="简宋" w:eastAsia="简宋"/>
              </w:rPr>
            </w:pPr>
          </w:p>
        </w:tc>
        <w:tc>
          <w:tcPr>
            <w:tcW w:w="2046" w:type="dxa"/>
            <w:noWrap w:val="0"/>
            <w:vAlign w:val="center"/>
          </w:tcPr>
          <w:p>
            <w:pPr>
              <w:adjustRightInd w:val="0"/>
              <w:snapToGrid w:val="0"/>
              <w:spacing w:line="360" w:lineRule="auto"/>
              <w:jc w:val="center"/>
              <w:rPr>
                <w:rFonts w:ascii="简宋" w:hAnsi="简宋" w:eastAsia="简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noWrap w:val="0"/>
            <w:vAlign w:val="center"/>
          </w:tcPr>
          <w:p>
            <w:pPr>
              <w:adjustRightInd w:val="0"/>
              <w:snapToGrid w:val="0"/>
              <w:spacing w:line="360" w:lineRule="auto"/>
              <w:jc w:val="center"/>
              <w:rPr>
                <w:rFonts w:ascii="简宋" w:hAnsi="简宋" w:eastAsia="简宋"/>
              </w:rPr>
            </w:pPr>
          </w:p>
        </w:tc>
        <w:tc>
          <w:tcPr>
            <w:tcW w:w="3544" w:type="dxa"/>
            <w:noWrap w:val="0"/>
            <w:vAlign w:val="center"/>
          </w:tcPr>
          <w:p>
            <w:pPr>
              <w:adjustRightInd w:val="0"/>
              <w:snapToGrid w:val="0"/>
              <w:spacing w:line="360" w:lineRule="auto"/>
              <w:rPr>
                <w:rFonts w:ascii="简宋" w:hAnsi="简宋" w:eastAsia="简宋"/>
              </w:rPr>
            </w:pPr>
          </w:p>
        </w:tc>
        <w:tc>
          <w:tcPr>
            <w:tcW w:w="3402" w:type="dxa"/>
            <w:noWrap w:val="0"/>
            <w:vAlign w:val="center"/>
          </w:tcPr>
          <w:p>
            <w:pPr>
              <w:adjustRightInd w:val="0"/>
              <w:snapToGrid w:val="0"/>
              <w:spacing w:line="360" w:lineRule="auto"/>
              <w:rPr>
                <w:rFonts w:ascii="简宋" w:hAnsi="简宋" w:eastAsia="简宋"/>
              </w:rPr>
            </w:pPr>
          </w:p>
        </w:tc>
        <w:tc>
          <w:tcPr>
            <w:tcW w:w="3118" w:type="dxa"/>
            <w:noWrap w:val="0"/>
            <w:vAlign w:val="center"/>
          </w:tcPr>
          <w:p>
            <w:pPr>
              <w:adjustRightInd w:val="0"/>
              <w:snapToGrid w:val="0"/>
              <w:spacing w:line="360" w:lineRule="auto"/>
              <w:rPr>
                <w:rFonts w:ascii="简宋" w:hAnsi="简宋" w:eastAsia="简宋"/>
              </w:rPr>
            </w:pPr>
          </w:p>
        </w:tc>
        <w:tc>
          <w:tcPr>
            <w:tcW w:w="2046" w:type="dxa"/>
            <w:noWrap w:val="0"/>
            <w:vAlign w:val="center"/>
          </w:tcPr>
          <w:p>
            <w:pPr>
              <w:adjustRightInd w:val="0"/>
              <w:snapToGrid w:val="0"/>
              <w:spacing w:line="360" w:lineRule="auto"/>
              <w:jc w:val="center"/>
              <w:rPr>
                <w:rFonts w:ascii="简宋" w:hAnsi="简宋" w:eastAsia="简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noWrap w:val="0"/>
            <w:vAlign w:val="center"/>
          </w:tcPr>
          <w:p>
            <w:pPr>
              <w:adjustRightInd w:val="0"/>
              <w:snapToGrid w:val="0"/>
              <w:spacing w:line="360" w:lineRule="auto"/>
              <w:jc w:val="center"/>
              <w:rPr>
                <w:rFonts w:ascii="简宋" w:hAnsi="简宋" w:eastAsia="简宋"/>
              </w:rPr>
            </w:pPr>
          </w:p>
        </w:tc>
        <w:tc>
          <w:tcPr>
            <w:tcW w:w="3544" w:type="dxa"/>
            <w:noWrap w:val="0"/>
            <w:vAlign w:val="center"/>
          </w:tcPr>
          <w:p>
            <w:pPr>
              <w:adjustRightInd w:val="0"/>
              <w:snapToGrid w:val="0"/>
              <w:spacing w:line="360" w:lineRule="auto"/>
              <w:rPr>
                <w:rFonts w:ascii="简宋" w:hAnsi="简宋" w:eastAsia="简宋"/>
              </w:rPr>
            </w:pPr>
          </w:p>
        </w:tc>
        <w:tc>
          <w:tcPr>
            <w:tcW w:w="3402" w:type="dxa"/>
            <w:noWrap w:val="0"/>
            <w:vAlign w:val="center"/>
          </w:tcPr>
          <w:p>
            <w:pPr>
              <w:adjustRightInd w:val="0"/>
              <w:snapToGrid w:val="0"/>
              <w:spacing w:line="360" w:lineRule="auto"/>
              <w:rPr>
                <w:rFonts w:ascii="简宋" w:hAnsi="简宋" w:eastAsia="简宋"/>
              </w:rPr>
            </w:pPr>
          </w:p>
        </w:tc>
        <w:tc>
          <w:tcPr>
            <w:tcW w:w="3118" w:type="dxa"/>
            <w:noWrap w:val="0"/>
            <w:vAlign w:val="center"/>
          </w:tcPr>
          <w:p>
            <w:pPr>
              <w:adjustRightInd w:val="0"/>
              <w:snapToGrid w:val="0"/>
              <w:spacing w:line="360" w:lineRule="auto"/>
              <w:rPr>
                <w:rFonts w:ascii="简宋" w:hAnsi="简宋" w:eastAsia="简宋"/>
              </w:rPr>
            </w:pPr>
          </w:p>
        </w:tc>
        <w:tc>
          <w:tcPr>
            <w:tcW w:w="2046" w:type="dxa"/>
            <w:noWrap w:val="0"/>
            <w:vAlign w:val="center"/>
          </w:tcPr>
          <w:p>
            <w:pPr>
              <w:adjustRightInd w:val="0"/>
              <w:snapToGrid w:val="0"/>
              <w:spacing w:line="360" w:lineRule="auto"/>
              <w:jc w:val="center"/>
              <w:rPr>
                <w:rFonts w:ascii="简宋" w:hAnsi="简宋" w:eastAsia="简宋"/>
              </w:rPr>
            </w:pPr>
          </w:p>
        </w:tc>
      </w:tr>
    </w:tbl>
    <w:p>
      <w:pPr>
        <w:adjustRightInd w:val="0"/>
        <w:snapToGrid w:val="0"/>
        <w:spacing w:line="360" w:lineRule="auto"/>
        <w:rPr>
          <w:rFonts w:ascii="简宋" w:hAnsi="简宋" w:eastAsia="简宋"/>
        </w:rPr>
      </w:pPr>
    </w:p>
    <w:p>
      <w:pPr>
        <w:adjustRightInd w:val="0"/>
        <w:snapToGrid w:val="0"/>
        <w:spacing w:line="360" w:lineRule="auto"/>
        <w:jc w:val="center"/>
        <w:rPr>
          <w:rFonts w:hint="eastAsia" w:ascii="简宋" w:hAnsi="简宋" w:eastAsia="简宋"/>
          <w:sz w:val="32"/>
          <w:szCs w:val="32"/>
        </w:rPr>
      </w:pPr>
    </w:p>
    <w:p>
      <w:pPr>
        <w:adjustRightInd w:val="0"/>
        <w:snapToGrid w:val="0"/>
        <w:spacing w:line="360" w:lineRule="auto"/>
        <w:jc w:val="center"/>
        <w:rPr>
          <w:rFonts w:hint="eastAsia" w:ascii="简宋" w:hAnsi="简宋" w:eastAsia="简宋"/>
          <w:sz w:val="32"/>
          <w:szCs w:val="32"/>
        </w:rPr>
      </w:pPr>
    </w:p>
    <w:p>
      <w:pPr>
        <w:adjustRightInd w:val="0"/>
        <w:snapToGrid w:val="0"/>
        <w:spacing w:line="360" w:lineRule="auto"/>
        <w:jc w:val="center"/>
        <w:rPr>
          <w:rFonts w:hint="eastAsia" w:ascii="黑体" w:hAnsi="黑体" w:eastAsia="黑体" w:cs="黑体"/>
          <w:sz w:val="32"/>
          <w:szCs w:val="32"/>
        </w:rPr>
      </w:pPr>
      <w:r>
        <w:rPr>
          <w:rFonts w:hint="eastAsia" w:ascii="黑体" w:hAnsi="黑体" w:eastAsia="黑体" w:cs="黑体"/>
          <w:sz w:val="32"/>
          <w:szCs w:val="32"/>
        </w:rPr>
        <w:t>从重行政处罚事项清单</w:t>
      </w:r>
    </w:p>
    <w:tbl>
      <w:tblPr>
        <w:tblStyle w:val="9"/>
        <w:tblW w:w="1394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38"/>
        <w:gridCol w:w="3544"/>
        <w:gridCol w:w="3402"/>
        <w:gridCol w:w="3118"/>
        <w:gridCol w:w="20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noWrap w:val="0"/>
            <w:vAlign w:val="center"/>
          </w:tcPr>
          <w:p>
            <w:pPr>
              <w:adjustRightInd w:val="0"/>
              <w:snapToGrid w:val="0"/>
              <w:spacing w:line="360" w:lineRule="auto"/>
              <w:jc w:val="center"/>
              <w:rPr>
                <w:rFonts w:ascii="简宋" w:hAnsi="简宋" w:eastAsia="简宋"/>
              </w:rPr>
            </w:pPr>
            <w:r>
              <w:rPr>
                <w:rFonts w:hint="eastAsia" w:ascii="简宋" w:hAnsi="简宋" w:eastAsia="简宋"/>
              </w:rPr>
              <w:t>序号</w:t>
            </w:r>
          </w:p>
        </w:tc>
        <w:tc>
          <w:tcPr>
            <w:tcW w:w="3544" w:type="dxa"/>
            <w:noWrap w:val="0"/>
            <w:vAlign w:val="center"/>
          </w:tcPr>
          <w:p>
            <w:pPr>
              <w:adjustRightInd w:val="0"/>
              <w:snapToGrid w:val="0"/>
              <w:spacing w:line="360" w:lineRule="auto"/>
              <w:jc w:val="center"/>
              <w:rPr>
                <w:rFonts w:ascii="简宋" w:hAnsi="简宋" w:eastAsia="简宋"/>
              </w:rPr>
            </w:pPr>
            <w:r>
              <w:rPr>
                <w:rFonts w:hint="eastAsia" w:ascii="简宋" w:hAnsi="简宋" w:eastAsia="简宋"/>
              </w:rPr>
              <w:t>违法行为</w:t>
            </w:r>
          </w:p>
        </w:tc>
        <w:tc>
          <w:tcPr>
            <w:tcW w:w="3402" w:type="dxa"/>
            <w:noWrap w:val="0"/>
            <w:vAlign w:val="center"/>
          </w:tcPr>
          <w:p>
            <w:pPr>
              <w:adjustRightInd w:val="0"/>
              <w:snapToGrid w:val="0"/>
              <w:spacing w:line="360" w:lineRule="auto"/>
              <w:jc w:val="center"/>
              <w:rPr>
                <w:rFonts w:ascii="简宋" w:hAnsi="简宋" w:eastAsia="简宋"/>
              </w:rPr>
            </w:pPr>
            <w:r>
              <w:rPr>
                <w:rFonts w:hint="eastAsia" w:ascii="简宋" w:hAnsi="简宋" w:eastAsia="简宋"/>
              </w:rPr>
              <w:t>法律依据</w:t>
            </w:r>
          </w:p>
        </w:tc>
        <w:tc>
          <w:tcPr>
            <w:tcW w:w="3118" w:type="dxa"/>
            <w:noWrap w:val="0"/>
            <w:vAlign w:val="center"/>
          </w:tcPr>
          <w:p>
            <w:pPr>
              <w:adjustRightInd w:val="0"/>
              <w:snapToGrid w:val="0"/>
              <w:spacing w:line="360" w:lineRule="auto"/>
              <w:jc w:val="center"/>
              <w:rPr>
                <w:rFonts w:ascii="简宋" w:hAnsi="简宋" w:eastAsia="简宋"/>
              </w:rPr>
            </w:pPr>
            <w:r>
              <w:rPr>
                <w:rFonts w:hint="eastAsia" w:ascii="简宋" w:hAnsi="简宋" w:eastAsia="简宋"/>
              </w:rPr>
              <w:t>适用情形</w:t>
            </w:r>
          </w:p>
        </w:tc>
        <w:tc>
          <w:tcPr>
            <w:tcW w:w="2046" w:type="dxa"/>
            <w:noWrap w:val="0"/>
            <w:vAlign w:val="center"/>
          </w:tcPr>
          <w:p>
            <w:pPr>
              <w:adjustRightInd w:val="0"/>
              <w:snapToGrid w:val="0"/>
              <w:spacing w:line="360" w:lineRule="auto"/>
              <w:jc w:val="center"/>
              <w:rPr>
                <w:rFonts w:ascii="简宋" w:hAnsi="简宋" w:eastAsia="简宋"/>
              </w:rPr>
            </w:pPr>
            <w:r>
              <w:rPr>
                <w:rFonts w:hint="eastAsia" w:ascii="简宋" w:hAnsi="简宋" w:eastAsia="简宋"/>
              </w:rPr>
              <w:t>实施主体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noWrap w:val="0"/>
            <w:vAlign w:val="center"/>
          </w:tcPr>
          <w:p>
            <w:pPr>
              <w:adjustRightInd w:val="0"/>
              <w:snapToGrid w:val="0"/>
              <w:spacing w:line="360" w:lineRule="auto"/>
              <w:jc w:val="center"/>
              <w:rPr>
                <w:rFonts w:ascii="简宋" w:hAnsi="简宋" w:eastAsia="简宋"/>
              </w:rPr>
            </w:pPr>
            <w:r>
              <w:rPr>
                <w:rFonts w:ascii="简宋" w:hAnsi="简宋" w:eastAsia="简宋"/>
              </w:rPr>
              <w:t>1</w:t>
            </w:r>
          </w:p>
        </w:tc>
        <w:tc>
          <w:tcPr>
            <w:tcW w:w="3544" w:type="dxa"/>
            <w:noWrap w:val="0"/>
            <w:vAlign w:val="center"/>
          </w:tcPr>
          <w:p>
            <w:pPr>
              <w:adjustRightInd w:val="0"/>
              <w:snapToGrid w:val="0"/>
              <w:spacing w:line="360" w:lineRule="auto"/>
              <w:rPr>
                <w:color w:val="000000"/>
                <w:kern w:val="2"/>
              </w:rPr>
            </w:pPr>
            <w:r>
              <w:rPr>
                <w:rFonts w:hint="eastAsia"/>
                <w:color w:val="000000"/>
                <w:shd w:val="clear" w:color="auto" w:fill="FFFFFF"/>
              </w:rPr>
              <w:t>占用耕地建窑、建坟或者擅自在耕地上建房、挖砂、采石、采矿、取土等，破坏种植条件的</w:t>
            </w:r>
          </w:p>
        </w:tc>
        <w:tc>
          <w:tcPr>
            <w:tcW w:w="3402" w:type="dxa"/>
            <w:noWrap w:val="0"/>
            <w:vAlign w:val="center"/>
          </w:tcPr>
          <w:p>
            <w:pPr>
              <w:adjustRightInd w:val="0"/>
              <w:snapToGrid w:val="0"/>
              <w:spacing w:line="360" w:lineRule="auto"/>
              <w:rPr>
                <w:color w:val="000000"/>
              </w:rPr>
            </w:pPr>
            <w:r>
              <w:rPr>
                <w:rFonts w:hint="eastAsia"/>
                <w:color w:val="000000"/>
              </w:rPr>
              <w:t>《中华人民共和国土地管理法》第七十五条；《中华人民共和国土地管理法实施条例》第五十五条；《基本农田保护条例》第三十三条。</w:t>
            </w:r>
          </w:p>
        </w:tc>
        <w:tc>
          <w:tcPr>
            <w:tcW w:w="3118" w:type="dxa"/>
            <w:noWrap w:val="0"/>
            <w:vAlign w:val="center"/>
          </w:tcPr>
          <w:p>
            <w:pPr>
              <w:rPr>
                <w:color w:val="000000"/>
              </w:rPr>
            </w:pPr>
            <w:r>
              <w:t>破坏黑土地等优质耕地的</w:t>
            </w:r>
          </w:p>
        </w:tc>
        <w:tc>
          <w:tcPr>
            <w:tcW w:w="2046" w:type="dxa"/>
            <w:noWrap w:val="0"/>
            <w:vAlign w:val="center"/>
          </w:tcPr>
          <w:p>
            <w:pPr>
              <w:adjustRightInd w:val="0"/>
              <w:snapToGrid w:val="0"/>
              <w:spacing w:line="360" w:lineRule="auto"/>
              <w:jc w:val="center"/>
              <w:rPr>
                <w:rFonts w:ascii="简宋" w:hAnsi="简宋" w:eastAsia="简宋"/>
              </w:rPr>
            </w:pPr>
            <w:r>
              <w:rPr>
                <w:rFonts w:hint="eastAsia" w:ascii="简宋" w:hAnsi="简宋" w:eastAsia="简宋"/>
              </w:rPr>
              <w:t>昆明市</w:t>
            </w:r>
            <w:r>
              <w:rPr>
                <w:rFonts w:hint="eastAsia" w:ascii="简宋" w:hAnsi="简宋" w:eastAsia="简宋"/>
                <w:lang w:eastAsia="zh-CN"/>
              </w:rPr>
              <w:t>晋宁区自然资源局</w:t>
            </w:r>
            <w:r>
              <w:rPr>
                <w:rFonts w:hint="eastAsia" w:ascii="简宋" w:hAnsi="简宋" w:eastAsia="简宋"/>
              </w:rPr>
              <w:t>、</w:t>
            </w:r>
            <w:r>
              <w:rPr>
                <w:rFonts w:hint="eastAsia" w:ascii="简宋" w:hAnsi="简宋" w:eastAsia="简宋"/>
                <w:lang w:eastAsia="zh-CN"/>
              </w:rPr>
              <w:t>晋宁区</w:t>
            </w:r>
            <w:r>
              <w:rPr>
                <w:rFonts w:hint="eastAsia" w:ascii="简宋" w:hAnsi="简宋" w:eastAsia="简宋"/>
              </w:rPr>
              <w:t>农业农村局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noWrap w:val="0"/>
            <w:vAlign w:val="center"/>
          </w:tcPr>
          <w:p>
            <w:pPr>
              <w:adjustRightInd w:val="0"/>
              <w:snapToGrid w:val="0"/>
              <w:spacing w:line="360" w:lineRule="auto"/>
              <w:jc w:val="center"/>
              <w:rPr>
                <w:rFonts w:ascii="简宋" w:hAnsi="简宋" w:eastAsia="简宋"/>
              </w:rPr>
            </w:pPr>
            <w:r>
              <w:rPr>
                <w:rFonts w:ascii="简宋" w:hAnsi="简宋" w:eastAsia="简宋"/>
              </w:rPr>
              <w:t>2</w:t>
            </w:r>
          </w:p>
        </w:tc>
        <w:tc>
          <w:tcPr>
            <w:tcW w:w="3544" w:type="dxa"/>
            <w:noWrap w:val="0"/>
            <w:vAlign w:val="center"/>
          </w:tcPr>
          <w:p>
            <w:pPr>
              <w:adjustRightInd w:val="0"/>
              <w:snapToGrid w:val="0"/>
              <w:spacing w:line="360" w:lineRule="auto"/>
              <w:rPr>
                <w:color w:val="000000"/>
                <w:kern w:val="2"/>
              </w:rPr>
            </w:pPr>
            <w:r>
              <w:rPr>
                <w:rFonts w:hint="eastAsia"/>
                <w:color w:val="000000"/>
                <w:kern w:val="2"/>
              </w:rPr>
              <w:t>未经批准或者采取欺骗手段骗取批准，非法占用土地的；超过批准的数量占用土地的；非法批准、使用的土地，有关当事人拒不归还的</w:t>
            </w:r>
          </w:p>
        </w:tc>
        <w:tc>
          <w:tcPr>
            <w:tcW w:w="3402" w:type="dxa"/>
            <w:noWrap w:val="0"/>
            <w:vAlign w:val="center"/>
          </w:tcPr>
          <w:p>
            <w:pPr>
              <w:adjustRightInd w:val="0"/>
              <w:snapToGrid w:val="0"/>
              <w:spacing w:line="360" w:lineRule="auto"/>
              <w:rPr>
                <w:color w:val="000000"/>
                <w:kern w:val="2"/>
              </w:rPr>
            </w:pPr>
            <w:r>
              <w:rPr>
                <w:rFonts w:hint="eastAsia"/>
                <w:color w:val="000000"/>
                <w:kern w:val="2"/>
              </w:rPr>
              <w:t>《中华人民共和国土地管理法》第七十七条、七十九条；《中华人民共和国土地管理法实施条例》第五十七条、五十八条；《基本农田保护条例》第三十条；《云南省基本农田保护条例》第十七条。</w:t>
            </w:r>
          </w:p>
        </w:tc>
        <w:tc>
          <w:tcPr>
            <w:tcW w:w="3118" w:type="dxa"/>
            <w:noWrap w:val="0"/>
            <w:vAlign w:val="center"/>
          </w:tcPr>
          <w:p>
            <w:pPr>
              <w:adjustRightInd w:val="0"/>
              <w:snapToGrid w:val="0"/>
              <w:spacing w:line="360" w:lineRule="auto"/>
              <w:rPr>
                <w:color w:val="000000"/>
                <w:kern w:val="2"/>
              </w:rPr>
            </w:pPr>
            <w:r>
              <w:t>（</w:t>
            </w:r>
            <w:r>
              <w:rPr>
                <w:color w:val="000000"/>
                <w:kern w:val="2"/>
              </w:rPr>
              <w:t>一）未经批准或者采取欺骗手段骗取批准，非法占用基本农田的；</w:t>
            </w:r>
          </w:p>
          <w:p>
            <w:pPr>
              <w:adjustRightInd w:val="0"/>
              <w:snapToGrid w:val="0"/>
              <w:spacing w:line="360" w:lineRule="auto"/>
              <w:rPr>
                <w:color w:val="000000"/>
                <w:kern w:val="2"/>
              </w:rPr>
            </w:pPr>
            <w:r>
              <w:rPr>
                <w:color w:val="000000"/>
                <w:kern w:val="2"/>
              </w:rPr>
              <w:t>（二）超过批准数量，非法占用基本农田的；</w:t>
            </w:r>
          </w:p>
          <w:p>
            <w:pPr>
              <w:adjustRightInd w:val="0"/>
              <w:snapToGrid w:val="0"/>
              <w:spacing w:line="360" w:lineRule="auto"/>
              <w:rPr>
                <w:color w:val="000000"/>
                <w:kern w:val="2"/>
              </w:rPr>
            </w:pPr>
            <w:r>
              <w:rPr>
                <w:color w:val="000000"/>
                <w:kern w:val="2"/>
              </w:rPr>
              <w:t>（三）非法批准占用基本农田的；</w:t>
            </w:r>
          </w:p>
          <w:p>
            <w:pPr>
              <w:adjustRightInd w:val="0"/>
              <w:snapToGrid w:val="0"/>
              <w:spacing w:line="360" w:lineRule="auto"/>
              <w:rPr>
                <w:color w:val="000000"/>
                <w:kern w:val="2"/>
              </w:rPr>
            </w:pPr>
            <w:r>
              <w:rPr>
                <w:color w:val="000000"/>
                <w:kern w:val="2"/>
              </w:rPr>
              <w:t>（四）买卖或者以其他形式非法转让基本农田的。</w:t>
            </w:r>
          </w:p>
        </w:tc>
        <w:tc>
          <w:tcPr>
            <w:tcW w:w="2046" w:type="dxa"/>
            <w:noWrap w:val="0"/>
            <w:vAlign w:val="center"/>
          </w:tcPr>
          <w:p>
            <w:pPr>
              <w:adjustRightInd w:val="0"/>
              <w:snapToGrid w:val="0"/>
              <w:spacing w:line="360" w:lineRule="auto"/>
              <w:jc w:val="center"/>
              <w:rPr>
                <w:rFonts w:ascii="简宋" w:hAnsi="简宋" w:eastAsia="简宋"/>
              </w:rPr>
            </w:pPr>
            <w:r>
              <w:rPr>
                <w:rFonts w:hint="eastAsia" w:ascii="简宋" w:hAnsi="简宋" w:eastAsia="简宋"/>
              </w:rPr>
              <w:t>昆明市</w:t>
            </w:r>
            <w:r>
              <w:rPr>
                <w:rFonts w:hint="eastAsia" w:ascii="简宋" w:hAnsi="简宋" w:eastAsia="简宋"/>
                <w:lang w:eastAsia="zh-CN"/>
              </w:rPr>
              <w:t>晋宁区自然资源局</w:t>
            </w:r>
          </w:p>
        </w:tc>
      </w:tr>
    </w:tbl>
    <w:p>
      <w:pPr>
        <w:adjustRightInd w:val="0"/>
        <w:snapToGrid w:val="0"/>
        <w:spacing w:line="360" w:lineRule="auto"/>
        <w:rPr>
          <w:rFonts w:ascii="简宋" w:hAnsi="简宋" w:eastAsia="简宋"/>
        </w:rPr>
      </w:pPr>
    </w:p>
    <w:p>
      <w:pPr>
        <w:adjustRightInd w:val="0"/>
        <w:snapToGrid w:val="0"/>
        <w:spacing w:line="360" w:lineRule="auto"/>
        <w:jc w:val="center"/>
        <w:rPr>
          <w:rFonts w:hint="eastAsia" w:ascii="简宋" w:hAnsi="简宋" w:eastAsia="简宋"/>
          <w:sz w:val="32"/>
          <w:szCs w:val="32"/>
        </w:rPr>
      </w:pPr>
    </w:p>
    <w:p>
      <w:pPr>
        <w:adjustRightInd w:val="0"/>
        <w:snapToGrid w:val="0"/>
        <w:spacing w:line="360" w:lineRule="auto"/>
        <w:jc w:val="center"/>
        <w:rPr>
          <w:rFonts w:hint="eastAsia" w:ascii="简宋" w:hAnsi="简宋" w:eastAsia="简宋"/>
          <w:sz w:val="32"/>
          <w:szCs w:val="32"/>
        </w:rPr>
      </w:pPr>
    </w:p>
    <w:p>
      <w:pPr>
        <w:adjustRightInd w:val="0"/>
        <w:snapToGrid w:val="0"/>
        <w:spacing w:line="360" w:lineRule="auto"/>
        <w:jc w:val="center"/>
        <w:rPr>
          <w:rFonts w:ascii="简宋" w:hAnsi="简宋" w:eastAsia="简宋"/>
          <w:sz w:val="32"/>
          <w:szCs w:val="32"/>
        </w:rPr>
      </w:pPr>
      <w:r>
        <w:rPr>
          <w:rFonts w:hint="eastAsia" w:ascii="黑体" w:hAnsi="黑体" w:eastAsia="黑体" w:cs="黑体"/>
          <w:sz w:val="32"/>
          <w:szCs w:val="32"/>
        </w:rPr>
        <w:t>免于行政强制事项清单</w:t>
      </w:r>
    </w:p>
    <w:tbl>
      <w:tblPr>
        <w:tblStyle w:val="9"/>
        <w:tblW w:w="1394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38"/>
        <w:gridCol w:w="3544"/>
        <w:gridCol w:w="3402"/>
        <w:gridCol w:w="3118"/>
        <w:gridCol w:w="20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noWrap w:val="0"/>
            <w:vAlign w:val="center"/>
          </w:tcPr>
          <w:p>
            <w:pPr>
              <w:adjustRightInd w:val="0"/>
              <w:snapToGrid w:val="0"/>
              <w:spacing w:line="360" w:lineRule="auto"/>
              <w:jc w:val="center"/>
              <w:rPr>
                <w:rFonts w:ascii="简宋" w:hAnsi="简宋" w:eastAsia="简宋"/>
              </w:rPr>
            </w:pPr>
            <w:r>
              <w:rPr>
                <w:rFonts w:hint="eastAsia" w:ascii="简宋" w:hAnsi="简宋" w:eastAsia="简宋"/>
              </w:rPr>
              <w:t>序号</w:t>
            </w:r>
          </w:p>
        </w:tc>
        <w:tc>
          <w:tcPr>
            <w:tcW w:w="3544" w:type="dxa"/>
            <w:noWrap w:val="0"/>
            <w:vAlign w:val="center"/>
          </w:tcPr>
          <w:p>
            <w:pPr>
              <w:adjustRightInd w:val="0"/>
              <w:snapToGrid w:val="0"/>
              <w:spacing w:line="360" w:lineRule="auto"/>
              <w:jc w:val="center"/>
              <w:rPr>
                <w:rFonts w:ascii="简宋" w:hAnsi="简宋" w:eastAsia="简宋"/>
              </w:rPr>
            </w:pPr>
            <w:r>
              <w:rPr>
                <w:rFonts w:hint="eastAsia" w:ascii="简宋" w:hAnsi="简宋" w:eastAsia="简宋"/>
              </w:rPr>
              <w:t>违法行为</w:t>
            </w:r>
          </w:p>
        </w:tc>
        <w:tc>
          <w:tcPr>
            <w:tcW w:w="3402" w:type="dxa"/>
            <w:noWrap w:val="0"/>
            <w:vAlign w:val="center"/>
          </w:tcPr>
          <w:p>
            <w:pPr>
              <w:adjustRightInd w:val="0"/>
              <w:snapToGrid w:val="0"/>
              <w:spacing w:line="360" w:lineRule="auto"/>
              <w:jc w:val="center"/>
              <w:rPr>
                <w:rFonts w:ascii="简宋" w:hAnsi="简宋" w:eastAsia="简宋"/>
              </w:rPr>
            </w:pPr>
            <w:r>
              <w:rPr>
                <w:rFonts w:hint="eastAsia" w:ascii="简宋" w:hAnsi="简宋" w:eastAsia="简宋"/>
              </w:rPr>
              <w:t>法律依据</w:t>
            </w:r>
          </w:p>
        </w:tc>
        <w:tc>
          <w:tcPr>
            <w:tcW w:w="3118" w:type="dxa"/>
            <w:noWrap w:val="0"/>
            <w:vAlign w:val="center"/>
          </w:tcPr>
          <w:p>
            <w:pPr>
              <w:adjustRightInd w:val="0"/>
              <w:snapToGrid w:val="0"/>
              <w:spacing w:line="360" w:lineRule="auto"/>
              <w:jc w:val="center"/>
              <w:rPr>
                <w:rFonts w:ascii="简宋" w:hAnsi="简宋" w:eastAsia="简宋"/>
              </w:rPr>
            </w:pPr>
            <w:r>
              <w:rPr>
                <w:rFonts w:hint="eastAsia" w:ascii="简宋" w:hAnsi="简宋" w:eastAsia="简宋"/>
              </w:rPr>
              <w:t>适用情形</w:t>
            </w:r>
          </w:p>
        </w:tc>
        <w:tc>
          <w:tcPr>
            <w:tcW w:w="2046" w:type="dxa"/>
            <w:noWrap w:val="0"/>
            <w:vAlign w:val="center"/>
          </w:tcPr>
          <w:p>
            <w:pPr>
              <w:adjustRightInd w:val="0"/>
              <w:snapToGrid w:val="0"/>
              <w:spacing w:line="360" w:lineRule="auto"/>
              <w:jc w:val="center"/>
              <w:rPr>
                <w:rFonts w:ascii="简宋" w:hAnsi="简宋" w:eastAsia="简宋"/>
              </w:rPr>
            </w:pPr>
            <w:r>
              <w:rPr>
                <w:rFonts w:hint="eastAsia" w:ascii="简宋" w:hAnsi="简宋" w:eastAsia="简宋"/>
              </w:rPr>
              <w:t>实施主体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noWrap w:val="0"/>
            <w:vAlign w:val="center"/>
          </w:tcPr>
          <w:p>
            <w:pPr>
              <w:adjustRightInd w:val="0"/>
              <w:snapToGrid w:val="0"/>
              <w:spacing w:line="360" w:lineRule="auto"/>
              <w:jc w:val="center"/>
              <w:rPr>
                <w:rFonts w:ascii="简宋" w:hAnsi="简宋" w:eastAsia="简宋"/>
              </w:rPr>
            </w:pPr>
          </w:p>
        </w:tc>
        <w:tc>
          <w:tcPr>
            <w:tcW w:w="3544" w:type="dxa"/>
            <w:noWrap w:val="0"/>
            <w:vAlign w:val="center"/>
          </w:tcPr>
          <w:p>
            <w:pPr>
              <w:adjustRightInd w:val="0"/>
              <w:snapToGrid w:val="0"/>
              <w:spacing w:line="360" w:lineRule="auto"/>
              <w:rPr>
                <w:rFonts w:ascii="简宋" w:hAnsi="简宋" w:eastAsia="简宋"/>
              </w:rPr>
            </w:pPr>
          </w:p>
        </w:tc>
        <w:tc>
          <w:tcPr>
            <w:tcW w:w="3402" w:type="dxa"/>
            <w:noWrap w:val="0"/>
            <w:vAlign w:val="center"/>
          </w:tcPr>
          <w:p>
            <w:pPr>
              <w:adjustRightInd w:val="0"/>
              <w:snapToGrid w:val="0"/>
              <w:spacing w:line="360" w:lineRule="auto"/>
              <w:rPr>
                <w:rFonts w:ascii="简宋" w:hAnsi="简宋" w:eastAsia="简宋"/>
              </w:rPr>
            </w:pPr>
          </w:p>
        </w:tc>
        <w:tc>
          <w:tcPr>
            <w:tcW w:w="3118" w:type="dxa"/>
            <w:noWrap w:val="0"/>
            <w:vAlign w:val="center"/>
          </w:tcPr>
          <w:p>
            <w:pPr>
              <w:adjustRightInd w:val="0"/>
              <w:snapToGrid w:val="0"/>
              <w:spacing w:line="360" w:lineRule="auto"/>
              <w:rPr>
                <w:rFonts w:ascii="简宋" w:hAnsi="简宋" w:eastAsia="简宋"/>
              </w:rPr>
            </w:pPr>
          </w:p>
        </w:tc>
        <w:tc>
          <w:tcPr>
            <w:tcW w:w="2046" w:type="dxa"/>
            <w:noWrap w:val="0"/>
            <w:vAlign w:val="center"/>
          </w:tcPr>
          <w:p>
            <w:pPr>
              <w:adjustRightInd w:val="0"/>
              <w:snapToGrid w:val="0"/>
              <w:spacing w:line="360" w:lineRule="auto"/>
              <w:jc w:val="center"/>
              <w:rPr>
                <w:rFonts w:ascii="简宋" w:hAnsi="简宋" w:eastAsia="简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noWrap w:val="0"/>
            <w:vAlign w:val="center"/>
          </w:tcPr>
          <w:p>
            <w:pPr>
              <w:adjustRightInd w:val="0"/>
              <w:snapToGrid w:val="0"/>
              <w:spacing w:line="360" w:lineRule="auto"/>
              <w:jc w:val="center"/>
              <w:rPr>
                <w:rFonts w:ascii="简宋" w:hAnsi="简宋" w:eastAsia="简宋"/>
              </w:rPr>
            </w:pPr>
          </w:p>
        </w:tc>
        <w:tc>
          <w:tcPr>
            <w:tcW w:w="3544" w:type="dxa"/>
            <w:noWrap w:val="0"/>
            <w:vAlign w:val="center"/>
          </w:tcPr>
          <w:p>
            <w:pPr>
              <w:adjustRightInd w:val="0"/>
              <w:snapToGrid w:val="0"/>
              <w:spacing w:line="360" w:lineRule="auto"/>
              <w:rPr>
                <w:rFonts w:ascii="简宋" w:hAnsi="简宋" w:eastAsia="简宋"/>
              </w:rPr>
            </w:pPr>
          </w:p>
        </w:tc>
        <w:tc>
          <w:tcPr>
            <w:tcW w:w="3402" w:type="dxa"/>
            <w:noWrap w:val="0"/>
            <w:vAlign w:val="center"/>
          </w:tcPr>
          <w:p>
            <w:pPr>
              <w:adjustRightInd w:val="0"/>
              <w:snapToGrid w:val="0"/>
              <w:spacing w:line="360" w:lineRule="auto"/>
              <w:rPr>
                <w:rFonts w:ascii="简宋" w:hAnsi="简宋" w:eastAsia="简宋"/>
              </w:rPr>
            </w:pPr>
          </w:p>
        </w:tc>
        <w:tc>
          <w:tcPr>
            <w:tcW w:w="3118" w:type="dxa"/>
            <w:noWrap w:val="0"/>
            <w:vAlign w:val="center"/>
          </w:tcPr>
          <w:p>
            <w:pPr>
              <w:adjustRightInd w:val="0"/>
              <w:snapToGrid w:val="0"/>
              <w:spacing w:line="360" w:lineRule="auto"/>
              <w:rPr>
                <w:rFonts w:ascii="简宋" w:hAnsi="简宋" w:eastAsia="简宋"/>
              </w:rPr>
            </w:pPr>
          </w:p>
        </w:tc>
        <w:tc>
          <w:tcPr>
            <w:tcW w:w="2046" w:type="dxa"/>
            <w:noWrap w:val="0"/>
            <w:vAlign w:val="center"/>
          </w:tcPr>
          <w:p>
            <w:pPr>
              <w:adjustRightInd w:val="0"/>
              <w:snapToGrid w:val="0"/>
              <w:spacing w:line="360" w:lineRule="auto"/>
              <w:jc w:val="center"/>
              <w:rPr>
                <w:rFonts w:ascii="简宋" w:hAnsi="简宋" w:eastAsia="简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838" w:type="dxa"/>
            <w:noWrap w:val="0"/>
            <w:vAlign w:val="center"/>
          </w:tcPr>
          <w:p>
            <w:pPr>
              <w:adjustRightInd w:val="0"/>
              <w:snapToGrid w:val="0"/>
              <w:spacing w:line="360" w:lineRule="auto"/>
              <w:jc w:val="center"/>
              <w:rPr>
                <w:rFonts w:ascii="简宋" w:hAnsi="简宋" w:eastAsia="简宋"/>
              </w:rPr>
            </w:pPr>
          </w:p>
        </w:tc>
        <w:tc>
          <w:tcPr>
            <w:tcW w:w="3544" w:type="dxa"/>
            <w:noWrap w:val="0"/>
            <w:vAlign w:val="center"/>
          </w:tcPr>
          <w:p>
            <w:pPr>
              <w:adjustRightInd w:val="0"/>
              <w:snapToGrid w:val="0"/>
              <w:spacing w:line="360" w:lineRule="auto"/>
              <w:rPr>
                <w:rFonts w:ascii="简宋" w:hAnsi="简宋" w:eastAsia="简宋"/>
              </w:rPr>
            </w:pPr>
          </w:p>
        </w:tc>
        <w:tc>
          <w:tcPr>
            <w:tcW w:w="3402" w:type="dxa"/>
            <w:noWrap w:val="0"/>
            <w:vAlign w:val="center"/>
          </w:tcPr>
          <w:p>
            <w:pPr>
              <w:adjustRightInd w:val="0"/>
              <w:snapToGrid w:val="0"/>
              <w:spacing w:line="360" w:lineRule="auto"/>
              <w:rPr>
                <w:rFonts w:ascii="简宋" w:hAnsi="简宋" w:eastAsia="简宋"/>
              </w:rPr>
            </w:pPr>
          </w:p>
        </w:tc>
        <w:tc>
          <w:tcPr>
            <w:tcW w:w="3118" w:type="dxa"/>
            <w:noWrap w:val="0"/>
            <w:vAlign w:val="center"/>
          </w:tcPr>
          <w:p>
            <w:pPr>
              <w:adjustRightInd w:val="0"/>
              <w:snapToGrid w:val="0"/>
              <w:spacing w:line="360" w:lineRule="auto"/>
              <w:rPr>
                <w:rFonts w:ascii="简宋" w:hAnsi="简宋" w:eastAsia="简宋"/>
              </w:rPr>
            </w:pPr>
          </w:p>
        </w:tc>
        <w:tc>
          <w:tcPr>
            <w:tcW w:w="2046" w:type="dxa"/>
            <w:noWrap w:val="0"/>
            <w:vAlign w:val="center"/>
          </w:tcPr>
          <w:p>
            <w:pPr>
              <w:adjustRightInd w:val="0"/>
              <w:snapToGrid w:val="0"/>
              <w:spacing w:line="360" w:lineRule="auto"/>
              <w:jc w:val="center"/>
              <w:rPr>
                <w:rFonts w:ascii="简宋" w:hAnsi="简宋" w:eastAsia="简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noWrap w:val="0"/>
            <w:vAlign w:val="center"/>
          </w:tcPr>
          <w:p>
            <w:pPr>
              <w:adjustRightInd w:val="0"/>
              <w:snapToGrid w:val="0"/>
              <w:spacing w:line="360" w:lineRule="auto"/>
              <w:jc w:val="center"/>
              <w:rPr>
                <w:rFonts w:ascii="简宋" w:hAnsi="简宋" w:eastAsia="简宋"/>
              </w:rPr>
            </w:pPr>
          </w:p>
        </w:tc>
        <w:tc>
          <w:tcPr>
            <w:tcW w:w="3544" w:type="dxa"/>
            <w:noWrap w:val="0"/>
            <w:vAlign w:val="center"/>
          </w:tcPr>
          <w:p>
            <w:pPr>
              <w:adjustRightInd w:val="0"/>
              <w:snapToGrid w:val="0"/>
              <w:spacing w:line="360" w:lineRule="auto"/>
              <w:rPr>
                <w:rFonts w:ascii="简宋" w:hAnsi="简宋" w:eastAsia="简宋"/>
              </w:rPr>
            </w:pPr>
          </w:p>
        </w:tc>
        <w:tc>
          <w:tcPr>
            <w:tcW w:w="3402" w:type="dxa"/>
            <w:noWrap w:val="0"/>
            <w:vAlign w:val="center"/>
          </w:tcPr>
          <w:p>
            <w:pPr>
              <w:adjustRightInd w:val="0"/>
              <w:snapToGrid w:val="0"/>
              <w:spacing w:line="360" w:lineRule="auto"/>
              <w:rPr>
                <w:rFonts w:ascii="简宋" w:hAnsi="简宋" w:eastAsia="简宋"/>
              </w:rPr>
            </w:pPr>
          </w:p>
        </w:tc>
        <w:tc>
          <w:tcPr>
            <w:tcW w:w="3118" w:type="dxa"/>
            <w:noWrap w:val="0"/>
            <w:vAlign w:val="center"/>
          </w:tcPr>
          <w:p>
            <w:pPr>
              <w:adjustRightInd w:val="0"/>
              <w:snapToGrid w:val="0"/>
              <w:spacing w:line="360" w:lineRule="auto"/>
              <w:rPr>
                <w:rFonts w:ascii="简宋" w:hAnsi="简宋" w:eastAsia="简宋"/>
              </w:rPr>
            </w:pPr>
          </w:p>
        </w:tc>
        <w:tc>
          <w:tcPr>
            <w:tcW w:w="2046" w:type="dxa"/>
            <w:noWrap w:val="0"/>
            <w:vAlign w:val="center"/>
          </w:tcPr>
          <w:p>
            <w:pPr>
              <w:adjustRightInd w:val="0"/>
              <w:snapToGrid w:val="0"/>
              <w:spacing w:line="360" w:lineRule="auto"/>
              <w:jc w:val="center"/>
              <w:rPr>
                <w:rFonts w:ascii="简宋" w:hAnsi="简宋" w:eastAsia="简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noWrap w:val="0"/>
            <w:vAlign w:val="center"/>
          </w:tcPr>
          <w:p>
            <w:pPr>
              <w:adjustRightInd w:val="0"/>
              <w:snapToGrid w:val="0"/>
              <w:spacing w:line="360" w:lineRule="auto"/>
              <w:jc w:val="center"/>
              <w:rPr>
                <w:rFonts w:ascii="简宋" w:hAnsi="简宋" w:eastAsia="简宋"/>
              </w:rPr>
            </w:pPr>
          </w:p>
        </w:tc>
        <w:tc>
          <w:tcPr>
            <w:tcW w:w="3544" w:type="dxa"/>
            <w:noWrap w:val="0"/>
            <w:vAlign w:val="center"/>
          </w:tcPr>
          <w:p>
            <w:pPr>
              <w:adjustRightInd w:val="0"/>
              <w:snapToGrid w:val="0"/>
              <w:spacing w:line="360" w:lineRule="auto"/>
              <w:rPr>
                <w:rFonts w:ascii="简宋" w:hAnsi="简宋" w:eastAsia="简宋"/>
              </w:rPr>
            </w:pPr>
          </w:p>
        </w:tc>
        <w:tc>
          <w:tcPr>
            <w:tcW w:w="3402" w:type="dxa"/>
            <w:noWrap w:val="0"/>
            <w:vAlign w:val="center"/>
          </w:tcPr>
          <w:p>
            <w:pPr>
              <w:adjustRightInd w:val="0"/>
              <w:snapToGrid w:val="0"/>
              <w:spacing w:line="360" w:lineRule="auto"/>
              <w:rPr>
                <w:rFonts w:ascii="简宋" w:hAnsi="简宋" w:eastAsia="简宋"/>
              </w:rPr>
            </w:pPr>
          </w:p>
        </w:tc>
        <w:tc>
          <w:tcPr>
            <w:tcW w:w="3118" w:type="dxa"/>
            <w:noWrap w:val="0"/>
            <w:vAlign w:val="center"/>
          </w:tcPr>
          <w:p>
            <w:pPr>
              <w:adjustRightInd w:val="0"/>
              <w:snapToGrid w:val="0"/>
              <w:spacing w:line="360" w:lineRule="auto"/>
              <w:rPr>
                <w:rFonts w:ascii="简宋" w:hAnsi="简宋" w:eastAsia="简宋"/>
              </w:rPr>
            </w:pPr>
          </w:p>
        </w:tc>
        <w:tc>
          <w:tcPr>
            <w:tcW w:w="2046" w:type="dxa"/>
            <w:noWrap w:val="0"/>
            <w:vAlign w:val="center"/>
          </w:tcPr>
          <w:p>
            <w:pPr>
              <w:adjustRightInd w:val="0"/>
              <w:snapToGrid w:val="0"/>
              <w:spacing w:line="360" w:lineRule="auto"/>
              <w:jc w:val="center"/>
              <w:rPr>
                <w:rFonts w:ascii="简宋" w:hAnsi="简宋" w:eastAsia="简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noWrap w:val="0"/>
            <w:vAlign w:val="center"/>
          </w:tcPr>
          <w:p>
            <w:pPr>
              <w:adjustRightInd w:val="0"/>
              <w:snapToGrid w:val="0"/>
              <w:spacing w:line="360" w:lineRule="auto"/>
              <w:jc w:val="center"/>
              <w:rPr>
                <w:rFonts w:ascii="简宋" w:hAnsi="简宋" w:eastAsia="简宋"/>
              </w:rPr>
            </w:pPr>
          </w:p>
        </w:tc>
        <w:tc>
          <w:tcPr>
            <w:tcW w:w="3544" w:type="dxa"/>
            <w:noWrap w:val="0"/>
            <w:vAlign w:val="center"/>
          </w:tcPr>
          <w:p>
            <w:pPr>
              <w:adjustRightInd w:val="0"/>
              <w:snapToGrid w:val="0"/>
              <w:spacing w:line="360" w:lineRule="auto"/>
              <w:rPr>
                <w:rFonts w:ascii="简宋" w:hAnsi="简宋" w:eastAsia="简宋"/>
              </w:rPr>
            </w:pPr>
          </w:p>
        </w:tc>
        <w:tc>
          <w:tcPr>
            <w:tcW w:w="3402" w:type="dxa"/>
            <w:noWrap w:val="0"/>
            <w:vAlign w:val="center"/>
          </w:tcPr>
          <w:p>
            <w:pPr>
              <w:adjustRightInd w:val="0"/>
              <w:snapToGrid w:val="0"/>
              <w:spacing w:line="360" w:lineRule="auto"/>
              <w:rPr>
                <w:rFonts w:ascii="简宋" w:hAnsi="简宋" w:eastAsia="简宋"/>
              </w:rPr>
            </w:pPr>
          </w:p>
        </w:tc>
        <w:tc>
          <w:tcPr>
            <w:tcW w:w="3118" w:type="dxa"/>
            <w:noWrap w:val="0"/>
            <w:vAlign w:val="center"/>
          </w:tcPr>
          <w:p>
            <w:pPr>
              <w:adjustRightInd w:val="0"/>
              <w:snapToGrid w:val="0"/>
              <w:spacing w:line="360" w:lineRule="auto"/>
              <w:rPr>
                <w:rFonts w:ascii="简宋" w:hAnsi="简宋" w:eastAsia="简宋"/>
              </w:rPr>
            </w:pPr>
          </w:p>
        </w:tc>
        <w:tc>
          <w:tcPr>
            <w:tcW w:w="2046" w:type="dxa"/>
            <w:noWrap w:val="0"/>
            <w:vAlign w:val="center"/>
          </w:tcPr>
          <w:p>
            <w:pPr>
              <w:adjustRightInd w:val="0"/>
              <w:snapToGrid w:val="0"/>
              <w:spacing w:line="360" w:lineRule="auto"/>
              <w:jc w:val="center"/>
              <w:rPr>
                <w:rFonts w:ascii="简宋" w:hAnsi="简宋" w:eastAsia="简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838" w:type="dxa"/>
            <w:noWrap w:val="0"/>
            <w:vAlign w:val="center"/>
          </w:tcPr>
          <w:p>
            <w:pPr>
              <w:adjustRightInd w:val="0"/>
              <w:snapToGrid w:val="0"/>
              <w:spacing w:line="360" w:lineRule="auto"/>
              <w:jc w:val="center"/>
              <w:rPr>
                <w:rFonts w:ascii="简宋" w:hAnsi="简宋" w:eastAsia="简宋"/>
              </w:rPr>
            </w:pPr>
          </w:p>
        </w:tc>
        <w:tc>
          <w:tcPr>
            <w:tcW w:w="3544" w:type="dxa"/>
            <w:noWrap w:val="0"/>
            <w:vAlign w:val="center"/>
          </w:tcPr>
          <w:p>
            <w:pPr>
              <w:adjustRightInd w:val="0"/>
              <w:snapToGrid w:val="0"/>
              <w:spacing w:line="360" w:lineRule="auto"/>
              <w:rPr>
                <w:rFonts w:ascii="简宋" w:hAnsi="简宋" w:eastAsia="简宋"/>
              </w:rPr>
            </w:pPr>
          </w:p>
        </w:tc>
        <w:tc>
          <w:tcPr>
            <w:tcW w:w="3402" w:type="dxa"/>
            <w:noWrap w:val="0"/>
            <w:vAlign w:val="center"/>
          </w:tcPr>
          <w:p>
            <w:pPr>
              <w:adjustRightInd w:val="0"/>
              <w:snapToGrid w:val="0"/>
              <w:spacing w:line="360" w:lineRule="auto"/>
              <w:rPr>
                <w:rFonts w:ascii="简宋" w:hAnsi="简宋" w:eastAsia="简宋"/>
              </w:rPr>
            </w:pPr>
          </w:p>
        </w:tc>
        <w:tc>
          <w:tcPr>
            <w:tcW w:w="3118" w:type="dxa"/>
            <w:noWrap w:val="0"/>
            <w:vAlign w:val="center"/>
          </w:tcPr>
          <w:p>
            <w:pPr>
              <w:adjustRightInd w:val="0"/>
              <w:snapToGrid w:val="0"/>
              <w:spacing w:line="360" w:lineRule="auto"/>
              <w:rPr>
                <w:rFonts w:ascii="简宋" w:hAnsi="简宋" w:eastAsia="简宋"/>
              </w:rPr>
            </w:pPr>
          </w:p>
        </w:tc>
        <w:tc>
          <w:tcPr>
            <w:tcW w:w="2046" w:type="dxa"/>
            <w:noWrap w:val="0"/>
            <w:vAlign w:val="center"/>
          </w:tcPr>
          <w:p>
            <w:pPr>
              <w:adjustRightInd w:val="0"/>
              <w:snapToGrid w:val="0"/>
              <w:spacing w:line="360" w:lineRule="auto"/>
              <w:jc w:val="center"/>
              <w:rPr>
                <w:rFonts w:ascii="简宋" w:hAnsi="简宋" w:eastAsia="简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noWrap w:val="0"/>
            <w:vAlign w:val="center"/>
          </w:tcPr>
          <w:p>
            <w:pPr>
              <w:adjustRightInd w:val="0"/>
              <w:snapToGrid w:val="0"/>
              <w:spacing w:line="360" w:lineRule="auto"/>
              <w:jc w:val="center"/>
              <w:rPr>
                <w:rFonts w:ascii="简宋" w:hAnsi="简宋" w:eastAsia="简宋"/>
              </w:rPr>
            </w:pPr>
          </w:p>
        </w:tc>
        <w:tc>
          <w:tcPr>
            <w:tcW w:w="3544" w:type="dxa"/>
            <w:noWrap w:val="0"/>
            <w:vAlign w:val="center"/>
          </w:tcPr>
          <w:p>
            <w:pPr>
              <w:adjustRightInd w:val="0"/>
              <w:snapToGrid w:val="0"/>
              <w:spacing w:line="360" w:lineRule="auto"/>
              <w:rPr>
                <w:rFonts w:ascii="简宋" w:hAnsi="简宋" w:eastAsia="简宋"/>
              </w:rPr>
            </w:pPr>
          </w:p>
        </w:tc>
        <w:tc>
          <w:tcPr>
            <w:tcW w:w="3402" w:type="dxa"/>
            <w:noWrap w:val="0"/>
            <w:vAlign w:val="center"/>
          </w:tcPr>
          <w:p>
            <w:pPr>
              <w:adjustRightInd w:val="0"/>
              <w:snapToGrid w:val="0"/>
              <w:spacing w:line="360" w:lineRule="auto"/>
              <w:rPr>
                <w:rFonts w:ascii="简宋" w:hAnsi="简宋" w:eastAsia="简宋"/>
              </w:rPr>
            </w:pPr>
          </w:p>
        </w:tc>
        <w:tc>
          <w:tcPr>
            <w:tcW w:w="3118" w:type="dxa"/>
            <w:noWrap w:val="0"/>
            <w:vAlign w:val="center"/>
          </w:tcPr>
          <w:p>
            <w:pPr>
              <w:adjustRightInd w:val="0"/>
              <w:snapToGrid w:val="0"/>
              <w:spacing w:line="360" w:lineRule="auto"/>
              <w:rPr>
                <w:rFonts w:ascii="简宋" w:hAnsi="简宋" w:eastAsia="简宋"/>
              </w:rPr>
            </w:pPr>
          </w:p>
        </w:tc>
        <w:tc>
          <w:tcPr>
            <w:tcW w:w="2046" w:type="dxa"/>
            <w:noWrap w:val="0"/>
            <w:vAlign w:val="center"/>
          </w:tcPr>
          <w:p>
            <w:pPr>
              <w:adjustRightInd w:val="0"/>
              <w:snapToGrid w:val="0"/>
              <w:spacing w:line="360" w:lineRule="auto"/>
              <w:jc w:val="center"/>
              <w:rPr>
                <w:rFonts w:ascii="简宋" w:hAnsi="简宋" w:eastAsia="简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noWrap w:val="0"/>
            <w:vAlign w:val="center"/>
          </w:tcPr>
          <w:p>
            <w:pPr>
              <w:adjustRightInd w:val="0"/>
              <w:snapToGrid w:val="0"/>
              <w:spacing w:line="360" w:lineRule="auto"/>
              <w:jc w:val="center"/>
              <w:rPr>
                <w:rFonts w:ascii="简宋" w:hAnsi="简宋" w:eastAsia="简宋"/>
              </w:rPr>
            </w:pPr>
          </w:p>
        </w:tc>
        <w:tc>
          <w:tcPr>
            <w:tcW w:w="3544" w:type="dxa"/>
            <w:noWrap w:val="0"/>
            <w:vAlign w:val="center"/>
          </w:tcPr>
          <w:p>
            <w:pPr>
              <w:adjustRightInd w:val="0"/>
              <w:snapToGrid w:val="0"/>
              <w:spacing w:line="360" w:lineRule="auto"/>
              <w:rPr>
                <w:rFonts w:ascii="简宋" w:hAnsi="简宋" w:eastAsia="简宋"/>
              </w:rPr>
            </w:pPr>
          </w:p>
        </w:tc>
        <w:tc>
          <w:tcPr>
            <w:tcW w:w="3402" w:type="dxa"/>
            <w:noWrap w:val="0"/>
            <w:vAlign w:val="center"/>
          </w:tcPr>
          <w:p>
            <w:pPr>
              <w:adjustRightInd w:val="0"/>
              <w:snapToGrid w:val="0"/>
              <w:spacing w:line="360" w:lineRule="auto"/>
              <w:rPr>
                <w:rFonts w:ascii="简宋" w:hAnsi="简宋" w:eastAsia="简宋"/>
              </w:rPr>
            </w:pPr>
          </w:p>
        </w:tc>
        <w:tc>
          <w:tcPr>
            <w:tcW w:w="3118" w:type="dxa"/>
            <w:noWrap w:val="0"/>
            <w:vAlign w:val="center"/>
          </w:tcPr>
          <w:p>
            <w:pPr>
              <w:adjustRightInd w:val="0"/>
              <w:snapToGrid w:val="0"/>
              <w:spacing w:line="360" w:lineRule="auto"/>
              <w:rPr>
                <w:rFonts w:ascii="简宋" w:hAnsi="简宋" w:eastAsia="简宋"/>
              </w:rPr>
            </w:pPr>
          </w:p>
        </w:tc>
        <w:tc>
          <w:tcPr>
            <w:tcW w:w="2046" w:type="dxa"/>
            <w:noWrap w:val="0"/>
            <w:vAlign w:val="center"/>
          </w:tcPr>
          <w:p>
            <w:pPr>
              <w:adjustRightInd w:val="0"/>
              <w:snapToGrid w:val="0"/>
              <w:spacing w:line="360" w:lineRule="auto"/>
              <w:jc w:val="center"/>
              <w:rPr>
                <w:rFonts w:ascii="简宋" w:hAnsi="简宋" w:eastAsia="简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noWrap w:val="0"/>
            <w:vAlign w:val="center"/>
          </w:tcPr>
          <w:p>
            <w:pPr>
              <w:adjustRightInd w:val="0"/>
              <w:snapToGrid w:val="0"/>
              <w:spacing w:line="360" w:lineRule="auto"/>
              <w:jc w:val="center"/>
              <w:rPr>
                <w:rFonts w:ascii="简宋" w:hAnsi="简宋" w:eastAsia="简宋"/>
              </w:rPr>
            </w:pPr>
          </w:p>
        </w:tc>
        <w:tc>
          <w:tcPr>
            <w:tcW w:w="3544" w:type="dxa"/>
            <w:noWrap w:val="0"/>
            <w:vAlign w:val="center"/>
          </w:tcPr>
          <w:p>
            <w:pPr>
              <w:adjustRightInd w:val="0"/>
              <w:snapToGrid w:val="0"/>
              <w:spacing w:line="360" w:lineRule="auto"/>
              <w:rPr>
                <w:rFonts w:ascii="简宋" w:hAnsi="简宋" w:eastAsia="简宋"/>
              </w:rPr>
            </w:pPr>
          </w:p>
        </w:tc>
        <w:tc>
          <w:tcPr>
            <w:tcW w:w="3402" w:type="dxa"/>
            <w:noWrap w:val="0"/>
            <w:vAlign w:val="center"/>
          </w:tcPr>
          <w:p>
            <w:pPr>
              <w:adjustRightInd w:val="0"/>
              <w:snapToGrid w:val="0"/>
              <w:spacing w:line="360" w:lineRule="auto"/>
              <w:rPr>
                <w:rFonts w:ascii="简宋" w:hAnsi="简宋" w:eastAsia="简宋"/>
              </w:rPr>
            </w:pPr>
          </w:p>
        </w:tc>
        <w:tc>
          <w:tcPr>
            <w:tcW w:w="3118" w:type="dxa"/>
            <w:noWrap w:val="0"/>
            <w:vAlign w:val="center"/>
          </w:tcPr>
          <w:p>
            <w:pPr>
              <w:adjustRightInd w:val="0"/>
              <w:snapToGrid w:val="0"/>
              <w:spacing w:line="360" w:lineRule="auto"/>
              <w:rPr>
                <w:rFonts w:ascii="简宋" w:hAnsi="简宋" w:eastAsia="简宋"/>
              </w:rPr>
            </w:pPr>
          </w:p>
        </w:tc>
        <w:tc>
          <w:tcPr>
            <w:tcW w:w="2046" w:type="dxa"/>
            <w:noWrap w:val="0"/>
            <w:vAlign w:val="center"/>
          </w:tcPr>
          <w:p>
            <w:pPr>
              <w:adjustRightInd w:val="0"/>
              <w:snapToGrid w:val="0"/>
              <w:spacing w:line="360" w:lineRule="auto"/>
              <w:jc w:val="center"/>
              <w:rPr>
                <w:rFonts w:ascii="简宋" w:hAnsi="简宋" w:eastAsia="简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838" w:type="dxa"/>
            <w:noWrap w:val="0"/>
            <w:vAlign w:val="center"/>
          </w:tcPr>
          <w:p>
            <w:pPr>
              <w:adjustRightInd w:val="0"/>
              <w:snapToGrid w:val="0"/>
              <w:spacing w:line="360" w:lineRule="auto"/>
              <w:jc w:val="center"/>
              <w:rPr>
                <w:rFonts w:ascii="简宋" w:hAnsi="简宋" w:eastAsia="简宋"/>
              </w:rPr>
            </w:pPr>
          </w:p>
        </w:tc>
        <w:tc>
          <w:tcPr>
            <w:tcW w:w="3544" w:type="dxa"/>
            <w:noWrap w:val="0"/>
            <w:vAlign w:val="center"/>
          </w:tcPr>
          <w:p>
            <w:pPr>
              <w:adjustRightInd w:val="0"/>
              <w:snapToGrid w:val="0"/>
              <w:spacing w:line="360" w:lineRule="auto"/>
              <w:rPr>
                <w:rFonts w:ascii="简宋" w:hAnsi="简宋" w:eastAsia="简宋"/>
              </w:rPr>
            </w:pPr>
          </w:p>
        </w:tc>
        <w:tc>
          <w:tcPr>
            <w:tcW w:w="3402" w:type="dxa"/>
            <w:noWrap w:val="0"/>
            <w:vAlign w:val="center"/>
          </w:tcPr>
          <w:p>
            <w:pPr>
              <w:adjustRightInd w:val="0"/>
              <w:snapToGrid w:val="0"/>
              <w:spacing w:line="360" w:lineRule="auto"/>
              <w:rPr>
                <w:rFonts w:ascii="简宋" w:hAnsi="简宋" w:eastAsia="简宋"/>
              </w:rPr>
            </w:pPr>
          </w:p>
        </w:tc>
        <w:tc>
          <w:tcPr>
            <w:tcW w:w="3118" w:type="dxa"/>
            <w:noWrap w:val="0"/>
            <w:vAlign w:val="center"/>
          </w:tcPr>
          <w:p>
            <w:pPr>
              <w:adjustRightInd w:val="0"/>
              <w:snapToGrid w:val="0"/>
              <w:spacing w:line="360" w:lineRule="auto"/>
              <w:rPr>
                <w:rFonts w:ascii="简宋" w:hAnsi="简宋" w:eastAsia="简宋"/>
              </w:rPr>
            </w:pPr>
          </w:p>
        </w:tc>
        <w:tc>
          <w:tcPr>
            <w:tcW w:w="2046" w:type="dxa"/>
            <w:noWrap w:val="0"/>
            <w:vAlign w:val="center"/>
          </w:tcPr>
          <w:p>
            <w:pPr>
              <w:adjustRightInd w:val="0"/>
              <w:snapToGrid w:val="0"/>
              <w:spacing w:line="360" w:lineRule="auto"/>
              <w:jc w:val="center"/>
              <w:rPr>
                <w:rFonts w:ascii="简宋" w:hAnsi="简宋" w:eastAsia="简宋"/>
              </w:rPr>
            </w:pPr>
          </w:p>
        </w:tc>
      </w:tr>
    </w:tbl>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right="0"/>
        <w:jc w:val="both"/>
        <w:textAlignment w:val="auto"/>
        <w:rPr>
          <w:rFonts w:hint="eastAsia" w:ascii="仿宋_GB2312" w:hAnsi="仿宋_GB2312" w:eastAsia="仿宋_GB2312" w:cs="仿宋_GB2312"/>
          <w:sz w:val="32"/>
          <w:szCs w:val="32"/>
          <w:highlight w:val="none"/>
          <w:lang w:eastAsia="zh-CN"/>
        </w:rPr>
      </w:pPr>
    </w:p>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sz w:val="32"/>
          <w:szCs w:val="32"/>
          <w:highlight w:val="none"/>
          <w:lang w:eastAsia="zh-CN"/>
        </w:rPr>
      </w:pPr>
    </w:p>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sz w:val="32"/>
          <w:szCs w:val="32"/>
          <w:highlight w:val="none"/>
          <w:lang w:eastAsia="zh-CN"/>
        </w:rPr>
      </w:pPr>
    </w:p>
    <w:p/>
    <w:p>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jc w:val="left"/>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w:t>
      </w:r>
    </w:p>
    <w:p>
      <w:pPr>
        <w:keepNext w:val="0"/>
        <w:keepLines w:val="0"/>
        <w:pageBreakBefore w:val="0"/>
        <w:widowControl/>
        <w:kinsoku/>
        <w:wordWrap/>
        <w:overflowPunct/>
        <w:topLinePunct w:val="0"/>
        <w:autoSpaceDE/>
        <w:autoSpaceDN/>
        <w:bidi w:val="0"/>
        <w:adjustRightInd w:val="0"/>
        <w:snapToGrid w:val="0"/>
        <w:spacing w:line="500" w:lineRule="exact"/>
        <w:ind w:firstLine="0" w:firstLineChars="0"/>
        <w:textAlignment w:val="baseline"/>
        <w:rPr>
          <w:rFonts w:hint="eastAsia" w:ascii="仿宋_GB2312" w:hAnsi="仿宋_GB2312" w:eastAsia="仿宋_GB2312" w:cs="仿宋_GB2312"/>
          <w:sz w:val="32"/>
          <w:szCs w:val="32"/>
        </w:rPr>
      </w:pPr>
      <w:r>
        <w:rPr>
          <w:rFonts w:hint="eastAsia" w:ascii="仿宋" w:hAnsi="仿宋" w:eastAsia="仿宋" w:cs="仿宋"/>
          <w:sz w:val="32"/>
          <w:szCs w:val="32"/>
          <w:lang w:val="en-US" w:eastAsia="zh-CN"/>
        </w:rPr>
        <w:t xml:space="preserve">                          </w:t>
      </w:r>
    </w:p>
    <w:p>
      <w:pPr>
        <w:pStyle w:val="3"/>
        <w:ind w:left="0" w:leftChars="0" w:firstLine="0" w:firstLineChars="0"/>
        <w:rPr>
          <w:rFonts w:hint="eastAsia"/>
        </w:rPr>
      </w:pPr>
    </w:p>
    <w:p>
      <w:pPr>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mc:AlternateContent>
          <mc:Choice Requires="wps">
            <w:drawing>
              <wp:anchor distT="0" distB="0" distL="114300" distR="114300" simplePos="0" relativeHeight="251664384" behindDoc="0" locked="0" layoutInCell="1" allowOverlap="1">
                <wp:simplePos x="0" y="0"/>
                <wp:positionH relativeFrom="column">
                  <wp:posOffset>-144145</wp:posOffset>
                </wp:positionH>
                <wp:positionV relativeFrom="paragraph">
                  <wp:posOffset>144780</wp:posOffset>
                </wp:positionV>
                <wp:extent cx="9119870" cy="22225"/>
                <wp:effectExtent l="0" t="7620" r="5080" b="8255"/>
                <wp:wrapNone/>
                <wp:docPr id="2" name="直接连接符 2"/>
                <wp:cNvGraphicFramePr/>
                <a:graphic xmlns:a="http://schemas.openxmlformats.org/drawingml/2006/main">
                  <a:graphicData uri="http://schemas.microsoft.com/office/word/2010/wordprocessingShape">
                    <wps:wsp>
                      <wps:cNvCnPr/>
                      <wps:spPr>
                        <a:xfrm flipV="1">
                          <a:off x="0" y="0"/>
                          <a:ext cx="9119870" cy="22225"/>
                        </a:xfrm>
                        <a:prstGeom prst="line">
                          <a:avLst/>
                        </a:prstGeom>
                        <a:ln w="1587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flip:y;margin-left:-11.35pt;margin-top:11.4pt;height:1.75pt;width:718.1pt;z-index:251664384;mso-width-relative:page;mso-height-relative:page;" filled="f" stroked="t" coordsize="21600,21600" o:gfxdata="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B6XdpW2AAAAAoBAAAPAAAAAAAAAAEAIAAAACIAAABkcnMvZG93bnJl&#10;di54bWxQSwECFAAUAAAACACHTuJAx40dEP0BAADzAwAADgAAAAAAAAABACAAAAAnAQAAZHJzL2Uy&#10;b0RvYy54bWxQSwUGAAAAAAYABgBZAQAAlgUAAAAA&#10;">
                <v:fill on="f" focussize="0,0"/>
                <v:stroke weight="1.25pt" color="#000000" joinstyle="round"/>
                <v:imagedata o:title=""/>
                <o:lock v:ext="edit" aspectratio="f"/>
              </v:line>
            </w:pict>
          </mc:Fallback>
        </mc:AlternateContent>
      </w:r>
      <w:r>
        <w:rPr>
          <w:rFonts w:hint="eastAsia" w:ascii="仿宋_GB2312" w:hAnsi="仿宋_GB2312" w:eastAsia="仿宋_GB2312" w:cs="仿宋_GB2312"/>
          <w:sz w:val="32"/>
          <w:szCs w:val="32"/>
          <w:lang w:val="en-US" w:eastAsia="zh-CN"/>
        </w:rPr>
        <w:t xml:space="preserve">   -</w:t>
      </w:r>
    </w:p>
    <w:p>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eastAsia="zh-CN"/>
        </w:rPr>
        <w:t>昆明市晋宁区自然资源局</w:t>
      </w:r>
      <w:r>
        <w:rPr>
          <w:rFonts w:hint="eastAsia" w:ascii="仿宋_GB2312" w:hAnsi="仿宋_GB2312" w:eastAsia="仿宋_GB2312" w:cs="仿宋_GB2312"/>
          <w:sz w:val="32"/>
          <w:szCs w:val="32"/>
        </w:rPr>
        <w:t xml:space="preserve">办公室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 xml:space="preserve"> 20</w:t>
      </w:r>
      <w:r>
        <w:rPr>
          <w:rFonts w:hint="eastAsia" w:ascii="仿宋_GB2312" w:hAnsi="仿宋_GB2312" w:eastAsia="仿宋_GB2312" w:cs="仿宋_GB2312"/>
          <w:sz w:val="32"/>
          <w:szCs w:val="32"/>
          <w:lang w:val="en-US" w:eastAsia="zh-CN"/>
        </w:rPr>
        <w:t>22</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12</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30</w:t>
      </w:r>
      <w:r>
        <w:rPr>
          <w:rFonts w:hint="eastAsia" w:ascii="仿宋_GB2312" w:hAnsi="仿宋_GB2312" w:eastAsia="仿宋_GB2312" w:cs="仿宋_GB2312"/>
          <w:sz w:val="32"/>
          <w:szCs w:val="32"/>
        </w:rPr>
        <w:t>日印发</w:t>
      </w:r>
    </w:p>
    <w:p>
      <w:r>
        <w:rPr>
          <w:rFonts w:hint="eastAsia" w:ascii="仿宋_GB2312" w:hAnsi="仿宋_GB2312" w:eastAsia="仿宋_GB2312" w:cs="仿宋_GB2312"/>
          <w:sz w:val="32"/>
          <w:szCs w:val="32"/>
        </w:rPr>
        <mc:AlternateContent>
          <mc:Choice Requires="wps">
            <w:drawing>
              <wp:anchor distT="0" distB="0" distL="114300" distR="114300" simplePos="0" relativeHeight="251663360" behindDoc="0" locked="0" layoutInCell="1" allowOverlap="1">
                <wp:simplePos x="0" y="0"/>
                <wp:positionH relativeFrom="column">
                  <wp:posOffset>-120015</wp:posOffset>
                </wp:positionH>
                <wp:positionV relativeFrom="paragraph">
                  <wp:posOffset>1270</wp:posOffset>
                </wp:positionV>
                <wp:extent cx="9194165" cy="43180"/>
                <wp:effectExtent l="0" t="4445" r="6985" b="9525"/>
                <wp:wrapNone/>
                <wp:docPr id="3" name="直接连接符 3"/>
                <wp:cNvGraphicFramePr/>
                <a:graphic xmlns:a="http://schemas.openxmlformats.org/drawingml/2006/main">
                  <a:graphicData uri="http://schemas.microsoft.com/office/word/2010/wordprocessingShape">
                    <wps:wsp>
                      <wps:cNvCnPr/>
                      <wps:spPr>
                        <a:xfrm flipV="1">
                          <a:off x="0" y="0"/>
                          <a:ext cx="9194165" cy="43180"/>
                        </a:xfrm>
                        <a:prstGeom prst="line">
                          <a:avLst/>
                        </a:prstGeom>
                        <a:ln>
                          <a:headEnd type="none" w="med" len="med"/>
                          <a:tailEnd type="none" w="med" len="med"/>
                        </a:ln>
                      </wps:spPr>
                      <wps:style>
                        <a:lnRef idx="1">
                          <a:schemeClr val="dk1"/>
                        </a:lnRef>
                        <a:fillRef idx="0">
                          <a:schemeClr val="dk1"/>
                        </a:fillRef>
                        <a:effectRef idx="0">
                          <a:schemeClr val="dk1"/>
                        </a:effectRef>
                        <a:fontRef idx="minor">
                          <a:schemeClr val="tx1"/>
                        </a:fontRef>
                      </wps:style>
                      <wps:bodyPr upright="1"/>
                    </wps:wsp>
                  </a:graphicData>
                </a:graphic>
              </wp:anchor>
            </w:drawing>
          </mc:Choice>
          <mc:Fallback>
            <w:pict>
              <v:line id="_x0000_s1026" o:spid="_x0000_s1026" o:spt="20" style="position:absolute;left:0pt;flip:y;margin-left:-9.45pt;margin-top:0.1pt;height:3.4pt;width:723.95pt;z-index:251663360;mso-width-relative:page;mso-height-relative:page;" filled="f" stroked="t" coordsize="21600,21600" o:gfxdata="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lMfGCNUAAAAHAQAADwAA&#10;AAAAAAABACAAAAAiAAAAZHJzL2Rvd25yZXYueG1sUEsBAhQAFAAAAAgAh07iQG939yYZAgAAHwQA&#10;AA4AAAAAAAAAAQAgAAAAJAEAAGRycy9lMm9Eb2MueG1sUEsFBgAAAAAGAAYAWQEAAK8FAAAAAA==&#10;">
                <v:fill on="f" focussize="0,0"/>
                <v:stroke weight="0.5pt" color="#000000 [3200]" miterlimit="8" joinstyle="miter"/>
                <v:imagedata o:title=""/>
                <o:lock v:ext="edit" aspectratio="f"/>
              </v:line>
            </w:pict>
          </mc:Fallback>
        </mc:AlternateContent>
      </w:r>
    </w:p>
    <w:sectPr>
      <w:footerReference r:id="rId3" w:type="default"/>
      <w:footerReference r:id="rId4" w:type="even"/>
      <w:pgSz w:w="16840" w:h="11907" w:orient="landscape"/>
      <w:pgMar w:top="1531" w:right="1814" w:bottom="1134" w:left="1474" w:header="851" w:footer="992" w:gutter="0"/>
      <w:pgNumType w:fmt="numberInDash"/>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微软雅黑">
    <w:panose1 w:val="020B0503020204020204"/>
    <w:charset w:val="86"/>
    <w:family w:val="swiss"/>
    <w:pitch w:val="default"/>
    <w:sig w:usb0="80000287" w:usb1="280F3C52" w:usb2="00000016" w:usb3="00000000" w:csb0="0004001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简宋">
    <w:altName w:val="宋体"/>
    <w:panose1 w:val="02020300000000000000"/>
    <w:charset w:val="00"/>
    <w:family w:val="roman"/>
    <w:pitch w:val="default"/>
    <w:sig w:usb0="00000000" w:usb1="00000000" w:usb2="00000016" w:usb3="00000000" w:csb0="0004000D"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right="360" w:firstLine="360"/>
      <w:jc w:val="center"/>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rPr>
                              <w:rStyle w:val="12"/>
                            </w:rPr>
                          </w:pPr>
                          <w:r>
                            <w:fldChar w:fldCharType="begin"/>
                          </w:r>
                          <w:r>
                            <w:rPr>
                              <w:rStyle w:val="12"/>
                            </w:rPr>
                            <w:instrText xml:space="preserve">PAGE  </w:instrText>
                          </w:r>
                          <w:r>
                            <w:fldChar w:fldCharType="separate"/>
                          </w:r>
                          <w:r>
                            <w:rPr>
                              <w:rStyle w:val="12"/>
                            </w:rPr>
                            <w:t>5</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F+UJskBAACZAwAADgAAAGRycy9lMm9Eb2MueG1srVPNjtMwEL4j8Q6W&#10;79TZaoW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UX5QmyQEAAJkDAAAOAAAAAAAAAAEAIAAAAB4BAABkcnMvZTJvRG9j&#10;LnhtbFBLBQYAAAAABgAGAFkBAABZBQAAAAA=&#10;">
              <v:fill on="f" focussize="0,0"/>
              <v:stroke on="f"/>
              <v:imagedata o:title=""/>
              <o:lock v:ext="edit" aspectratio="f"/>
              <v:textbox inset="0mm,0mm,0mm,0mm" style="mso-fit-shape-to-text:t;">
                <w:txbxContent>
                  <w:p>
                    <w:pPr>
                      <w:pStyle w:val="6"/>
                      <w:rPr>
                        <w:rStyle w:val="12"/>
                      </w:rPr>
                    </w:pPr>
                    <w:r>
                      <w:fldChar w:fldCharType="begin"/>
                    </w:r>
                    <w:r>
                      <w:rPr>
                        <w:rStyle w:val="12"/>
                      </w:rPr>
                      <w:instrText xml:space="preserve">PAGE  </w:instrText>
                    </w:r>
                    <w:r>
                      <w:fldChar w:fldCharType="separate"/>
                    </w:r>
                    <w:r>
                      <w:rPr>
                        <w:rStyle w:val="12"/>
                      </w:rPr>
                      <w:t>5</w:t>
                    </w:r>
                    <w:r>
                      <w:fldChar w:fldCharType="end"/>
                    </w:r>
                  </w:p>
                </w:txbxContent>
              </v:textbox>
            </v:shape>
          </w:pict>
        </mc:Fallback>
      </mc:AlternateContent>
    </w:r>
  </w:p>
  <w:p>
    <w:pPr>
      <w:pStyle w:val="6"/>
      <w:ind w:firstLine="7840" w:firstLineChars="2800"/>
      <w:rPr>
        <w:rFonts w:ascii="宋体" w:hAnsi="宋体"/>
        <w:sz w:val="28"/>
        <w:szCs w:val="2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right="360" w:firstLine="360"/>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rPr>
                              <w:rStyle w:val="12"/>
                            </w:rPr>
                          </w:pPr>
                          <w:r>
                            <w:fldChar w:fldCharType="begin"/>
                          </w:r>
                          <w:r>
                            <w:rPr>
                              <w:rStyle w:val="12"/>
                            </w:rPr>
                            <w:instrText xml:space="preserve">PAGE  </w:instrText>
                          </w:r>
                          <w:r>
                            <w:fldChar w:fldCharType="separate"/>
                          </w:r>
                          <w:r>
                            <w:rPr>
                              <w:rStyle w:val="12"/>
                            </w:rPr>
                            <w:t>4</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DkjEckBAACZAwAADgAAAGRycy9lMm9Eb2MueG1srVPNjtMwEL4j8Q6W&#10;79TZSou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OSMRyQEAAJkDAAAOAAAAAAAAAAEAIAAAAB4BAABkcnMvZTJvRG9j&#10;LnhtbFBLBQYAAAAABgAGAFkBAABZBQAAAAA=&#10;">
              <v:fill on="f" focussize="0,0"/>
              <v:stroke on="f"/>
              <v:imagedata o:title=""/>
              <o:lock v:ext="edit" aspectratio="f"/>
              <v:textbox inset="0mm,0mm,0mm,0mm" style="mso-fit-shape-to-text:t;">
                <w:txbxContent>
                  <w:p>
                    <w:pPr>
                      <w:pStyle w:val="6"/>
                      <w:rPr>
                        <w:rStyle w:val="12"/>
                      </w:rPr>
                    </w:pPr>
                    <w:r>
                      <w:fldChar w:fldCharType="begin"/>
                    </w:r>
                    <w:r>
                      <w:rPr>
                        <w:rStyle w:val="12"/>
                      </w:rPr>
                      <w:instrText xml:space="preserve">PAGE  </w:instrText>
                    </w:r>
                    <w:r>
                      <w:fldChar w:fldCharType="separate"/>
                    </w:r>
                    <w:r>
                      <w:rPr>
                        <w:rStyle w:val="12"/>
                      </w:rPr>
                      <w:t>4</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B7F011D"/>
    <w:rsid w:val="000278B2"/>
    <w:rsid w:val="00073F1E"/>
    <w:rsid w:val="000C10B6"/>
    <w:rsid w:val="00131322"/>
    <w:rsid w:val="00146A0F"/>
    <w:rsid w:val="001A6650"/>
    <w:rsid w:val="001E2B51"/>
    <w:rsid w:val="00231339"/>
    <w:rsid w:val="00263AD0"/>
    <w:rsid w:val="00274AF7"/>
    <w:rsid w:val="00312F2C"/>
    <w:rsid w:val="003871A6"/>
    <w:rsid w:val="003C27DA"/>
    <w:rsid w:val="003D011D"/>
    <w:rsid w:val="003D7F3E"/>
    <w:rsid w:val="005275E4"/>
    <w:rsid w:val="005774AB"/>
    <w:rsid w:val="005A7B2D"/>
    <w:rsid w:val="006275AF"/>
    <w:rsid w:val="00655EE6"/>
    <w:rsid w:val="0071649F"/>
    <w:rsid w:val="007E2735"/>
    <w:rsid w:val="009003BC"/>
    <w:rsid w:val="009F713E"/>
    <w:rsid w:val="00A25001"/>
    <w:rsid w:val="00AB64A1"/>
    <w:rsid w:val="00B001DD"/>
    <w:rsid w:val="00B21D08"/>
    <w:rsid w:val="00B65C6D"/>
    <w:rsid w:val="00B77A2E"/>
    <w:rsid w:val="00BA3353"/>
    <w:rsid w:val="00C63AD2"/>
    <w:rsid w:val="00D05162"/>
    <w:rsid w:val="00D73146"/>
    <w:rsid w:val="00D93866"/>
    <w:rsid w:val="00E42E33"/>
    <w:rsid w:val="00F42185"/>
    <w:rsid w:val="00F95D41"/>
    <w:rsid w:val="00FD096A"/>
    <w:rsid w:val="010021CB"/>
    <w:rsid w:val="01061114"/>
    <w:rsid w:val="01095128"/>
    <w:rsid w:val="01122E90"/>
    <w:rsid w:val="011910E2"/>
    <w:rsid w:val="011A686F"/>
    <w:rsid w:val="011A6CE8"/>
    <w:rsid w:val="011F36C3"/>
    <w:rsid w:val="01296FDD"/>
    <w:rsid w:val="0132273B"/>
    <w:rsid w:val="013A2D98"/>
    <w:rsid w:val="014B3307"/>
    <w:rsid w:val="014F5DE3"/>
    <w:rsid w:val="01524870"/>
    <w:rsid w:val="016039B7"/>
    <w:rsid w:val="01621CEE"/>
    <w:rsid w:val="01652749"/>
    <w:rsid w:val="01671690"/>
    <w:rsid w:val="016A32BB"/>
    <w:rsid w:val="016F42B9"/>
    <w:rsid w:val="017447A7"/>
    <w:rsid w:val="01800DEE"/>
    <w:rsid w:val="01891F01"/>
    <w:rsid w:val="0194162B"/>
    <w:rsid w:val="0198478D"/>
    <w:rsid w:val="01A049E8"/>
    <w:rsid w:val="01A24B02"/>
    <w:rsid w:val="01A31BA8"/>
    <w:rsid w:val="01A37394"/>
    <w:rsid w:val="01AC52A7"/>
    <w:rsid w:val="01B270C5"/>
    <w:rsid w:val="01B454C7"/>
    <w:rsid w:val="01D160C7"/>
    <w:rsid w:val="01D34E8F"/>
    <w:rsid w:val="01D67867"/>
    <w:rsid w:val="01DF02B1"/>
    <w:rsid w:val="01EC4969"/>
    <w:rsid w:val="01F7240D"/>
    <w:rsid w:val="020059F0"/>
    <w:rsid w:val="020325FC"/>
    <w:rsid w:val="02067C13"/>
    <w:rsid w:val="020A6294"/>
    <w:rsid w:val="020B5C51"/>
    <w:rsid w:val="022059ED"/>
    <w:rsid w:val="02205A61"/>
    <w:rsid w:val="022F7831"/>
    <w:rsid w:val="02305BD8"/>
    <w:rsid w:val="023E252E"/>
    <w:rsid w:val="0246573B"/>
    <w:rsid w:val="02476A79"/>
    <w:rsid w:val="02482803"/>
    <w:rsid w:val="02560CAA"/>
    <w:rsid w:val="025A32C5"/>
    <w:rsid w:val="026206A6"/>
    <w:rsid w:val="02633E0E"/>
    <w:rsid w:val="02670A49"/>
    <w:rsid w:val="026769AB"/>
    <w:rsid w:val="02687AEC"/>
    <w:rsid w:val="02757261"/>
    <w:rsid w:val="0277263F"/>
    <w:rsid w:val="027C4AC5"/>
    <w:rsid w:val="02850EE7"/>
    <w:rsid w:val="028F2D7F"/>
    <w:rsid w:val="02902025"/>
    <w:rsid w:val="02905BA8"/>
    <w:rsid w:val="029325AB"/>
    <w:rsid w:val="0297221E"/>
    <w:rsid w:val="02977D77"/>
    <w:rsid w:val="029B7C00"/>
    <w:rsid w:val="029C58C4"/>
    <w:rsid w:val="02A21207"/>
    <w:rsid w:val="02A315AC"/>
    <w:rsid w:val="02A37551"/>
    <w:rsid w:val="02A70848"/>
    <w:rsid w:val="02A831AC"/>
    <w:rsid w:val="02B9404E"/>
    <w:rsid w:val="02C40113"/>
    <w:rsid w:val="02CF1D68"/>
    <w:rsid w:val="02D70072"/>
    <w:rsid w:val="02DF32D9"/>
    <w:rsid w:val="02E42692"/>
    <w:rsid w:val="02EA1EE1"/>
    <w:rsid w:val="02F01956"/>
    <w:rsid w:val="02F22D79"/>
    <w:rsid w:val="02FA1E5F"/>
    <w:rsid w:val="02FF1536"/>
    <w:rsid w:val="03027C65"/>
    <w:rsid w:val="03060A4B"/>
    <w:rsid w:val="030C524E"/>
    <w:rsid w:val="030D4A9B"/>
    <w:rsid w:val="030F1D75"/>
    <w:rsid w:val="0310442E"/>
    <w:rsid w:val="031A225D"/>
    <w:rsid w:val="032A046D"/>
    <w:rsid w:val="032B456C"/>
    <w:rsid w:val="03441C2C"/>
    <w:rsid w:val="0349399F"/>
    <w:rsid w:val="03546490"/>
    <w:rsid w:val="035B2CAC"/>
    <w:rsid w:val="036251F0"/>
    <w:rsid w:val="03694AD4"/>
    <w:rsid w:val="036E5919"/>
    <w:rsid w:val="0377482F"/>
    <w:rsid w:val="0378616E"/>
    <w:rsid w:val="037C4755"/>
    <w:rsid w:val="03841B13"/>
    <w:rsid w:val="03844D8E"/>
    <w:rsid w:val="038D283F"/>
    <w:rsid w:val="038F0995"/>
    <w:rsid w:val="039543F1"/>
    <w:rsid w:val="0398272A"/>
    <w:rsid w:val="03A51000"/>
    <w:rsid w:val="03B7028D"/>
    <w:rsid w:val="03B77F2C"/>
    <w:rsid w:val="03CB4AD1"/>
    <w:rsid w:val="03CC09BE"/>
    <w:rsid w:val="03CC51DC"/>
    <w:rsid w:val="03CE5D56"/>
    <w:rsid w:val="03DC407B"/>
    <w:rsid w:val="03EE3C97"/>
    <w:rsid w:val="03F331C2"/>
    <w:rsid w:val="03F671BC"/>
    <w:rsid w:val="04007871"/>
    <w:rsid w:val="04185B5F"/>
    <w:rsid w:val="042F4D69"/>
    <w:rsid w:val="043163CF"/>
    <w:rsid w:val="0435370A"/>
    <w:rsid w:val="04380FE4"/>
    <w:rsid w:val="044D0E13"/>
    <w:rsid w:val="045516AA"/>
    <w:rsid w:val="045C5EA2"/>
    <w:rsid w:val="045E1DC8"/>
    <w:rsid w:val="04607E8F"/>
    <w:rsid w:val="04624CC1"/>
    <w:rsid w:val="0463009A"/>
    <w:rsid w:val="048D2999"/>
    <w:rsid w:val="049A25C1"/>
    <w:rsid w:val="049D0977"/>
    <w:rsid w:val="049F0103"/>
    <w:rsid w:val="049F6F05"/>
    <w:rsid w:val="04AB22DF"/>
    <w:rsid w:val="04AB6CDF"/>
    <w:rsid w:val="04C869C1"/>
    <w:rsid w:val="04C95E3B"/>
    <w:rsid w:val="04CE09B2"/>
    <w:rsid w:val="04D55F0E"/>
    <w:rsid w:val="04E463BE"/>
    <w:rsid w:val="04E76519"/>
    <w:rsid w:val="04FE2070"/>
    <w:rsid w:val="05016215"/>
    <w:rsid w:val="050B7217"/>
    <w:rsid w:val="05222893"/>
    <w:rsid w:val="05245F00"/>
    <w:rsid w:val="053B4F8A"/>
    <w:rsid w:val="054635EB"/>
    <w:rsid w:val="054B2D0A"/>
    <w:rsid w:val="054D1D43"/>
    <w:rsid w:val="05540A83"/>
    <w:rsid w:val="055E630D"/>
    <w:rsid w:val="0562767F"/>
    <w:rsid w:val="056C2B15"/>
    <w:rsid w:val="05752FF6"/>
    <w:rsid w:val="0580284E"/>
    <w:rsid w:val="058C57C5"/>
    <w:rsid w:val="05935E97"/>
    <w:rsid w:val="05A10045"/>
    <w:rsid w:val="05AD0305"/>
    <w:rsid w:val="05AF5BFB"/>
    <w:rsid w:val="05BA3AB8"/>
    <w:rsid w:val="05D61978"/>
    <w:rsid w:val="05D76C2C"/>
    <w:rsid w:val="05D86D24"/>
    <w:rsid w:val="05E861EF"/>
    <w:rsid w:val="05E9378E"/>
    <w:rsid w:val="05EB4B50"/>
    <w:rsid w:val="05EF68A9"/>
    <w:rsid w:val="05F24877"/>
    <w:rsid w:val="060356A2"/>
    <w:rsid w:val="06223777"/>
    <w:rsid w:val="062B4076"/>
    <w:rsid w:val="0634462C"/>
    <w:rsid w:val="063B2165"/>
    <w:rsid w:val="063C6BE0"/>
    <w:rsid w:val="063E6410"/>
    <w:rsid w:val="06514DF4"/>
    <w:rsid w:val="06532564"/>
    <w:rsid w:val="065C26C2"/>
    <w:rsid w:val="065D5650"/>
    <w:rsid w:val="066448A1"/>
    <w:rsid w:val="0665190D"/>
    <w:rsid w:val="066F6B42"/>
    <w:rsid w:val="0675119A"/>
    <w:rsid w:val="067731B7"/>
    <w:rsid w:val="06780ABB"/>
    <w:rsid w:val="0679775F"/>
    <w:rsid w:val="067E70B2"/>
    <w:rsid w:val="0680714C"/>
    <w:rsid w:val="068A6BA7"/>
    <w:rsid w:val="068D3B49"/>
    <w:rsid w:val="0692084E"/>
    <w:rsid w:val="0695305B"/>
    <w:rsid w:val="06986F4D"/>
    <w:rsid w:val="069E1B34"/>
    <w:rsid w:val="06A2051B"/>
    <w:rsid w:val="06A72029"/>
    <w:rsid w:val="06AB2EF3"/>
    <w:rsid w:val="06C74528"/>
    <w:rsid w:val="06DA6A60"/>
    <w:rsid w:val="06DB6170"/>
    <w:rsid w:val="06DE22C2"/>
    <w:rsid w:val="06F44C6E"/>
    <w:rsid w:val="06F53E1D"/>
    <w:rsid w:val="06F626ED"/>
    <w:rsid w:val="07065BBD"/>
    <w:rsid w:val="070704B4"/>
    <w:rsid w:val="070B010B"/>
    <w:rsid w:val="071314FC"/>
    <w:rsid w:val="071E0421"/>
    <w:rsid w:val="071F6DDD"/>
    <w:rsid w:val="0727318D"/>
    <w:rsid w:val="07280B1F"/>
    <w:rsid w:val="07374579"/>
    <w:rsid w:val="073B3B6B"/>
    <w:rsid w:val="073E0614"/>
    <w:rsid w:val="07441653"/>
    <w:rsid w:val="074D5A75"/>
    <w:rsid w:val="07545853"/>
    <w:rsid w:val="076B5D59"/>
    <w:rsid w:val="076D578E"/>
    <w:rsid w:val="077F58E5"/>
    <w:rsid w:val="0780336D"/>
    <w:rsid w:val="078F6B1B"/>
    <w:rsid w:val="079B0CBE"/>
    <w:rsid w:val="07A34904"/>
    <w:rsid w:val="07A967B5"/>
    <w:rsid w:val="07B15169"/>
    <w:rsid w:val="07B5796E"/>
    <w:rsid w:val="07C056F7"/>
    <w:rsid w:val="07C1504F"/>
    <w:rsid w:val="07CC4A9E"/>
    <w:rsid w:val="07CC7003"/>
    <w:rsid w:val="07DA6067"/>
    <w:rsid w:val="07F4624C"/>
    <w:rsid w:val="07F74325"/>
    <w:rsid w:val="07FB5151"/>
    <w:rsid w:val="07FF6A85"/>
    <w:rsid w:val="08074C4E"/>
    <w:rsid w:val="0809155B"/>
    <w:rsid w:val="08161962"/>
    <w:rsid w:val="08162260"/>
    <w:rsid w:val="081D1290"/>
    <w:rsid w:val="08232C9B"/>
    <w:rsid w:val="082B2EA7"/>
    <w:rsid w:val="082E3D8F"/>
    <w:rsid w:val="08316E17"/>
    <w:rsid w:val="0833389B"/>
    <w:rsid w:val="08346E6E"/>
    <w:rsid w:val="085300F4"/>
    <w:rsid w:val="086A0609"/>
    <w:rsid w:val="086F44A1"/>
    <w:rsid w:val="0872059B"/>
    <w:rsid w:val="08762674"/>
    <w:rsid w:val="087C0501"/>
    <w:rsid w:val="087C7D39"/>
    <w:rsid w:val="087D1E14"/>
    <w:rsid w:val="087F27AD"/>
    <w:rsid w:val="088E36CE"/>
    <w:rsid w:val="088E7BC2"/>
    <w:rsid w:val="08977D2F"/>
    <w:rsid w:val="089B61FB"/>
    <w:rsid w:val="089D2D6D"/>
    <w:rsid w:val="08A7522F"/>
    <w:rsid w:val="08A95A62"/>
    <w:rsid w:val="08B21D41"/>
    <w:rsid w:val="08B61159"/>
    <w:rsid w:val="08C31993"/>
    <w:rsid w:val="08C33EBF"/>
    <w:rsid w:val="08C4338F"/>
    <w:rsid w:val="08C5766E"/>
    <w:rsid w:val="08C72E94"/>
    <w:rsid w:val="08CD6CD9"/>
    <w:rsid w:val="08EE5D2A"/>
    <w:rsid w:val="08F2597A"/>
    <w:rsid w:val="08FA27B8"/>
    <w:rsid w:val="09213B91"/>
    <w:rsid w:val="09245F9A"/>
    <w:rsid w:val="09276629"/>
    <w:rsid w:val="092A7377"/>
    <w:rsid w:val="092C78B0"/>
    <w:rsid w:val="0930651D"/>
    <w:rsid w:val="09322B92"/>
    <w:rsid w:val="093B2581"/>
    <w:rsid w:val="094D682C"/>
    <w:rsid w:val="09532A46"/>
    <w:rsid w:val="0957656C"/>
    <w:rsid w:val="09585683"/>
    <w:rsid w:val="09587002"/>
    <w:rsid w:val="096B03DF"/>
    <w:rsid w:val="09722B57"/>
    <w:rsid w:val="09770ABF"/>
    <w:rsid w:val="09795765"/>
    <w:rsid w:val="097F67C9"/>
    <w:rsid w:val="09805CB3"/>
    <w:rsid w:val="09891306"/>
    <w:rsid w:val="099E7044"/>
    <w:rsid w:val="099F1398"/>
    <w:rsid w:val="09A01886"/>
    <w:rsid w:val="09A15F0F"/>
    <w:rsid w:val="09CA3EF6"/>
    <w:rsid w:val="09EC3C52"/>
    <w:rsid w:val="09F2732C"/>
    <w:rsid w:val="09F6650F"/>
    <w:rsid w:val="0A087CA0"/>
    <w:rsid w:val="0A0A4FE6"/>
    <w:rsid w:val="0A0B3291"/>
    <w:rsid w:val="0A0E760E"/>
    <w:rsid w:val="0A117182"/>
    <w:rsid w:val="0A186936"/>
    <w:rsid w:val="0A1B6750"/>
    <w:rsid w:val="0A232B85"/>
    <w:rsid w:val="0A275FFD"/>
    <w:rsid w:val="0A2C54C8"/>
    <w:rsid w:val="0A323A58"/>
    <w:rsid w:val="0A3A3EC9"/>
    <w:rsid w:val="0A416DE8"/>
    <w:rsid w:val="0A495647"/>
    <w:rsid w:val="0A637CFA"/>
    <w:rsid w:val="0A65190D"/>
    <w:rsid w:val="0A655C89"/>
    <w:rsid w:val="0A6B5940"/>
    <w:rsid w:val="0A797BB9"/>
    <w:rsid w:val="0A7E3151"/>
    <w:rsid w:val="0A8B4633"/>
    <w:rsid w:val="0A926142"/>
    <w:rsid w:val="0A986288"/>
    <w:rsid w:val="0A9F626C"/>
    <w:rsid w:val="0AA526F4"/>
    <w:rsid w:val="0AB231EB"/>
    <w:rsid w:val="0AB322CB"/>
    <w:rsid w:val="0AB40B7B"/>
    <w:rsid w:val="0AB93E41"/>
    <w:rsid w:val="0AC51C39"/>
    <w:rsid w:val="0ACB754C"/>
    <w:rsid w:val="0ACB7CA3"/>
    <w:rsid w:val="0AD317F1"/>
    <w:rsid w:val="0AD422B1"/>
    <w:rsid w:val="0AD76C67"/>
    <w:rsid w:val="0ADC2E4D"/>
    <w:rsid w:val="0AF65499"/>
    <w:rsid w:val="0AF66798"/>
    <w:rsid w:val="0AF72C71"/>
    <w:rsid w:val="0B021913"/>
    <w:rsid w:val="0B0D31EA"/>
    <w:rsid w:val="0B0F3C9A"/>
    <w:rsid w:val="0B142619"/>
    <w:rsid w:val="0B191033"/>
    <w:rsid w:val="0B1D0F26"/>
    <w:rsid w:val="0B1F342D"/>
    <w:rsid w:val="0B2852B2"/>
    <w:rsid w:val="0B310000"/>
    <w:rsid w:val="0B312CBE"/>
    <w:rsid w:val="0B4C6AEA"/>
    <w:rsid w:val="0B5C4EE5"/>
    <w:rsid w:val="0B6A6855"/>
    <w:rsid w:val="0B722A5A"/>
    <w:rsid w:val="0B7409AB"/>
    <w:rsid w:val="0B7C3518"/>
    <w:rsid w:val="0B8253DB"/>
    <w:rsid w:val="0B842083"/>
    <w:rsid w:val="0B86315C"/>
    <w:rsid w:val="0B875E6F"/>
    <w:rsid w:val="0B8A5D86"/>
    <w:rsid w:val="0B903B04"/>
    <w:rsid w:val="0B985AFD"/>
    <w:rsid w:val="0BAB43E8"/>
    <w:rsid w:val="0BC11E56"/>
    <w:rsid w:val="0BC7106A"/>
    <w:rsid w:val="0BC84D53"/>
    <w:rsid w:val="0BC948DC"/>
    <w:rsid w:val="0BCE2AE5"/>
    <w:rsid w:val="0BDC3AF9"/>
    <w:rsid w:val="0BDD4627"/>
    <w:rsid w:val="0BDD6901"/>
    <w:rsid w:val="0BE1132E"/>
    <w:rsid w:val="0BED3FE8"/>
    <w:rsid w:val="0BF2484E"/>
    <w:rsid w:val="0BFD53E6"/>
    <w:rsid w:val="0C0A6F65"/>
    <w:rsid w:val="0C1C42E6"/>
    <w:rsid w:val="0C2D2AB1"/>
    <w:rsid w:val="0C30464E"/>
    <w:rsid w:val="0C370A14"/>
    <w:rsid w:val="0C3C3D9C"/>
    <w:rsid w:val="0C4E6559"/>
    <w:rsid w:val="0C6054EB"/>
    <w:rsid w:val="0C656089"/>
    <w:rsid w:val="0C735D73"/>
    <w:rsid w:val="0C796C00"/>
    <w:rsid w:val="0C7D3D34"/>
    <w:rsid w:val="0C81394E"/>
    <w:rsid w:val="0C895C8F"/>
    <w:rsid w:val="0C8E5179"/>
    <w:rsid w:val="0C923EBA"/>
    <w:rsid w:val="0C924A1F"/>
    <w:rsid w:val="0C97035D"/>
    <w:rsid w:val="0CAF5817"/>
    <w:rsid w:val="0CB35C5D"/>
    <w:rsid w:val="0CBB43DD"/>
    <w:rsid w:val="0CC420F8"/>
    <w:rsid w:val="0CCE5CB6"/>
    <w:rsid w:val="0CD650B0"/>
    <w:rsid w:val="0CD75E65"/>
    <w:rsid w:val="0CDB441B"/>
    <w:rsid w:val="0CDF5509"/>
    <w:rsid w:val="0CE77630"/>
    <w:rsid w:val="0CEA1735"/>
    <w:rsid w:val="0CEE1A67"/>
    <w:rsid w:val="0CF33590"/>
    <w:rsid w:val="0D007295"/>
    <w:rsid w:val="0D051B6E"/>
    <w:rsid w:val="0D0E5E9B"/>
    <w:rsid w:val="0D104634"/>
    <w:rsid w:val="0D107A86"/>
    <w:rsid w:val="0D154E43"/>
    <w:rsid w:val="0D16356C"/>
    <w:rsid w:val="0D262854"/>
    <w:rsid w:val="0D2D4529"/>
    <w:rsid w:val="0D2E1617"/>
    <w:rsid w:val="0D2F3636"/>
    <w:rsid w:val="0D2F4C9E"/>
    <w:rsid w:val="0D390F68"/>
    <w:rsid w:val="0D404B49"/>
    <w:rsid w:val="0D42257B"/>
    <w:rsid w:val="0D47636A"/>
    <w:rsid w:val="0D485C98"/>
    <w:rsid w:val="0D517202"/>
    <w:rsid w:val="0D596E6C"/>
    <w:rsid w:val="0D5F1A77"/>
    <w:rsid w:val="0D663E93"/>
    <w:rsid w:val="0D672078"/>
    <w:rsid w:val="0D6A5BBA"/>
    <w:rsid w:val="0D713A62"/>
    <w:rsid w:val="0D74454F"/>
    <w:rsid w:val="0D782E86"/>
    <w:rsid w:val="0D7A4E41"/>
    <w:rsid w:val="0D7F2C1B"/>
    <w:rsid w:val="0D83454A"/>
    <w:rsid w:val="0D8608B9"/>
    <w:rsid w:val="0D8731D7"/>
    <w:rsid w:val="0D88565C"/>
    <w:rsid w:val="0D9B7B48"/>
    <w:rsid w:val="0DA05361"/>
    <w:rsid w:val="0DA100B3"/>
    <w:rsid w:val="0DA20CF0"/>
    <w:rsid w:val="0DA3431A"/>
    <w:rsid w:val="0DAA7500"/>
    <w:rsid w:val="0DB008ED"/>
    <w:rsid w:val="0DBC6E55"/>
    <w:rsid w:val="0DC52415"/>
    <w:rsid w:val="0DC6652E"/>
    <w:rsid w:val="0DCC773E"/>
    <w:rsid w:val="0DD16881"/>
    <w:rsid w:val="0DD53A83"/>
    <w:rsid w:val="0DDB524F"/>
    <w:rsid w:val="0DE44681"/>
    <w:rsid w:val="0DE83E81"/>
    <w:rsid w:val="0DEA4A49"/>
    <w:rsid w:val="0DF453D4"/>
    <w:rsid w:val="0DF572DC"/>
    <w:rsid w:val="0DF71511"/>
    <w:rsid w:val="0DFC0A1E"/>
    <w:rsid w:val="0E0868C3"/>
    <w:rsid w:val="0E0E4491"/>
    <w:rsid w:val="0E225DF0"/>
    <w:rsid w:val="0E33278A"/>
    <w:rsid w:val="0E37219A"/>
    <w:rsid w:val="0E37711A"/>
    <w:rsid w:val="0E39123B"/>
    <w:rsid w:val="0E3D2B8F"/>
    <w:rsid w:val="0E425143"/>
    <w:rsid w:val="0E463E9B"/>
    <w:rsid w:val="0E472E89"/>
    <w:rsid w:val="0E626C88"/>
    <w:rsid w:val="0E697A59"/>
    <w:rsid w:val="0E6B098F"/>
    <w:rsid w:val="0E712212"/>
    <w:rsid w:val="0E735B44"/>
    <w:rsid w:val="0E800121"/>
    <w:rsid w:val="0E883E40"/>
    <w:rsid w:val="0E8A3992"/>
    <w:rsid w:val="0E912A74"/>
    <w:rsid w:val="0E9633AF"/>
    <w:rsid w:val="0E977498"/>
    <w:rsid w:val="0E9E2343"/>
    <w:rsid w:val="0EAC0BAC"/>
    <w:rsid w:val="0EAC59A4"/>
    <w:rsid w:val="0EAE3B26"/>
    <w:rsid w:val="0EAF0BAC"/>
    <w:rsid w:val="0EC50493"/>
    <w:rsid w:val="0ECA3EAC"/>
    <w:rsid w:val="0EE47754"/>
    <w:rsid w:val="0EEE589E"/>
    <w:rsid w:val="0EF1553C"/>
    <w:rsid w:val="0F007812"/>
    <w:rsid w:val="0F0A4626"/>
    <w:rsid w:val="0F185699"/>
    <w:rsid w:val="0F2618F4"/>
    <w:rsid w:val="0F263A03"/>
    <w:rsid w:val="0F29761F"/>
    <w:rsid w:val="0F2A01D7"/>
    <w:rsid w:val="0F330BC2"/>
    <w:rsid w:val="0F35450F"/>
    <w:rsid w:val="0F364578"/>
    <w:rsid w:val="0F381375"/>
    <w:rsid w:val="0F385D50"/>
    <w:rsid w:val="0F3B364C"/>
    <w:rsid w:val="0F4B4892"/>
    <w:rsid w:val="0F4B557A"/>
    <w:rsid w:val="0F5B6E27"/>
    <w:rsid w:val="0F696C91"/>
    <w:rsid w:val="0F69708A"/>
    <w:rsid w:val="0F742CFF"/>
    <w:rsid w:val="0F761486"/>
    <w:rsid w:val="0F7654A8"/>
    <w:rsid w:val="0F7E71D8"/>
    <w:rsid w:val="0F834C91"/>
    <w:rsid w:val="0F84110B"/>
    <w:rsid w:val="0F856551"/>
    <w:rsid w:val="0F9156B7"/>
    <w:rsid w:val="0F9C1130"/>
    <w:rsid w:val="0FA42979"/>
    <w:rsid w:val="0FA65DC8"/>
    <w:rsid w:val="0FAD4B4B"/>
    <w:rsid w:val="0FAE0AE4"/>
    <w:rsid w:val="0FB71B73"/>
    <w:rsid w:val="0FBC3546"/>
    <w:rsid w:val="0FC045F5"/>
    <w:rsid w:val="0FC25A7A"/>
    <w:rsid w:val="0FC3260F"/>
    <w:rsid w:val="0FC51DDE"/>
    <w:rsid w:val="0FC5621B"/>
    <w:rsid w:val="0FD63934"/>
    <w:rsid w:val="0FD657A0"/>
    <w:rsid w:val="0FDF3ECA"/>
    <w:rsid w:val="0FE95C04"/>
    <w:rsid w:val="0FEA12CE"/>
    <w:rsid w:val="0FF1199C"/>
    <w:rsid w:val="0FF131C5"/>
    <w:rsid w:val="0FF15F34"/>
    <w:rsid w:val="0FF20CAA"/>
    <w:rsid w:val="0FF62990"/>
    <w:rsid w:val="0FFA796F"/>
    <w:rsid w:val="0FFC650B"/>
    <w:rsid w:val="10020327"/>
    <w:rsid w:val="10083160"/>
    <w:rsid w:val="10091F5F"/>
    <w:rsid w:val="101912D8"/>
    <w:rsid w:val="101A41BB"/>
    <w:rsid w:val="10295B0C"/>
    <w:rsid w:val="104078E8"/>
    <w:rsid w:val="104B4E88"/>
    <w:rsid w:val="10602F27"/>
    <w:rsid w:val="106055C0"/>
    <w:rsid w:val="10671DFB"/>
    <w:rsid w:val="106D5ED8"/>
    <w:rsid w:val="10761322"/>
    <w:rsid w:val="108A4578"/>
    <w:rsid w:val="108B1225"/>
    <w:rsid w:val="108E31AD"/>
    <w:rsid w:val="10902B24"/>
    <w:rsid w:val="109A1573"/>
    <w:rsid w:val="10A35330"/>
    <w:rsid w:val="10A86BBA"/>
    <w:rsid w:val="10AA3AC8"/>
    <w:rsid w:val="10AD6E55"/>
    <w:rsid w:val="10AE72B2"/>
    <w:rsid w:val="10B8705E"/>
    <w:rsid w:val="10C95482"/>
    <w:rsid w:val="10CA72A5"/>
    <w:rsid w:val="10D13BB9"/>
    <w:rsid w:val="10E4434F"/>
    <w:rsid w:val="10E96725"/>
    <w:rsid w:val="10EA5E53"/>
    <w:rsid w:val="10EE090E"/>
    <w:rsid w:val="10EF0CA3"/>
    <w:rsid w:val="10F75B99"/>
    <w:rsid w:val="10F83E31"/>
    <w:rsid w:val="11004E43"/>
    <w:rsid w:val="11006994"/>
    <w:rsid w:val="11045F57"/>
    <w:rsid w:val="112B6562"/>
    <w:rsid w:val="11394C6B"/>
    <w:rsid w:val="113F623F"/>
    <w:rsid w:val="1148724C"/>
    <w:rsid w:val="114F78F6"/>
    <w:rsid w:val="116E042E"/>
    <w:rsid w:val="117E1E49"/>
    <w:rsid w:val="11847365"/>
    <w:rsid w:val="11852335"/>
    <w:rsid w:val="11934BEB"/>
    <w:rsid w:val="119643C5"/>
    <w:rsid w:val="11985344"/>
    <w:rsid w:val="11A0074F"/>
    <w:rsid w:val="11A66F96"/>
    <w:rsid w:val="11A807A3"/>
    <w:rsid w:val="11B03099"/>
    <w:rsid w:val="11B70B85"/>
    <w:rsid w:val="11C00726"/>
    <w:rsid w:val="11E26C87"/>
    <w:rsid w:val="11E63B4F"/>
    <w:rsid w:val="11EE0C57"/>
    <w:rsid w:val="11EE2C99"/>
    <w:rsid w:val="11EE76E2"/>
    <w:rsid w:val="11F052B7"/>
    <w:rsid w:val="11F424B1"/>
    <w:rsid w:val="120868A3"/>
    <w:rsid w:val="12124FC4"/>
    <w:rsid w:val="12230833"/>
    <w:rsid w:val="12326745"/>
    <w:rsid w:val="123E358B"/>
    <w:rsid w:val="12432C38"/>
    <w:rsid w:val="12532823"/>
    <w:rsid w:val="12586B9A"/>
    <w:rsid w:val="1275597D"/>
    <w:rsid w:val="12756440"/>
    <w:rsid w:val="128E4783"/>
    <w:rsid w:val="12917BFB"/>
    <w:rsid w:val="12996323"/>
    <w:rsid w:val="129C71C5"/>
    <w:rsid w:val="129D415A"/>
    <w:rsid w:val="12A129EE"/>
    <w:rsid w:val="12A31786"/>
    <w:rsid w:val="12A92F42"/>
    <w:rsid w:val="12B66DB3"/>
    <w:rsid w:val="12BB7838"/>
    <w:rsid w:val="12C00F19"/>
    <w:rsid w:val="12C2157A"/>
    <w:rsid w:val="12C82A54"/>
    <w:rsid w:val="12C90327"/>
    <w:rsid w:val="12D856BA"/>
    <w:rsid w:val="12DB2075"/>
    <w:rsid w:val="12E3274F"/>
    <w:rsid w:val="12E94F18"/>
    <w:rsid w:val="12EC65E9"/>
    <w:rsid w:val="12F1013F"/>
    <w:rsid w:val="12F1483E"/>
    <w:rsid w:val="12F55593"/>
    <w:rsid w:val="12F55C47"/>
    <w:rsid w:val="12FA0A8C"/>
    <w:rsid w:val="12FF59F9"/>
    <w:rsid w:val="13065382"/>
    <w:rsid w:val="13143F7D"/>
    <w:rsid w:val="13161799"/>
    <w:rsid w:val="13202098"/>
    <w:rsid w:val="132270DF"/>
    <w:rsid w:val="132E79DE"/>
    <w:rsid w:val="13302438"/>
    <w:rsid w:val="13373432"/>
    <w:rsid w:val="133E07F4"/>
    <w:rsid w:val="13464BB0"/>
    <w:rsid w:val="13552C19"/>
    <w:rsid w:val="1372734C"/>
    <w:rsid w:val="13970EA4"/>
    <w:rsid w:val="13A25774"/>
    <w:rsid w:val="13A74EB8"/>
    <w:rsid w:val="13B61489"/>
    <w:rsid w:val="13C54A8B"/>
    <w:rsid w:val="13C85F1C"/>
    <w:rsid w:val="13D02CA5"/>
    <w:rsid w:val="13EC4C9F"/>
    <w:rsid w:val="13ED4A83"/>
    <w:rsid w:val="1400064B"/>
    <w:rsid w:val="14006071"/>
    <w:rsid w:val="142B2EEE"/>
    <w:rsid w:val="14364A75"/>
    <w:rsid w:val="143B4457"/>
    <w:rsid w:val="143C33B4"/>
    <w:rsid w:val="144D53FB"/>
    <w:rsid w:val="1459729E"/>
    <w:rsid w:val="145E449B"/>
    <w:rsid w:val="14626A59"/>
    <w:rsid w:val="146E1636"/>
    <w:rsid w:val="14701BBD"/>
    <w:rsid w:val="14765944"/>
    <w:rsid w:val="14776BB6"/>
    <w:rsid w:val="147A3C4F"/>
    <w:rsid w:val="147C1517"/>
    <w:rsid w:val="147F5D6E"/>
    <w:rsid w:val="14830300"/>
    <w:rsid w:val="148970A4"/>
    <w:rsid w:val="149D49BF"/>
    <w:rsid w:val="149E7996"/>
    <w:rsid w:val="14B56DDE"/>
    <w:rsid w:val="14BB5974"/>
    <w:rsid w:val="14BC6F9A"/>
    <w:rsid w:val="14BD6FAE"/>
    <w:rsid w:val="14C16090"/>
    <w:rsid w:val="14CD0459"/>
    <w:rsid w:val="14CD075D"/>
    <w:rsid w:val="14D66DF2"/>
    <w:rsid w:val="14DD0297"/>
    <w:rsid w:val="14DD0FE9"/>
    <w:rsid w:val="14EA40BD"/>
    <w:rsid w:val="14F71367"/>
    <w:rsid w:val="15051209"/>
    <w:rsid w:val="150574C6"/>
    <w:rsid w:val="15090F42"/>
    <w:rsid w:val="15096694"/>
    <w:rsid w:val="150B373F"/>
    <w:rsid w:val="15101368"/>
    <w:rsid w:val="151532AA"/>
    <w:rsid w:val="151A1F7C"/>
    <w:rsid w:val="15230383"/>
    <w:rsid w:val="152340B8"/>
    <w:rsid w:val="15365000"/>
    <w:rsid w:val="1538226F"/>
    <w:rsid w:val="153A0FCC"/>
    <w:rsid w:val="15446E62"/>
    <w:rsid w:val="154F5132"/>
    <w:rsid w:val="15680D53"/>
    <w:rsid w:val="1568694A"/>
    <w:rsid w:val="157E5126"/>
    <w:rsid w:val="15813EE1"/>
    <w:rsid w:val="158A04D4"/>
    <w:rsid w:val="158D5AC9"/>
    <w:rsid w:val="15912094"/>
    <w:rsid w:val="159528FA"/>
    <w:rsid w:val="15963A73"/>
    <w:rsid w:val="159E5E99"/>
    <w:rsid w:val="15A47292"/>
    <w:rsid w:val="15A72FE6"/>
    <w:rsid w:val="15A87464"/>
    <w:rsid w:val="15AB48E7"/>
    <w:rsid w:val="15AC25AB"/>
    <w:rsid w:val="15AC3348"/>
    <w:rsid w:val="15AC6033"/>
    <w:rsid w:val="15B61ABA"/>
    <w:rsid w:val="15BC7F87"/>
    <w:rsid w:val="15BF0E88"/>
    <w:rsid w:val="15C05A18"/>
    <w:rsid w:val="15C20EEE"/>
    <w:rsid w:val="15D55870"/>
    <w:rsid w:val="15D72E5F"/>
    <w:rsid w:val="15DC12B3"/>
    <w:rsid w:val="15E24714"/>
    <w:rsid w:val="15E5696E"/>
    <w:rsid w:val="15E640DF"/>
    <w:rsid w:val="15E66E45"/>
    <w:rsid w:val="15F971BB"/>
    <w:rsid w:val="16006615"/>
    <w:rsid w:val="1603206D"/>
    <w:rsid w:val="1607167C"/>
    <w:rsid w:val="160D07E1"/>
    <w:rsid w:val="16172583"/>
    <w:rsid w:val="16177233"/>
    <w:rsid w:val="161A6DA0"/>
    <w:rsid w:val="161E3E97"/>
    <w:rsid w:val="161E4748"/>
    <w:rsid w:val="16280885"/>
    <w:rsid w:val="16283C36"/>
    <w:rsid w:val="16292511"/>
    <w:rsid w:val="16342330"/>
    <w:rsid w:val="164235ED"/>
    <w:rsid w:val="164F21BB"/>
    <w:rsid w:val="1651664B"/>
    <w:rsid w:val="1653642A"/>
    <w:rsid w:val="16536542"/>
    <w:rsid w:val="1656585E"/>
    <w:rsid w:val="166603C0"/>
    <w:rsid w:val="166A2063"/>
    <w:rsid w:val="166C3416"/>
    <w:rsid w:val="166F3554"/>
    <w:rsid w:val="167F3849"/>
    <w:rsid w:val="16867774"/>
    <w:rsid w:val="168963CD"/>
    <w:rsid w:val="168F042F"/>
    <w:rsid w:val="16926E1D"/>
    <w:rsid w:val="169F041A"/>
    <w:rsid w:val="16A442BA"/>
    <w:rsid w:val="16A97076"/>
    <w:rsid w:val="16B1715B"/>
    <w:rsid w:val="16C20E32"/>
    <w:rsid w:val="16C9246A"/>
    <w:rsid w:val="16CE6BFE"/>
    <w:rsid w:val="16D3603C"/>
    <w:rsid w:val="16D80019"/>
    <w:rsid w:val="16E21E50"/>
    <w:rsid w:val="16E2618B"/>
    <w:rsid w:val="16F13260"/>
    <w:rsid w:val="16F531FE"/>
    <w:rsid w:val="16FA42A3"/>
    <w:rsid w:val="171175FC"/>
    <w:rsid w:val="17141E0A"/>
    <w:rsid w:val="17171666"/>
    <w:rsid w:val="171854ED"/>
    <w:rsid w:val="17217FA3"/>
    <w:rsid w:val="17287CEF"/>
    <w:rsid w:val="173D0A55"/>
    <w:rsid w:val="17412B50"/>
    <w:rsid w:val="17505D12"/>
    <w:rsid w:val="175346FB"/>
    <w:rsid w:val="175B063E"/>
    <w:rsid w:val="17620B37"/>
    <w:rsid w:val="176712D6"/>
    <w:rsid w:val="176D4E5F"/>
    <w:rsid w:val="176E4294"/>
    <w:rsid w:val="177842BB"/>
    <w:rsid w:val="17870C7F"/>
    <w:rsid w:val="17B27AF9"/>
    <w:rsid w:val="17CE16D7"/>
    <w:rsid w:val="17D109F0"/>
    <w:rsid w:val="17D17FF9"/>
    <w:rsid w:val="17D94D89"/>
    <w:rsid w:val="17DB3635"/>
    <w:rsid w:val="17DB6A50"/>
    <w:rsid w:val="17E460CC"/>
    <w:rsid w:val="17E70485"/>
    <w:rsid w:val="17E75854"/>
    <w:rsid w:val="17EF1975"/>
    <w:rsid w:val="17F00111"/>
    <w:rsid w:val="17F41F35"/>
    <w:rsid w:val="18017941"/>
    <w:rsid w:val="180A4F1B"/>
    <w:rsid w:val="1815592C"/>
    <w:rsid w:val="18182CA1"/>
    <w:rsid w:val="181E6FCC"/>
    <w:rsid w:val="18202C40"/>
    <w:rsid w:val="18232BDE"/>
    <w:rsid w:val="18281E9B"/>
    <w:rsid w:val="182F2451"/>
    <w:rsid w:val="18340616"/>
    <w:rsid w:val="18400DF9"/>
    <w:rsid w:val="18496485"/>
    <w:rsid w:val="184B3B4F"/>
    <w:rsid w:val="184D09C2"/>
    <w:rsid w:val="184E1933"/>
    <w:rsid w:val="184F44E4"/>
    <w:rsid w:val="18662D3E"/>
    <w:rsid w:val="18684730"/>
    <w:rsid w:val="18684EFF"/>
    <w:rsid w:val="186B0BDA"/>
    <w:rsid w:val="187A6701"/>
    <w:rsid w:val="187F6191"/>
    <w:rsid w:val="188660E6"/>
    <w:rsid w:val="18896DCF"/>
    <w:rsid w:val="188D0BB1"/>
    <w:rsid w:val="18AA2194"/>
    <w:rsid w:val="18B21D50"/>
    <w:rsid w:val="18BD48D1"/>
    <w:rsid w:val="18C76CC3"/>
    <w:rsid w:val="18CA56CF"/>
    <w:rsid w:val="18CA5B32"/>
    <w:rsid w:val="18CD48CA"/>
    <w:rsid w:val="18DA0A40"/>
    <w:rsid w:val="18E255BD"/>
    <w:rsid w:val="18E52241"/>
    <w:rsid w:val="18E7352C"/>
    <w:rsid w:val="18EF1038"/>
    <w:rsid w:val="18F005B3"/>
    <w:rsid w:val="18F201C9"/>
    <w:rsid w:val="18FE7117"/>
    <w:rsid w:val="1905741F"/>
    <w:rsid w:val="190B1B3B"/>
    <w:rsid w:val="190C36AC"/>
    <w:rsid w:val="19217C29"/>
    <w:rsid w:val="19256945"/>
    <w:rsid w:val="19293FA5"/>
    <w:rsid w:val="192D08EB"/>
    <w:rsid w:val="19397E75"/>
    <w:rsid w:val="1951740F"/>
    <w:rsid w:val="19590003"/>
    <w:rsid w:val="195B1901"/>
    <w:rsid w:val="195D7716"/>
    <w:rsid w:val="195E227C"/>
    <w:rsid w:val="19647B3F"/>
    <w:rsid w:val="19682F38"/>
    <w:rsid w:val="196B3572"/>
    <w:rsid w:val="196D0728"/>
    <w:rsid w:val="197263BF"/>
    <w:rsid w:val="19746034"/>
    <w:rsid w:val="198229E7"/>
    <w:rsid w:val="1987096E"/>
    <w:rsid w:val="198C7350"/>
    <w:rsid w:val="199113AB"/>
    <w:rsid w:val="19920329"/>
    <w:rsid w:val="19A72031"/>
    <w:rsid w:val="19AD488C"/>
    <w:rsid w:val="19B14FC2"/>
    <w:rsid w:val="19BD040D"/>
    <w:rsid w:val="19C07DBE"/>
    <w:rsid w:val="19C30660"/>
    <w:rsid w:val="19C465D5"/>
    <w:rsid w:val="19CA4AA5"/>
    <w:rsid w:val="19D94E43"/>
    <w:rsid w:val="19EB38DD"/>
    <w:rsid w:val="1A02007A"/>
    <w:rsid w:val="1A0B4EBF"/>
    <w:rsid w:val="1A0E3377"/>
    <w:rsid w:val="1A105861"/>
    <w:rsid w:val="1A1D5D0B"/>
    <w:rsid w:val="1A632285"/>
    <w:rsid w:val="1A683E14"/>
    <w:rsid w:val="1A6E6EC3"/>
    <w:rsid w:val="1A735093"/>
    <w:rsid w:val="1A794662"/>
    <w:rsid w:val="1A8A3386"/>
    <w:rsid w:val="1A93762D"/>
    <w:rsid w:val="1AA4661F"/>
    <w:rsid w:val="1AAA7432"/>
    <w:rsid w:val="1AB75914"/>
    <w:rsid w:val="1AB82D20"/>
    <w:rsid w:val="1AB84B26"/>
    <w:rsid w:val="1ACD6B74"/>
    <w:rsid w:val="1AD14280"/>
    <w:rsid w:val="1AD74199"/>
    <w:rsid w:val="1ADF3A5C"/>
    <w:rsid w:val="1AE04CE1"/>
    <w:rsid w:val="1AE1778D"/>
    <w:rsid w:val="1AE31645"/>
    <w:rsid w:val="1AE52B1E"/>
    <w:rsid w:val="1AE63707"/>
    <w:rsid w:val="1AFD033A"/>
    <w:rsid w:val="1AFE463F"/>
    <w:rsid w:val="1B094880"/>
    <w:rsid w:val="1B096D56"/>
    <w:rsid w:val="1B0B59A3"/>
    <w:rsid w:val="1B123A37"/>
    <w:rsid w:val="1B1C2BCD"/>
    <w:rsid w:val="1B1C54D3"/>
    <w:rsid w:val="1B1E41A5"/>
    <w:rsid w:val="1B23344D"/>
    <w:rsid w:val="1B2F0129"/>
    <w:rsid w:val="1B37126E"/>
    <w:rsid w:val="1B3749AB"/>
    <w:rsid w:val="1B3844E5"/>
    <w:rsid w:val="1B394B01"/>
    <w:rsid w:val="1B3E5DE2"/>
    <w:rsid w:val="1B4875AE"/>
    <w:rsid w:val="1B523BAF"/>
    <w:rsid w:val="1B630BF8"/>
    <w:rsid w:val="1B681DD5"/>
    <w:rsid w:val="1B6A1F42"/>
    <w:rsid w:val="1B7340F8"/>
    <w:rsid w:val="1B73415D"/>
    <w:rsid w:val="1B7A22F8"/>
    <w:rsid w:val="1B7F011D"/>
    <w:rsid w:val="1B7F4103"/>
    <w:rsid w:val="1B8053EC"/>
    <w:rsid w:val="1B841E7B"/>
    <w:rsid w:val="1B8D795E"/>
    <w:rsid w:val="1B9E7B28"/>
    <w:rsid w:val="1BA11E53"/>
    <w:rsid w:val="1BA977CC"/>
    <w:rsid w:val="1BAE3B92"/>
    <w:rsid w:val="1BB030DC"/>
    <w:rsid w:val="1BBB1D4C"/>
    <w:rsid w:val="1BCA53BC"/>
    <w:rsid w:val="1BCB1D87"/>
    <w:rsid w:val="1BCF6997"/>
    <w:rsid w:val="1BCF7A7C"/>
    <w:rsid w:val="1BD67B11"/>
    <w:rsid w:val="1BE024B8"/>
    <w:rsid w:val="1BE626A9"/>
    <w:rsid w:val="1BE74AB4"/>
    <w:rsid w:val="1BEB2C04"/>
    <w:rsid w:val="1BEC56BC"/>
    <w:rsid w:val="1BF35A8C"/>
    <w:rsid w:val="1BFD5AAE"/>
    <w:rsid w:val="1BFE4DC7"/>
    <w:rsid w:val="1BFF4EF4"/>
    <w:rsid w:val="1C021B92"/>
    <w:rsid w:val="1C145283"/>
    <w:rsid w:val="1C186A4F"/>
    <w:rsid w:val="1C1974BF"/>
    <w:rsid w:val="1C1D4582"/>
    <w:rsid w:val="1C2236FF"/>
    <w:rsid w:val="1C3E5FF7"/>
    <w:rsid w:val="1C451D71"/>
    <w:rsid w:val="1C4D61D8"/>
    <w:rsid w:val="1C5715D2"/>
    <w:rsid w:val="1C5B3F63"/>
    <w:rsid w:val="1C5E69C5"/>
    <w:rsid w:val="1C603CA0"/>
    <w:rsid w:val="1C614FBC"/>
    <w:rsid w:val="1C653368"/>
    <w:rsid w:val="1C687E65"/>
    <w:rsid w:val="1C7E3E74"/>
    <w:rsid w:val="1C7F14B3"/>
    <w:rsid w:val="1C841062"/>
    <w:rsid w:val="1C9943AF"/>
    <w:rsid w:val="1C9E16A9"/>
    <w:rsid w:val="1CA662F3"/>
    <w:rsid w:val="1CB01D86"/>
    <w:rsid w:val="1CB70CC2"/>
    <w:rsid w:val="1CB73060"/>
    <w:rsid w:val="1CC261D5"/>
    <w:rsid w:val="1CC451CD"/>
    <w:rsid w:val="1CC87BA6"/>
    <w:rsid w:val="1CCE5A36"/>
    <w:rsid w:val="1CD82820"/>
    <w:rsid w:val="1CDC2350"/>
    <w:rsid w:val="1CE71D25"/>
    <w:rsid w:val="1CF23F84"/>
    <w:rsid w:val="1D024605"/>
    <w:rsid w:val="1D050C7F"/>
    <w:rsid w:val="1D06426E"/>
    <w:rsid w:val="1D124571"/>
    <w:rsid w:val="1D1402AF"/>
    <w:rsid w:val="1D2827DD"/>
    <w:rsid w:val="1D2E0936"/>
    <w:rsid w:val="1D2F24E8"/>
    <w:rsid w:val="1D344E00"/>
    <w:rsid w:val="1D3E3F26"/>
    <w:rsid w:val="1D5723C0"/>
    <w:rsid w:val="1D5923A0"/>
    <w:rsid w:val="1D760E41"/>
    <w:rsid w:val="1D7A2753"/>
    <w:rsid w:val="1D837C92"/>
    <w:rsid w:val="1D851A55"/>
    <w:rsid w:val="1DA3266B"/>
    <w:rsid w:val="1DA5593E"/>
    <w:rsid w:val="1DA61849"/>
    <w:rsid w:val="1DBE3B6C"/>
    <w:rsid w:val="1DC029C3"/>
    <w:rsid w:val="1DCD2052"/>
    <w:rsid w:val="1DD34180"/>
    <w:rsid w:val="1DDD6966"/>
    <w:rsid w:val="1DDE519B"/>
    <w:rsid w:val="1DE553D6"/>
    <w:rsid w:val="1DE62A04"/>
    <w:rsid w:val="1DEC55AA"/>
    <w:rsid w:val="1DF07A04"/>
    <w:rsid w:val="1DF738E5"/>
    <w:rsid w:val="1DF91CA0"/>
    <w:rsid w:val="1E0B5ECA"/>
    <w:rsid w:val="1E11391B"/>
    <w:rsid w:val="1E182498"/>
    <w:rsid w:val="1E260D68"/>
    <w:rsid w:val="1E275C84"/>
    <w:rsid w:val="1E30457C"/>
    <w:rsid w:val="1E313126"/>
    <w:rsid w:val="1E3322D6"/>
    <w:rsid w:val="1E335BB2"/>
    <w:rsid w:val="1E387504"/>
    <w:rsid w:val="1E3A2975"/>
    <w:rsid w:val="1E3B01F8"/>
    <w:rsid w:val="1E3E05EE"/>
    <w:rsid w:val="1E4235A6"/>
    <w:rsid w:val="1E471687"/>
    <w:rsid w:val="1E4F2FEA"/>
    <w:rsid w:val="1E5D605B"/>
    <w:rsid w:val="1E63628B"/>
    <w:rsid w:val="1E6F1940"/>
    <w:rsid w:val="1E706DB7"/>
    <w:rsid w:val="1E7E0CEE"/>
    <w:rsid w:val="1E8A1AD6"/>
    <w:rsid w:val="1E8A6A90"/>
    <w:rsid w:val="1E8C4B7E"/>
    <w:rsid w:val="1E8D2A48"/>
    <w:rsid w:val="1E8E11C4"/>
    <w:rsid w:val="1E8F0886"/>
    <w:rsid w:val="1E910392"/>
    <w:rsid w:val="1E9B79C3"/>
    <w:rsid w:val="1E9D77F0"/>
    <w:rsid w:val="1E9F4AA3"/>
    <w:rsid w:val="1EAD2540"/>
    <w:rsid w:val="1EBA0624"/>
    <w:rsid w:val="1EBD7792"/>
    <w:rsid w:val="1EC0675E"/>
    <w:rsid w:val="1EC95DE8"/>
    <w:rsid w:val="1ECB6E51"/>
    <w:rsid w:val="1ECB7849"/>
    <w:rsid w:val="1ECC5E9B"/>
    <w:rsid w:val="1ED03379"/>
    <w:rsid w:val="1ED7738A"/>
    <w:rsid w:val="1EDC7CDC"/>
    <w:rsid w:val="1EF969E0"/>
    <w:rsid w:val="1EFB4EA4"/>
    <w:rsid w:val="1EFF6444"/>
    <w:rsid w:val="1F006EC5"/>
    <w:rsid w:val="1F116AA7"/>
    <w:rsid w:val="1F1D624C"/>
    <w:rsid w:val="1F1F5F16"/>
    <w:rsid w:val="1F2400D8"/>
    <w:rsid w:val="1F2F6146"/>
    <w:rsid w:val="1F336582"/>
    <w:rsid w:val="1F3726D3"/>
    <w:rsid w:val="1F3B4CE1"/>
    <w:rsid w:val="1F483FDA"/>
    <w:rsid w:val="1F485733"/>
    <w:rsid w:val="1F4D56B4"/>
    <w:rsid w:val="1F515651"/>
    <w:rsid w:val="1F547996"/>
    <w:rsid w:val="1F5C1056"/>
    <w:rsid w:val="1F5C293D"/>
    <w:rsid w:val="1F5C5C5F"/>
    <w:rsid w:val="1F7544A5"/>
    <w:rsid w:val="1F7923C9"/>
    <w:rsid w:val="1F7D2A7B"/>
    <w:rsid w:val="1F7F70CE"/>
    <w:rsid w:val="1F8C64D9"/>
    <w:rsid w:val="1F923FB5"/>
    <w:rsid w:val="1F9A24EE"/>
    <w:rsid w:val="1FB65C0C"/>
    <w:rsid w:val="1FBB495B"/>
    <w:rsid w:val="1FC17F0E"/>
    <w:rsid w:val="1FC66BD7"/>
    <w:rsid w:val="1FD2171D"/>
    <w:rsid w:val="1FD26DAF"/>
    <w:rsid w:val="1FD62759"/>
    <w:rsid w:val="1FDD14C8"/>
    <w:rsid w:val="1FDE16B6"/>
    <w:rsid w:val="1FE13614"/>
    <w:rsid w:val="1FEC4948"/>
    <w:rsid w:val="1FF27996"/>
    <w:rsid w:val="1FF53A84"/>
    <w:rsid w:val="1FFA619E"/>
    <w:rsid w:val="200A1473"/>
    <w:rsid w:val="20160725"/>
    <w:rsid w:val="201A69DA"/>
    <w:rsid w:val="201E1BEA"/>
    <w:rsid w:val="201F6315"/>
    <w:rsid w:val="20247233"/>
    <w:rsid w:val="202E51C6"/>
    <w:rsid w:val="20315419"/>
    <w:rsid w:val="20396514"/>
    <w:rsid w:val="203B6506"/>
    <w:rsid w:val="204E08D1"/>
    <w:rsid w:val="204F71B0"/>
    <w:rsid w:val="20550426"/>
    <w:rsid w:val="2056466B"/>
    <w:rsid w:val="205B56C0"/>
    <w:rsid w:val="20604228"/>
    <w:rsid w:val="20604303"/>
    <w:rsid w:val="20625FA4"/>
    <w:rsid w:val="20644AD2"/>
    <w:rsid w:val="206F6B81"/>
    <w:rsid w:val="20771050"/>
    <w:rsid w:val="207A0D64"/>
    <w:rsid w:val="20943217"/>
    <w:rsid w:val="2097597B"/>
    <w:rsid w:val="20A36932"/>
    <w:rsid w:val="20A578AB"/>
    <w:rsid w:val="20AF43C3"/>
    <w:rsid w:val="20B00D28"/>
    <w:rsid w:val="20B47B78"/>
    <w:rsid w:val="20C4055E"/>
    <w:rsid w:val="20C67583"/>
    <w:rsid w:val="20C77664"/>
    <w:rsid w:val="20C90677"/>
    <w:rsid w:val="20CB2B0F"/>
    <w:rsid w:val="20D069D7"/>
    <w:rsid w:val="20D62CDF"/>
    <w:rsid w:val="20D947F1"/>
    <w:rsid w:val="20DC6A41"/>
    <w:rsid w:val="20E110AA"/>
    <w:rsid w:val="20EA0879"/>
    <w:rsid w:val="20EA68CE"/>
    <w:rsid w:val="20EB2BBC"/>
    <w:rsid w:val="210145B6"/>
    <w:rsid w:val="21051767"/>
    <w:rsid w:val="210F4482"/>
    <w:rsid w:val="21121940"/>
    <w:rsid w:val="2114385A"/>
    <w:rsid w:val="2124779F"/>
    <w:rsid w:val="2133184E"/>
    <w:rsid w:val="21432FA6"/>
    <w:rsid w:val="215B7FD7"/>
    <w:rsid w:val="21686896"/>
    <w:rsid w:val="217D188D"/>
    <w:rsid w:val="217E57F4"/>
    <w:rsid w:val="218B7925"/>
    <w:rsid w:val="21925EF6"/>
    <w:rsid w:val="21936122"/>
    <w:rsid w:val="219C56FD"/>
    <w:rsid w:val="21A254BB"/>
    <w:rsid w:val="21A46D13"/>
    <w:rsid w:val="21B27185"/>
    <w:rsid w:val="21BA6589"/>
    <w:rsid w:val="21BC088D"/>
    <w:rsid w:val="21BC2867"/>
    <w:rsid w:val="21BF1692"/>
    <w:rsid w:val="21CD1DBE"/>
    <w:rsid w:val="21CD7322"/>
    <w:rsid w:val="21D31B17"/>
    <w:rsid w:val="21D34C65"/>
    <w:rsid w:val="21D43C55"/>
    <w:rsid w:val="21D90596"/>
    <w:rsid w:val="21DB09B3"/>
    <w:rsid w:val="21EF38E1"/>
    <w:rsid w:val="21F12CDD"/>
    <w:rsid w:val="224E2784"/>
    <w:rsid w:val="22551BF1"/>
    <w:rsid w:val="2259347F"/>
    <w:rsid w:val="22597762"/>
    <w:rsid w:val="226A6034"/>
    <w:rsid w:val="22796D0B"/>
    <w:rsid w:val="227B60A1"/>
    <w:rsid w:val="22800D7E"/>
    <w:rsid w:val="228805B1"/>
    <w:rsid w:val="228F5984"/>
    <w:rsid w:val="229265BD"/>
    <w:rsid w:val="229D3EA2"/>
    <w:rsid w:val="229E10E8"/>
    <w:rsid w:val="22AA642A"/>
    <w:rsid w:val="22BA0D8B"/>
    <w:rsid w:val="22BC41FE"/>
    <w:rsid w:val="22C26F08"/>
    <w:rsid w:val="22C56B1A"/>
    <w:rsid w:val="22CC56C8"/>
    <w:rsid w:val="22DD6453"/>
    <w:rsid w:val="22DE469C"/>
    <w:rsid w:val="22E01A76"/>
    <w:rsid w:val="22F1572B"/>
    <w:rsid w:val="22F60BA2"/>
    <w:rsid w:val="22F66CA0"/>
    <w:rsid w:val="22F73EC1"/>
    <w:rsid w:val="22FC4AFF"/>
    <w:rsid w:val="2305486F"/>
    <w:rsid w:val="230E1AA6"/>
    <w:rsid w:val="230E2491"/>
    <w:rsid w:val="23323885"/>
    <w:rsid w:val="23344928"/>
    <w:rsid w:val="23414791"/>
    <w:rsid w:val="2342073E"/>
    <w:rsid w:val="234A75B0"/>
    <w:rsid w:val="234E0E24"/>
    <w:rsid w:val="234F7528"/>
    <w:rsid w:val="235B6A09"/>
    <w:rsid w:val="235C6814"/>
    <w:rsid w:val="235E5847"/>
    <w:rsid w:val="236367AD"/>
    <w:rsid w:val="23644063"/>
    <w:rsid w:val="23776473"/>
    <w:rsid w:val="237E6223"/>
    <w:rsid w:val="23975A2E"/>
    <w:rsid w:val="239B46B3"/>
    <w:rsid w:val="239B4F55"/>
    <w:rsid w:val="23C03438"/>
    <w:rsid w:val="23CD2AD5"/>
    <w:rsid w:val="23D065C5"/>
    <w:rsid w:val="23E4327A"/>
    <w:rsid w:val="23FE289A"/>
    <w:rsid w:val="24016D45"/>
    <w:rsid w:val="24017EDB"/>
    <w:rsid w:val="24040E01"/>
    <w:rsid w:val="24056D28"/>
    <w:rsid w:val="241150B3"/>
    <w:rsid w:val="241E12BC"/>
    <w:rsid w:val="242132E1"/>
    <w:rsid w:val="243458DD"/>
    <w:rsid w:val="243D76E4"/>
    <w:rsid w:val="24481801"/>
    <w:rsid w:val="245212FB"/>
    <w:rsid w:val="24597642"/>
    <w:rsid w:val="246754A3"/>
    <w:rsid w:val="24783033"/>
    <w:rsid w:val="24793F72"/>
    <w:rsid w:val="24850F8F"/>
    <w:rsid w:val="249127B5"/>
    <w:rsid w:val="249D3F52"/>
    <w:rsid w:val="24A15015"/>
    <w:rsid w:val="24A943BB"/>
    <w:rsid w:val="24B12079"/>
    <w:rsid w:val="24B233D7"/>
    <w:rsid w:val="24BB34C8"/>
    <w:rsid w:val="24BD4A35"/>
    <w:rsid w:val="24C47B40"/>
    <w:rsid w:val="24C60BFD"/>
    <w:rsid w:val="24D1202E"/>
    <w:rsid w:val="24D71FCB"/>
    <w:rsid w:val="24D96018"/>
    <w:rsid w:val="24DC7331"/>
    <w:rsid w:val="24DD2F6A"/>
    <w:rsid w:val="24E52C86"/>
    <w:rsid w:val="24EF39F4"/>
    <w:rsid w:val="24F53341"/>
    <w:rsid w:val="24F67266"/>
    <w:rsid w:val="24F81928"/>
    <w:rsid w:val="25220761"/>
    <w:rsid w:val="252C06A4"/>
    <w:rsid w:val="252E4335"/>
    <w:rsid w:val="253D2A94"/>
    <w:rsid w:val="254111DB"/>
    <w:rsid w:val="25431C45"/>
    <w:rsid w:val="25557FB7"/>
    <w:rsid w:val="255650AE"/>
    <w:rsid w:val="255D67B1"/>
    <w:rsid w:val="25671DCF"/>
    <w:rsid w:val="2567613C"/>
    <w:rsid w:val="257431D1"/>
    <w:rsid w:val="25752FB5"/>
    <w:rsid w:val="2579621C"/>
    <w:rsid w:val="25857B0A"/>
    <w:rsid w:val="258B241C"/>
    <w:rsid w:val="2594347D"/>
    <w:rsid w:val="25AA24BB"/>
    <w:rsid w:val="25AB4522"/>
    <w:rsid w:val="25AD6449"/>
    <w:rsid w:val="25B3702F"/>
    <w:rsid w:val="25C8225C"/>
    <w:rsid w:val="25D16BCF"/>
    <w:rsid w:val="25DE46C7"/>
    <w:rsid w:val="25DF61A8"/>
    <w:rsid w:val="25E05484"/>
    <w:rsid w:val="25E119FF"/>
    <w:rsid w:val="25E3048B"/>
    <w:rsid w:val="25F26C14"/>
    <w:rsid w:val="25F679BE"/>
    <w:rsid w:val="25F83F74"/>
    <w:rsid w:val="25FA2DE8"/>
    <w:rsid w:val="25FC2241"/>
    <w:rsid w:val="26045993"/>
    <w:rsid w:val="260744D1"/>
    <w:rsid w:val="260C621F"/>
    <w:rsid w:val="2611278C"/>
    <w:rsid w:val="261D5786"/>
    <w:rsid w:val="26226CEF"/>
    <w:rsid w:val="262408E4"/>
    <w:rsid w:val="262F4101"/>
    <w:rsid w:val="2631307F"/>
    <w:rsid w:val="26327E55"/>
    <w:rsid w:val="26356BE4"/>
    <w:rsid w:val="263C29B8"/>
    <w:rsid w:val="26417CAA"/>
    <w:rsid w:val="264426B8"/>
    <w:rsid w:val="264655D7"/>
    <w:rsid w:val="264D179B"/>
    <w:rsid w:val="26617928"/>
    <w:rsid w:val="266E1BD1"/>
    <w:rsid w:val="2670281E"/>
    <w:rsid w:val="26731EAF"/>
    <w:rsid w:val="26766650"/>
    <w:rsid w:val="267D143E"/>
    <w:rsid w:val="2695290E"/>
    <w:rsid w:val="26A11DC2"/>
    <w:rsid w:val="26A75B99"/>
    <w:rsid w:val="26BE2197"/>
    <w:rsid w:val="26C43F34"/>
    <w:rsid w:val="26CA48C1"/>
    <w:rsid w:val="26D5340A"/>
    <w:rsid w:val="26D62301"/>
    <w:rsid w:val="26E36213"/>
    <w:rsid w:val="26F3051D"/>
    <w:rsid w:val="26F36193"/>
    <w:rsid w:val="26F66922"/>
    <w:rsid w:val="26F75735"/>
    <w:rsid w:val="26FD2A71"/>
    <w:rsid w:val="27030822"/>
    <w:rsid w:val="270E344C"/>
    <w:rsid w:val="27110BDC"/>
    <w:rsid w:val="27175E6C"/>
    <w:rsid w:val="271A053A"/>
    <w:rsid w:val="271B5B37"/>
    <w:rsid w:val="271E0C6B"/>
    <w:rsid w:val="271E7499"/>
    <w:rsid w:val="27204EE2"/>
    <w:rsid w:val="27245B64"/>
    <w:rsid w:val="272E60F2"/>
    <w:rsid w:val="2730332A"/>
    <w:rsid w:val="2732130C"/>
    <w:rsid w:val="273257C9"/>
    <w:rsid w:val="27467855"/>
    <w:rsid w:val="27483C19"/>
    <w:rsid w:val="274A5286"/>
    <w:rsid w:val="274E5F43"/>
    <w:rsid w:val="27523329"/>
    <w:rsid w:val="2757445A"/>
    <w:rsid w:val="27696D22"/>
    <w:rsid w:val="277811A8"/>
    <w:rsid w:val="277E3602"/>
    <w:rsid w:val="277F5847"/>
    <w:rsid w:val="278D30F9"/>
    <w:rsid w:val="279D23CB"/>
    <w:rsid w:val="27A03D85"/>
    <w:rsid w:val="27A14E2F"/>
    <w:rsid w:val="27A94D57"/>
    <w:rsid w:val="27B403F8"/>
    <w:rsid w:val="27C23D61"/>
    <w:rsid w:val="27C950C0"/>
    <w:rsid w:val="27CD7132"/>
    <w:rsid w:val="27CE47B1"/>
    <w:rsid w:val="27D80411"/>
    <w:rsid w:val="27DB20D6"/>
    <w:rsid w:val="27DE32A9"/>
    <w:rsid w:val="27E504A2"/>
    <w:rsid w:val="27E50B81"/>
    <w:rsid w:val="27E8223C"/>
    <w:rsid w:val="27EA2F1D"/>
    <w:rsid w:val="27EF7FC2"/>
    <w:rsid w:val="27F7298D"/>
    <w:rsid w:val="27FB196C"/>
    <w:rsid w:val="27FC5806"/>
    <w:rsid w:val="27FD73A9"/>
    <w:rsid w:val="280D306F"/>
    <w:rsid w:val="28153716"/>
    <w:rsid w:val="28202416"/>
    <w:rsid w:val="2824014E"/>
    <w:rsid w:val="282840AC"/>
    <w:rsid w:val="282926EC"/>
    <w:rsid w:val="282E5A05"/>
    <w:rsid w:val="283A5904"/>
    <w:rsid w:val="283B1A9B"/>
    <w:rsid w:val="28417EF0"/>
    <w:rsid w:val="284625A1"/>
    <w:rsid w:val="284916C4"/>
    <w:rsid w:val="285D461E"/>
    <w:rsid w:val="28760B20"/>
    <w:rsid w:val="28785AFA"/>
    <w:rsid w:val="288758C4"/>
    <w:rsid w:val="2892706D"/>
    <w:rsid w:val="289536B8"/>
    <w:rsid w:val="289873F6"/>
    <w:rsid w:val="289C1159"/>
    <w:rsid w:val="28A42940"/>
    <w:rsid w:val="28A67D29"/>
    <w:rsid w:val="28AC134E"/>
    <w:rsid w:val="28BB783A"/>
    <w:rsid w:val="28BC5583"/>
    <w:rsid w:val="28C159B7"/>
    <w:rsid w:val="28D076F7"/>
    <w:rsid w:val="28D61A42"/>
    <w:rsid w:val="28D65B19"/>
    <w:rsid w:val="28DC0019"/>
    <w:rsid w:val="28E15948"/>
    <w:rsid w:val="28E36FDE"/>
    <w:rsid w:val="28ED2608"/>
    <w:rsid w:val="28ED2A0D"/>
    <w:rsid w:val="29053917"/>
    <w:rsid w:val="290D1341"/>
    <w:rsid w:val="29226B12"/>
    <w:rsid w:val="29280168"/>
    <w:rsid w:val="29301621"/>
    <w:rsid w:val="293A11B4"/>
    <w:rsid w:val="29427556"/>
    <w:rsid w:val="29551B24"/>
    <w:rsid w:val="295B5CBF"/>
    <w:rsid w:val="295F2C58"/>
    <w:rsid w:val="29633DE5"/>
    <w:rsid w:val="29656A70"/>
    <w:rsid w:val="296B2AB0"/>
    <w:rsid w:val="297A2135"/>
    <w:rsid w:val="2980243C"/>
    <w:rsid w:val="298666F8"/>
    <w:rsid w:val="29886735"/>
    <w:rsid w:val="298A648D"/>
    <w:rsid w:val="298A7330"/>
    <w:rsid w:val="29C53F76"/>
    <w:rsid w:val="29C633DA"/>
    <w:rsid w:val="29CC0E2C"/>
    <w:rsid w:val="29D2276B"/>
    <w:rsid w:val="29D61626"/>
    <w:rsid w:val="29D64CEC"/>
    <w:rsid w:val="29EC18CB"/>
    <w:rsid w:val="29F33B57"/>
    <w:rsid w:val="29F408BC"/>
    <w:rsid w:val="29FA5DB4"/>
    <w:rsid w:val="29FC548D"/>
    <w:rsid w:val="2A0755C9"/>
    <w:rsid w:val="2A0D5FC5"/>
    <w:rsid w:val="2A0E2FB4"/>
    <w:rsid w:val="2A190A23"/>
    <w:rsid w:val="2A200AD1"/>
    <w:rsid w:val="2A204514"/>
    <w:rsid w:val="2A233B77"/>
    <w:rsid w:val="2A2E2C58"/>
    <w:rsid w:val="2A375FC3"/>
    <w:rsid w:val="2A3F1C1E"/>
    <w:rsid w:val="2A4C59A2"/>
    <w:rsid w:val="2A4C7DC1"/>
    <w:rsid w:val="2A572737"/>
    <w:rsid w:val="2A5C6832"/>
    <w:rsid w:val="2A691646"/>
    <w:rsid w:val="2A8223AF"/>
    <w:rsid w:val="2A872AA7"/>
    <w:rsid w:val="2A8B5D23"/>
    <w:rsid w:val="2A903D9C"/>
    <w:rsid w:val="2A9405D6"/>
    <w:rsid w:val="2A9575EA"/>
    <w:rsid w:val="2A9576EF"/>
    <w:rsid w:val="2A962DA4"/>
    <w:rsid w:val="2A98216D"/>
    <w:rsid w:val="2AA07BD2"/>
    <w:rsid w:val="2AAA168D"/>
    <w:rsid w:val="2AAA6A62"/>
    <w:rsid w:val="2AB02901"/>
    <w:rsid w:val="2AB20D79"/>
    <w:rsid w:val="2AB52134"/>
    <w:rsid w:val="2AB818DA"/>
    <w:rsid w:val="2ABE15BD"/>
    <w:rsid w:val="2AD93D59"/>
    <w:rsid w:val="2AE37DE2"/>
    <w:rsid w:val="2AE5098B"/>
    <w:rsid w:val="2AE615D8"/>
    <w:rsid w:val="2AE9318E"/>
    <w:rsid w:val="2AEA33EC"/>
    <w:rsid w:val="2AEB1EC5"/>
    <w:rsid w:val="2AEE0370"/>
    <w:rsid w:val="2AF615EA"/>
    <w:rsid w:val="2AF648D2"/>
    <w:rsid w:val="2B114729"/>
    <w:rsid w:val="2B1844CB"/>
    <w:rsid w:val="2B2A5472"/>
    <w:rsid w:val="2B333613"/>
    <w:rsid w:val="2B376D86"/>
    <w:rsid w:val="2B4946C6"/>
    <w:rsid w:val="2B4A102A"/>
    <w:rsid w:val="2B510BB3"/>
    <w:rsid w:val="2B5115B4"/>
    <w:rsid w:val="2B670FE8"/>
    <w:rsid w:val="2B683625"/>
    <w:rsid w:val="2B8340FC"/>
    <w:rsid w:val="2B8C5A1F"/>
    <w:rsid w:val="2B9D1389"/>
    <w:rsid w:val="2B9E5ECB"/>
    <w:rsid w:val="2BA04105"/>
    <w:rsid w:val="2BA109D6"/>
    <w:rsid w:val="2BA4499C"/>
    <w:rsid w:val="2BA57075"/>
    <w:rsid w:val="2BA81AEB"/>
    <w:rsid w:val="2BAA1D93"/>
    <w:rsid w:val="2BBD5BA0"/>
    <w:rsid w:val="2BC00B9E"/>
    <w:rsid w:val="2BD91C81"/>
    <w:rsid w:val="2BDE2AAA"/>
    <w:rsid w:val="2BE6201F"/>
    <w:rsid w:val="2BE97ABE"/>
    <w:rsid w:val="2BED19AC"/>
    <w:rsid w:val="2BEE2F46"/>
    <w:rsid w:val="2BF131DF"/>
    <w:rsid w:val="2BF814AF"/>
    <w:rsid w:val="2C0D4529"/>
    <w:rsid w:val="2C1805D5"/>
    <w:rsid w:val="2C197EEA"/>
    <w:rsid w:val="2C1A749A"/>
    <w:rsid w:val="2C255EFA"/>
    <w:rsid w:val="2C257462"/>
    <w:rsid w:val="2C260A13"/>
    <w:rsid w:val="2C270AE3"/>
    <w:rsid w:val="2C273C14"/>
    <w:rsid w:val="2C285A6E"/>
    <w:rsid w:val="2C2A2685"/>
    <w:rsid w:val="2C2B3348"/>
    <w:rsid w:val="2C300B0B"/>
    <w:rsid w:val="2C334208"/>
    <w:rsid w:val="2C3941EB"/>
    <w:rsid w:val="2C432EF5"/>
    <w:rsid w:val="2C47342D"/>
    <w:rsid w:val="2C4802D2"/>
    <w:rsid w:val="2C4C3FEE"/>
    <w:rsid w:val="2C5E7F70"/>
    <w:rsid w:val="2C691DB7"/>
    <w:rsid w:val="2C6A276A"/>
    <w:rsid w:val="2C6F7A02"/>
    <w:rsid w:val="2C735335"/>
    <w:rsid w:val="2C7958B4"/>
    <w:rsid w:val="2C856189"/>
    <w:rsid w:val="2C86532A"/>
    <w:rsid w:val="2C930759"/>
    <w:rsid w:val="2C9455DF"/>
    <w:rsid w:val="2CA212CA"/>
    <w:rsid w:val="2CA31FD6"/>
    <w:rsid w:val="2CAB6C9E"/>
    <w:rsid w:val="2CAF7007"/>
    <w:rsid w:val="2CAF7365"/>
    <w:rsid w:val="2CB827E9"/>
    <w:rsid w:val="2CC229B4"/>
    <w:rsid w:val="2CC57E3B"/>
    <w:rsid w:val="2CC81F86"/>
    <w:rsid w:val="2CCE6476"/>
    <w:rsid w:val="2CD16C56"/>
    <w:rsid w:val="2CDF75AB"/>
    <w:rsid w:val="2CEA2EB0"/>
    <w:rsid w:val="2CEA2F26"/>
    <w:rsid w:val="2CF32E5D"/>
    <w:rsid w:val="2CFA080A"/>
    <w:rsid w:val="2D090A39"/>
    <w:rsid w:val="2D0A4451"/>
    <w:rsid w:val="2D0B5FB4"/>
    <w:rsid w:val="2D101965"/>
    <w:rsid w:val="2D1C2EAD"/>
    <w:rsid w:val="2D237FA2"/>
    <w:rsid w:val="2D357D61"/>
    <w:rsid w:val="2D3839F1"/>
    <w:rsid w:val="2D4B126E"/>
    <w:rsid w:val="2D5007D6"/>
    <w:rsid w:val="2D501E5A"/>
    <w:rsid w:val="2D5300CC"/>
    <w:rsid w:val="2D615D1A"/>
    <w:rsid w:val="2D6A63B1"/>
    <w:rsid w:val="2D7362B6"/>
    <w:rsid w:val="2D760E45"/>
    <w:rsid w:val="2D761B96"/>
    <w:rsid w:val="2D7A2BF2"/>
    <w:rsid w:val="2D7C6E35"/>
    <w:rsid w:val="2D814811"/>
    <w:rsid w:val="2D83233E"/>
    <w:rsid w:val="2D8A40EF"/>
    <w:rsid w:val="2D8B682D"/>
    <w:rsid w:val="2D996F63"/>
    <w:rsid w:val="2D9B1B1A"/>
    <w:rsid w:val="2DAB4451"/>
    <w:rsid w:val="2DAC4D6A"/>
    <w:rsid w:val="2DB21B83"/>
    <w:rsid w:val="2DB32514"/>
    <w:rsid w:val="2DB34816"/>
    <w:rsid w:val="2DB43FC0"/>
    <w:rsid w:val="2DB67EF3"/>
    <w:rsid w:val="2DBE5CC9"/>
    <w:rsid w:val="2DCE78D6"/>
    <w:rsid w:val="2DD23FD6"/>
    <w:rsid w:val="2DD830DA"/>
    <w:rsid w:val="2DD979C6"/>
    <w:rsid w:val="2DE41FF8"/>
    <w:rsid w:val="2DE51F96"/>
    <w:rsid w:val="2DEE5B26"/>
    <w:rsid w:val="2E04513C"/>
    <w:rsid w:val="2E1A0576"/>
    <w:rsid w:val="2E211108"/>
    <w:rsid w:val="2E2279A5"/>
    <w:rsid w:val="2E23156C"/>
    <w:rsid w:val="2E2D71BB"/>
    <w:rsid w:val="2E306287"/>
    <w:rsid w:val="2E31394C"/>
    <w:rsid w:val="2E32488C"/>
    <w:rsid w:val="2E336711"/>
    <w:rsid w:val="2E3E7CC6"/>
    <w:rsid w:val="2E524DF2"/>
    <w:rsid w:val="2E530EC4"/>
    <w:rsid w:val="2E5B0EA6"/>
    <w:rsid w:val="2E5B723D"/>
    <w:rsid w:val="2E615932"/>
    <w:rsid w:val="2E6366CA"/>
    <w:rsid w:val="2E6E2222"/>
    <w:rsid w:val="2E71066E"/>
    <w:rsid w:val="2E776C01"/>
    <w:rsid w:val="2E8004D0"/>
    <w:rsid w:val="2E867BEA"/>
    <w:rsid w:val="2E8B7B3E"/>
    <w:rsid w:val="2E8F2CBD"/>
    <w:rsid w:val="2E953866"/>
    <w:rsid w:val="2E9B6642"/>
    <w:rsid w:val="2E9E5E1D"/>
    <w:rsid w:val="2EA666FE"/>
    <w:rsid w:val="2EAD00BB"/>
    <w:rsid w:val="2EB3125C"/>
    <w:rsid w:val="2EC32048"/>
    <w:rsid w:val="2ECA4922"/>
    <w:rsid w:val="2ECE6A56"/>
    <w:rsid w:val="2ED3481F"/>
    <w:rsid w:val="2EE00904"/>
    <w:rsid w:val="2EE40653"/>
    <w:rsid w:val="2EF14991"/>
    <w:rsid w:val="2EF4141A"/>
    <w:rsid w:val="2EF50528"/>
    <w:rsid w:val="2EFD340E"/>
    <w:rsid w:val="2EFF4387"/>
    <w:rsid w:val="2F076A5D"/>
    <w:rsid w:val="2F1C396E"/>
    <w:rsid w:val="2F1E16D5"/>
    <w:rsid w:val="2F1F0122"/>
    <w:rsid w:val="2F1F58EE"/>
    <w:rsid w:val="2F2878DC"/>
    <w:rsid w:val="2F2C0C62"/>
    <w:rsid w:val="2F310E84"/>
    <w:rsid w:val="2F322255"/>
    <w:rsid w:val="2F361B0E"/>
    <w:rsid w:val="2F534F4A"/>
    <w:rsid w:val="2F5435A2"/>
    <w:rsid w:val="2F585766"/>
    <w:rsid w:val="2F5B2C56"/>
    <w:rsid w:val="2F5C5B6C"/>
    <w:rsid w:val="2F610368"/>
    <w:rsid w:val="2F6A0FF2"/>
    <w:rsid w:val="2F7406DE"/>
    <w:rsid w:val="2F7457E2"/>
    <w:rsid w:val="2F78773F"/>
    <w:rsid w:val="2F7A41A8"/>
    <w:rsid w:val="2F865E58"/>
    <w:rsid w:val="2F872239"/>
    <w:rsid w:val="2F915783"/>
    <w:rsid w:val="2FAC3544"/>
    <w:rsid w:val="2FB4233D"/>
    <w:rsid w:val="2FB64C94"/>
    <w:rsid w:val="2FB7392E"/>
    <w:rsid w:val="2FB91374"/>
    <w:rsid w:val="2FC74B32"/>
    <w:rsid w:val="2FD87E9F"/>
    <w:rsid w:val="2FDC0D88"/>
    <w:rsid w:val="2FDE30CA"/>
    <w:rsid w:val="2FE24E78"/>
    <w:rsid w:val="2FE369B2"/>
    <w:rsid w:val="2FF30936"/>
    <w:rsid w:val="2FF4559B"/>
    <w:rsid w:val="2FFE5C61"/>
    <w:rsid w:val="2FFF7FA1"/>
    <w:rsid w:val="300763B3"/>
    <w:rsid w:val="30095B01"/>
    <w:rsid w:val="300E014D"/>
    <w:rsid w:val="30114B43"/>
    <w:rsid w:val="30116708"/>
    <w:rsid w:val="30134EF7"/>
    <w:rsid w:val="30152D57"/>
    <w:rsid w:val="301B51F5"/>
    <w:rsid w:val="303E40CF"/>
    <w:rsid w:val="30423E5F"/>
    <w:rsid w:val="3047744E"/>
    <w:rsid w:val="305234BE"/>
    <w:rsid w:val="30787591"/>
    <w:rsid w:val="307B1C7C"/>
    <w:rsid w:val="30856882"/>
    <w:rsid w:val="3088101B"/>
    <w:rsid w:val="30901DF8"/>
    <w:rsid w:val="3099236D"/>
    <w:rsid w:val="309E10AD"/>
    <w:rsid w:val="30A7758D"/>
    <w:rsid w:val="30B20B12"/>
    <w:rsid w:val="30B73E7C"/>
    <w:rsid w:val="30B7541F"/>
    <w:rsid w:val="30B83A65"/>
    <w:rsid w:val="30BA23AF"/>
    <w:rsid w:val="30C15514"/>
    <w:rsid w:val="30CE627F"/>
    <w:rsid w:val="30DB0A58"/>
    <w:rsid w:val="30DE443E"/>
    <w:rsid w:val="30E905A0"/>
    <w:rsid w:val="30EB72E1"/>
    <w:rsid w:val="30F67289"/>
    <w:rsid w:val="30FF59A1"/>
    <w:rsid w:val="30FF73EB"/>
    <w:rsid w:val="31237184"/>
    <w:rsid w:val="31304B98"/>
    <w:rsid w:val="31311187"/>
    <w:rsid w:val="31333F84"/>
    <w:rsid w:val="31350D94"/>
    <w:rsid w:val="31392EB7"/>
    <w:rsid w:val="313A2E8D"/>
    <w:rsid w:val="313F03FE"/>
    <w:rsid w:val="31453453"/>
    <w:rsid w:val="314D273C"/>
    <w:rsid w:val="314E3FE4"/>
    <w:rsid w:val="31504EAF"/>
    <w:rsid w:val="315176BD"/>
    <w:rsid w:val="31517FF7"/>
    <w:rsid w:val="315417CF"/>
    <w:rsid w:val="3156138D"/>
    <w:rsid w:val="315F7A43"/>
    <w:rsid w:val="31600D8D"/>
    <w:rsid w:val="316C273F"/>
    <w:rsid w:val="316D3DD6"/>
    <w:rsid w:val="316D4267"/>
    <w:rsid w:val="316F2828"/>
    <w:rsid w:val="31754B5F"/>
    <w:rsid w:val="3178162B"/>
    <w:rsid w:val="318A4DCC"/>
    <w:rsid w:val="31980622"/>
    <w:rsid w:val="319C102F"/>
    <w:rsid w:val="31A04D1D"/>
    <w:rsid w:val="31A50AD5"/>
    <w:rsid w:val="31A55647"/>
    <w:rsid w:val="31AC4AAE"/>
    <w:rsid w:val="31AE1BB0"/>
    <w:rsid w:val="31BA6623"/>
    <w:rsid w:val="31C11223"/>
    <w:rsid w:val="31D06D30"/>
    <w:rsid w:val="31D81FD3"/>
    <w:rsid w:val="31E23690"/>
    <w:rsid w:val="31E33A51"/>
    <w:rsid w:val="31E95BCE"/>
    <w:rsid w:val="31EA5452"/>
    <w:rsid w:val="31EC3063"/>
    <w:rsid w:val="31ED220D"/>
    <w:rsid w:val="31F221CA"/>
    <w:rsid w:val="31F56EDA"/>
    <w:rsid w:val="32025B33"/>
    <w:rsid w:val="32040B81"/>
    <w:rsid w:val="320E499F"/>
    <w:rsid w:val="32125664"/>
    <w:rsid w:val="32191DD8"/>
    <w:rsid w:val="32260B27"/>
    <w:rsid w:val="32313CCE"/>
    <w:rsid w:val="324920C1"/>
    <w:rsid w:val="32513FB3"/>
    <w:rsid w:val="325743BC"/>
    <w:rsid w:val="32594995"/>
    <w:rsid w:val="326534BC"/>
    <w:rsid w:val="32663475"/>
    <w:rsid w:val="326B7152"/>
    <w:rsid w:val="326E43BE"/>
    <w:rsid w:val="32931388"/>
    <w:rsid w:val="32A0155F"/>
    <w:rsid w:val="32A14855"/>
    <w:rsid w:val="32A25A7B"/>
    <w:rsid w:val="32AB25C5"/>
    <w:rsid w:val="32B01D02"/>
    <w:rsid w:val="32B642A0"/>
    <w:rsid w:val="32BF4021"/>
    <w:rsid w:val="32D949CD"/>
    <w:rsid w:val="32DE2A72"/>
    <w:rsid w:val="32E22944"/>
    <w:rsid w:val="32E23D85"/>
    <w:rsid w:val="32E55D37"/>
    <w:rsid w:val="32FA52DA"/>
    <w:rsid w:val="32FE5F42"/>
    <w:rsid w:val="33067823"/>
    <w:rsid w:val="3311449A"/>
    <w:rsid w:val="33161D43"/>
    <w:rsid w:val="33213A4E"/>
    <w:rsid w:val="332E412E"/>
    <w:rsid w:val="3338004A"/>
    <w:rsid w:val="33391E44"/>
    <w:rsid w:val="333D7295"/>
    <w:rsid w:val="334023DA"/>
    <w:rsid w:val="33427B2E"/>
    <w:rsid w:val="334B6702"/>
    <w:rsid w:val="3350233F"/>
    <w:rsid w:val="33536870"/>
    <w:rsid w:val="33577EAF"/>
    <w:rsid w:val="335A58C6"/>
    <w:rsid w:val="335A62B2"/>
    <w:rsid w:val="3365389F"/>
    <w:rsid w:val="336C521A"/>
    <w:rsid w:val="33814670"/>
    <w:rsid w:val="338175AA"/>
    <w:rsid w:val="338936C8"/>
    <w:rsid w:val="338C2048"/>
    <w:rsid w:val="33975438"/>
    <w:rsid w:val="339B11BB"/>
    <w:rsid w:val="33A053F6"/>
    <w:rsid w:val="33A27F4A"/>
    <w:rsid w:val="33A354EB"/>
    <w:rsid w:val="33A64828"/>
    <w:rsid w:val="33B219EA"/>
    <w:rsid w:val="33B53246"/>
    <w:rsid w:val="33CD20FC"/>
    <w:rsid w:val="33CF0E86"/>
    <w:rsid w:val="33CF5F54"/>
    <w:rsid w:val="33D07E2E"/>
    <w:rsid w:val="33D46F10"/>
    <w:rsid w:val="33D95543"/>
    <w:rsid w:val="33DB0B0D"/>
    <w:rsid w:val="33E72B3B"/>
    <w:rsid w:val="33E87A70"/>
    <w:rsid w:val="33EB2580"/>
    <w:rsid w:val="33EE132B"/>
    <w:rsid w:val="33F4138C"/>
    <w:rsid w:val="341200DB"/>
    <w:rsid w:val="34167A51"/>
    <w:rsid w:val="341A585B"/>
    <w:rsid w:val="341B2B1F"/>
    <w:rsid w:val="34224B16"/>
    <w:rsid w:val="34286510"/>
    <w:rsid w:val="3438173D"/>
    <w:rsid w:val="34426CF7"/>
    <w:rsid w:val="34483E3B"/>
    <w:rsid w:val="344F3C1A"/>
    <w:rsid w:val="3450235D"/>
    <w:rsid w:val="34523D17"/>
    <w:rsid w:val="3457727D"/>
    <w:rsid w:val="34585160"/>
    <w:rsid w:val="345909DB"/>
    <w:rsid w:val="34600B75"/>
    <w:rsid w:val="346618DF"/>
    <w:rsid w:val="347C2F51"/>
    <w:rsid w:val="347E458B"/>
    <w:rsid w:val="348322DC"/>
    <w:rsid w:val="3484293E"/>
    <w:rsid w:val="349316B2"/>
    <w:rsid w:val="34A6593B"/>
    <w:rsid w:val="34B32895"/>
    <w:rsid w:val="34B45E8C"/>
    <w:rsid w:val="34BB63B3"/>
    <w:rsid w:val="34BD5AB0"/>
    <w:rsid w:val="34BE5DD7"/>
    <w:rsid w:val="34CC21A9"/>
    <w:rsid w:val="34D41967"/>
    <w:rsid w:val="34D852CD"/>
    <w:rsid w:val="34DC28E6"/>
    <w:rsid w:val="34DD67B3"/>
    <w:rsid w:val="34EF279B"/>
    <w:rsid w:val="34F261C7"/>
    <w:rsid w:val="34F84EFF"/>
    <w:rsid w:val="35034A6D"/>
    <w:rsid w:val="35154F58"/>
    <w:rsid w:val="351C049B"/>
    <w:rsid w:val="35253B5B"/>
    <w:rsid w:val="352B184D"/>
    <w:rsid w:val="35396FAC"/>
    <w:rsid w:val="3541757A"/>
    <w:rsid w:val="35425E02"/>
    <w:rsid w:val="35480671"/>
    <w:rsid w:val="35481304"/>
    <w:rsid w:val="35495A8B"/>
    <w:rsid w:val="3550579F"/>
    <w:rsid w:val="35511D5F"/>
    <w:rsid w:val="355415C7"/>
    <w:rsid w:val="35577DBC"/>
    <w:rsid w:val="35720448"/>
    <w:rsid w:val="35753458"/>
    <w:rsid w:val="35791E97"/>
    <w:rsid w:val="357D5F33"/>
    <w:rsid w:val="3582774A"/>
    <w:rsid w:val="358372EC"/>
    <w:rsid w:val="358B6ED9"/>
    <w:rsid w:val="358D4F75"/>
    <w:rsid w:val="359A594A"/>
    <w:rsid w:val="35A83090"/>
    <w:rsid w:val="35A87467"/>
    <w:rsid w:val="35A93C59"/>
    <w:rsid w:val="35AF38E0"/>
    <w:rsid w:val="35C12D86"/>
    <w:rsid w:val="35CB25DF"/>
    <w:rsid w:val="35D1560C"/>
    <w:rsid w:val="35E7326D"/>
    <w:rsid w:val="35F537E1"/>
    <w:rsid w:val="35FB1EFC"/>
    <w:rsid w:val="360D1A54"/>
    <w:rsid w:val="36120D89"/>
    <w:rsid w:val="361C4502"/>
    <w:rsid w:val="361C5227"/>
    <w:rsid w:val="361E0A6C"/>
    <w:rsid w:val="361F4BAC"/>
    <w:rsid w:val="3624020E"/>
    <w:rsid w:val="362C68E9"/>
    <w:rsid w:val="362E3ADC"/>
    <w:rsid w:val="363045CC"/>
    <w:rsid w:val="3631192E"/>
    <w:rsid w:val="36347B1A"/>
    <w:rsid w:val="36352460"/>
    <w:rsid w:val="363605F1"/>
    <w:rsid w:val="363E4DB0"/>
    <w:rsid w:val="36413F2C"/>
    <w:rsid w:val="36444BAF"/>
    <w:rsid w:val="364E5750"/>
    <w:rsid w:val="36510EEC"/>
    <w:rsid w:val="36652A07"/>
    <w:rsid w:val="3667063E"/>
    <w:rsid w:val="366B30E3"/>
    <w:rsid w:val="367516CE"/>
    <w:rsid w:val="36784F6B"/>
    <w:rsid w:val="367C587A"/>
    <w:rsid w:val="367D12A1"/>
    <w:rsid w:val="36811E55"/>
    <w:rsid w:val="36813DD5"/>
    <w:rsid w:val="368A370C"/>
    <w:rsid w:val="36965458"/>
    <w:rsid w:val="36B37D92"/>
    <w:rsid w:val="36B744BC"/>
    <w:rsid w:val="36BB6182"/>
    <w:rsid w:val="36C854EF"/>
    <w:rsid w:val="36D56561"/>
    <w:rsid w:val="36DB35BA"/>
    <w:rsid w:val="36E56489"/>
    <w:rsid w:val="36F53FC0"/>
    <w:rsid w:val="36F57089"/>
    <w:rsid w:val="36FA1D87"/>
    <w:rsid w:val="36FB6E05"/>
    <w:rsid w:val="36FF1886"/>
    <w:rsid w:val="3700179A"/>
    <w:rsid w:val="37076112"/>
    <w:rsid w:val="370B7D17"/>
    <w:rsid w:val="370C0FCC"/>
    <w:rsid w:val="3711173E"/>
    <w:rsid w:val="371431F9"/>
    <w:rsid w:val="371B6E40"/>
    <w:rsid w:val="371D0552"/>
    <w:rsid w:val="372D6FB8"/>
    <w:rsid w:val="372F2234"/>
    <w:rsid w:val="37376F40"/>
    <w:rsid w:val="373B44A7"/>
    <w:rsid w:val="373D2189"/>
    <w:rsid w:val="373F541F"/>
    <w:rsid w:val="374B070C"/>
    <w:rsid w:val="374E5587"/>
    <w:rsid w:val="37510435"/>
    <w:rsid w:val="37523784"/>
    <w:rsid w:val="375C315F"/>
    <w:rsid w:val="375D1F37"/>
    <w:rsid w:val="37607A33"/>
    <w:rsid w:val="376B6573"/>
    <w:rsid w:val="376E32A7"/>
    <w:rsid w:val="37716DF8"/>
    <w:rsid w:val="377A287C"/>
    <w:rsid w:val="377D0EF3"/>
    <w:rsid w:val="377E0B11"/>
    <w:rsid w:val="377E5437"/>
    <w:rsid w:val="37816887"/>
    <w:rsid w:val="3788790C"/>
    <w:rsid w:val="378D4CA2"/>
    <w:rsid w:val="379358CE"/>
    <w:rsid w:val="379A5579"/>
    <w:rsid w:val="37A6169E"/>
    <w:rsid w:val="37AC43FA"/>
    <w:rsid w:val="37B13F52"/>
    <w:rsid w:val="37B5684D"/>
    <w:rsid w:val="37BA4542"/>
    <w:rsid w:val="37BA49C4"/>
    <w:rsid w:val="37BA6DE1"/>
    <w:rsid w:val="37BB38E4"/>
    <w:rsid w:val="37BE6705"/>
    <w:rsid w:val="37C25EF7"/>
    <w:rsid w:val="37C80931"/>
    <w:rsid w:val="37E255D6"/>
    <w:rsid w:val="37E650C1"/>
    <w:rsid w:val="37F950E9"/>
    <w:rsid w:val="37FB2344"/>
    <w:rsid w:val="38025BF3"/>
    <w:rsid w:val="3807274A"/>
    <w:rsid w:val="38087460"/>
    <w:rsid w:val="38156946"/>
    <w:rsid w:val="381959D1"/>
    <w:rsid w:val="38397F77"/>
    <w:rsid w:val="384F1372"/>
    <w:rsid w:val="385515B1"/>
    <w:rsid w:val="3855437F"/>
    <w:rsid w:val="385964C7"/>
    <w:rsid w:val="385C120A"/>
    <w:rsid w:val="385F7143"/>
    <w:rsid w:val="386536B9"/>
    <w:rsid w:val="38661F9E"/>
    <w:rsid w:val="38674502"/>
    <w:rsid w:val="386E52F7"/>
    <w:rsid w:val="387F08D1"/>
    <w:rsid w:val="3886171F"/>
    <w:rsid w:val="388909C1"/>
    <w:rsid w:val="388D02D9"/>
    <w:rsid w:val="3890490D"/>
    <w:rsid w:val="38A17387"/>
    <w:rsid w:val="38A74458"/>
    <w:rsid w:val="38A85852"/>
    <w:rsid w:val="38A910AB"/>
    <w:rsid w:val="38AA7FBF"/>
    <w:rsid w:val="38AC6A14"/>
    <w:rsid w:val="38B67891"/>
    <w:rsid w:val="38B71594"/>
    <w:rsid w:val="38B76E32"/>
    <w:rsid w:val="38C61114"/>
    <w:rsid w:val="38C72F66"/>
    <w:rsid w:val="38CC004E"/>
    <w:rsid w:val="38D573AE"/>
    <w:rsid w:val="38E12435"/>
    <w:rsid w:val="38E95E7F"/>
    <w:rsid w:val="38F44001"/>
    <w:rsid w:val="3905103A"/>
    <w:rsid w:val="39064395"/>
    <w:rsid w:val="39163FEE"/>
    <w:rsid w:val="391A1D9B"/>
    <w:rsid w:val="39276CE0"/>
    <w:rsid w:val="392C383B"/>
    <w:rsid w:val="3938126C"/>
    <w:rsid w:val="39464FAF"/>
    <w:rsid w:val="39477D63"/>
    <w:rsid w:val="39492FA5"/>
    <w:rsid w:val="394A0F2F"/>
    <w:rsid w:val="394F6275"/>
    <w:rsid w:val="39532837"/>
    <w:rsid w:val="395C51B5"/>
    <w:rsid w:val="395D4A0E"/>
    <w:rsid w:val="39691EFA"/>
    <w:rsid w:val="39776C6A"/>
    <w:rsid w:val="398266F7"/>
    <w:rsid w:val="39953BAA"/>
    <w:rsid w:val="3996459E"/>
    <w:rsid w:val="39980E41"/>
    <w:rsid w:val="39994FAD"/>
    <w:rsid w:val="399C47BF"/>
    <w:rsid w:val="399E4FC4"/>
    <w:rsid w:val="39A173C6"/>
    <w:rsid w:val="39AB0F0D"/>
    <w:rsid w:val="39AC0B90"/>
    <w:rsid w:val="39B36314"/>
    <w:rsid w:val="39BA6269"/>
    <w:rsid w:val="39BB40C2"/>
    <w:rsid w:val="39BB4C77"/>
    <w:rsid w:val="39C834DE"/>
    <w:rsid w:val="39CB1D78"/>
    <w:rsid w:val="39CE65CA"/>
    <w:rsid w:val="39D06739"/>
    <w:rsid w:val="39D24EA8"/>
    <w:rsid w:val="39D63893"/>
    <w:rsid w:val="39DC01F7"/>
    <w:rsid w:val="39DF54F8"/>
    <w:rsid w:val="39E15B67"/>
    <w:rsid w:val="39EA247F"/>
    <w:rsid w:val="39EF0BBB"/>
    <w:rsid w:val="39F2378B"/>
    <w:rsid w:val="3A07500B"/>
    <w:rsid w:val="3A0A3747"/>
    <w:rsid w:val="3A123CE0"/>
    <w:rsid w:val="3A1504CD"/>
    <w:rsid w:val="3A1A7475"/>
    <w:rsid w:val="3A1F2CDF"/>
    <w:rsid w:val="3A250707"/>
    <w:rsid w:val="3A284CE9"/>
    <w:rsid w:val="3A3974E2"/>
    <w:rsid w:val="3A3B73B6"/>
    <w:rsid w:val="3A3B746D"/>
    <w:rsid w:val="3A433CC1"/>
    <w:rsid w:val="3A4846C1"/>
    <w:rsid w:val="3A5B37B9"/>
    <w:rsid w:val="3A5B7FE4"/>
    <w:rsid w:val="3A680C38"/>
    <w:rsid w:val="3A6B5EB0"/>
    <w:rsid w:val="3A837DDA"/>
    <w:rsid w:val="3A8B7BE3"/>
    <w:rsid w:val="3A8F157D"/>
    <w:rsid w:val="3A9616C7"/>
    <w:rsid w:val="3AA16E02"/>
    <w:rsid w:val="3AA558C9"/>
    <w:rsid w:val="3AAC14D3"/>
    <w:rsid w:val="3AAF0E09"/>
    <w:rsid w:val="3AB8747A"/>
    <w:rsid w:val="3ABE6FB5"/>
    <w:rsid w:val="3ACA5F32"/>
    <w:rsid w:val="3AD423F2"/>
    <w:rsid w:val="3AD6122F"/>
    <w:rsid w:val="3AE03394"/>
    <w:rsid w:val="3AE058B2"/>
    <w:rsid w:val="3AE850F8"/>
    <w:rsid w:val="3B027984"/>
    <w:rsid w:val="3B032BCD"/>
    <w:rsid w:val="3B052F11"/>
    <w:rsid w:val="3B0665C4"/>
    <w:rsid w:val="3B07528D"/>
    <w:rsid w:val="3B083FEA"/>
    <w:rsid w:val="3B0E05C1"/>
    <w:rsid w:val="3B1078E5"/>
    <w:rsid w:val="3B157636"/>
    <w:rsid w:val="3B1646B0"/>
    <w:rsid w:val="3B170313"/>
    <w:rsid w:val="3B183105"/>
    <w:rsid w:val="3B1E1B01"/>
    <w:rsid w:val="3B2053BD"/>
    <w:rsid w:val="3B295075"/>
    <w:rsid w:val="3B2B3971"/>
    <w:rsid w:val="3B363DE2"/>
    <w:rsid w:val="3B393D25"/>
    <w:rsid w:val="3B5350F5"/>
    <w:rsid w:val="3B664AB4"/>
    <w:rsid w:val="3B695461"/>
    <w:rsid w:val="3B6F3DD5"/>
    <w:rsid w:val="3B711D2A"/>
    <w:rsid w:val="3B714FA8"/>
    <w:rsid w:val="3B8210F5"/>
    <w:rsid w:val="3B823845"/>
    <w:rsid w:val="3B83043C"/>
    <w:rsid w:val="3B9347E0"/>
    <w:rsid w:val="3B952DFA"/>
    <w:rsid w:val="3B963828"/>
    <w:rsid w:val="3B997F90"/>
    <w:rsid w:val="3B9A5061"/>
    <w:rsid w:val="3B9F41D8"/>
    <w:rsid w:val="3BA12DA3"/>
    <w:rsid w:val="3BAD5FC2"/>
    <w:rsid w:val="3BB4080B"/>
    <w:rsid w:val="3BBA78E8"/>
    <w:rsid w:val="3BBD7996"/>
    <w:rsid w:val="3BC92C3E"/>
    <w:rsid w:val="3BCB4642"/>
    <w:rsid w:val="3BCF46D0"/>
    <w:rsid w:val="3BD957FE"/>
    <w:rsid w:val="3BDC1A35"/>
    <w:rsid w:val="3BE474DA"/>
    <w:rsid w:val="3BE90C4A"/>
    <w:rsid w:val="3BE955F2"/>
    <w:rsid w:val="3BFF3BB5"/>
    <w:rsid w:val="3C042C35"/>
    <w:rsid w:val="3C0A3AB6"/>
    <w:rsid w:val="3C1D4795"/>
    <w:rsid w:val="3C20178F"/>
    <w:rsid w:val="3C237124"/>
    <w:rsid w:val="3C24230B"/>
    <w:rsid w:val="3C2934B8"/>
    <w:rsid w:val="3C2B1205"/>
    <w:rsid w:val="3C3C125E"/>
    <w:rsid w:val="3C422097"/>
    <w:rsid w:val="3C445B08"/>
    <w:rsid w:val="3C6E2AE8"/>
    <w:rsid w:val="3C702D08"/>
    <w:rsid w:val="3C7E4D8A"/>
    <w:rsid w:val="3C8D26BD"/>
    <w:rsid w:val="3C8E4927"/>
    <w:rsid w:val="3C8F14A5"/>
    <w:rsid w:val="3C903995"/>
    <w:rsid w:val="3C982E07"/>
    <w:rsid w:val="3C9A746D"/>
    <w:rsid w:val="3CAA4117"/>
    <w:rsid w:val="3CB1529B"/>
    <w:rsid w:val="3CB70124"/>
    <w:rsid w:val="3CCC4042"/>
    <w:rsid w:val="3CDE622A"/>
    <w:rsid w:val="3CFD781F"/>
    <w:rsid w:val="3CFE26CA"/>
    <w:rsid w:val="3D0063E9"/>
    <w:rsid w:val="3D0751F1"/>
    <w:rsid w:val="3D092AAE"/>
    <w:rsid w:val="3D0C6EF0"/>
    <w:rsid w:val="3D1F4CA9"/>
    <w:rsid w:val="3D4806A3"/>
    <w:rsid w:val="3D4A452B"/>
    <w:rsid w:val="3D4B15D0"/>
    <w:rsid w:val="3D4B3795"/>
    <w:rsid w:val="3D4D5C5B"/>
    <w:rsid w:val="3D4F4298"/>
    <w:rsid w:val="3D510CC7"/>
    <w:rsid w:val="3D534AD8"/>
    <w:rsid w:val="3D5E7CFA"/>
    <w:rsid w:val="3D60309D"/>
    <w:rsid w:val="3D6A6FFE"/>
    <w:rsid w:val="3D700F48"/>
    <w:rsid w:val="3D72201D"/>
    <w:rsid w:val="3D724EEF"/>
    <w:rsid w:val="3D7347C6"/>
    <w:rsid w:val="3D7C60E1"/>
    <w:rsid w:val="3D8B188A"/>
    <w:rsid w:val="3D8D3D0C"/>
    <w:rsid w:val="3D9346FF"/>
    <w:rsid w:val="3D9B6325"/>
    <w:rsid w:val="3D9E099E"/>
    <w:rsid w:val="3D9F0CFF"/>
    <w:rsid w:val="3DAC13EF"/>
    <w:rsid w:val="3DC12A8D"/>
    <w:rsid w:val="3DC347D8"/>
    <w:rsid w:val="3DCA38F3"/>
    <w:rsid w:val="3DD1022C"/>
    <w:rsid w:val="3DDC5E5D"/>
    <w:rsid w:val="3DDD52FE"/>
    <w:rsid w:val="3DE3420C"/>
    <w:rsid w:val="3DE728A6"/>
    <w:rsid w:val="3E074818"/>
    <w:rsid w:val="3E0A31B4"/>
    <w:rsid w:val="3E104C18"/>
    <w:rsid w:val="3E187C4F"/>
    <w:rsid w:val="3E193C28"/>
    <w:rsid w:val="3E1D1798"/>
    <w:rsid w:val="3E2029C3"/>
    <w:rsid w:val="3E223A4C"/>
    <w:rsid w:val="3E3036EF"/>
    <w:rsid w:val="3E334F17"/>
    <w:rsid w:val="3E337C56"/>
    <w:rsid w:val="3E374219"/>
    <w:rsid w:val="3E3819C5"/>
    <w:rsid w:val="3E575EB2"/>
    <w:rsid w:val="3E5E4CE2"/>
    <w:rsid w:val="3E5F7138"/>
    <w:rsid w:val="3E661A24"/>
    <w:rsid w:val="3E6C21B4"/>
    <w:rsid w:val="3E6D43B7"/>
    <w:rsid w:val="3E7E4FF8"/>
    <w:rsid w:val="3E871E9C"/>
    <w:rsid w:val="3E9729DE"/>
    <w:rsid w:val="3EAF317D"/>
    <w:rsid w:val="3EC25D86"/>
    <w:rsid w:val="3EC806C7"/>
    <w:rsid w:val="3EC8598D"/>
    <w:rsid w:val="3ECF4A85"/>
    <w:rsid w:val="3ED65924"/>
    <w:rsid w:val="3ED6692D"/>
    <w:rsid w:val="3ED73C98"/>
    <w:rsid w:val="3ED76D8F"/>
    <w:rsid w:val="3EDA09DE"/>
    <w:rsid w:val="3EDA7AD3"/>
    <w:rsid w:val="3EE20C4F"/>
    <w:rsid w:val="3EF5674E"/>
    <w:rsid w:val="3EFB0C4B"/>
    <w:rsid w:val="3EFE7BC3"/>
    <w:rsid w:val="3F0C1B36"/>
    <w:rsid w:val="3F10583B"/>
    <w:rsid w:val="3F1B0B9E"/>
    <w:rsid w:val="3F341694"/>
    <w:rsid w:val="3F3E0C98"/>
    <w:rsid w:val="3F441F51"/>
    <w:rsid w:val="3F471039"/>
    <w:rsid w:val="3F5004D7"/>
    <w:rsid w:val="3F5117F0"/>
    <w:rsid w:val="3F627D50"/>
    <w:rsid w:val="3F684294"/>
    <w:rsid w:val="3F6C0692"/>
    <w:rsid w:val="3F726508"/>
    <w:rsid w:val="3F76302C"/>
    <w:rsid w:val="3F770092"/>
    <w:rsid w:val="3F8157B1"/>
    <w:rsid w:val="3F8730EA"/>
    <w:rsid w:val="3F8B1863"/>
    <w:rsid w:val="3F8F7AFB"/>
    <w:rsid w:val="3F9712F6"/>
    <w:rsid w:val="3FA81AB1"/>
    <w:rsid w:val="3FAB0912"/>
    <w:rsid w:val="3FC46CC0"/>
    <w:rsid w:val="3FC86CFC"/>
    <w:rsid w:val="3FCA3635"/>
    <w:rsid w:val="3FDB1CDB"/>
    <w:rsid w:val="3FDE0811"/>
    <w:rsid w:val="3FE155C0"/>
    <w:rsid w:val="3FE2015A"/>
    <w:rsid w:val="3FE8060A"/>
    <w:rsid w:val="3FEA7D6F"/>
    <w:rsid w:val="3FFD3C98"/>
    <w:rsid w:val="40020BDD"/>
    <w:rsid w:val="40086C12"/>
    <w:rsid w:val="40110AA2"/>
    <w:rsid w:val="401867CE"/>
    <w:rsid w:val="40196C3D"/>
    <w:rsid w:val="40206012"/>
    <w:rsid w:val="40246424"/>
    <w:rsid w:val="4027064B"/>
    <w:rsid w:val="402F2CC9"/>
    <w:rsid w:val="403567F8"/>
    <w:rsid w:val="40377BAE"/>
    <w:rsid w:val="403D50D6"/>
    <w:rsid w:val="40483F7E"/>
    <w:rsid w:val="40522035"/>
    <w:rsid w:val="40545563"/>
    <w:rsid w:val="405B052C"/>
    <w:rsid w:val="405E7E7B"/>
    <w:rsid w:val="406515E0"/>
    <w:rsid w:val="407F1865"/>
    <w:rsid w:val="408B7CDE"/>
    <w:rsid w:val="408D3068"/>
    <w:rsid w:val="40964B8E"/>
    <w:rsid w:val="409C1D66"/>
    <w:rsid w:val="409C5EB1"/>
    <w:rsid w:val="40A65395"/>
    <w:rsid w:val="40B57D40"/>
    <w:rsid w:val="40B609C8"/>
    <w:rsid w:val="40B9260C"/>
    <w:rsid w:val="40BB1822"/>
    <w:rsid w:val="40BF7ECD"/>
    <w:rsid w:val="40C23316"/>
    <w:rsid w:val="40CC3F33"/>
    <w:rsid w:val="40CD662E"/>
    <w:rsid w:val="40CE7719"/>
    <w:rsid w:val="40D51C99"/>
    <w:rsid w:val="40D72E79"/>
    <w:rsid w:val="40DF169A"/>
    <w:rsid w:val="40E90D03"/>
    <w:rsid w:val="40EA4AF7"/>
    <w:rsid w:val="40EF0231"/>
    <w:rsid w:val="40F550A5"/>
    <w:rsid w:val="40FA0FB1"/>
    <w:rsid w:val="40FB004B"/>
    <w:rsid w:val="40FE0424"/>
    <w:rsid w:val="40FE3ABE"/>
    <w:rsid w:val="410400E1"/>
    <w:rsid w:val="410C7C9A"/>
    <w:rsid w:val="41247E9B"/>
    <w:rsid w:val="412B0417"/>
    <w:rsid w:val="41326D0B"/>
    <w:rsid w:val="41421397"/>
    <w:rsid w:val="41441244"/>
    <w:rsid w:val="414530C6"/>
    <w:rsid w:val="414A41E1"/>
    <w:rsid w:val="414C6C45"/>
    <w:rsid w:val="414E1551"/>
    <w:rsid w:val="415F5141"/>
    <w:rsid w:val="4168405F"/>
    <w:rsid w:val="416D050B"/>
    <w:rsid w:val="416E16C4"/>
    <w:rsid w:val="416F46C8"/>
    <w:rsid w:val="417A48C0"/>
    <w:rsid w:val="41863BB3"/>
    <w:rsid w:val="41876BAE"/>
    <w:rsid w:val="41897DE6"/>
    <w:rsid w:val="418F2910"/>
    <w:rsid w:val="41983086"/>
    <w:rsid w:val="41A52C33"/>
    <w:rsid w:val="41A678F0"/>
    <w:rsid w:val="41A91160"/>
    <w:rsid w:val="41A934C4"/>
    <w:rsid w:val="41AC71C7"/>
    <w:rsid w:val="41AD64B0"/>
    <w:rsid w:val="41B11244"/>
    <w:rsid w:val="41B85B17"/>
    <w:rsid w:val="41BB4DE8"/>
    <w:rsid w:val="41C059A7"/>
    <w:rsid w:val="41CF00F4"/>
    <w:rsid w:val="41D15DA4"/>
    <w:rsid w:val="41D62536"/>
    <w:rsid w:val="41E334E3"/>
    <w:rsid w:val="41E76530"/>
    <w:rsid w:val="41EF27A6"/>
    <w:rsid w:val="41F243D1"/>
    <w:rsid w:val="420161FE"/>
    <w:rsid w:val="4206007E"/>
    <w:rsid w:val="420E5576"/>
    <w:rsid w:val="42200B68"/>
    <w:rsid w:val="422E6622"/>
    <w:rsid w:val="42314BD7"/>
    <w:rsid w:val="423560DD"/>
    <w:rsid w:val="424016EB"/>
    <w:rsid w:val="42472CE7"/>
    <w:rsid w:val="42495D2B"/>
    <w:rsid w:val="425034AC"/>
    <w:rsid w:val="4259332F"/>
    <w:rsid w:val="4259428D"/>
    <w:rsid w:val="425A536D"/>
    <w:rsid w:val="42670652"/>
    <w:rsid w:val="426A134A"/>
    <w:rsid w:val="42706784"/>
    <w:rsid w:val="427068F3"/>
    <w:rsid w:val="428B0B36"/>
    <w:rsid w:val="428D4E78"/>
    <w:rsid w:val="428E1990"/>
    <w:rsid w:val="4291387C"/>
    <w:rsid w:val="42971013"/>
    <w:rsid w:val="42B15504"/>
    <w:rsid w:val="42B266A7"/>
    <w:rsid w:val="42BD4A71"/>
    <w:rsid w:val="42C14D37"/>
    <w:rsid w:val="42C934B2"/>
    <w:rsid w:val="42CE054E"/>
    <w:rsid w:val="4303615C"/>
    <w:rsid w:val="43085FAF"/>
    <w:rsid w:val="431154A0"/>
    <w:rsid w:val="431971D8"/>
    <w:rsid w:val="432A5D5B"/>
    <w:rsid w:val="43333BCD"/>
    <w:rsid w:val="433E558A"/>
    <w:rsid w:val="434C4DAC"/>
    <w:rsid w:val="435C552B"/>
    <w:rsid w:val="435D0E6F"/>
    <w:rsid w:val="43671E6F"/>
    <w:rsid w:val="43684E72"/>
    <w:rsid w:val="436B29A7"/>
    <w:rsid w:val="4375348E"/>
    <w:rsid w:val="43793EFC"/>
    <w:rsid w:val="437A48B7"/>
    <w:rsid w:val="437C71B3"/>
    <w:rsid w:val="438314A3"/>
    <w:rsid w:val="438F7A25"/>
    <w:rsid w:val="43922186"/>
    <w:rsid w:val="4395511F"/>
    <w:rsid w:val="439B4977"/>
    <w:rsid w:val="43A16CAA"/>
    <w:rsid w:val="43A504F9"/>
    <w:rsid w:val="43C62E86"/>
    <w:rsid w:val="43DB50E2"/>
    <w:rsid w:val="43E030FD"/>
    <w:rsid w:val="43E2761C"/>
    <w:rsid w:val="43E40D5A"/>
    <w:rsid w:val="43F1380E"/>
    <w:rsid w:val="43F55D47"/>
    <w:rsid w:val="43F64A75"/>
    <w:rsid w:val="43F869D7"/>
    <w:rsid w:val="43FD5C25"/>
    <w:rsid w:val="44082517"/>
    <w:rsid w:val="44090CD0"/>
    <w:rsid w:val="44096A38"/>
    <w:rsid w:val="440976C3"/>
    <w:rsid w:val="440A76CB"/>
    <w:rsid w:val="44140390"/>
    <w:rsid w:val="441528DF"/>
    <w:rsid w:val="44251CD7"/>
    <w:rsid w:val="443217DF"/>
    <w:rsid w:val="44325F7B"/>
    <w:rsid w:val="4439575A"/>
    <w:rsid w:val="443C4CDA"/>
    <w:rsid w:val="44452D1E"/>
    <w:rsid w:val="444566C4"/>
    <w:rsid w:val="444A1795"/>
    <w:rsid w:val="444D46BC"/>
    <w:rsid w:val="444F0D8E"/>
    <w:rsid w:val="44503A9E"/>
    <w:rsid w:val="44510A72"/>
    <w:rsid w:val="44561A06"/>
    <w:rsid w:val="445C1AE4"/>
    <w:rsid w:val="445F515C"/>
    <w:rsid w:val="44680EE4"/>
    <w:rsid w:val="44736CE3"/>
    <w:rsid w:val="447A3389"/>
    <w:rsid w:val="44943666"/>
    <w:rsid w:val="44943971"/>
    <w:rsid w:val="449A5BF6"/>
    <w:rsid w:val="44B44028"/>
    <w:rsid w:val="44B927DD"/>
    <w:rsid w:val="44BE6A7D"/>
    <w:rsid w:val="44C11165"/>
    <w:rsid w:val="44CE0708"/>
    <w:rsid w:val="44CF03A8"/>
    <w:rsid w:val="44D80090"/>
    <w:rsid w:val="44D92F31"/>
    <w:rsid w:val="44DA270A"/>
    <w:rsid w:val="44E92CC9"/>
    <w:rsid w:val="44E93F38"/>
    <w:rsid w:val="45043EEE"/>
    <w:rsid w:val="45045172"/>
    <w:rsid w:val="45071D7A"/>
    <w:rsid w:val="45092D31"/>
    <w:rsid w:val="45175304"/>
    <w:rsid w:val="451C1D1C"/>
    <w:rsid w:val="45245D79"/>
    <w:rsid w:val="453A1589"/>
    <w:rsid w:val="453C2E69"/>
    <w:rsid w:val="45444AD9"/>
    <w:rsid w:val="454A458D"/>
    <w:rsid w:val="454E022E"/>
    <w:rsid w:val="454E3F4B"/>
    <w:rsid w:val="45534D43"/>
    <w:rsid w:val="45577958"/>
    <w:rsid w:val="4569086E"/>
    <w:rsid w:val="456F6474"/>
    <w:rsid w:val="457108CD"/>
    <w:rsid w:val="458A190F"/>
    <w:rsid w:val="458D7CB3"/>
    <w:rsid w:val="45AB7048"/>
    <w:rsid w:val="45AF047D"/>
    <w:rsid w:val="45BD4C19"/>
    <w:rsid w:val="45C03B26"/>
    <w:rsid w:val="45CB73D8"/>
    <w:rsid w:val="45D20F91"/>
    <w:rsid w:val="45D335A5"/>
    <w:rsid w:val="45F577ED"/>
    <w:rsid w:val="45FA6827"/>
    <w:rsid w:val="45FF7011"/>
    <w:rsid w:val="460E7DB8"/>
    <w:rsid w:val="46123FD4"/>
    <w:rsid w:val="4618376E"/>
    <w:rsid w:val="46231F9F"/>
    <w:rsid w:val="462E1E45"/>
    <w:rsid w:val="463D218C"/>
    <w:rsid w:val="464554DF"/>
    <w:rsid w:val="465030A2"/>
    <w:rsid w:val="46560610"/>
    <w:rsid w:val="465F710D"/>
    <w:rsid w:val="46605AAC"/>
    <w:rsid w:val="466774A9"/>
    <w:rsid w:val="467F00CB"/>
    <w:rsid w:val="467F0857"/>
    <w:rsid w:val="46822559"/>
    <w:rsid w:val="46941781"/>
    <w:rsid w:val="46966932"/>
    <w:rsid w:val="469C2AC2"/>
    <w:rsid w:val="46A8186D"/>
    <w:rsid w:val="46A85307"/>
    <w:rsid w:val="46AE03AF"/>
    <w:rsid w:val="46B0282F"/>
    <w:rsid w:val="46B1542D"/>
    <w:rsid w:val="46B554D9"/>
    <w:rsid w:val="46C62EA1"/>
    <w:rsid w:val="46CD479E"/>
    <w:rsid w:val="46D64CEF"/>
    <w:rsid w:val="46D82CDD"/>
    <w:rsid w:val="46DC156E"/>
    <w:rsid w:val="46DD7D9D"/>
    <w:rsid w:val="46DF72E2"/>
    <w:rsid w:val="46E014AD"/>
    <w:rsid w:val="46E736B2"/>
    <w:rsid w:val="46EA187A"/>
    <w:rsid w:val="46EF764E"/>
    <w:rsid w:val="47026C62"/>
    <w:rsid w:val="47046288"/>
    <w:rsid w:val="470D5F5E"/>
    <w:rsid w:val="47126909"/>
    <w:rsid w:val="47142CFC"/>
    <w:rsid w:val="47167DE7"/>
    <w:rsid w:val="4719229D"/>
    <w:rsid w:val="472615FB"/>
    <w:rsid w:val="47352E10"/>
    <w:rsid w:val="47395C2C"/>
    <w:rsid w:val="4750607E"/>
    <w:rsid w:val="475827FC"/>
    <w:rsid w:val="47695842"/>
    <w:rsid w:val="478256E5"/>
    <w:rsid w:val="47873B1E"/>
    <w:rsid w:val="478D2353"/>
    <w:rsid w:val="47970978"/>
    <w:rsid w:val="47975B6C"/>
    <w:rsid w:val="479930C9"/>
    <w:rsid w:val="47A13BEE"/>
    <w:rsid w:val="47A721EC"/>
    <w:rsid w:val="47AC6344"/>
    <w:rsid w:val="47BC6CC5"/>
    <w:rsid w:val="47C121C4"/>
    <w:rsid w:val="47CA5547"/>
    <w:rsid w:val="47CB3F97"/>
    <w:rsid w:val="47CD4804"/>
    <w:rsid w:val="47D15B68"/>
    <w:rsid w:val="47D27B66"/>
    <w:rsid w:val="47DA3603"/>
    <w:rsid w:val="47DA6CF6"/>
    <w:rsid w:val="47DE1EBE"/>
    <w:rsid w:val="47DF71EF"/>
    <w:rsid w:val="47E21C25"/>
    <w:rsid w:val="47ED65A8"/>
    <w:rsid w:val="47EE73E4"/>
    <w:rsid w:val="47F138EC"/>
    <w:rsid w:val="47F23E9D"/>
    <w:rsid w:val="48046868"/>
    <w:rsid w:val="48056D16"/>
    <w:rsid w:val="48067C41"/>
    <w:rsid w:val="480B5B25"/>
    <w:rsid w:val="481321F7"/>
    <w:rsid w:val="48154F2C"/>
    <w:rsid w:val="482D44BA"/>
    <w:rsid w:val="4834321E"/>
    <w:rsid w:val="483B0970"/>
    <w:rsid w:val="483F1971"/>
    <w:rsid w:val="484363AA"/>
    <w:rsid w:val="484B1AF5"/>
    <w:rsid w:val="485130D8"/>
    <w:rsid w:val="48576AE3"/>
    <w:rsid w:val="485A1F46"/>
    <w:rsid w:val="485E0680"/>
    <w:rsid w:val="485E7B54"/>
    <w:rsid w:val="48647D06"/>
    <w:rsid w:val="486A573E"/>
    <w:rsid w:val="486D1090"/>
    <w:rsid w:val="487374F5"/>
    <w:rsid w:val="4874099D"/>
    <w:rsid w:val="48765C56"/>
    <w:rsid w:val="487F3DA3"/>
    <w:rsid w:val="48830A91"/>
    <w:rsid w:val="488C246E"/>
    <w:rsid w:val="488E6EA9"/>
    <w:rsid w:val="48931D90"/>
    <w:rsid w:val="48977BAE"/>
    <w:rsid w:val="48A266C7"/>
    <w:rsid w:val="48A75678"/>
    <w:rsid w:val="48B51C0E"/>
    <w:rsid w:val="48BD51DD"/>
    <w:rsid w:val="48C11074"/>
    <w:rsid w:val="48C75506"/>
    <w:rsid w:val="48CC6B40"/>
    <w:rsid w:val="48CD46FD"/>
    <w:rsid w:val="48CF1277"/>
    <w:rsid w:val="48D04900"/>
    <w:rsid w:val="48E13B6F"/>
    <w:rsid w:val="490206CB"/>
    <w:rsid w:val="490576C6"/>
    <w:rsid w:val="49076648"/>
    <w:rsid w:val="490F2197"/>
    <w:rsid w:val="49201E0B"/>
    <w:rsid w:val="493525AC"/>
    <w:rsid w:val="493E5F7A"/>
    <w:rsid w:val="49414173"/>
    <w:rsid w:val="494A6C90"/>
    <w:rsid w:val="494F5595"/>
    <w:rsid w:val="495102E3"/>
    <w:rsid w:val="49585B98"/>
    <w:rsid w:val="4961052F"/>
    <w:rsid w:val="496C69E9"/>
    <w:rsid w:val="49771447"/>
    <w:rsid w:val="497B3C4A"/>
    <w:rsid w:val="498A3C90"/>
    <w:rsid w:val="498E21CF"/>
    <w:rsid w:val="499909DE"/>
    <w:rsid w:val="499A3E47"/>
    <w:rsid w:val="49A43095"/>
    <w:rsid w:val="49A50E4D"/>
    <w:rsid w:val="49A65499"/>
    <w:rsid w:val="49A8126C"/>
    <w:rsid w:val="49AB288E"/>
    <w:rsid w:val="49BF1DFC"/>
    <w:rsid w:val="49C71ED3"/>
    <w:rsid w:val="49CB01F0"/>
    <w:rsid w:val="49D75DCF"/>
    <w:rsid w:val="49DA45FD"/>
    <w:rsid w:val="49DF5C2A"/>
    <w:rsid w:val="49ED7168"/>
    <w:rsid w:val="49F171DF"/>
    <w:rsid w:val="49F47C73"/>
    <w:rsid w:val="49FE70AB"/>
    <w:rsid w:val="4A0E0C18"/>
    <w:rsid w:val="4A156345"/>
    <w:rsid w:val="4A206F91"/>
    <w:rsid w:val="4A3E6F32"/>
    <w:rsid w:val="4A524284"/>
    <w:rsid w:val="4A543F3E"/>
    <w:rsid w:val="4A602E46"/>
    <w:rsid w:val="4A6153AE"/>
    <w:rsid w:val="4A722B78"/>
    <w:rsid w:val="4A747989"/>
    <w:rsid w:val="4A754D58"/>
    <w:rsid w:val="4A822E5E"/>
    <w:rsid w:val="4A885A6E"/>
    <w:rsid w:val="4A8E4FAB"/>
    <w:rsid w:val="4A8E668D"/>
    <w:rsid w:val="4A933815"/>
    <w:rsid w:val="4A992E61"/>
    <w:rsid w:val="4AA74C00"/>
    <w:rsid w:val="4ABF6018"/>
    <w:rsid w:val="4AC21C20"/>
    <w:rsid w:val="4AC35461"/>
    <w:rsid w:val="4ACF12FE"/>
    <w:rsid w:val="4AD516B3"/>
    <w:rsid w:val="4AD53BD3"/>
    <w:rsid w:val="4AD751B3"/>
    <w:rsid w:val="4AEA7F81"/>
    <w:rsid w:val="4AEF7BFA"/>
    <w:rsid w:val="4AF776D1"/>
    <w:rsid w:val="4B051A7C"/>
    <w:rsid w:val="4B0535A0"/>
    <w:rsid w:val="4B0E246B"/>
    <w:rsid w:val="4B0F2EBA"/>
    <w:rsid w:val="4B126B0C"/>
    <w:rsid w:val="4B143C6A"/>
    <w:rsid w:val="4B2757B1"/>
    <w:rsid w:val="4B4175EF"/>
    <w:rsid w:val="4B4810E4"/>
    <w:rsid w:val="4B4E67ED"/>
    <w:rsid w:val="4B533012"/>
    <w:rsid w:val="4B570F98"/>
    <w:rsid w:val="4B614959"/>
    <w:rsid w:val="4B790119"/>
    <w:rsid w:val="4B8321B8"/>
    <w:rsid w:val="4BAF69E2"/>
    <w:rsid w:val="4BBD09A9"/>
    <w:rsid w:val="4BC51F05"/>
    <w:rsid w:val="4BC64DBA"/>
    <w:rsid w:val="4BC77095"/>
    <w:rsid w:val="4BE40365"/>
    <w:rsid w:val="4BEA0D61"/>
    <w:rsid w:val="4BFA21EE"/>
    <w:rsid w:val="4BFC7890"/>
    <w:rsid w:val="4BFD330D"/>
    <w:rsid w:val="4C0C7D10"/>
    <w:rsid w:val="4C10328D"/>
    <w:rsid w:val="4C1417B0"/>
    <w:rsid w:val="4C19238C"/>
    <w:rsid w:val="4C1D0579"/>
    <w:rsid w:val="4C2F735C"/>
    <w:rsid w:val="4C4754C7"/>
    <w:rsid w:val="4C4E5B44"/>
    <w:rsid w:val="4C4E6ADE"/>
    <w:rsid w:val="4C532183"/>
    <w:rsid w:val="4C540243"/>
    <w:rsid w:val="4C612B1E"/>
    <w:rsid w:val="4C650FD0"/>
    <w:rsid w:val="4C686C20"/>
    <w:rsid w:val="4C767D98"/>
    <w:rsid w:val="4C787C2B"/>
    <w:rsid w:val="4C946587"/>
    <w:rsid w:val="4CA35A2A"/>
    <w:rsid w:val="4CA73A92"/>
    <w:rsid w:val="4CAC5440"/>
    <w:rsid w:val="4CBC2DAB"/>
    <w:rsid w:val="4CC62CEE"/>
    <w:rsid w:val="4CD40150"/>
    <w:rsid w:val="4CF17A76"/>
    <w:rsid w:val="4CF22E02"/>
    <w:rsid w:val="4CF75FB8"/>
    <w:rsid w:val="4D037BEF"/>
    <w:rsid w:val="4D071C98"/>
    <w:rsid w:val="4D2B217D"/>
    <w:rsid w:val="4D2D6BC3"/>
    <w:rsid w:val="4D304885"/>
    <w:rsid w:val="4D312223"/>
    <w:rsid w:val="4D402E36"/>
    <w:rsid w:val="4D4A3B61"/>
    <w:rsid w:val="4D4B3FB8"/>
    <w:rsid w:val="4D4E473C"/>
    <w:rsid w:val="4D5B2E4E"/>
    <w:rsid w:val="4D875399"/>
    <w:rsid w:val="4D91092D"/>
    <w:rsid w:val="4D9821CD"/>
    <w:rsid w:val="4D9B0E66"/>
    <w:rsid w:val="4DB27B79"/>
    <w:rsid w:val="4DB936D8"/>
    <w:rsid w:val="4DBC52F3"/>
    <w:rsid w:val="4DCA5DEE"/>
    <w:rsid w:val="4DCC3C82"/>
    <w:rsid w:val="4DD43DEF"/>
    <w:rsid w:val="4DD63251"/>
    <w:rsid w:val="4DE44BB6"/>
    <w:rsid w:val="4DE92E89"/>
    <w:rsid w:val="4DEA4F68"/>
    <w:rsid w:val="4DEE5B17"/>
    <w:rsid w:val="4DFA0DB0"/>
    <w:rsid w:val="4DFD3A46"/>
    <w:rsid w:val="4E053779"/>
    <w:rsid w:val="4E056FA1"/>
    <w:rsid w:val="4E1368E4"/>
    <w:rsid w:val="4E162E8F"/>
    <w:rsid w:val="4E27256A"/>
    <w:rsid w:val="4E2D117D"/>
    <w:rsid w:val="4E37211D"/>
    <w:rsid w:val="4E415687"/>
    <w:rsid w:val="4E4C7C85"/>
    <w:rsid w:val="4E50268D"/>
    <w:rsid w:val="4E560FF2"/>
    <w:rsid w:val="4E6A0853"/>
    <w:rsid w:val="4E7125F5"/>
    <w:rsid w:val="4E735C2F"/>
    <w:rsid w:val="4E7567D8"/>
    <w:rsid w:val="4E836D12"/>
    <w:rsid w:val="4E87161B"/>
    <w:rsid w:val="4E902FB4"/>
    <w:rsid w:val="4E946A74"/>
    <w:rsid w:val="4E980598"/>
    <w:rsid w:val="4E993662"/>
    <w:rsid w:val="4E996F31"/>
    <w:rsid w:val="4EA90E08"/>
    <w:rsid w:val="4EB7162E"/>
    <w:rsid w:val="4EBA59E8"/>
    <w:rsid w:val="4EC43105"/>
    <w:rsid w:val="4EC92C26"/>
    <w:rsid w:val="4EC959FB"/>
    <w:rsid w:val="4ED248AD"/>
    <w:rsid w:val="4EE53749"/>
    <w:rsid w:val="4EFF5CFC"/>
    <w:rsid w:val="4F006E94"/>
    <w:rsid w:val="4F043DCB"/>
    <w:rsid w:val="4F0D25F2"/>
    <w:rsid w:val="4F1B0E13"/>
    <w:rsid w:val="4F1C5C31"/>
    <w:rsid w:val="4F2303BB"/>
    <w:rsid w:val="4F28064A"/>
    <w:rsid w:val="4F2A730E"/>
    <w:rsid w:val="4F357254"/>
    <w:rsid w:val="4F365413"/>
    <w:rsid w:val="4F3C5D0C"/>
    <w:rsid w:val="4F4C52F8"/>
    <w:rsid w:val="4F4F0102"/>
    <w:rsid w:val="4F53504A"/>
    <w:rsid w:val="4F572393"/>
    <w:rsid w:val="4F6C6683"/>
    <w:rsid w:val="4F6C66E4"/>
    <w:rsid w:val="4F79006E"/>
    <w:rsid w:val="4F8B62DD"/>
    <w:rsid w:val="4F983C30"/>
    <w:rsid w:val="4F9C5137"/>
    <w:rsid w:val="4FB11427"/>
    <w:rsid w:val="4FB9384E"/>
    <w:rsid w:val="4FBA60C4"/>
    <w:rsid w:val="4FBE30CF"/>
    <w:rsid w:val="4FBE7E4D"/>
    <w:rsid w:val="4FC74737"/>
    <w:rsid w:val="4FE029CD"/>
    <w:rsid w:val="4FE71747"/>
    <w:rsid w:val="4FE939B8"/>
    <w:rsid w:val="4FEA5168"/>
    <w:rsid w:val="4FED5B7D"/>
    <w:rsid w:val="4FFB21C1"/>
    <w:rsid w:val="500109A3"/>
    <w:rsid w:val="50067068"/>
    <w:rsid w:val="50092A96"/>
    <w:rsid w:val="500C2CB6"/>
    <w:rsid w:val="500D079D"/>
    <w:rsid w:val="501F06F5"/>
    <w:rsid w:val="501F1868"/>
    <w:rsid w:val="50213A2A"/>
    <w:rsid w:val="50390E93"/>
    <w:rsid w:val="503924E7"/>
    <w:rsid w:val="503B6F90"/>
    <w:rsid w:val="505304DC"/>
    <w:rsid w:val="50603A88"/>
    <w:rsid w:val="50613E54"/>
    <w:rsid w:val="50682A1C"/>
    <w:rsid w:val="50691606"/>
    <w:rsid w:val="507A71A3"/>
    <w:rsid w:val="507E6FFD"/>
    <w:rsid w:val="507F0570"/>
    <w:rsid w:val="509141B5"/>
    <w:rsid w:val="509A506D"/>
    <w:rsid w:val="50A20413"/>
    <w:rsid w:val="50AF5CD8"/>
    <w:rsid w:val="50B32508"/>
    <w:rsid w:val="50B65F69"/>
    <w:rsid w:val="50BE3B7F"/>
    <w:rsid w:val="50C11629"/>
    <w:rsid w:val="50CF3861"/>
    <w:rsid w:val="50D06254"/>
    <w:rsid w:val="50D764D9"/>
    <w:rsid w:val="50F206CF"/>
    <w:rsid w:val="50F27424"/>
    <w:rsid w:val="50F44A07"/>
    <w:rsid w:val="50F9320E"/>
    <w:rsid w:val="51030570"/>
    <w:rsid w:val="51037617"/>
    <w:rsid w:val="51081BAA"/>
    <w:rsid w:val="510D315F"/>
    <w:rsid w:val="51266739"/>
    <w:rsid w:val="51267DA6"/>
    <w:rsid w:val="512C144C"/>
    <w:rsid w:val="51352025"/>
    <w:rsid w:val="51492299"/>
    <w:rsid w:val="514B308A"/>
    <w:rsid w:val="514D604F"/>
    <w:rsid w:val="514D7BA8"/>
    <w:rsid w:val="514E1461"/>
    <w:rsid w:val="51594449"/>
    <w:rsid w:val="516708C5"/>
    <w:rsid w:val="516F2CB8"/>
    <w:rsid w:val="51743CCA"/>
    <w:rsid w:val="51773DF0"/>
    <w:rsid w:val="517942DE"/>
    <w:rsid w:val="517D298A"/>
    <w:rsid w:val="51820EB3"/>
    <w:rsid w:val="51826F62"/>
    <w:rsid w:val="518638AC"/>
    <w:rsid w:val="51892360"/>
    <w:rsid w:val="518A33FE"/>
    <w:rsid w:val="51967356"/>
    <w:rsid w:val="519E60BC"/>
    <w:rsid w:val="51B81224"/>
    <w:rsid w:val="51CC5923"/>
    <w:rsid w:val="51CD2AE2"/>
    <w:rsid w:val="51D100B6"/>
    <w:rsid w:val="51D11E35"/>
    <w:rsid w:val="51E147C8"/>
    <w:rsid w:val="51FC5A3F"/>
    <w:rsid w:val="51FC6036"/>
    <w:rsid w:val="52122FE0"/>
    <w:rsid w:val="521760F0"/>
    <w:rsid w:val="522118C5"/>
    <w:rsid w:val="522419E2"/>
    <w:rsid w:val="52244D33"/>
    <w:rsid w:val="52281F5D"/>
    <w:rsid w:val="5239023E"/>
    <w:rsid w:val="523B01CE"/>
    <w:rsid w:val="523B6DDC"/>
    <w:rsid w:val="523D170B"/>
    <w:rsid w:val="523D4695"/>
    <w:rsid w:val="52491D8F"/>
    <w:rsid w:val="524E15C7"/>
    <w:rsid w:val="52522AE6"/>
    <w:rsid w:val="5256775F"/>
    <w:rsid w:val="52577626"/>
    <w:rsid w:val="525D65C9"/>
    <w:rsid w:val="52647BBF"/>
    <w:rsid w:val="52661BA2"/>
    <w:rsid w:val="526A0707"/>
    <w:rsid w:val="52753B05"/>
    <w:rsid w:val="52764A98"/>
    <w:rsid w:val="52810338"/>
    <w:rsid w:val="5282668D"/>
    <w:rsid w:val="528A1D07"/>
    <w:rsid w:val="52914D69"/>
    <w:rsid w:val="52966EC7"/>
    <w:rsid w:val="5298747E"/>
    <w:rsid w:val="529A1C53"/>
    <w:rsid w:val="529A4857"/>
    <w:rsid w:val="529C2375"/>
    <w:rsid w:val="52A10A93"/>
    <w:rsid w:val="52A35E67"/>
    <w:rsid w:val="52A41D74"/>
    <w:rsid w:val="52B024E1"/>
    <w:rsid w:val="52B12D01"/>
    <w:rsid w:val="52BF28D2"/>
    <w:rsid w:val="52C07533"/>
    <w:rsid w:val="52C318D8"/>
    <w:rsid w:val="52C94A43"/>
    <w:rsid w:val="52CB753B"/>
    <w:rsid w:val="52D0127E"/>
    <w:rsid w:val="52DD14A5"/>
    <w:rsid w:val="52DF260F"/>
    <w:rsid w:val="52DF426D"/>
    <w:rsid w:val="52F87E10"/>
    <w:rsid w:val="53023229"/>
    <w:rsid w:val="53032D2B"/>
    <w:rsid w:val="530A2712"/>
    <w:rsid w:val="53121F03"/>
    <w:rsid w:val="533803F2"/>
    <w:rsid w:val="533A4A86"/>
    <w:rsid w:val="533C045B"/>
    <w:rsid w:val="53473A1A"/>
    <w:rsid w:val="5347583E"/>
    <w:rsid w:val="534A23E6"/>
    <w:rsid w:val="53516272"/>
    <w:rsid w:val="53535237"/>
    <w:rsid w:val="53635CAA"/>
    <w:rsid w:val="536674F9"/>
    <w:rsid w:val="536E43F9"/>
    <w:rsid w:val="53707E51"/>
    <w:rsid w:val="53786AFB"/>
    <w:rsid w:val="537C6DBE"/>
    <w:rsid w:val="539210FF"/>
    <w:rsid w:val="539812C2"/>
    <w:rsid w:val="53A40B0C"/>
    <w:rsid w:val="53C144C0"/>
    <w:rsid w:val="53C424A2"/>
    <w:rsid w:val="53C50FB2"/>
    <w:rsid w:val="53DD075B"/>
    <w:rsid w:val="53F006F6"/>
    <w:rsid w:val="53F6579D"/>
    <w:rsid w:val="53FB4AE5"/>
    <w:rsid w:val="54006686"/>
    <w:rsid w:val="540E21CF"/>
    <w:rsid w:val="541071BD"/>
    <w:rsid w:val="54111829"/>
    <w:rsid w:val="541D66A8"/>
    <w:rsid w:val="542F5077"/>
    <w:rsid w:val="543363B4"/>
    <w:rsid w:val="54392D20"/>
    <w:rsid w:val="543B030F"/>
    <w:rsid w:val="543E6C95"/>
    <w:rsid w:val="54402067"/>
    <w:rsid w:val="54410C1D"/>
    <w:rsid w:val="544C338E"/>
    <w:rsid w:val="545026CA"/>
    <w:rsid w:val="5468073D"/>
    <w:rsid w:val="546B318F"/>
    <w:rsid w:val="547675CD"/>
    <w:rsid w:val="54801A42"/>
    <w:rsid w:val="548026B8"/>
    <w:rsid w:val="54811D86"/>
    <w:rsid w:val="548703B5"/>
    <w:rsid w:val="548B197C"/>
    <w:rsid w:val="54961658"/>
    <w:rsid w:val="549E2F4E"/>
    <w:rsid w:val="54AA18DC"/>
    <w:rsid w:val="54AA1C43"/>
    <w:rsid w:val="54B045FA"/>
    <w:rsid w:val="54B30BDB"/>
    <w:rsid w:val="54BE46AB"/>
    <w:rsid w:val="54CD2827"/>
    <w:rsid w:val="54D04297"/>
    <w:rsid w:val="54D3539D"/>
    <w:rsid w:val="54D4222D"/>
    <w:rsid w:val="54E9213E"/>
    <w:rsid w:val="54EA13C7"/>
    <w:rsid w:val="54EC77E6"/>
    <w:rsid w:val="54FA0BEF"/>
    <w:rsid w:val="54FB6C4F"/>
    <w:rsid w:val="5501637C"/>
    <w:rsid w:val="55054AD8"/>
    <w:rsid w:val="550730DD"/>
    <w:rsid w:val="550E5CA0"/>
    <w:rsid w:val="551A767C"/>
    <w:rsid w:val="5520360D"/>
    <w:rsid w:val="55237E3B"/>
    <w:rsid w:val="55264119"/>
    <w:rsid w:val="55301EB5"/>
    <w:rsid w:val="55303840"/>
    <w:rsid w:val="553367C6"/>
    <w:rsid w:val="55395E73"/>
    <w:rsid w:val="553A05B0"/>
    <w:rsid w:val="554A4708"/>
    <w:rsid w:val="554E2999"/>
    <w:rsid w:val="5556260F"/>
    <w:rsid w:val="555B080B"/>
    <w:rsid w:val="555B5A67"/>
    <w:rsid w:val="555D5DE9"/>
    <w:rsid w:val="5568620C"/>
    <w:rsid w:val="5571751D"/>
    <w:rsid w:val="5577427F"/>
    <w:rsid w:val="557E6D53"/>
    <w:rsid w:val="55892815"/>
    <w:rsid w:val="55937CF9"/>
    <w:rsid w:val="559A7B62"/>
    <w:rsid w:val="55A25C83"/>
    <w:rsid w:val="55AD68BD"/>
    <w:rsid w:val="55B67F91"/>
    <w:rsid w:val="55BB3EDC"/>
    <w:rsid w:val="55CF7B37"/>
    <w:rsid w:val="55D21155"/>
    <w:rsid w:val="55D30262"/>
    <w:rsid w:val="55D612F9"/>
    <w:rsid w:val="55DC6A52"/>
    <w:rsid w:val="55E51C4B"/>
    <w:rsid w:val="55E71308"/>
    <w:rsid w:val="55F721DF"/>
    <w:rsid w:val="56000CC1"/>
    <w:rsid w:val="56037C2C"/>
    <w:rsid w:val="560E3782"/>
    <w:rsid w:val="561910F3"/>
    <w:rsid w:val="561A15EC"/>
    <w:rsid w:val="56232630"/>
    <w:rsid w:val="56345BA1"/>
    <w:rsid w:val="56464074"/>
    <w:rsid w:val="56537619"/>
    <w:rsid w:val="5655499F"/>
    <w:rsid w:val="565C20A5"/>
    <w:rsid w:val="565E4B55"/>
    <w:rsid w:val="565F2F34"/>
    <w:rsid w:val="5668754C"/>
    <w:rsid w:val="566B5A4A"/>
    <w:rsid w:val="56774281"/>
    <w:rsid w:val="567B603C"/>
    <w:rsid w:val="567C0469"/>
    <w:rsid w:val="5680033E"/>
    <w:rsid w:val="56814E26"/>
    <w:rsid w:val="56862275"/>
    <w:rsid w:val="568F5EC7"/>
    <w:rsid w:val="569237AD"/>
    <w:rsid w:val="56941F0F"/>
    <w:rsid w:val="56947582"/>
    <w:rsid w:val="56A6455A"/>
    <w:rsid w:val="56A671B5"/>
    <w:rsid w:val="56B90720"/>
    <w:rsid w:val="56BB1FC0"/>
    <w:rsid w:val="56BC6FEB"/>
    <w:rsid w:val="56BD3E55"/>
    <w:rsid w:val="56EC19D8"/>
    <w:rsid w:val="56F706F0"/>
    <w:rsid w:val="56F90D83"/>
    <w:rsid w:val="56FE7ECF"/>
    <w:rsid w:val="570A461A"/>
    <w:rsid w:val="571018FF"/>
    <w:rsid w:val="57106E22"/>
    <w:rsid w:val="571B118C"/>
    <w:rsid w:val="571D172C"/>
    <w:rsid w:val="57315462"/>
    <w:rsid w:val="573D2D6F"/>
    <w:rsid w:val="5740680B"/>
    <w:rsid w:val="574D2915"/>
    <w:rsid w:val="57540924"/>
    <w:rsid w:val="575801B5"/>
    <w:rsid w:val="575A1779"/>
    <w:rsid w:val="575E24D8"/>
    <w:rsid w:val="5761295D"/>
    <w:rsid w:val="57693CD6"/>
    <w:rsid w:val="577665EF"/>
    <w:rsid w:val="57813548"/>
    <w:rsid w:val="57912359"/>
    <w:rsid w:val="57927C61"/>
    <w:rsid w:val="57976439"/>
    <w:rsid w:val="579A6136"/>
    <w:rsid w:val="57A12349"/>
    <w:rsid w:val="57A349FE"/>
    <w:rsid w:val="57AE2018"/>
    <w:rsid w:val="57B0782D"/>
    <w:rsid w:val="57BB0085"/>
    <w:rsid w:val="57C21577"/>
    <w:rsid w:val="57C849CC"/>
    <w:rsid w:val="57D034BC"/>
    <w:rsid w:val="57D52D65"/>
    <w:rsid w:val="57E11F7B"/>
    <w:rsid w:val="57F2195E"/>
    <w:rsid w:val="57F31A21"/>
    <w:rsid w:val="57F37A8D"/>
    <w:rsid w:val="580641CF"/>
    <w:rsid w:val="580D30C9"/>
    <w:rsid w:val="581177FF"/>
    <w:rsid w:val="581B4202"/>
    <w:rsid w:val="581C0D8C"/>
    <w:rsid w:val="58202B8C"/>
    <w:rsid w:val="582B1CB3"/>
    <w:rsid w:val="582E04B0"/>
    <w:rsid w:val="583211FB"/>
    <w:rsid w:val="58364EB4"/>
    <w:rsid w:val="583E36D4"/>
    <w:rsid w:val="58547117"/>
    <w:rsid w:val="585D6B2A"/>
    <w:rsid w:val="58607D41"/>
    <w:rsid w:val="586F1966"/>
    <w:rsid w:val="58725FDA"/>
    <w:rsid w:val="58730345"/>
    <w:rsid w:val="58752A14"/>
    <w:rsid w:val="5875302D"/>
    <w:rsid w:val="587B711F"/>
    <w:rsid w:val="588B124F"/>
    <w:rsid w:val="58951DDC"/>
    <w:rsid w:val="58A6526A"/>
    <w:rsid w:val="58B73007"/>
    <w:rsid w:val="58BD7DAD"/>
    <w:rsid w:val="58BE7784"/>
    <w:rsid w:val="58C24374"/>
    <w:rsid w:val="58C808A6"/>
    <w:rsid w:val="58D67801"/>
    <w:rsid w:val="58D8483B"/>
    <w:rsid w:val="58E304AE"/>
    <w:rsid w:val="58EF320E"/>
    <w:rsid w:val="58F11243"/>
    <w:rsid w:val="58FD4737"/>
    <w:rsid w:val="59026029"/>
    <w:rsid w:val="5912570E"/>
    <w:rsid w:val="59147B55"/>
    <w:rsid w:val="59173F11"/>
    <w:rsid w:val="59310BAE"/>
    <w:rsid w:val="59332F70"/>
    <w:rsid w:val="5935414C"/>
    <w:rsid w:val="5936547F"/>
    <w:rsid w:val="593749B1"/>
    <w:rsid w:val="593F0B42"/>
    <w:rsid w:val="594012B1"/>
    <w:rsid w:val="594271EC"/>
    <w:rsid w:val="594D49E2"/>
    <w:rsid w:val="59513525"/>
    <w:rsid w:val="59554C37"/>
    <w:rsid w:val="595647DB"/>
    <w:rsid w:val="597B2277"/>
    <w:rsid w:val="59815015"/>
    <w:rsid w:val="59865975"/>
    <w:rsid w:val="5989340C"/>
    <w:rsid w:val="59895829"/>
    <w:rsid w:val="59926344"/>
    <w:rsid w:val="59A71C65"/>
    <w:rsid w:val="59AA730E"/>
    <w:rsid w:val="59AB5DC7"/>
    <w:rsid w:val="59AC4462"/>
    <w:rsid w:val="59B00B7A"/>
    <w:rsid w:val="59B5617B"/>
    <w:rsid w:val="59C67CE0"/>
    <w:rsid w:val="59CA722B"/>
    <w:rsid w:val="59D75C8C"/>
    <w:rsid w:val="59F21875"/>
    <w:rsid w:val="59FC1E42"/>
    <w:rsid w:val="59FE3128"/>
    <w:rsid w:val="5A046260"/>
    <w:rsid w:val="5A0B0104"/>
    <w:rsid w:val="5A157A59"/>
    <w:rsid w:val="5A242C61"/>
    <w:rsid w:val="5A273F7A"/>
    <w:rsid w:val="5A2B1D8F"/>
    <w:rsid w:val="5A3111DB"/>
    <w:rsid w:val="5A4A28D9"/>
    <w:rsid w:val="5A5856EC"/>
    <w:rsid w:val="5A58592C"/>
    <w:rsid w:val="5A6C7ECE"/>
    <w:rsid w:val="5A6D3DB9"/>
    <w:rsid w:val="5A7A7F0E"/>
    <w:rsid w:val="5A7B24A0"/>
    <w:rsid w:val="5A7C1D85"/>
    <w:rsid w:val="5A7E5ABA"/>
    <w:rsid w:val="5A80752F"/>
    <w:rsid w:val="5AAF32C2"/>
    <w:rsid w:val="5AB27433"/>
    <w:rsid w:val="5ABA532A"/>
    <w:rsid w:val="5ABE53C5"/>
    <w:rsid w:val="5AC15104"/>
    <w:rsid w:val="5AC72B82"/>
    <w:rsid w:val="5AC82D2E"/>
    <w:rsid w:val="5AC973DB"/>
    <w:rsid w:val="5ACA4A97"/>
    <w:rsid w:val="5AD17C87"/>
    <w:rsid w:val="5ADF0A50"/>
    <w:rsid w:val="5ADF381B"/>
    <w:rsid w:val="5AE00AD5"/>
    <w:rsid w:val="5AE31780"/>
    <w:rsid w:val="5AE339C6"/>
    <w:rsid w:val="5AEE110F"/>
    <w:rsid w:val="5AF63469"/>
    <w:rsid w:val="5AFA6355"/>
    <w:rsid w:val="5AFB080D"/>
    <w:rsid w:val="5AFC42E5"/>
    <w:rsid w:val="5B0B208A"/>
    <w:rsid w:val="5B19609D"/>
    <w:rsid w:val="5B215B8E"/>
    <w:rsid w:val="5B237BC5"/>
    <w:rsid w:val="5B26628E"/>
    <w:rsid w:val="5B2B019D"/>
    <w:rsid w:val="5B2E46D5"/>
    <w:rsid w:val="5B3A67AC"/>
    <w:rsid w:val="5B4F4E20"/>
    <w:rsid w:val="5B4F61F9"/>
    <w:rsid w:val="5B5D3EC2"/>
    <w:rsid w:val="5B6E4B37"/>
    <w:rsid w:val="5B7400EC"/>
    <w:rsid w:val="5B836A27"/>
    <w:rsid w:val="5B925321"/>
    <w:rsid w:val="5B943A02"/>
    <w:rsid w:val="5B9D7DB6"/>
    <w:rsid w:val="5BA2514A"/>
    <w:rsid w:val="5BA2578D"/>
    <w:rsid w:val="5BA47329"/>
    <w:rsid w:val="5BB36A8E"/>
    <w:rsid w:val="5BBC1E99"/>
    <w:rsid w:val="5BC0473A"/>
    <w:rsid w:val="5BC21260"/>
    <w:rsid w:val="5BC64A1D"/>
    <w:rsid w:val="5BC935C2"/>
    <w:rsid w:val="5BCD2F4D"/>
    <w:rsid w:val="5BCD5C15"/>
    <w:rsid w:val="5BD1551F"/>
    <w:rsid w:val="5BD1775E"/>
    <w:rsid w:val="5BD21D24"/>
    <w:rsid w:val="5BD712CE"/>
    <w:rsid w:val="5BDD4784"/>
    <w:rsid w:val="5BDE33EC"/>
    <w:rsid w:val="5BE10B90"/>
    <w:rsid w:val="5BFA64F5"/>
    <w:rsid w:val="5C03128F"/>
    <w:rsid w:val="5C04061D"/>
    <w:rsid w:val="5C0E4308"/>
    <w:rsid w:val="5C105848"/>
    <w:rsid w:val="5C1C36EB"/>
    <w:rsid w:val="5C272070"/>
    <w:rsid w:val="5C296C80"/>
    <w:rsid w:val="5C321E86"/>
    <w:rsid w:val="5C3F39D0"/>
    <w:rsid w:val="5C433AD5"/>
    <w:rsid w:val="5C456EFA"/>
    <w:rsid w:val="5C5B77BC"/>
    <w:rsid w:val="5C5C4CC7"/>
    <w:rsid w:val="5C5D497E"/>
    <w:rsid w:val="5C5E5F9F"/>
    <w:rsid w:val="5C770334"/>
    <w:rsid w:val="5C7953CD"/>
    <w:rsid w:val="5C7C3C63"/>
    <w:rsid w:val="5C7F627A"/>
    <w:rsid w:val="5C8010E2"/>
    <w:rsid w:val="5C8107F3"/>
    <w:rsid w:val="5C864BD0"/>
    <w:rsid w:val="5C8C56AF"/>
    <w:rsid w:val="5C8C63E2"/>
    <w:rsid w:val="5C967F16"/>
    <w:rsid w:val="5C97735A"/>
    <w:rsid w:val="5C9B7661"/>
    <w:rsid w:val="5CA73AE6"/>
    <w:rsid w:val="5CA74B7D"/>
    <w:rsid w:val="5CB11074"/>
    <w:rsid w:val="5CBA3C15"/>
    <w:rsid w:val="5CBB1D9C"/>
    <w:rsid w:val="5CBF0238"/>
    <w:rsid w:val="5CC01E7B"/>
    <w:rsid w:val="5CC34CA0"/>
    <w:rsid w:val="5CC6784A"/>
    <w:rsid w:val="5CD04554"/>
    <w:rsid w:val="5CD220D5"/>
    <w:rsid w:val="5CD258AA"/>
    <w:rsid w:val="5CD668FC"/>
    <w:rsid w:val="5CDC3B42"/>
    <w:rsid w:val="5CDC5EE8"/>
    <w:rsid w:val="5CF03C0B"/>
    <w:rsid w:val="5CF53CE6"/>
    <w:rsid w:val="5CFB1ED7"/>
    <w:rsid w:val="5CFC2A59"/>
    <w:rsid w:val="5CFC57C5"/>
    <w:rsid w:val="5D0452A0"/>
    <w:rsid w:val="5D052DE6"/>
    <w:rsid w:val="5D09650F"/>
    <w:rsid w:val="5D126A02"/>
    <w:rsid w:val="5D133B4A"/>
    <w:rsid w:val="5D141E20"/>
    <w:rsid w:val="5D147B1E"/>
    <w:rsid w:val="5D1D57D4"/>
    <w:rsid w:val="5D203385"/>
    <w:rsid w:val="5D224CF7"/>
    <w:rsid w:val="5D2D5659"/>
    <w:rsid w:val="5D2D5EF1"/>
    <w:rsid w:val="5D2E24D5"/>
    <w:rsid w:val="5D362C3E"/>
    <w:rsid w:val="5D470808"/>
    <w:rsid w:val="5D4B1723"/>
    <w:rsid w:val="5D5C131D"/>
    <w:rsid w:val="5D5E549E"/>
    <w:rsid w:val="5D601AFE"/>
    <w:rsid w:val="5D7B2C2C"/>
    <w:rsid w:val="5D877CF3"/>
    <w:rsid w:val="5D9E6BEF"/>
    <w:rsid w:val="5DA509B1"/>
    <w:rsid w:val="5DA50B2F"/>
    <w:rsid w:val="5DAB5893"/>
    <w:rsid w:val="5DBD00A3"/>
    <w:rsid w:val="5DC11DF3"/>
    <w:rsid w:val="5DC33282"/>
    <w:rsid w:val="5DD723D1"/>
    <w:rsid w:val="5DD96A48"/>
    <w:rsid w:val="5DDD7F04"/>
    <w:rsid w:val="5DE7535D"/>
    <w:rsid w:val="5DEC5B7F"/>
    <w:rsid w:val="5DF74CA0"/>
    <w:rsid w:val="5E092239"/>
    <w:rsid w:val="5E0964EC"/>
    <w:rsid w:val="5E0A02EC"/>
    <w:rsid w:val="5E19291C"/>
    <w:rsid w:val="5E1A3318"/>
    <w:rsid w:val="5E1C104A"/>
    <w:rsid w:val="5E1E2954"/>
    <w:rsid w:val="5E23445A"/>
    <w:rsid w:val="5E2A433E"/>
    <w:rsid w:val="5E2A6161"/>
    <w:rsid w:val="5E38202E"/>
    <w:rsid w:val="5E3F349A"/>
    <w:rsid w:val="5E456E70"/>
    <w:rsid w:val="5E536530"/>
    <w:rsid w:val="5E5560F8"/>
    <w:rsid w:val="5E556252"/>
    <w:rsid w:val="5E5C78C7"/>
    <w:rsid w:val="5E612524"/>
    <w:rsid w:val="5E6172AB"/>
    <w:rsid w:val="5E63761C"/>
    <w:rsid w:val="5E795CC9"/>
    <w:rsid w:val="5E8408DF"/>
    <w:rsid w:val="5E8A5D45"/>
    <w:rsid w:val="5E8B3AC3"/>
    <w:rsid w:val="5E9B4FC3"/>
    <w:rsid w:val="5E9E4760"/>
    <w:rsid w:val="5EA1259C"/>
    <w:rsid w:val="5EA264C9"/>
    <w:rsid w:val="5EA76816"/>
    <w:rsid w:val="5EAA7077"/>
    <w:rsid w:val="5EAF685F"/>
    <w:rsid w:val="5EB26917"/>
    <w:rsid w:val="5EBB59F6"/>
    <w:rsid w:val="5EC53374"/>
    <w:rsid w:val="5EC965F0"/>
    <w:rsid w:val="5ECB2DF4"/>
    <w:rsid w:val="5ED908D2"/>
    <w:rsid w:val="5EDA6642"/>
    <w:rsid w:val="5EDD062D"/>
    <w:rsid w:val="5EE90D6F"/>
    <w:rsid w:val="5EF44D90"/>
    <w:rsid w:val="5EFA1069"/>
    <w:rsid w:val="5EFF3C32"/>
    <w:rsid w:val="5F011603"/>
    <w:rsid w:val="5F0539AA"/>
    <w:rsid w:val="5F1A6C64"/>
    <w:rsid w:val="5F2E7FEB"/>
    <w:rsid w:val="5F3D6DE5"/>
    <w:rsid w:val="5F413280"/>
    <w:rsid w:val="5F431C2E"/>
    <w:rsid w:val="5F4854FE"/>
    <w:rsid w:val="5F4A6D9C"/>
    <w:rsid w:val="5F4D55BA"/>
    <w:rsid w:val="5F4F3C37"/>
    <w:rsid w:val="5F514927"/>
    <w:rsid w:val="5F577A3E"/>
    <w:rsid w:val="5F612EA0"/>
    <w:rsid w:val="5F6D7335"/>
    <w:rsid w:val="5F7218DF"/>
    <w:rsid w:val="5F865858"/>
    <w:rsid w:val="5F98574C"/>
    <w:rsid w:val="5FB76AD8"/>
    <w:rsid w:val="5FC920F1"/>
    <w:rsid w:val="5FD10903"/>
    <w:rsid w:val="5FD530CA"/>
    <w:rsid w:val="5FDC3EBA"/>
    <w:rsid w:val="5FDD2191"/>
    <w:rsid w:val="5FDE6633"/>
    <w:rsid w:val="5FEB3C65"/>
    <w:rsid w:val="5FF27CD8"/>
    <w:rsid w:val="5FFD23FA"/>
    <w:rsid w:val="600A614C"/>
    <w:rsid w:val="600A6A3D"/>
    <w:rsid w:val="600B32D9"/>
    <w:rsid w:val="600D09D4"/>
    <w:rsid w:val="6011425B"/>
    <w:rsid w:val="601927DF"/>
    <w:rsid w:val="601C21EB"/>
    <w:rsid w:val="60267EB6"/>
    <w:rsid w:val="60273FA4"/>
    <w:rsid w:val="60287F58"/>
    <w:rsid w:val="60381180"/>
    <w:rsid w:val="605D6569"/>
    <w:rsid w:val="6061786B"/>
    <w:rsid w:val="60713AAF"/>
    <w:rsid w:val="60742C49"/>
    <w:rsid w:val="607D3D43"/>
    <w:rsid w:val="608B00F7"/>
    <w:rsid w:val="60914330"/>
    <w:rsid w:val="60934FAD"/>
    <w:rsid w:val="609C0BB7"/>
    <w:rsid w:val="60A24F2C"/>
    <w:rsid w:val="60A53CC8"/>
    <w:rsid w:val="60A5713C"/>
    <w:rsid w:val="60AA5D26"/>
    <w:rsid w:val="60AB27BB"/>
    <w:rsid w:val="60AF375E"/>
    <w:rsid w:val="60B0319C"/>
    <w:rsid w:val="60B57F00"/>
    <w:rsid w:val="60B70D8F"/>
    <w:rsid w:val="60B973CC"/>
    <w:rsid w:val="60BF5E20"/>
    <w:rsid w:val="60C34DE6"/>
    <w:rsid w:val="60C70023"/>
    <w:rsid w:val="60D30582"/>
    <w:rsid w:val="60D9094E"/>
    <w:rsid w:val="60D911E8"/>
    <w:rsid w:val="60DE19EC"/>
    <w:rsid w:val="60E32C6A"/>
    <w:rsid w:val="60E56ACE"/>
    <w:rsid w:val="60EA350B"/>
    <w:rsid w:val="60EC02ED"/>
    <w:rsid w:val="60EC614F"/>
    <w:rsid w:val="60EE28EA"/>
    <w:rsid w:val="60FA4C6C"/>
    <w:rsid w:val="610042BF"/>
    <w:rsid w:val="61050585"/>
    <w:rsid w:val="6108073D"/>
    <w:rsid w:val="610A6591"/>
    <w:rsid w:val="610C051C"/>
    <w:rsid w:val="61324F92"/>
    <w:rsid w:val="61451546"/>
    <w:rsid w:val="61466F03"/>
    <w:rsid w:val="615D002B"/>
    <w:rsid w:val="61625A59"/>
    <w:rsid w:val="616645A2"/>
    <w:rsid w:val="617B1BAB"/>
    <w:rsid w:val="617E2CBA"/>
    <w:rsid w:val="617F132B"/>
    <w:rsid w:val="618171DD"/>
    <w:rsid w:val="618E33EF"/>
    <w:rsid w:val="619068B0"/>
    <w:rsid w:val="61920146"/>
    <w:rsid w:val="61975510"/>
    <w:rsid w:val="61A31C46"/>
    <w:rsid w:val="61AA599B"/>
    <w:rsid w:val="61AE476F"/>
    <w:rsid w:val="61B5488D"/>
    <w:rsid w:val="61B8684E"/>
    <w:rsid w:val="61C505E1"/>
    <w:rsid w:val="61C52F8F"/>
    <w:rsid w:val="61CA2525"/>
    <w:rsid w:val="61CE7FB9"/>
    <w:rsid w:val="61D15BB6"/>
    <w:rsid w:val="61DE3CB8"/>
    <w:rsid w:val="61E217AF"/>
    <w:rsid w:val="61E227FC"/>
    <w:rsid w:val="61E30EFA"/>
    <w:rsid w:val="61E8229F"/>
    <w:rsid w:val="61ED2AE6"/>
    <w:rsid w:val="61F64D97"/>
    <w:rsid w:val="61FC47CA"/>
    <w:rsid w:val="62010848"/>
    <w:rsid w:val="620239D3"/>
    <w:rsid w:val="62026548"/>
    <w:rsid w:val="62045C4E"/>
    <w:rsid w:val="6205452C"/>
    <w:rsid w:val="6214383F"/>
    <w:rsid w:val="62150BA3"/>
    <w:rsid w:val="621920FB"/>
    <w:rsid w:val="622A0B04"/>
    <w:rsid w:val="62342D1E"/>
    <w:rsid w:val="623E7AF7"/>
    <w:rsid w:val="624C1679"/>
    <w:rsid w:val="624F1DB3"/>
    <w:rsid w:val="62556879"/>
    <w:rsid w:val="6259506E"/>
    <w:rsid w:val="625C3CE8"/>
    <w:rsid w:val="627D2766"/>
    <w:rsid w:val="627D52E8"/>
    <w:rsid w:val="6284497D"/>
    <w:rsid w:val="62857420"/>
    <w:rsid w:val="628766C8"/>
    <w:rsid w:val="62887BF5"/>
    <w:rsid w:val="628C3CAE"/>
    <w:rsid w:val="628E08A7"/>
    <w:rsid w:val="62911447"/>
    <w:rsid w:val="629C70AA"/>
    <w:rsid w:val="62A635B4"/>
    <w:rsid w:val="62AF3FD5"/>
    <w:rsid w:val="62D81702"/>
    <w:rsid w:val="62D82CF9"/>
    <w:rsid w:val="62F01724"/>
    <w:rsid w:val="62F2303D"/>
    <w:rsid w:val="62F6513B"/>
    <w:rsid w:val="62F968CB"/>
    <w:rsid w:val="62FA749F"/>
    <w:rsid w:val="62FC1865"/>
    <w:rsid w:val="63034B9F"/>
    <w:rsid w:val="630D7FF4"/>
    <w:rsid w:val="631471E1"/>
    <w:rsid w:val="63151A1C"/>
    <w:rsid w:val="6315349C"/>
    <w:rsid w:val="63164CB3"/>
    <w:rsid w:val="63165213"/>
    <w:rsid w:val="63170EEC"/>
    <w:rsid w:val="63185802"/>
    <w:rsid w:val="631C746A"/>
    <w:rsid w:val="6321558C"/>
    <w:rsid w:val="63287171"/>
    <w:rsid w:val="63292C9A"/>
    <w:rsid w:val="632D328F"/>
    <w:rsid w:val="63341AC7"/>
    <w:rsid w:val="63405D36"/>
    <w:rsid w:val="63473BE1"/>
    <w:rsid w:val="634B41BB"/>
    <w:rsid w:val="635D377D"/>
    <w:rsid w:val="635D6B22"/>
    <w:rsid w:val="636D6BFC"/>
    <w:rsid w:val="637C4500"/>
    <w:rsid w:val="6394712D"/>
    <w:rsid w:val="63964164"/>
    <w:rsid w:val="63A07355"/>
    <w:rsid w:val="63A54858"/>
    <w:rsid w:val="63B1413B"/>
    <w:rsid w:val="63BB3A7D"/>
    <w:rsid w:val="63BC30C3"/>
    <w:rsid w:val="63C50AF5"/>
    <w:rsid w:val="63C90647"/>
    <w:rsid w:val="63D3550F"/>
    <w:rsid w:val="63DF418F"/>
    <w:rsid w:val="63F96430"/>
    <w:rsid w:val="64072DED"/>
    <w:rsid w:val="6417621A"/>
    <w:rsid w:val="643D5E79"/>
    <w:rsid w:val="643E4004"/>
    <w:rsid w:val="643F3B78"/>
    <w:rsid w:val="64405F86"/>
    <w:rsid w:val="64444B2A"/>
    <w:rsid w:val="64512C6B"/>
    <w:rsid w:val="64545E62"/>
    <w:rsid w:val="64563DC5"/>
    <w:rsid w:val="64661A6F"/>
    <w:rsid w:val="64746ACB"/>
    <w:rsid w:val="64762CB9"/>
    <w:rsid w:val="647906BA"/>
    <w:rsid w:val="64792D43"/>
    <w:rsid w:val="64804D9F"/>
    <w:rsid w:val="6480567E"/>
    <w:rsid w:val="6481374D"/>
    <w:rsid w:val="64822BFE"/>
    <w:rsid w:val="64831703"/>
    <w:rsid w:val="64883869"/>
    <w:rsid w:val="648D0C08"/>
    <w:rsid w:val="6493273F"/>
    <w:rsid w:val="64934E68"/>
    <w:rsid w:val="649F4946"/>
    <w:rsid w:val="649F6349"/>
    <w:rsid w:val="64A1047A"/>
    <w:rsid w:val="64A21939"/>
    <w:rsid w:val="64B94B00"/>
    <w:rsid w:val="64C90D93"/>
    <w:rsid w:val="64C94AA4"/>
    <w:rsid w:val="64CC0576"/>
    <w:rsid w:val="64CE5BB5"/>
    <w:rsid w:val="64E1349F"/>
    <w:rsid w:val="64E906A0"/>
    <w:rsid w:val="64F01643"/>
    <w:rsid w:val="64F26069"/>
    <w:rsid w:val="64F622F8"/>
    <w:rsid w:val="64F97663"/>
    <w:rsid w:val="64FD6032"/>
    <w:rsid w:val="6501324A"/>
    <w:rsid w:val="65187F9E"/>
    <w:rsid w:val="65193BF5"/>
    <w:rsid w:val="651A4A47"/>
    <w:rsid w:val="651C734A"/>
    <w:rsid w:val="651E2B29"/>
    <w:rsid w:val="65264C5D"/>
    <w:rsid w:val="65291347"/>
    <w:rsid w:val="652A1573"/>
    <w:rsid w:val="653A7B9D"/>
    <w:rsid w:val="65471841"/>
    <w:rsid w:val="654E5028"/>
    <w:rsid w:val="655145FC"/>
    <w:rsid w:val="65677202"/>
    <w:rsid w:val="65682A92"/>
    <w:rsid w:val="656C21EE"/>
    <w:rsid w:val="656F759A"/>
    <w:rsid w:val="657B5C2D"/>
    <w:rsid w:val="657F0795"/>
    <w:rsid w:val="658901F7"/>
    <w:rsid w:val="659778AA"/>
    <w:rsid w:val="65981EF8"/>
    <w:rsid w:val="659E0921"/>
    <w:rsid w:val="65AA286E"/>
    <w:rsid w:val="65B473F2"/>
    <w:rsid w:val="65B5117B"/>
    <w:rsid w:val="65B55068"/>
    <w:rsid w:val="65B55B41"/>
    <w:rsid w:val="65BB233C"/>
    <w:rsid w:val="65BC4CB7"/>
    <w:rsid w:val="65C1587A"/>
    <w:rsid w:val="65CF277B"/>
    <w:rsid w:val="65D61F76"/>
    <w:rsid w:val="65DF75AB"/>
    <w:rsid w:val="65F532D7"/>
    <w:rsid w:val="65F77A47"/>
    <w:rsid w:val="66025B73"/>
    <w:rsid w:val="660448C2"/>
    <w:rsid w:val="660D7261"/>
    <w:rsid w:val="661308B8"/>
    <w:rsid w:val="66162B02"/>
    <w:rsid w:val="661E19F5"/>
    <w:rsid w:val="66204F06"/>
    <w:rsid w:val="663A0660"/>
    <w:rsid w:val="663A68C1"/>
    <w:rsid w:val="664C29E3"/>
    <w:rsid w:val="66530F34"/>
    <w:rsid w:val="66537901"/>
    <w:rsid w:val="665560A3"/>
    <w:rsid w:val="665B0726"/>
    <w:rsid w:val="666033A1"/>
    <w:rsid w:val="66613553"/>
    <w:rsid w:val="66660D1C"/>
    <w:rsid w:val="66681965"/>
    <w:rsid w:val="667C2C7F"/>
    <w:rsid w:val="66871455"/>
    <w:rsid w:val="668E4E7B"/>
    <w:rsid w:val="66900589"/>
    <w:rsid w:val="6691143D"/>
    <w:rsid w:val="66945E10"/>
    <w:rsid w:val="66953545"/>
    <w:rsid w:val="669D59C0"/>
    <w:rsid w:val="66A22D62"/>
    <w:rsid w:val="66A979EE"/>
    <w:rsid w:val="66BB0EFB"/>
    <w:rsid w:val="66BC22DC"/>
    <w:rsid w:val="66C60BD0"/>
    <w:rsid w:val="66CC0FD6"/>
    <w:rsid w:val="66D02E59"/>
    <w:rsid w:val="66DC5892"/>
    <w:rsid w:val="66E11209"/>
    <w:rsid w:val="66E6552D"/>
    <w:rsid w:val="66E8762F"/>
    <w:rsid w:val="66FC2BB8"/>
    <w:rsid w:val="66FE5744"/>
    <w:rsid w:val="670719ED"/>
    <w:rsid w:val="6710384D"/>
    <w:rsid w:val="67114F9A"/>
    <w:rsid w:val="671755B2"/>
    <w:rsid w:val="6718628C"/>
    <w:rsid w:val="671E3CAD"/>
    <w:rsid w:val="671E533E"/>
    <w:rsid w:val="67227D50"/>
    <w:rsid w:val="67241A3D"/>
    <w:rsid w:val="67260742"/>
    <w:rsid w:val="672727F7"/>
    <w:rsid w:val="672805F0"/>
    <w:rsid w:val="67301CB3"/>
    <w:rsid w:val="67361D7A"/>
    <w:rsid w:val="673B1457"/>
    <w:rsid w:val="673C0DA8"/>
    <w:rsid w:val="673E11B2"/>
    <w:rsid w:val="673E2360"/>
    <w:rsid w:val="673F2DEF"/>
    <w:rsid w:val="67464557"/>
    <w:rsid w:val="674C4D8A"/>
    <w:rsid w:val="67527707"/>
    <w:rsid w:val="6755574A"/>
    <w:rsid w:val="675903C4"/>
    <w:rsid w:val="67617FCD"/>
    <w:rsid w:val="6764376D"/>
    <w:rsid w:val="67656C80"/>
    <w:rsid w:val="6772118A"/>
    <w:rsid w:val="677737BC"/>
    <w:rsid w:val="678246C2"/>
    <w:rsid w:val="67850A06"/>
    <w:rsid w:val="678B4EB5"/>
    <w:rsid w:val="679812BB"/>
    <w:rsid w:val="67997C49"/>
    <w:rsid w:val="679E1D95"/>
    <w:rsid w:val="67A066BA"/>
    <w:rsid w:val="67A3732A"/>
    <w:rsid w:val="67A6744E"/>
    <w:rsid w:val="67A90624"/>
    <w:rsid w:val="67AF0D5A"/>
    <w:rsid w:val="67B137E7"/>
    <w:rsid w:val="67B610A6"/>
    <w:rsid w:val="67BA2657"/>
    <w:rsid w:val="67BD79C6"/>
    <w:rsid w:val="67C937C9"/>
    <w:rsid w:val="67CD58E2"/>
    <w:rsid w:val="67CF1ECB"/>
    <w:rsid w:val="67D847EE"/>
    <w:rsid w:val="67DF3590"/>
    <w:rsid w:val="67DF633D"/>
    <w:rsid w:val="67EB5D3D"/>
    <w:rsid w:val="67F00BEC"/>
    <w:rsid w:val="67F025A5"/>
    <w:rsid w:val="67F52BD7"/>
    <w:rsid w:val="67F5666A"/>
    <w:rsid w:val="67FA013D"/>
    <w:rsid w:val="68125E99"/>
    <w:rsid w:val="6818323C"/>
    <w:rsid w:val="68194D11"/>
    <w:rsid w:val="681E63C1"/>
    <w:rsid w:val="68202F0B"/>
    <w:rsid w:val="68210D8F"/>
    <w:rsid w:val="683100EC"/>
    <w:rsid w:val="68326DEA"/>
    <w:rsid w:val="68555731"/>
    <w:rsid w:val="685719CA"/>
    <w:rsid w:val="68613AC5"/>
    <w:rsid w:val="686B3D89"/>
    <w:rsid w:val="688B2AC8"/>
    <w:rsid w:val="68912FA1"/>
    <w:rsid w:val="68957907"/>
    <w:rsid w:val="68984DFD"/>
    <w:rsid w:val="68A518C7"/>
    <w:rsid w:val="68B33CB3"/>
    <w:rsid w:val="68BB7165"/>
    <w:rsid w:val="68BE6532"/>
    <w:rsid w:val="68C138F2"/>
    <w:rsid w:val="68C42795"/>
    <w:rsid w:val="68C86FED"/>
    <w:rsid w:val="68CA79F3"/>
    <w:rsid w:val="68D804BD"/>
    <w:rsid w:val="68E44933"/>
    <w:rsid w:val="68E9271E"/>
    <w:rsid w:val="68EB6EDE"/>
    <w:rsid w:val="68F000E5"/>
    <w:rsid w:val="68F32637"/>
    <w:rsid w:val="68FE0642"/>
    <w:rsid w:val="68FF1477"/>
    <w:rsid w:val="68FF2A84"/>
    <w:rsid w:val="69004FE8"/>
    <w:rsid w:val="69010577"/>
    <w:rsid w:val="69046DF7"/>
    <w:rsid w:val="690C7C75"/>
    <w:rsid w:val="691F1164"/>
    <w:rsid w:val="692057D2"/>
    <w:rsid w:val="69276C8C"/>
    <w:rsid w:val="69295A86"/>
    <w:rsid w:val="692F3204"/>
    <w:rsid w:val="693177B2"/>
    <w:rsid w:val="693C56FD"/>
    <w:rsid w:val="69434996"/>
    <w:rsid w:val="69435589"/>
    <w:rsid w:val="69497251"/>
    <w:rsid w:val="694A6BCD"/>
    <w:rsid w:val="69542624"/>
    <w:rsid w:val="6955799C"/>
    <w:rsid w:val="69580A92"/>
    <w:rsid w:val="695942EE"/>
    <w:rsid w:val="696C2FBE"/>
    <w:rsid w:val="698B21E1"/>
    <w:rsid w:val="698F6A4B"/>
    <w:rsid w:val="699E0D56"/>
    <w:rsid w:val="69A03BAC"/>
    <w:rsid w:val="69A37EFA"/>
    <w:rsid w:val="69A84095"/>
    <w:rsid w:val="69AF5C14"/>
    <w:rsid w:val="69C225BA"/>
    <w:rsid w:val="69C86FDC"/>
    <w:rsid w:val="69D65E41"/>
    <w:rsid w:val="69D72BAA"/>
    <w:rsid w:val="69DF7EE0"/>
    <w:rsid w:val="69E5175F"/>
    <w:rsid w:val="69E815BE"/>
    <w:rsid w:val="69E9417C"/>
    <w:rsid w:val="69EC3B3A"/>
    <w:rsid w:val="69F876DC"/>
    <w:rsid w:val="69F94038"/>
    <w:rsid w:val="6A0A0D6B"/>
    <w:rsid w:val="6A0C600B"/>
    <w:rsid w:val="6A1152AB"/>
    <w:rsid w:val="6A137B22"/>
    <w:rsid w:val="6A1662EE"/>
    <w:rsid w:val="6A2005D1"/>
    <w:rsid w:val="6A240DB0"/>
    <w:rsid w:val="6A255B33"/>
    <w:rsid w:val="6A26150B"/>
    <w:rsid w:val="6A26500A"/>
    <w:rsid w:val="6A2D7545"/>
    <w:rsid w:val="6A390002"/>
    <w:rsid w:val="6A3F4091"/>
    <w:rsid w:val="6A4C7586"/>
    <w:rsid w:val="6A537D57"/>
    <w:rsid w:val="6A5959E5"/>
    <w:rsid w:val="6A6B4830"/>
    <w:rsid w:val="6A731093"/>
    <w:rsid w:val="6A811948"/>
    <w:rsid w:val="6A8F3136"/>
    <w:rsid w:val="6AA10E8B"/>
    <w:rsid w:val="6AA24EE5"/>
    <w:rsid w:val="6AA92436"/>
    <w:rsid w:val="6AAA033F"/>
    <w:rsid w:val="6AAE2844"/>
    <w:rsid w:val="6AB037CA"/>
    <w:rsid w:val="6AB3622F"/>
    <w:rsid w:val="6AB56695"/>
    <w:rsid w:val="6AC0391B"/>
    <w:rsid w:val="6AD259C5"/>
    <w:rsid w:val="6ADA6F15"/>
    <w:rsid w:val="6AE12BB9"/>
    <w:rsid w:val="6AE167EC"/>
    <w:rsid w:val="6AF40256"/>
    <w:rsid w:val="6AF613AC"/>
    <w:rsid w:val="6AFE20C4"/>
    <w:rsid w:val="6B060588"/>
    <w:rsid w:val="6B1B7909"/>
    <w:rsid w:val="6B2170B4"/>
    <w:rsid w:val="6B273CD0"/>
    <w:rsid w:val="6B376022"/>
    <w:rsid w:val="6B3B05EA"/>
    <w:rsid w:val="6B442645"/>
    <w:rsid w:val="6B483D24"/>
    <w:rsid w:val="6B4C4873"/>
    <w:rsid w:val="6B6C0521"/>
    <w:rsid w:val="6B700DA4"/>
    <w:rsid w:val="6B7C58CE"/>
    <w:rsid w:val="6B833F61"/>
    <w:rsid w:val="6B8B0A15"/>
    <w:rsid w:val="6B8D6D5C"/>
    <w:rsid w:val="6B99749D"/>
    <w:rsid w:val="6BA2518F"/>
    <w:rsid w:val="6BA85D60"/>
    <w:rsid w:val="6BB027E8"/>
    <w:rsid w:val="6BB22608"/>
    <w:rsid w:val="6BBE1537"/>
    <w:rsid w:val="6BBE5F8E"/>
    <w:rsid w:val="6BCE1877"/>
    <w:rsid w:val="6BCE4BB7"/>
    <w:rsid w:val="6BD63720"/>
    <w:rsid w:val="6BE81988"/>
    <w:rsid w:val="6BF66642"/>
    <w:rsid w:val="6BF674E3"/>
    <w:rsid w:val="6BF9627D"/>
    <w:rsid w:val="6BF9682D"/>
    <w:rsid w:val="6BFD6EF6"/>
    <w:rsid w:val="6C190AF4"/>
    <w:rsid w:val="6C2D42AF"/>
    <w:rsid w:val="6C3427FB"/>
    <w:rsid w:val="6C3762DA"/>
    <w:rsid w:val="6C391842"/>
    <w:rsid w:val="6C3F0E75"/>
    <w:rsid w:val="6C41027E"/>
    <w:rsid w:val="6C410767"/>
    <w:rsid w:val="6C464EB3"/>
    <w:rsid w:val="6C473D0E"/>
    <w:rsid w:val="6C4B3FDA"/>
    <w:rsid w:val="6C521BB5"/>
    <w:rsid w:val="6C5752CC"/>
    <w:rsid w:val="6C5F0EEE"/>
    <w:rsid w:val="6C675A2A"/>
    <w:rsid w:val="6C717DEB"/>
    <w:rsid w:val="6C7663E8"/>
    <w:rsid w:val="6C854A02"/>
    <w:rsid w:val="6C8E2471"/>
    <w:rsid w:val="6C953F5E"/>
    <w:rsid w:val="6C9D67D7"/>
    <w:rsid w:val="6CA06FF1"/>
    <w:rsid w:val="6CA5364A"/>
    <w:rsid w:val="6CA6444A"/>
    <w:rsid w:val="6CA76F43"/>
    <w:rsid w:val="6CD10AE6"/>
    <w:rsid w:val="6CDD6056"/>
    <w:rsid w:val="6CE8068E"/>
    <w:rsid w:val="6CE80C76"/>
    <w:rsid w:val="6CF96D37"/>
    <w:rsid w:val="6CFB1A8A"/>
    <w:rsid w:val="6CFB6A61"/>
    <w:rsid w:val="6D0157DA"/>
    <w:rsid w:val="6D0174A9"/>
    <w:rsid w:val="6D040A3B"/>
    <w:rsid w:val="6D0B0DDE"/>
    <w:rsid w:val="6D0D1308"/>
    <w:rsid w:val="6D144A88"/>
    <w:rsid w:val="6D194191"/>
    <w:rsid w:val="6D1D5934"/>
    <w:rsid w:val="6D246ED3"/>
    <w:rsid w:val="6D24716F"/>
    <w:rsid w:val="6D30542A"/>
    <w:rsid w:val="6D376B80"/>
    <w:rsid w:val="6D416673"/>
    <w:rsid w:val="6D4614DB"/>
    <w:rsid w:val="6D4A4DCD"/>
    <w:rsid w:val="6D4F4DAD"/>
    <w:rsid w:val="6D5252E9"/>
    <w:rsid w:val="6D5508E5"/>
    <w:rsid w:val="6D571E2A"/>
    <w:rsid w:val="6D604763"/>
    <w:rsid w:val="6D641AD7"/>
    <w:rsid w:val="6D692CEF"/>
    <w:rsid w:val="6D6D6782"/>
    <w:rsid w:val="6D711C8B"/>
    <w:rsid w:val="6D741D7D"/>
    <w:rsid w:val="6D817302"/>
    <w:rsid w:val="6D912D9C"/>
    <w:rsid w:val="6D93413A"/>
    <w:rsid w:val="6D97091F"/>
    <w:rsid w:val="6D981142"/>
    <w:rsid w:val="6D987708"/>
    <w:rsid w:val="6DBC60B1"/>
    <w:rsid w:val="6DC27C6E"/>
    <w:rsid w:val="6DC8055C"/>
    <w:rsid w:val="6DC806D1"/>
    <w:rsid w:val="6DC97100"/>
    <w:rsid w:val="6DD00513"/>
    <w:rsid w:val="6DD25AC9"/>
    <w:rsid w:val="6DD82903"/>
    <w:rsid w:val="6DDA28FA"/>
    <w:rsid w:val="6DDD49C5"/>
    <w:rsid w:val="6DDF7E3A"/>
    <w:rsid w:val="6DE21C02"/>
    <w:rsid w:val="6DE24315"/>
    <w:rsid w:val="6DEB41D6"/>
    <w:rsid w:val="6DED01CC"/>
    <w:rsid w:val="6DF94485"/>
    <w:rsid w:val="6DFD6235"/>
    <w:rsid w:val="6E013173"/>
    <w:rsid w:val="6E080C5F"/>
    <w:rsid w:val="6E0854A5"/>
    <w:rsid w:val="6E274AF9"/>
    <w:rsid w:val="6E307525"/>
    <w:rsid w:val="6E3146CF"/>
    <w:rsid w:val="6E3951B1"/>
    <w:rsid w:val="6E447A61"/>
    <w:rsid w:val="6E497FD1"/>
    <w:rsid w:val="6E4F15F6"/>
    <w:rsid w:val="6E5020E3"/>
    <w:rsid w:val="6E512346"/>
    <w:rsid w:val="6E59022D"/>
    <w:rsid w:val="6E59524E"/>
    <w:rsid w:val="6E595F84"/>
    <w:rsid w:val="6E5D63C6"/>
    <w:rsid w:val="6E6C1369"/>
    <w:rsid w:val="6E8419F1"/>
    <w:rsid w:val="6E880D4F"/>
    <w:rsid w:val="6E8E7520"/>
    <w:rsid w:val="6E9B7B65"/>
    <w:rsid w:val="6E9C36B2"/>
    <w:rsid w:val="6EAA4939"/>
    <w:rsid w:val="6EAC6234"/>
    <w:rsid w:val="6EAD5D8E"/>
    <w:rsid w:val="6EB671F7"/>
    <w:rsid w:val="6EB86E97"/>
    <w:rsid w:val="6EC70DDB"/>
    <w:rsid w:val="6EC84983"/>
    <w:rsid w:val="6ECA10D8"/>
    <w:rsid w:val="6ECA4398"/>
    <w:rsid w:val="6ECE75CB"/>
    <w:rsid w:val="6EE3568A"/>
    <w:rsid w:val="6F002CE5"/>
    <w:rsid w:val="6F03038E"/>
    <w:rsid w:val="6F085D45"/>
    <w:rsid w:val="6F250BDB"/>
    <w:rsid w:val="6F265F22"/>
    <w:rsid w:val="6F327B8A"/>
    <w:rsid w:val="6F3E598E"/>
    <w:rsid w:val="6F475A01"/>
    <w:rsid w:val="6F531C07"/>
    <w:rsid w:val="6F583A66"/>
    <w:rsid w:val="6F6157A5"/>
    <w:rsid w:val="6F794CF6"/>
    <w:rsid w:val="6F7A357B"/>
    <w:rsid w:val="6F7D311F"/>
    <w:rsid w:val="6F951FBC"/>
    <w:rsid w:val="6F9604A4"/>
    <w:rsid w:val="6FA05260"/>
    <w:rsid w:val="6FAA1D9B"/>
    <w:rsid w:val="6FB24567"/>
    <w:rsid w:val="6FB33243"/>
    <w:rsid w:val="6FB7333B"/>
    <w:rsid w:val="6FBC4F59"/>
    <w:rsid w:val="6FC577C0"/>
    <w:rsid w:val="6FD207FE"/>
    <w:rsid w:val="6FD71069"/>
    <w:rsid w:val="6FE52F77"/>
    <w:rsid w:val="6FEC7E28"/>
    <w:rsid w:val="6FEF66C0"/>
    <w:rsid w:val="6FFB7AB8"/>
    <w:rsid w:val="700F6961"/>
    <w:rsid w:val="70113CDA"/>
    <w:rsid w:val="70141895"/>
    <w:rsid w:val="701D5208"/>
    <w:rsid w:val="702B042B"/>
    <w:rsid w:val="70402C07"/>
    <w:rsid w:val="70491A72"/>
    <w:rsid w:val="70545F9D"/>
    <w:rsid w:val="70546BFB"/>
    <w:rsid w:val="7055145D"/>
    <w:rsid w:val="705B070A"/>
    <w:rsid w:val="705F09F5"/>
    <w:rsid w:val="705F455D"/>
    <w:rsid w:val="70661772"/>
    <w:rsid w:val="706654ED"/>
    <w:rsid w:val="70706A66"/>
    <w:rsid w:val="70873931"/>
    <w:rsid w:val="7087649F"/>
    <w:rsid w:val="70960360"/>
    <w:rsid w:val="709C3716"/>
    <w:rsid w:val="709E348E"/>
    <w:rsid w:val="70A1073B"/>
    <w:rsid w:val="70A71D89"/>
    <w:rsid w:val="70AD05A5"/>
    <w:rsid w:val="70AF36DC"/>
    <w:rsid w:val="70C26673"/>
    <w:rsid w:val="70C61E2D"/>
    <w:rsid w:val="70CF58FD"/>
    <w:rsid w:val="70D00EDB"/>
    <w:rsid w:val="70D64AD7"/>
    <w:rsid w:val="70DC7221"/>
    <w:rsid w:val="70DE3664"/>
    <w:rsid w:val="70E0524F"/>
    <w:rsid w:val="70E14D1B"/>
    <w:rsid w:val="70E2167D"/>
    <w:rsid w:val="70E4292A"/>
    <w:rsid w:val="70E82DDC"/>
    <w:rsid w:val="70EA079A"/>
    <w:rsid w:val="70FC47B4"/>
    <w:rsid w:val="710C2A3E"/>
    <w:rsid w:val="7117239E"/>
    <w:rsid w:val="71187CD4"/>
    <w:rsid w:val="711E1B31"/>
    <w:rsid w:val="71215155"/>
    <w:rsid w:val="71346611"/>
    <w:rsid w:val="713C57B5"/>
    <w:rsid w:val="71414516"/>
    <w:rsid w:val="714A606E"/>
    <w:rsid w:val="71521F23"/>
    <w:rsid w:val="715513F9"/>
    <w:rsid w:val="715A6D72"/>
    <w:rsid w:val="71600C2D"/>
    <w:rsid w:val="71631DE3"/>
    <w:rsid w:val="717323EB"/>
    <w:rsid w:val="718578A1"/>
    <w:rsid w:val="718A10E3"/>
    <w:rsid w:val="71A07542"/>
    <w:rsid w:val="71A65811"/>
    <w:rsid w:val="71AD5790"/>
    <w:rsid w:val="71B539EC"/>
    <w:rsid w:val="71B92FFA"/>
    <w:rsid w:val="71C2410A"/>
    <w:rsid w:val="71C5605D"/>
    <w:rsid w:val="71C572F4"/>
    <w:rsid w:val="71C70512"/>
    <w:rsid w:val="71CF1091"/>
    <w:rsid w:val="71DA2C54"/>
    <w:rsid w:val="71EB1776"/>
    <w:rsid w:val="71F321B8"/>
    <w:rsid w:val="71F415BD"/>
    <w:rsid w:val="71FD3CF7"/>
    <w:rsid w:val="71FE5CF4"/>
    <w:rsid w:val="720C3EF6"/>
    <w:rsid w:val="720F3B16"/>
    <w:rsid w:val="72161A3E"/>
    <w:rsid w:val="72164F5A"/>
    <w:rsid w:val="7237492D"/>
    <w:rsid w:val="723F5205"/>
    <w:rsid w:val="7242208E"/>
    <w:rsid w:val="724F7CF3"/>
    <w:rsid w:val="72563071"/>
    <w:rsid w:val="72592F29"/>
    <w:rsid w:val="72603EE8"/>
    <w:rsid w:val="726E558F"/>
    <w:rsid w:val="72721AAB"/>
    <w:rsid w:val="72756404"/>
    <w:rsid w:val="72766A04"/>
    <w:rsid w:val="727F4A39"/>
    <w:rsid w:val="72871B4C"/>
    <w:rsid w:val="72A14B21"/>
    <w:rsid w:val="72A33EF3"/>
    <w:rsid w:val="72A83BB5"/>
    <w:rsid w:val="72AC4A46"/>
    <w:rsid w:val="72AD2F14"/>
    <w:rsid w:val="72B10EEB"/>
    <w:rsid w:val="72B707CE"/>
    <w:rsid w:val="72BC406A"/>
    <w:rsid w:val="72BD352D"/>
    <w:rsid w:val="72C023B2"/>
    <w:rsid w:val="72C055BC"/>
    <w:rsid w:val="72CF5316"/>
    <w:rsid w:val="72DC12EB"/>
    <w:rsid w:val="72DF4492"/>
    <w:rsid w:val="72E6209B"/>
    <w:rsid w:val="72F007DD"/>
    <w:rsid w:val="72FB7A1A"/>
    <w:rsid w:val="72FC5EE6"/>
    <w:rsid w:val="73127AC1"/>
    <w:rsid w:val="73133787"/>
    <w:rsid w:val="731C2E5D"/>
    <w:rsid w:val="73202CA3"/>
    <w:rsid w:val="73205080"/>
    <w:rsid w:val="732208D4"/>
    <w:rsid w:val="732700A0"/>
    <w:rsid w:val="73641CDC"/>
    <w:rsid w:val="73665453"/>
    <w:rsid w:val="737038AD"/>
    <w:rsid w:val="7371543F"/>
    <w:rsid w:val="73717F3E"/>
    <w:rsid w:val="73744B90"/>
    <w:rsid w:val="737A05CA"/>
    <w:rsid w:val="737B11D7"/>
    <w:rsid w:val="737D5BD5"/>
    <w:rsid w:val="738B2570"/>
    <w:rsid w:val="73914348"/>
    <w:rsid w:val="7395774C"/>
    <w:rsid w:val="73A44FDD"/>
    <w:rsid w:val="73A8013B"/>
    <w:rsid w:val="73AC1B1D"/>
    <w:rsid w:val="73B40B1A"/>
    <w:rsid w:val="73C04D0D"/>
    <w:rsid w:val="73C20142"/>
    <w:rsid w:val="73C63674"/>
    <w:rsid w:val="73CD2758"/>
    <w:rsid w:val="73CD47B7"/>
    <w:rsid w:val="73D13E10"/>
    <w:rsid w:val="73D34502"/>
    <w:rsid w:val="73D94442"/>
    <w:rsid w:val="73DA0173"/>
    <w:rsid w:val="73EA0223"/>
    <w:rsid w:val="73F810C3"/>
    <w:rsid w:val="73F930A2"/>
    <w:rsid w:val="74062AD6"/>
    <w:rsid w:val="74063B7F"/>
    <w:rsid w:val="74070093"/>
    <w:rsid w:val="741653A5"/>
    <w:rsid w:val="741940F5"/>
    <w:rsid w:val="74273F86"/>
    <w:rsid w:val="742E4E5E"/>
    <w:rsid w:val="74307F3E"/>
    <w:rsid w:val="74347D73"/>
    <w:rsid w:val="743F1ECC"/>
    <w:rsid w:val="744D7C7D"/>
    <w:rsid w:val="74512F62"/>
    <w:rsid w:val="74533804"/>
    <w:rsid w:val="745350C8"/>
    <w:rsid w:val="74560442"/>
    <w:rsid w:val="745960F7"/>
    <w:rsid w:val="745B58BD"/>
    <w:rsid w:val="746402B4"/>
    <w:rsid w:val="74640F6B"/>
    <w:rsid w:val="74717BA0"/>
    <w:rsid w:val="74773B15"/>
    <w:rsid w:val="747C4C98"/>
    <w:rsid w:val="748227C2"/>
    <w:rsid w:val="748441B9"/>
    <w:rsid w:val="74865211"/>
    <w:rsid w:val="749B65A9"/>
    <w:rsid w:val="749C1BD3"/>
    <w:rsid w:val="74AB1938"/>
    <w:rsid w:val="74CA7D81"/>
    <w:rsid w:val="74CD5DC7"/>
    <w:rsid w:val="74D04FD8"/>
    <w:rsid w:val="74D0697A"/>
    <w:rsid w:val="74D662F3"/>
    <w:rsid w:val="74DF070C"/>
    <w:rsid w:val="74E357FB"/>
    <w:rsid w:val="74F7075C"/>
    <w:rsid w:val="75140D3E"/>
    <w:rsid w:val="75172BB4"/>
    <w:rsid w:val="751B1E79"/>
    <w:rsid w:val="75215684"/>
    <w:rsid w:val="752368BD"/>
    <w:rsid w:val="7524712E"/>
    <w:rsid w:val="752605A1"/>
    <w:rsid w:val="752A68BA"/>
    <w:rsid w:val="752F6230"/>
    <w:rsid w:val="753407CB"/>
    <w:rsid w:val="75342C26"/>
    <w:rsid w:val="75383DD4"/>
    <w:rsid w:val="753B1360"/>
    <w:rsid w:val="75482410"/>
    <w:rsid w:val="75512CFA"/>
    <w:rsid w:val="75562724"/>
    <w:rsid w:val="75626B6A"/>
    <w:rsid w:val="75660970"/>
    <w:rsid w:val="75671274"/>
    <w:rsid w:val="75711AC0"/>
    <w:rsid w:val="757D5A9D"/>
    <w:rsid w:val="75800E28"/>
    <w:rsid w:val="758B62FC"/>
    <w:rsid w:val="758E7612"/>
    <w:rsid w:val="75945A1E"/>
    <w:rsid w:val="75B213A3"/>
    <w:rsid w:val="75B35338"/>
    <w:rsid w:val="75B37584"/>
    <w:rsid w:val="75BD048D"/>
    <w:rsid w:val="75C75E97"/>
    <w:rsid w:val="75CF4278"/>
    <w:rsid w:val="75D878E5"/>
    <w:rsid w:val="75DA520A"/>
    <w:rsid w:val="75DC7C8B"/>
    <w:rsid w:val="75DE0A17"/>
    <w:rsid w:val="75E63614"/>
    <w:rsid w:val="75F465FF"/>
    <w:rsid w:val="7600203E"/>
    <w:rsid w:val="76053D7D"/>
    <w:rsid w:val="76071F93"/>
    <w:rsid w:val="76090BCF"/>
    <w:rsid w:val="760D5271"/>
    <w:rsid w:val="76117CC1"/>
    <w:rsid w:val="76293991"/>
    <w:rsid w:val="762C1908"/>
    <w:rsid w:val="76363BA8"/>
    <w:rsid w:val="7638509A"/>
    <w:rsid w:val="76413B38"/>
    <w:rsid w:val="764D716E"/>
    <w:rsid w:val="76545DFD"/>
    <w:rsid w:val="76546DBB"/>
    <w:rsid w:val="76556CDE"/>
    <w:rsid w:val="76596E25"/>
    <w:rsid w:val="765E7FBA"/>
    <w:rsid w:val="76777CA7"/>
    <w:rsid w:val="7692383E"/>
    <w:rsid w:val="76A11239"/>
    <w:rsid w:val="76A50671"/>
    <w:rsid w:val="76A66359"/>
    <w:rsid w:val="76B34069"/>
    <w:rsid w:val="76B342A5"/>
    <w:rsid w:val="76C01848"/>
    <w:rsid w:val="76CA26C5"/>
    <w:rsid w:val="76D30950"/>
    <w:rsid w:val="76DB4AD0"/>
    <w:rsid w:val="76E36343"/>
    <w:rsid w:val="76E5751F"/>
    <w:rsid w:val="76E61DFF"/>
    <w:rsid w:val="76E9349A"/>
    <w:rsid w:val="76E9635A"/>
    <w:rsid w:val="76EB0566"/>
    <w:rsid w:val="76ED43DC"/>
    <w:rsid w:val="76EF5AE1"/>
    <w:rsid w:val="76F33AA6"/>
    <w:rsid w:val="76FD17E9"/>
    <w:rsid w:val="77027EAE"/>
    <w:rsid w:val="770B27AC"/>
    <w:rsid w:val="77147E83"/>
    <w:rsid w:val="771800BA"/>
    <w:rsid w:val="77207B1E"/>
    <w:rsid w:val="77226DBC"/>
    <w:rsid w:val="772737F6"/>
    <w:rsid w:val="77284B44"/>
    <w:rsid w:val="772C4BFA"/>
    <w:rsid w:val="7731423B"/>
    <w:rsid w:val="77377920"/>
    <w:rsid w:val="77383ECF"/>
    <w:rsid w:val="773C4E37"/>
    <w:rsid w:val="773E3C40"/>
    <w:rsid w:val="77512BB7"/>
    <w:rsid w:val="775515D3"/>
    <w:rsid w:val="775D77BC"/>
    <w:rsid w:val="77694759"/>
    <w:rsid w:val="776F7551"/>
    <w:rsid w:val="7773623C"/>
    <w:rsid w:val="777A0D92"/>
    <w:rsid w:val="777C0EAD"/>
    <w:rsid w:val="77842F3D"/>
    <w:rsid w:val="779847DF"/>
    <w:rsid w:val="77B726CE"/>
    <w:rsid w:val="77B75B3F"/>
    <w:rsid w:val="77B92B1F"/>
    <w:rsid w:val="77BF7219"/>
    <w:rsid w:val="77C75A29"/>
    <w:rsid w:val="77CD402F"/>
    <w:rsid w:val="77D20832"/>
    <w:rsid w:val="77D64F02"/>
    <w:rsid w:val="77DC64CF"/>
    <w:rsid w:val="77E57C70"/>
    <w:rsid w:val="77EB3B9E"/>
    <w:rsid w:val="78030431"/>
    <w:rsid w:val="780C357E"/>
    <w:rsid w:val="780C452A"/>
    <w:rsid w:val="780D23E8"/>
    <w:rsid w:val="78175106"/>
    <w:rsid w:val="78221AB4"/>
    <w:rsid w:val="782D5FCA"/>
    <w:rsid w:val="782F41D3"/>
    <w:rsid w:val="783022B2"/>
    <w:rsid w:val="783232D8"/>
    <w:rsid w:val="78343443"/>
    <w:rsid w:val="783510F3"/>
    <w:rsid w:val="78471DE3"/>
    <w:rsid w:val="784E579A"/>
    <w:rsid w:val="7856065B"/>
    <w:rsid w:val="785C0B19"/>
    <w:rsid w:val="78643640"/>
    <w:rsid w:val="78687AE8"/>
    <w:rsid w:val="788F5D91"/>
    <w:rsid w:val="7893152D"/>
    <w:rsid w:val="78933561"/>
    <w:rsid w:val="789E36A5"/>
    <w:rsid w:val="78A95B7F"/>
    <w:rsid w:val="78AA759B"/>
    <w:rsid w:val="78B15DDB"/>
    <w:rsid w:val="78B23D3B"/>
    <w:rsid w:val="78B91C6B"/>
    <w:rsid w:val="78BB241F"/>
    <w:rsid w:val="78C24F55"/>
    <w:rsid w:val="78CC7863"/>
    <w:rsid w:val="78D035C9"/>
    <w:rsid w:val="78D068E1"/>
    <w:rsid w:val="78D34EA3"/>
    <w:rsid w:val="78D40C71"/>
    <w:rsid w:val="78D81AD7"/>
    <w:rsid w:val="78DE3EFC"/>
    <w:rsid w:val="78DE7BC7"/>
    <w:rsid w:val="78DF3A81"/>
    <w:rsid w:val="78E819F4"/>
    <w:rsid w:val="78F070E8"/>
    <w:rsid w:val="78F3482A"/>
    <w:rsid w:val="78FC0DAF"/>
    <w:rsid w:val="790033B0"/>
    <w:rsid w:val="7903061F"/>
    <w:rsid w:val="79066681"/>
    <w:rsid w:val="79082FC0"/>
    <w:rsid w:val="7910647A"/>
    <w:rsid w:val="792A10CE"/>
    <w:rsid w:val="79307BBE"/>
    <w:rsid w:val="794474BA"/>
    <w:rsid w:val="794C336F"/>
    <w:rsid w:val="7954110C"/>
    <w:rsid w:val="79555302"/>
    <w:rsid w:val="79566A4B"/>
    <w:rsid w:val="79582BEF"/>
    <w:rsid w:val="796931C9"/>
    <w:rsid w:val="79696352"/>
    <w:rsid w:val="796D66F6"/>
    <w:rsid w:val="797152B8"/>
    <w:rsid w:val="798C70EF"/>
    <w:rsid w:val="798F0640"/>
    <w:rsid w:val="798F224F"/>
    <w:rsid w:val="798F6AC4"/>
    <w:rsid w:val="79900B9B"/>
    <w:rsid w:val="79964325"/>
    <w:rsid w:val="79965C68"/>
    <w:rsid w:val="79967B83"/>
    <w:rsid w:val="79973883"/>
    <w:rsid w:val="79B5517D"/>
    <w:rsid w:val="79B64330"/>
    <w:rsid w:val="79BB7B0A"/>
    <w:rsid w:val="79BD365C"/>
    <w:rsid w:val="79C777A8"/>
    <w:rsid w:val="79C8734A"/>
    <w:rsid w:val="79CE647E"/>
    <w:rsid w:val="79D57661"/>
    <w:rsid w:val="79DE0AB8"/>
    <w:rsid w:val="79E768E5"/>
    <w:rsid w:val="79FE4CB0"/>
    <w:rsid w:val="7A0B6D73"/>
    <w:rsid w:val="7A0F005A"/>
    <w:rsid w:val="7A165106"/>
    <w:rsid w:val="7A1C6970"/>
    <w:rsid w:val="7A241785"/>
    <w:rsid w:val="7A263584"/>
    <w:rsid w:val="7A2B02C8"/>
    <w:rsid w:val="7A32287C"/>
    <w:rsid w:val="7A356098"/>
    <w:rsid w:val="7A3C23C9"/>
    <w:rsid w:val="7A3D761E"/>
    <w:rsid w:val="7A4044B2"/>
    <w:rsid w:val="7A44662D"/>
    <w:rsid w:val="7A453C68"/>
    <w:rsid w:val="7A523A9B"/>
    <w:rsid w:val="7A566F01"/>
    <w:rsid w:val="7A5C5C8F"/>
    <w:rsid w:val="7A67590B"/>
    <w:rsid w:val="7A6F4B0E"/>
    <w:rsid w:val="7A6F7A35"/>
    <w:rsid w:val="7A741B84"/>
    <w:rsid w:val="7A756BC4"/>
    <w:rsid w:val="7A77506C"/>
    <w:rsid w:val="7A7C52B0"/>
    <w:rsid w:val="7A857217"/>
    <w:rsid w:val="7A942C4B"/>
    <w:rsid w:val="7A984212"/>
    <w:rsid w:val="7AA32C7F"/>
    <w:rsid w:val="7AAC4DBF"/>
    <w:rsid w:val="7AB96CBA"/>
    <w:rsid w:val="7AE251B4"/>
    <w:rsid w:val="7AE63032"/>
    <w:rsid w:val="7AE90960"/>
    <w:rsid w:val="7AEC142B"/>
    <w:rsid w:val="7AED0BF0"/>
    <w:rsid w:val="7AF416C6"/>
    <w:rsid w:val="7AF571F0"/>
    <w:rsid w:val="7AF578B9"/>
    <w:rsid w:val="7AF82685"/>
    <w:rsid w:val="7B0046FE"/>
    <w:rsid w:val="7B0B4F92"/>
    <w:rsid w:val="7B13280D"/>
    <w:rsid w:val="7B321FB9"/>
    <w:rsid w:val="7B3F51EB"/>
    <w:rsid w:val="7B47071F"/>
    <w:rsid w:val="7B5F5CF5"/>
    <w:rsid w:val="7B6362C8"/>
    <w:rsid w:val="7B71310E"/>
    <w:rsid w:val="7B721D68"/>
    <w:rsid w:val="7B753D05"/>
    <w:rsid w:val="7B7D584F"/>
    <w:rsid w:val="7B9E79FB"/>
    <w:rsid w:val="7B9F6E33"/>
    <w:rsid w:val="7BA2129E"/>
    <w:rsid w:val="7BA22C50"/>
    <w:rsid w:val="7BA60D86"/>
    <w:rsid w:val="7BAA4DF1"/>
    <w:rsid w:val="7BAE7139"/>
    <w:rsid w:val="7BB1337B"/>
    <w:rsid w:val="7BBE0377"/>
    <w:rsid w:val="7BCD24C8"/>
    <w:rsid w:val="7BD11F07"/>
    <w:rsid w:val="7BD26B7F"/>
    <w:rsid w:val="7BD71E3C"/>
    <w:rsid w:val="7BE14029"/>
    <w:rsid w:val="7BEA35C7"/>
    <w:rsid w:val="7BEB374E"/>
    <w:rsid w:val="7BEC4878"/>
    <w:rsid w:val="7BF27ECA"/>
    <w:rsid w:val="7BFD5A1E"/>
    <w:rsid w:val="7C0832CF"/>
    <w:rsid w:val="7C16322B"/>
    <w:rsid w:val="7C182BB0"/>
    <w:rsid w:val="7C191924"/>
    <w:rsid w:val="7C296BFB"/>
    <w:rsid w:val="7C2B14D9"/>
    <w:rsid w:val="7C3F3E19"/>
    <w:rsid w:val="7C4D7A57"/>
    <w:rsid w:val="7C530E9C"/>
    <w:rsid w:val="7C5D7E18"/>
    <w:rsid w:val="7C6C3E83"/>
    <w:rsid w:val="7C6D5357"/>
    <w:rsid w:val="7C712BB7"/>
    <w:rsid w:val="7C7224E4"/>
    <w:rsid w:val="7C760140"/>
    <w:rsid w:val="7C773E4C"/>
    <w:rsid w:val="7C807B3F"/>
    <w:rsid w:val="7C82089A"/>
    <w:rsid w:val="7C85569C"/>
    <w:rsid w:val="7C8B27D2"/>
    <w:rsid w:val="7C922E8B"/>
    <w:rsid w:val="7C937FB0"/>
    <w:rsid w:val="7CA35C87"/>
    <w:rsid w:val="7CBF508C"/>
    <w:rsid w:val="7CE24892"/>
    <w:rsid w:val="7CE31832"/>
    <w:rsid w:val="7CE7327F"/>
    <w:rsid w:val="7CED73C5"/>
    <w:rsid w:val="7CF214DE"/>
    <w:rsid w:val="7CF56984"/>
    <w:rsid w:val="7CFA2E76"/>
    <w:rsid w:val="7CFB7CFA"/>
    <w:rsid w:val="7D045FD9"/>
    <w:rsid w:val="7D052604"/>
    <w:rsid w:val="7D0A14DE"/>
    <w:rsid w:val="7D0C1764"/>
    <w:rsid w:val="7D12701D"/>
    <w:rsid w:val="7D145308"/>
    <w:rsid w:val="7D1D7910"/>
    <w:rsid w:val="7D251FC5"/>
    <w:rsid w:val="7D2A5DD3"/>
    <w:rsid w:val="7D32326F"/>
    <w:rsid w:val="7D326EC6"/>
    <w:rsid w:val="7D3665E6"/>
    <w:rsid w:val="7D3B7E9B"/>
    <w:rsid w:val="7D3C1342"/>
    <w:rsid w:val="7D416D5B"/>
    <w:rsid w:val="7D476D28"/>
    <w:rsid w:val="7D5828D2"/>
    <w:rsid w:val="7D59665D"/>
    <w:rsid w:val="7D6014DD"/>
    <w:rsid w:val="7D627E57"/>
    <w:rsid w:val="7D782450"/>
    <w:rsid w:val="7D7E3CB7"/>
    <w:rsid w:val="7D7F7768"/>
    <w:rsid w:val="7D805675"/>
    <w:rsid w:val="7D985891"/>
    <w:rsid w:val="7D9C26C5"/>
    <w:rsid w:val="7D9F7C5B"/>
    <w:rsid w:val="7DA05C05"/>
    <w:rsid w:val="7DA51B07"/>
    <w:rsid w:val="7DB03B29"/>
    <w:rsid w:val="7DB045EC"/>
    <w:rsid w:val="7DB649D5"/>
    <w:rsid w:val="7DB954AD"/>
    <w:rsid w:val="7DC26AD1"/>
    <w:rsid w:val="7DC714BB"/>
    <w:rsid w:val="7DCB2DF5"/>
    <w:rsid w:val="7DDB241F"/>
    <w:rsid w:val="7DDE7F9F"/>
    <w:rsid w:val="7DF41836"/>
    <w:rsid w:val="7DF578B0"/>
    <w:rsid w:val="7DFC2E38"/>
    <w:rsid w:val="7DFD7331"/>
    <w:rsid w:val="7E0A192F"/>
    <w:rsid w:val="7E0A2C6F"/>
    <w:rsid w:val="7E0A71F9"/>
    <w:rsid w:val="7E0C16F0"/>
    <w:rsid w:val="7E200016"/>
    <w:rsid w:val="7E2451AA"/>
    <w:rsid w:val="7E2734F7"/>
    <w:rsid w:val="7E301561"/>
    <w:rsid w:val="7E351D87"/>
    <w:rsid w:val="7E3C7DD0"/>
    <w:rsid w:val="7E594369"/>
    <w:rsid w:val="7E640A22"/>
    <w:rsid w:val="7E677FC8"/>
    <w:rsid w:val="7E71138A"/>
    <w:rsid w:val="7E7816DB"/>
    <w:rsid w:val="7E811E82"/>
    <w:rsid w:val="7E8777B2"/>
    <w:rsid w:val="7E9400D0"/>
    <w:rsid w:val="7E9A02B1"/>
    <w:rsid w:val="7EA16E9C"/>
    <w:rsid w:val="7EA30402"/>
    <w:rsid w:val="7EA33F70"/>
    <w:rsid w:val="7EA8439C"/>
    <w:rsid w:val="7EB16796"/>
    <w:rsid w:val="7EB57E96"/>
    <w:rsid w:val="7EB67529"/>
    <w:rsid w:val="7EB96EE8"/>
    <w:rsid w:val="7EC753E9"/>
    <w:rsid w:val="7EDE2D2A"/>
    <w:rsid w:val="7EE579D0"/>
    <w:rsid w:val="7EE60F3D"/>
    <w:rsid w:val="7EF91098"/>
    <w:rsid w:val="7F016F38"/>
    <w:rsid w:val="7F056C5F"/>
    <w:rsid w:val="7F057990"/>
    <w:rsid w:val="7F162E2E"/>
    <w:rsid w:val="7F197412"/>
    <w:rsid w:val="7F1F0A4C"/>
    <w:rsid w:val="7F25593A"/>
    <w:rsid w:val="7F31498F"/>
    <w:rsid w:val="7F463BF5"/>
    <w:rsid w:val="7F4F2C70"/>
    <w:rsid w:val="7F5F61FD"/>
    <w:rsid w:val="7F655A32"/>
    <w:rsid w:val="7F79093B"/>
    <w:rsid w:val="7F7F35B5"/>
    <w:rsid w:val="7F8235A3"/>
    <w:rsid w:val="7F832162"/>
    <w:rsid w:val="7F873AAD"/>
    <w:rsid w:val="7F8B3B9B"/>
    <w:rsid w:val="7F8C19D9"/>
    <w:rsid w:val="7F926E3A"/>
    <w:rsid w:val="7F967492"/>
    <w:rsid w:val="7FAA6183"/>
    <w:rsid w:val="7FAA72D6"/>
    <w:rsid w:val="7FAE7F87"/>
    <w:rsid w:val="7FB16161"/>
    <w:rsid w:val="7FC23025"/>
    <w:rsid w:val="7FC41B25"/>
    <w:rsid w:val="7FC67B72"/>
    <w:rsid w:val="7FD85753"/>
    <w:rsid w:val="7FDB7FE9"/>
    <w:rsid w:val="7FE13B8F"/>
    <w:rsid w:val="7FF366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3"/>
    <w:basedOn w:val="1"/>
    <w:next w:val="1"/>
    <w:qFormat/>
    <w:uiPriority w:val="0"/>
    <w:pPr>
      <w:keepNext w:val="0"/>
      <w:keepLines w:val="0"/>
      <w:spacing w:before="0" w:after="0" w:line="240" w:lineRule="auto"/>
      <w:ind w:left="106"/>
      <w:outlineLvl w:val="2"/>
    </w:pPr>
    <w:rPr>
      <w:rFonts w:ascii="Times New Roman" w:hAnsi="Times New Roman" w:eastAsia="宋体"/>
      <w:sz w:val="32"/>
      <w:szCs w:val="32"/>
    </w:rPr>
  </w:style>
  <w:style w:type="character" w:default="1" w:styleId="10">
    <w:name w:val="Default Paragraph Font"/>
    <w:link w:val="11"/>
    <w:semiHidden/>
    <w:qFormat/>
    <w:uiPriority w:val="0"/>
    <w:rPr>
      <w:rFonts w:ascii="宋体" w:hAnsi="宋体" w:cs="Courier New"/>
      <w:sz w:val="24"/>
      <w:szCs w:val="32"/>
    </w:rPr>
  </w:style>
  <w:style w:type="table" w:default="1" w:styleId="8">
    <w:name w:val="Normal Table"/>
    <w:semiHidden/>
    <w:qFormat/>
    <w:uiPriority w:val="0"/>
    <w:tblPr>
      <w:tblCellMar>
        <w:top w:w="0" w:type="dxa"/>
        <w:left w:w="108" w:type="dxa"/>
        <w:bottom w:w="0" w:type="dxa"/>
        <w:right w:w="108" w:type="dxa"/>
      </w:tblCellMar>
    </w:tblPr>
  </w:style>
  <w:style w:type="paragraph" w:customStyle="1" w:styleId="2">
    <w:name w:val="Default"/>
    <w:qFormat/>
    <w:uiPriority w:val="0"/>
    <w:pPr>
      <w:autoSpaceDE w:val="0"/>
      <w:autoSpaceDN w:val="0"/>
      <w:adjustRightInd w:val="0"/>
    </w:pPr>
    <w:rPr>
      <w:rFonts w:ascii="微软雅黑" w:hAnsi="Times New Roman" w:eastAsia="微软雅黑" w:cs="微软雅黑"/>
      <w:color w:val="000000"/>
      <w:sz w:val="24"/>
      <w:szCs w:val="24"/>
      <w:lang w:val="en-GB" w:eastAsia="zh-CN" w:bidi="ar-SA"/>
    </w:rPr>
  </w:style>
  <w:style w:type="paragraph" w:styleId="4">
    <w:name w:val="Body Text"/>
    <w:basedOn w:val="1"/>
    <w:next w:val="5"/>
    <w:qFormat/>
    <w:uiPriority w:val="0"/>
    <w:pPr>
      <w:jc w:val="center"/>
    </w:pPr>
    <w:rPr>
      <w:sz w:val="44"/>
    </w:rPr>
  </w:style>
  <w:style w:type="paragraph" w:styleId="5">
    <w:name w:val="Plain Text"/>
    <w:next w:val="1"/>
    <w:qFormat/>
    <w:uiPriority w:val="0"/>
    <w:pPr>
      <w:widowControl w:val="0"/>
      <w:spacing w:line="240" w:lineRule="auto"/>
      <w:jc w:val="both"/>
      <w:textAlignment w:val="auto"/>
    </w:pPr>
    <w:rPr>
      <w:rFonts w:ascii="宋体" w:hAnsi="Courier New" w:eastAsia="宋体" w:cs="Times New Roman"/>
      <w:color w:val="auto"/>
      <w:kern w:val="2"/>
      <w:sz w:val="21"/>
      <w:szCs w:val="21"/>
      <w:u w:val="none" w:color="auto"/>
      <w:lang w:val="en-US" w:eastAsia="zh-CN" w:bidi="ar-SA"/>
    </w:rPr>
  </w:style>
  <w:style w:type="paragraph" w:styleId="6">
    <w:name w:val="footer"/>
    <w:basedOn w:val="1"/>
    <w:qFormat/>
    <w:uiPriority w:val="0"/>
    <w:pPr>
      <w:tabs>
        <w:tab w:val="center" w:pos="4153"/>
        <w:tab w:val="right" w:pos="8306"/>
      </w:tabs>
      <w:snapToGrid w:val="0"/>
      <w:jc w:val="left"/>
    </w:pPr>
    <w:rPr>
      <w:kern w:val="2"/>
      <w:sz w:val="18"/>
      <w:szCs w:val="18"/>
    </w:rPr>
  </w:style>
  <w:style w:type="paragraph" w:styleId="7">
    <w:name w:val="Normal (Web)"/>
    <w:basedOn w:val="1"/>
    <w:qFormat/>
    <w:uiPriority w:val="0"/>
    <w:pPr>
      <w:spacing w:before="100" w:beforeAutospacing="1" w:after="100" w:afterAutospacing="1"/>
      <w:ind w:left="0" w:right="0"/>
      <w:jc w:val="left"/>
    </w:pPr>
    <w:rPr>
      <w:kern w:val="0"/>
      <w:sz w:val="24"/>
      <w:lang w:val="en-US" w:eastAsia="zh-CN" w:bidi="ar"/>
    </w:r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1">
    <w:name w:val="Char2 Char Char Char Char Char Char Char Char1 Char"/>
    <w:basedOn w:val="1"/>
    <w:link w:val="10"/>
    <w:qFormat/>
    <w:uiPriority w:val="0"/>
    <w:pPr>
      <w:spacing w:line="360" w:lineRule="auto"/>
      <w:ind w:firstLine="200" w:firstLineChars="200"/>
    </w:pPr>
    <w:rPr>
      <w:rFonts w:ascii="宋体" w:hAnsi="宋体" w:cs="Courier New"/>
      <w:sz w:val="24"/>
      <w:szCs w:val="32"/>
    </w:rPr>
  </w:style>
  <w:style w:type="character" w:styleId="12">
    <w:name w:val="page number"/>
    <w:basedOn w:val="10"/>
    <w:qFormat/>
    <w:uiPriority w:val="0"/>
  </w:style>
  <w:style w:type="paragraph" w:customStyle="1" w:styleId="13">
    <w:name w:val="实施方案正文"/>
    <w:basedOn w:val="1"/>
    <w:qFormat/>
    <w:uiPriority w:val="99"/>
    <w:pPr>
      <w:ind w:firstLine="566" w:firstLineChars="202"/>
    </w:pPr>
    <w:rPr>
      <w:szCs w:val="28"/>
    </w:rPr>
  </w:style>
  <w:style w:type="paragraph" w:customStyle="1" w:styleId="14">
    <w:name w:val="UserStyle_0"/>
    <w:basedOn w:val="1"/>
    <w:qFormat/>
    <w:uiPriority w:val="99"/>
    <w:pPr>
      <w:ind w:firstLine="566" w:firstLineChars="202"/>
    </w:pPr>
    <w:rPr>
      <w:szCs w:val="28"/>
    </w:rPr>
  </w:style>
  <w:style w:type="paragraph" w:customStyle="1" w:styleId="15">
    <w:name w:val="正文1"/>
    <w:qFormat/>
    <w:uiPriority w:val="0"/>
    <w:pPr>
      <w:widowControl w:val="0"/>
      <w:pBdr>
        <w:top w:val="none" w:color="000000" w:sz="0" w:space="0"/>
        <w:left w:val="none" w:color="000000" w:sz="0" w:space="0"/>
        <w:bottom w:val="none" w:color="000000" w:sz="0" w:space="0"/>
        <w:right w:val="none" w:color="000000" w:sz="0" w:space="0"/>
        <w:between w:val="none" w:color="000000" w:sz="0" w:space="0"/>
      </w:pBdr>
      <w:shd w:val="clear" w:color="auto" w:fill="FFFFFF"/>
      <w:spacing w:before="0" w:beforeAutospacing="0" w:after="0" w:afterAutospacing="0" w:line="240" w:lineRule="auto"/>
      <w:ind w:left="0" w:right="0" w:firstLine="0"/>
      <w:jc w:val="both"/>
    </w:pPr>
    <w:rPr>
      <w:rFonts w:hint="default" w:ascii="Times New Roman" w:hAnsi="Times New Roman" w:eastAsia="宋体" w:cs="Times New Roman"/>
      <w:color w:val="auto"/>
      <w:spacing w:val="0"/>
      <w:position w:val="0"/>
      <w:sz w:val="21"/>
      <w:szCs w:val="24"/>
      <w:lang w:val="en-US" w:eastAsia="zh-CN" w:bidi="ar-SA"/>
    </w:rPr>
  </w:style>
  <w:style w:type="character" w:customStyle="1" w:styleId="16">
    <w:name w:val="font31"/>
    <w:basedOn w:val="10"/>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昆明市晋宁区党政机关单位</Company>
  <Pages>1</Pages>
  <Words>0</Words>
  <Characters>0</Characters>
  <Lines>0</Lines>
  <Paragraphs>0</Paragraphs>
  <TotalTime>3</TotalTime>
  <ScaleCrop>false</ScaleCrop>
  <LinksUpToDate>false</LinksUpToDate>
  <CharactersWithSpaces>0</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2021-09-30T01:28:00Z</dcterms:created>
  <dc:creator>Administrator</dc:creator>
  <cp:lastModifiedBy>Q</cp:lastModifiedBy>
  <cp:lastPrinted>2022-12-07T09:15:00Z</cp:lastPrinted>
  <dcterms:modified xsi:type="dcterms:W3CDTF">2023-10-11T03:11:34Z</dcterms:modified>
  <dc:title>昆明市晋宁区自然资源局文件</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C5586E293CFF4CE6904DB4D362A1E5FA</vt:lpwstr>
  </property>
</Properties>
</file>