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spacing w:line="560" w:lineRule="exact"/>
        <w:ind w:right="640"/>
        <w:rPr>
          <w:rFonts w:ascii="仿宋_GB2312" w:eastAsia="仿宋_GB2312"/>
          <w:color w:val="000000"/>
          <w:sz w:val="32"/>
          <w:szCs w:val="32"/>
          <w:highlight w:val="none"/>
        </w:rPr>
      </w:pPr>
      <w:r>
        <w:rPr>
          <w:rFonts w:hint="eastAsia" w:ascii="仿宋_GB2312" w:eastAsia="仿宋_GB2312"/>
          <w:color w:val="000000"/>
          <w:sz w:val="32"/>
          <w:szCs w:val="32"/>
          <w:highlight w:val="none"/>
        </w:rPr>
        <w:t xml:space="preserve"> </w:t>
      </w:r>
    </w:p>
    <w:p>
      <w:pPr>
        <w:widowControl/>
        <w:jc w:val="center"/>
        <w:rPr>
          <w:rFonts w:eastAsia="方正小标宋简体"/>
          <w:color w:val="FF0000"/>
          <w:spacing w:val="-36"/>
          <w:w w:val="66"/>
          <w:kern w:val="0"/>
          <w:sz w:val="90"/>
          <w:szCs w:val="90"/>
          <w:highlight w:val="none"/>
        </w:rPr>
      </w:pPr>
      <w:r>
        <w:rPr>
          <w:rFonts w:hint="eastAsia" w:hAnsi="方正小标宋简体" w:eastAsia="方正小标宋简体" w:cs="方正小标宋简体"/>
          <w:color w:val="FF0000"/>
          <w:w w:val="54"/>
          <w:kern w:val="21"/>
          <w:sz w:val="90"/>
          <w:szCs w:val="90"/>
          <w:highlight w:val="none"/>
        </w:rPr>
        <w:t>昆明市晋宁区安全生产委员会办公室文件</w:t>
      </w:r>
    </w:p>
    <w:p>
      <w:pPr>
        <w:spacing w:line="560" w:lineRule="exact"/>
        <w:jc w:val="center"/>
        <w:rPr>
          <w:rFonts w:ascii="仿宋_GB2312" w:eastAsia="仿宋_GB2312"/>
          <w:color w:val="000000"/>
          <w:sz w:val="32"/>
          <w:szCs w:val="32"/>
          <w:highlight w:val="none"/>
        </w:rPr>
      </w:pPr>
      <w:r>
        <w:rPr>
          <w:highlight w:val="none"/>
        </w:rPr>
        <mc:AlternateContent>
          <mc:Choice Requires="wps">
            <w:drawing>
              <wp:anchor distT="0" distB="0" distL="114300" distR="114300" simplePos="0" relativeHeight="251660288" behindDoc="0" locked="0" layoutInCell="1" allowOverlap="1">
                <wp:simplePos x="0" y="0"/>
                <wp:positionH relativeFrom="column">
                  <wp:posOffset>-9525</wp:posOffset>
                </wp:positionH>
                <wp:positionV relativeFrom="paragraph">
                  <wp:posOffset>354965</wp:posOffset>
                </wp:positionV>
                <wp:extent cx="5622290" cy="15875"/>
                <wp:effectExtent l="0" t="0" r="0" b="0"/>
                <wp:wrapNone/>
                <wp:docPr id="4" name="直接连接符 4"/>
                <wp:cNvGraphicFramePr/>
                <a:graphic xmlns:a="http://schemas.openxmlformats.org/drawingml/2006/main">
                  <a:graphicData uri="http://schemas.microsoft.com/office/word/2010/wordprocessingShape">
                    <wps:wsp>
                      <wps:cNvCnPr/>
                      <wps:spPr>
                        <a:xfrm flipV="1">
                          <a:off x="0" y="0"/>
                          <a:ext cx="5622290" cy="15875"/>
                        </a:xfrm>
                        <a:prstGeom prst="line">
                          <a:avLst/>
                        </a:prstGeom>
                        <a:ln w="25400" cap="flat" cmpd="sng">
                          <a:solidFill>
                            <a:srgbClr val="FF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flip:y;margin-left:-0.75pt;margin-top:27.95pt;height:1.25pt;width:442.7pt;z-index:251660288;mso-width-relative:page;mso-height-relative:page;" filled="f" stroked="t" coordsize="21600,21600" o:gfxdata="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AGz7X21QAAAAgBAAAPAAAAAAAAAAEAIAAAACIAAABkcnMv&#10;ZG93bnJldi54bWxQSwECFAAUAAAACACHTuJAyw2gLAYCAAABBAAADgAAAAAAAAABACAAAAAkAQAA&#10;ZHJzL2Uyb0RvYy54bWxQSwUGAAAAAAYABgBZAQAAnAUAAAAA&#10;">
                <v:fill on="f" focussize="0,0"/>
                <v:stroke weight="2pt" color="#FF0000" joinstyle="round"/>
                <v:imagedata o:title=""/>
                <o:lock v:ext="edit" aspectratio="f"/>
              </v:line>
            </w:pict>
          </mc:Fallback>
        </mc:AlternateContent>
      </w:r>
      <w:r>
        <w:rPr>
          <w:rFonts w:hint="eastAsia" w:ascii="仿宋_GB2312" w:eastAsia="仿宋_GB2312"/>
          <w:color w:val="000000"/>
          <w:sz w:val="32"/>
          <w:szCs w:val="32"/>
          <w:highlight w:val="none"/>
        </w:rPr>
        <w:t>晋安生办〔2023〕</w:t>
      </w:r>
      <w:r>
        <w:rPr>
          <w:rFonts w:hint="eastAsia" w:ascii="仿宋_GB2312" w:eastAsia="仿宋_GB2312"/>
          <w:color w:val="000000"/>
          <w:sz w:val="32"/>
          <w:szCs w:val="32"/>
          <w:highlight w:val="none"/>
          <w:lang w:val="en-US" w:eastAsia="zh-CN"/>
        </w:rPr>
        <w:t>18</w:t>
      </w:r>
      <w:r>
        <w:rPr>
          <w:rFonts w:hint="eastAsia" w:ascii="仿宋_GB2312" w:eastAsia="仿宋_GB2312"/>
          <w:color w:val="000000"/>
          <w:sz w:val="32"/>
          <w:szCs w:val="32"/>
          <w:highlight w:val="none"/>
        </w:rPr>
        <w:t>号</w:t>
      </w:r>
    </w:p>
    <w:p>
      <w:pPr>
        <w:spacing w:line="560" w:lineRule="exact"/>
        <w:jc w:val="center"/>
        <w:rPr>
          <w:rFonts w:hAnsi="宋体" w:eastAsia="仿宋_GB2312" w:cs="宋体"/>
          <w:color w:val="000000"/>
          <w:kern w:val="0"/>
          <w:sz w:val="32"/>
          <w:szCs w:val="32"/>
          <w:highlight w:val="none"/>
        </w:rPr>
      </w:pPr>
    </w:p>
    <w:p>
      <w:pPr>
        <w:adjustRightInd w:val="0"/>
        <w:spacing w:line="560" w:lineRule="exact"/>
        <w:jc w:val="center"/>
        <w:rPr>
          <w:rFonts w:ascii="仿宋_GB2312" w:hAnsi="宋体" w:eastAsia="方正小标宋_GBK" w:cs="宋体"/>
          <w:color w:val="auto"/>
          <w:kern w:val="0"/>
          <w:sz w:val="32"/>
          <w:szCs w:val="32"/>
          <w:highlight w:val="none"/>
        </w:rPr>
      </w:pPr>
      <w:r>
        <w:rPr>
          <w:rFonts w:hint="eastAsia" w:asciiTheme="minorEastAsia" w:hAnsiTheme="minorEastAsia" w:eastAsiaTheme="minorEastAsia" w:cstheme="minorEastAsia"/>
          <w:b/>
          <w:bCs/>
          <w:color w:val="auto"/>
          <w:kern w:val="0"/>
          <w:sz w:val="44"/>
          <w:szCs w:val="44"/>
          <w:highlight w:val="none"/>
        </w:rPr>
        <w:t>关于开展晋宁区烟花爆竹经营零售店专项整治行动的实施方案</w:t>
      </w:r>
    </w:p>
    <w:p>
      <w:pPr>
        <w:adjustRightInd w:val="0"/>
        <w:snapToGrid w:val="0"/>
        <w:spacing w:line="560" w:lineRule="exact"/>
        <w:rPr>
          <w:rFonts w:ascii="仿宋_GB2312" w:hAnsi="仿宋_GB2312" w:eastAsia="仿宋_GB2312" w:cs="仿宋_GB2312"/>
          <w:color w:val="auto"/>
          <w:sz w:val="32"/>
          <w:szCs w:val="32"/>
          <w:highlight w:val="none"/>
        </w:rPr>
      </w:pPr>
    </w:p>
    <w:p>
      <w:pPr>
        <w:keepNext w:val="0"/>
        <w:keepLines w:val="0"/>
        <w:pageBreakBefore w:val="0"/>
        <w:tabs>
          <w:tab w:val="left" w:pos="644"/>
          <w:tab w:val="left" w:pos="966"/>
          <w:tab w:val="left" w:pos="7629"/>
          <w:tab w:val="left" w:pos="8063"/>
        </w:tabs>
        <w:wordWrap/>
        <w:overflowPunct/>
        <w:topLinePunct w:val="0"/>
        <w:bidi w:val="0"/>
        <w:snapToGrid w:val="0"/>
        <w:spacing w:line="560" w:lineRule="exact"/>
        <w:rPr>
          <w:color w:val="auto"/>
          <w:sz w:val="36"/>
          <w:szCs w:val="36"/>
          <w:highlight w:val="none"/>
        </w:rPr>
      </w:pPr>
      <w:r>
        <w:rPr>
          <w:rFonts w:hint="eastAsia" w:ascii="仿宋_GB2312" w:eastAsia="仿宋_GB2312" w:cs="仿宋_GB2312"/>
          <w:color w:val="auto"/>
          <w:sz w:val="32"/>
          <w:szCs w:val="32"/>
          <w:highlight w:val="none"/>
        </w:rPr>
        <w:t>各乡镇（街道），区市管局、市公安局晋宁分局、区应急局、</w:t>
      </w:r>
      <w:r>
        <w:rPr>
          <w:rFonts w:hint="eastAsia" w:ascii="仿宋_GB2312" w:eastAsia="仿宋_GB2312" w:cs="仿宋_GB2312"/>
          <w:color w:val="auto"/>
          <w:sz w:val="32"/>
          <w:szCs w:val="32"/>
          <w:highlight w:val="none"/>
          <w:lang w:eastAsia="zh-CN"/>
        </w:rPr>
        <w:t>区城管局、</w:t>
      </w:r>
      <w:r>
        <w:rPr>
          <w:rFonts w:hint="eastAsia" w:ascii="仿宋_GB2312" w:eastAsia="仿宋_GB2312" w:cs="仿宋_GB2312"/>
          <w:color w:val="auto"/>
          <w:sz w:val="32"/>
          <w:szCs w:val="32"/>
          <w:highlight w:val="none"/>
        </w:rPr>
        <w:t>区消防救援大队，各烟花爆竹零售经营店</w:t>
      </w:r>
      <w:r>
        <w:rPr>
          <w:rFonts w:hint="eastAsia" w:ascii="仿宋_GB2312" w:eastAsia="仿宋_GB2312" w:cs="仿宋_GB2312"/>
          <w:color w:val="auto"/>
          <w:sz w:val="32"/>
          <w:szCs w:val="32"/>
          <w:highlight w:val="none"/>
          <w:lang w:eastAsia="zh-CN"/>
        </w:rPr>
        <w:t>、申请人</w:t>
      </w:r>
      <w:r>
        <w:rPr>
          <w:rFonts w:hint="eastAsia" w:ascii="仿宋_GB2312" w:hAnsi="仿宋_GB2312" w:eastAsia="仿宋_GB2312" w:cs="仿宋_GB2312"/>
          <w:color w:val="auto"/>
          <w:sz w:val="32"/>
          <w:szCs w:val="32"/>
          <w:highlight w:val="none"/>
        </w:rPr>
        <w:t>：</w:t>
      </w:r>
    </w:p>
    <w:p>
      <w:pPr>
        <w:keepNext w:val="0"/>
        <w:keepLines w:val="0"/>
        <w:pageBreakBefore w:val="0"/>
        <w:wordWrap/>
        <w:overflowPunct/>
        <w:topLinePunct w:val="0"/>
        <w:bidi w:val="0"/>
        <w:adjustRightInd w:val="0"/>
        <w:spacing w:line="56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为加强晋宁区烟花爆竹经营安全管理，建立安全、规范、稳定、有序的烟花爆竹经营秩序，进一步规范烟花爆竹经营单位经营行为，预防生产安全事故发生，保障人民群众的生命财产安全，</w:t>
      </w:r>
      <w:r>
        <w:rPr>
          <w:rFonts w:eastAsia="仿宋_GB2312"/>
          <w:color w:val="auto"/>
          <w:sz w:val="32"/>
          <w:szCs w:val="32"/>
          <w:highlight w:val="none"/>
        </w:rPr>
        <w:t>根据《中华人民共和国安全生产法》、《烟花爆竹安全管理条例》、《烟花爆竹经营许可实施办法》</w:t>
      </w:r>
      <w:r>
        <w:rPr>
          <w:rFonts w:hint="eastAsia" w:eastAsia="仿宋_GB2312"/>
          <w:color w:val="auto"/>
          <w:sz w:val="32"/>
          <w:szCs w:val="32"/>
          <w:highlight w:val="none"/>
        </w:rPr>
        <w:t>、</w:t>
      </w:r>
      <w:r>
        <w:rPr>
          <w:rFonts w:eastAsia="仿宋_GB2312"/>
          <w:color w:val="auto"/>
          <w:sz w:val="32"/>
          <w:szCs w:val="32"/>
          <w:highlight w:val="none"/>
        </w:rPr>
        <w:t>《昆明市应急管理局关于开展烟花爆竹规范化精细化管理工作的通知》（昆应急〔2021〕28号）</w:t>
      </w:r>
      <w:r>
        <w:rPr>
          <w:rFonts w:hint="eastAsia" w:eastAsia="仿宋_GB2312"/>
          <w:color w:val="auto"/>
          <w:sz w:val="32"/>
          <w:szCs w:val="32"/>
          <w:highlight w:val="none"/>
          <w:lang w:eastAsia="zh-CN"/>
        </w:rPr>
        <w:t>及</w:t>
      </w:r>
      <w:r>
        <w:rPr>
          <w:rFonts w:hint="eastAsia" w:ascii="仿宋_GB2312" w:hAnsi="仿宋_GB2312" w:eastAsia="仿宋_GB2312" w:cs="仿宋_GB2312"/>
          <w:color w:val="auto"/>
          <w:sz w:val="32"/>
          <w:szCs w:val="32"/>
          <w:highlight w:val="none"/>
        </w:rPr>
        <w:t>《昆明市晋宁区烟花爆竹经营零售店布点方案》</w:t>
      </w:r>
      <w:r>
        <w:rPr>
          <w:rFonts w:hint="eastAsia" w:ascii="仿宋_GB2312" w:hAnsi="仿宋_GB2312" w:eastAsia="仿宋_GB2312" w:cs="仿宋_GB2312"/>
          <w:color w:val="auto"/>
          <w:sz w:val="32"/>
          <w:szCs w:val="32"/>
          <w:highlight w:val="none"/>
          <w:lang w:eastAsia="zh-CN"/>
        </w:rPr>
        <w:t>等</w:t>
      </w:r>
      <w:r>
        <w:rPr>
          <w:rFonts w:hint="eastAsia" w:ascii="仿宋_GB2312" w:hAnsi="仿宋_GB2312" w:eastAsia="仿宋_GB2312" w:cs="仿宋_GB2312"/>
          <w:color w:val="auto"/>
          <w:sz w:val="32"/>
          <w:szCs w:val="32"/>
          <w:highlight w:val="none"/>
        </w:rPr>
        <w:t>文件</w:t>
      </w:r>
      <w:r>
        <w:rPr>
          <w:rFonts w:hint="eastAsia" w:ascii="仿宋_GB2312" w:hAnsi="仿宋_GB2312" w:eastAsia="仿宋_GB2312" w:cs="仿宋_GB2312"/>
          <w:color w:val="auto"/>
          <w:sz w:val="32"/>
          <w:szCs w:val="32"/>
          <w:highlight w:val="none"/>
          <w:lang w:eastAsia="zh-CN"/>
        </w:rPr>
        <w:t>相关</w:t>
      </w:r>
      <w:r>
        <w:rPr>
          <w:rFonts w:hint="eastAsia" w:ascii="仿宋_GB2312" w:hAnsi="仿宋_GB2312" w:eastAsia="仿宋_GB2312" w:cs="仿宋_GB2312"/>
          <w:color w:val="auto"/>
          <w:sz w:val="32"/>
          <w:szCs w:val="32"/>
          <w:highlight w:val="none"/>
        </w:rPr>
        <w:t>要求，经研究，决定开展烟花爆竹经营零售店专项整治提升，现将整治工作安排如下：</w:t>
      </w:r>
    </w:p>
    <w:p>
      <w:pPr>
        <w:keepNext w:val="0"/>
        <w:keepLines w:val="0"/>
        <w:pageBreakBefore w:val="0"/>
        <w:numPr>
          <w:ilvl w:val="0"/>
          <w:numId w:val="1"/>
        </w:numPr>
        <w:wordWrap/>
        <w:overflowPunct/>
        <w:topLinePunct w:val="0"/>
        <w:bidi w:val="0"/>
        <w:spacing w:line="560" w:lineRule="exact"/>
        <w:ind w:firstLine="640" w:firstLineChars="200"/>
        <w:rPr>
          <w:rFonts w:ascii="黑体" w:hAnsi="黑体" w:eastAsia="黑体" w:cs="黑体"/>
          <w:color w:val="auto"/>
          <w:sz w:val="32"/>
          <w:szCs w:val="32"/>
          <w:highlight w:val="none"/>
        </w:rPr>
      </w:pPr>
      <w:r>
        <w:rPr>
          <w:rFonts w:hint="eastAsia" w:ascii="黑体" w:hAnsi="黑体" w:eastAsia="黑体" w:cs="黑体"/>
          <w:color w:val="auto"/>
          <w:sz w:val="32"/>
          <w:szCs w:val="32"/>
          <w:highlight w:val="none"/>
        </w:rPr>
        <w:t>指导思想</w:t>
      </w:r>
    </w:p>
    <w:p>
      <w:pPr>
        <w:keepNext w:val="0"/>
        <w:keepLines w:val="0"/>
        <w:pageBreakBefore w:val="0"/>
        <w:wordWrap/>
        <w:overflowPunct/>
        <w:topLinePunct w:val="0"/>
        <w:bidi w:val="0"/>
        <w:spacing w:line="560" w:lineRule="exact"/>
        <w:ind w:firstLine="640" w:firstLineChars="200"/>
        <w:rPr>
          <w:rFonts w:ascii="Calibri" w:hAnsi="Calibri" w:eastAsia="仿宋_GB2312"/>
          <w:color w:val="auto"/>
          <w:sz w:val="32"/>
          <w:szCs w:val="32"/>
          <w:highlight w:val="none"/>
        </w:rPr>
      </w:pPr>
      <w:r>
        <w:rPr>
          <w:rFonts w:hint="eastAsia" w:ascii="Calibri" w:hAnsi="Calibri" w:eastAsia="仿宋_GB2312"/>
          <w:color w:val="auto"/>
          <w:sz w:val="32"/>
          <w:szCs w:val="32"/>
          <w:highlight w:val="none"/>
        </w:rPr>
        <w:t>以习近平新时代中国特色社会主义思想为指导，深入贯彻习近平总书记关于安全生产重要论述，坚持源头治理、系统治理和综合治理，完善规范管理、事故预防的责任体系、制度成果和工作机制，强化红线意识和底线思维，筑牢安全发展理念，坚决杜绝较大及以上生产安全事故，大幅减少生产安全事故起数，全面提升本质安全水平，为全面维护人民群众生命财产安全提供坚实的安全生产保障。</w:t>
      </w:r>
    </w:p>
    <w:p>
      <w:pPr>
        <w:keepNext w:val="0"/>
        <w:keepLines w:val="0"/>
        <w:pageBreakBefore w:val="0"/>
        <w:numPr>
          <w:ilvl w:val="0"/>
          <w:numId w:val="1"/>
        </w:numPr>
        <w:wordWrap/>
        <w:overflowPunct/>
        <w:topLinePunct w:val="0"/>
        <w:bidi w:val="0"/>
        <w:spacing w:line="560" w:lineRule="exact"/>
        <w:ind w:firstLine="640" w:firstLineChars="200"/>
        <w:rPr>
          <w:rFonts w:ascii="黑体" w:hAnsi="黑体" w:eastAsia="黑体" w:cs="黑体"/>
          <w:color w:val="auto"/>
          <w:sz w:val="32"/>
          <w:szCs w:val="32"/>
          <w:highlight w:val="none"/>
        </w:rPr>
      </w:pPr>
      <w:r>
        <w:rPr>
          <w:rFonts w:hint="eastAsia" w:ascii="黑体" w:hAnsi="黑体" w:eastAsia="黑体" w:cs="黑体"/>
          <w:color w:val="auto"/>
          <w:sz w:val="32"/>
          <w:szCs w:val="32"/>
          <w:highlight w:val="none"/>
        </w:rPr>
        <w:t>整治目标</w:t>
      </w:r>
    </w:p>
    <w:p>
      <w:pPr>
        <w:pStyle w:val="2"/>
        <w:keepNext w:val="0"/>
        <w:keepLines w:val="0"/>
        <w:pageBreakBefore w:val="0"/>
        <w:wordWrap/>
        <w:overflowPunct/>
        <w:topLinePunct w:val="0"/>
        <w:bidi w:val="0"/>
        <w:spacing w:after="0" w:line="560" w:lineRule="exact"/>
        <w:ind w:firstLine="640" w:firstLineChars="200"/>
        <w:rPr>
          <w:rFonts w:eastAsia="仿宋_GB2312"/>
          <w:color w:val="auto"/>
          <w:sz w:val="32"/>
          <w:szCs w:val="32"/>
          <w:highlight w:val="none"/>
        </w:rPr>
      </w:pPr>
      <w:r>
        <w:rPr>
          <w:rFonts w:hint="eastAsia" w:ascii="Calibri" w:hAnsi="Calibri" w:eastAsia="仿宋_GB2312" w:cs="Times New Roman"/>
          <w:color w:val="auto"/>
          <w:sz w:val="32"/>
          <w:szCs w:val="32"/>
          <w:highlight w:val="none"/>
        </w:rPr>
        <w:t>按照《烟花爆竹零售店（点）安全技术规范》（AQ4128-2019）要求，结合城乡经营发展特点，本着合理规划、方便群众、充分考虑各乡镇行政村数量、集镇状况、历史因素、社会经济发展水平及群众消费习惯来设置零售点数量。</w:t>
      </w:r>
      <w:r>
        <w:rPr>
          <w:rFonts w:hint="eastAsia" w:ascii="仿宋_GB2312" w:eastAsia="仿宋_GB2312"/>
          <w:color w:val="auto"/>
          <w:sz w:val="32"/>
          <w:szCs w:val="32"/>
          <w:highlight w:val="none"/>
        </w:rPr>
        <w:t>按照保障安全、统一规划、合理布局、方便群众、总量控制、适度竞争的原则</w:t>
      </w:r>
      <w:r>
        <w:rPr>
          <w:rFonts w:hint="eastAsia" w:ascii="仿宋_GB2312" w:eastAsia="仿宋_GB2312"/>
          <w:color w:val="auto"/>
          <w:sz w:val="32"/>
          <w:szCs w:val="32"/>
          <w:highlight w:val="none"/>
          <w:lang w:eastAsia="zh-CN"/>
        </w:rPr>
        <w:t>，</w:t>
      </w:r>
      <w:r>
        <w:rPr>
          <w:rFonts w:hint="eastAsia" w:ascii="Calibri" w:hAnsi="Calibri" w:eastAsia="仿宋_GB2312" w:cs="Times New Roman"/>
          <w:color w:val="auto"/>
          <w:sz w:val="32"/>
          <w:szCs w:val="32"/>
          <w:highlight w:val="none"/>
        </w:rPr>
        <w:t>严格控制零售网点数量和相邻两个零售网点之间的安全距离，严禁设立烟花爆竹“一条街”，取缔“下店上宅、前店后宅”和集中连片经营行为。</w:t>
      </w:r>
      <w:r>
        <w:rPr>
          <w:rFonts w:hint="eastAsia" w:eastAsia="仿宋_GB2312"/>
          <w:color w:val="auto"/>
          <w:sz w:val="32"/>
          <w:szCs w:val="32"/>
          <w:highlight w:val="none"/>
        </w:rPr>
        <w:t>坚决遏制生产安全事故发生，实现烟花爆竹零售经营行业安全生产形势稳定好转。</w:t>
      </w:r>
    </w:p>
    <w:p>
      <w:pPr>
        <w:keepNext w:val="0"/>
        <w:keepLines w:val="0"/>
        <w:pageBreakBefore w:val="0"/>
        <w:numPr>
          <w:ilvl w:val="0"/>
          <w:numId w:val="1"/>
        </w:numPr>
        <w:wordWrap/>
        <w:overflowPunct/>
        <w:topLinePunct w:val="0"/>
        <w:bidi w:val="0"/>
        <w:spacing w:line="560" w:lineRule="exact"/>
        <w:ind w:firstLine="640" w:firstLineChars="200"/>
        <w:rPr>
          <w:rFonts w:ascii="黑体" w:hAnsi="黑体" w:eastAsia="黑体" w:cs="黑体"/>
          <w:color w:val="auto"/>
          <w:sz w:val="32"/>
          <w:szCs w:val="32"/>
          <w:highlight w:val="none"/>
        </w:rPr>
      </w:pPr>
      <w:r>
        <w:rPr>
          <w:rFonts w:hint="eastAsia" w:ascii="黑体" w:hAnsi="黑体" w:eastAsia="黑体" w:cs="黑体"/>
          <w:color w:val="auto"/>
          <w:sz w:val="32"/>
          <w:szCs w:val="32"/>
          <w:highlight w:val="none"/>
        </w:rPr>
        <w:t>整治对象</w:t>
      </w:r>
    </w:p>
    <w:p>
      <w:pPr>
        <w:keepNext w:val="0"/>
        <w:keepLines w:val="0"/>
        <w:pageBreakBefore w:val="0"/>
        <w:wordWrap/>
        <w:overflowPunct/>
        <w:topLinePunct w:val="0"/>
        <w:bidi w:val="0"/>
        <w:spacing w:line="560" w:lineRule="exact"/>
        <w:ind w:firstLine="640" w:firstLineChars="200"/>
        <w:rPr>
          <w:rFonts w:ascii="Calibri" w:hAnsi="Calibri" w:eastAsia="仿宋_GB2312"/>
          <w:color w:val="auto"/>
          <w:sz w:val="32"/>
          <w:szCs w:val="32"/>
          <w:highlight w:val="none"/>
        </w:rPr>
      </w:pPr>
      <w:r>
        <w:rPr>
          <w:rFonts w:hint="eastAsia" w:ascii="Calibri" w:hAnsi="Calibri" w:eastAsia="仿宋_GB2312"/>
          <w:color w:val="auto"/>
          <w:sz w:val="32"/>
          <w:szCs w:val="32"/>
          <w:highlight w:val="none"/>
        </w:rPr>
        <w:t>涉及晋宁区已</w:t>
      </w:r>
      <w:r>
        <w:rPr>
          <w:rFonts w:hint="eastAsia" w:ascii="Calibri" w:hAnsi="Calibri" w:eastAsia="仿宋_GB2312"/>
          <w:color w:val="auto"/>
          <w:sz w:val="32"/>
          <w:szCs w:val="32"/>
          <w:highlight w:val="none"/>
          <w:lang w:eastAsia="zh-CN"/>
        </w:rPr>
        <w:t>取证和即将</w:t>
      </w:r>
      <w:r>
        <w:rPr>
          <w:rFonts w:hint="eastAsia" w:ascii="Calibri" w:hAnsi="Calibri" w:eastAsia="仿宋_GB2312"/>
          <w:color w:val="auto"/>
          <w:sz w:val="32"/>
          <w:szCs w:val="32"/>
          <w:highlight w:val="none"/>
        </w:rPr>
        <w:t>新</w:t>
      </w:r>
      <w:r>
        <w:rPr>
          <w:rFonts w:hint="eastAsia" w:ascii="Calibri" w:hAnsi="Calibri" w:eastAsia="仿宋_GB2312"/>
          <w:color w:val="auto"/>
          <w:sz w:val="32"/>
          <w:szCs w:val="32"/>
          <w:highlight w:val="none"/>
          <w:lang w:eastAsia="zh-CN"/>
        </w:rPr>
        <w:t>申办《烟花爆竹经营（零售）许可证》的</w:t>
      </w:r>
      <w:r>
        <w:rPr>
          <w:rFonts w:hint="eastAsia" w:ascii="Calibri" w:hAnsi="Calibri" w:eastAsia="仿宋_GB2312"/>
          <w:color w:val="auto"/>
          <w:sz w:val="32"/>
          <w:szCs w:val="32"/>
          <w:highlight w:val="none"/>
        </w:rPr>
        <w:t>烟花爆竹零售经营店。</w:t>
      </w:r>
    </w:p>
    <w:p>
      <w:pPr>
        <w:keepNext w:val="0"/>
        <w:keepLines w:val="0"/>
        <w:pageBreakBefore w:val="0"/>
        <w:numPr>
          <w:ilvl w:val="0"/>
          <w:numId w:val="1"/>
        </w:numPr>
        <w:wordWrap/>
        <w:overflowPunct/>
        <w:topLinePunct w:val="0"/>
        <w:bidi w:val="0"/>
        <w:spacing w:line="560" w:lineRule="exact"/>
        <w:ind w:firstLine="640" w:firstLineChars="200"/>
        <w:rPr>
          <w:rFonts w:ascii="黑体" w:hAnsi="黑体" w:eastAsia="黑体" w:cs="黑体"/>
          <w:color w:val="auto"/>
          <w:sz w:val="32"/>
          <w:szCs w:val="32"/>
          <w:highlight w:val="none"/>
        </w:rPr>
      </w:pPr>
      <w:r>
        <w:rPr>
          <w:rFonts w:hint="eastAsia" w:ascii="黑体" w:hAnsi="黑体" w:eastAsia="黑体" w:cs="黑体"/>
          <w:color w:val="auto"/>
          <w:sz w:val="32"/>
          <w:szCs w:val="32"/>
          <w:highlight w:val="none"/>
        </w:rPr>
        <w:t>整治时间</w:t>
      </w:r>
    </w:p>
    <w:p>
      <w:pPr>
        <w:pStyle w:val="2"/>
        <w:keepNext w:val="0"/>
        <w:keepLines w:val="0"/>
        <w:pageBreakBefore w:val="0"/>
        <w:wordWrap/>
        <w:overflowPunct/>
        <w:topLinePunct w:val="0"/>
        <w:bidi w:val="0"/>
        <w:spacing w:after="0" w:line="560" w:lineRule="exact"/>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rPr>
        <w:t>2023年9月15日至2023年12月31日</w:t>
      </w:r>
    </w:p>
    <w:p>
      <w:pPr>
        <w:keepNext w:val="0"/>
        <w:keepLines w:val="0"/>
        <w:pageBreakBefore w:val="0"/>
        <w:numPr>
          <w:ilvl w:val="0"/>
          <w:numId w:val="1"/>
        </w:numPr>
        <w:wordWrap/>
        <w:overflowPunct/>
        <w:topLinePunct w:val="0"/>
        <w:bidi w:val="0"/>
        <w:spacing w:line="560" w:lineRule="exact"/>
        <w:ind w:firstLine="640" w:firstLineChars="200"/>
        <w:rPr>
          <w:rFonts w:ascii="黑体" w:hAnsi="黑体" w:eastAsia="黑体" w:cs="黑体"/>
          <w:color w:val="auto"/>
          <w:sz w:val="32"/>
          <w:szCs w:val="32"/>
          <w:highlight w:val="none"/>
        </w:rPr>
      </w:pPr>
      <w:r>
        <w:rPr>
          <w:rFonts w:hint="eastAsia" w:ascii="黑体" w:hAnsi="黑体" w:eastAsia="黑体" w:cs="黑体"/>
          <w:color w:val="auto"/>
          <w:sz w:val="32"/>
          <w:szCs w:val="32"/>
          <w:highlight w:val="none"/>
        </w:rPr>
        <w:t>资金来源</w:t>
      </w:r>
    </w:p>
    <w:p>
      <w:pPr>
        <w:pStyle w:val="3"/>
        <w:keepNext w:val="0"/>
        <w:keepLines w:val="0"/>
        <w:pageBreakBefore w:val="0"/>
        <w:wordWrap/>
        <w:overflowPunct/>
        <w:topLinePunct w:val="0"/>
        <w:bidi w:val="0"/>
        <w:spacing w:after="0" w:line="560" w:lineRule="exact"/>
        <w:ind w:firstLine="640" w:firstLineChars="200"/>
        <w:rPr>
          <w:color w:val="auto"/>
          <w:highlight w:val="none"/>
        </w:rPr>
      </w:pPr>
      <w:r>
        <w:rPr>
          <w:rFonts w:hint="eastAsia" w:ascii="仿宋_GB2312" w:eastAsia="仿宋_GB2312"/>
          <w:color w:val="auto"/>
          <w:sz w:val="32"/>
          <w:szCs w:val="32"/>
          <w:highlight w:val="none"/>
        </w:rPr>
        <w:t>省、市2023年应急管理专项转移支付安全生产行业领域专项整治资金</w:t>
      </w:r>
      <w:r>
        <w:rPr>
          <w:rFonts w:hint="eastAsia" w:ascii="仿宋_GB2312" w:eastAsia="仿宋_GB2312"/>
          <w:color w:val="auto"/>
          <w:sz w:val="32"/>
          <w:szCs w:val="32"/>
          <w:highlight w:val="none"/>
          <w:lang w:val="en-US" w:eastAsia="zh-CN"/>
        </w:rPr>
        <w:t>约五万元</w:t>
      </w:r>
      <w:r>
        <w:rPr>
          <w:rFonts w:hint="eastAsia" w:ascii="仿宋_GB2312" w:eastAsia="仿宋_GB2312"/>
          <w:color w:val="auto"/>
          <w:sz w:val="32"/>
          <w:szCs w:val="32"/>
          <w:highlight w:val="none"/>
        </w:rPr>
        <w:t>。</w:t>
      </w:r>
    </w:p>
    <w:p>
      <w:pPr>
        <w:keepNext w:val="0"/>
        <w:keepLines w:val="0"/>
        <w:pageBreakBefore w:val="0"/>
        <w:numPr>
          <w:ilvl w:val="0"/>
          <w:numId w:val="1"/>
        </w:numPr>
        <w:wordWrap/>
        <w:overflowPunct/>
        <w:topLinePunct w:val="0"/>
        <w:bidi w:val="0"/>
        <w:spacing w:line="560" w:lineRule="exact"/>
        <w:ind w:firstLine="640" w:firstLineChars="200"/>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rPr>
        <w:t>整治方式</w:t>
      </w:r>
    </w:p>
    <w:p>
      <w:pPr>
        <w:keepNext w:val="0"/>
        <w:keepLines w:val="0"/>
        <w:pageBreakBefore w:val="0"/>
        <w:wordWrap/>
        <w:overflowPunct/>
        <w:topLinePunct w:val="0"/>
        <w:bidi w:val="0"/>
        <w:spacing w:line="560" w:lineRule="exact"/>
        <w:ind w:firstLine="640" w:firstLineChars="200"/>
        <w:rPr>
          <w:rFonts w:eastAsia="仿宋_GB2312"/>
          <w:color w:val="auto"/>
          <w:highlight w:val="none"/>
        </w:rPr>
      </w:pPr>
      <w:r>
        <w:rPr>
          <w:rFonts w:hint="eastAsia" w:ascii="仿宋_GB2312" w:eastAsia="仿宋_GB2312" w:cs="仿宋_GB2312"/>
          <w:color w:val="auto"/>
          <w:sz w:val="32"/>
          <w:szCs w:val="32"/>
          <w:highlight w:val="none"/>
          <w:lang w:val="en-US" w:eastAsia="zh-CN"/>
        </w:rPr>
        <w:t>采取</w:t>
      </w:r>
      <w:r>
        <w:rPr>
          <w:rFonts w:hint="eastAsia" w:ascii="仿宋_GB2312" w:eastAsia="仿宋_GB2312" w:cs="仿宋_GB2312"/>
          <w:color w:val="auto"/>
          <w:sz w:val="32"/>
          <w:szCs w:val="32"/>
          <w:highlight w:val="none"/>
        </w:rPr>
        <w:t>政府购买服务的方式</w:t>
      </w:r>
      <w:r>
        <w:rPr>
          <w:rFonts w:hint="eastAsia" w:ascii="仿宋_GB2312" w:eastAsia="仿宋_GB2312" w:cs="仿宋_GB2312"/>
          <w:color w:val="auto"/>
          <w:sz w:val="32"/>
          <w:szCs w:val="32"/>
          <w:highlight w:val="none"/>
          <w:lang w:eastAsia="zh-CN"/>
        </w:rPr>
        <w:t>，</w:t>
      </w:r>
      <w:r>
        <w:rPr>
          <w:rFonts w:hint="eastAsia" w:ascii="仿宋_GB2312" w:eastAsia="仿宋_GB2312" w:cs="仿宋_GB2312"/>
          <w:color w:val="auto"/>
          <w:sz w:val="32"/>
          <w:szCs w:val="32"/>
          <w:highlight w:val="none"/>
          <w:lang w:val="en-US" w:eastAsia="zh-CN"/>
        </w:rPr>
        <w:t>通过比选确定</w:t>
      </w:r>
      <w:r>
        <w:rPr>
          <w:rFonts w:hint="eastAsia" w:ascii="仿宋_GB2312" w:eastAsia="仿宋_GB2312" w:cs="仿宋_GB2312"/>
          <w:color w:val="auto"/>
          <w:sz w:val="32"/>
          <w:szCs w:val="32"/>
          <w:highlight w:val="none"/>
        </w:rPr>
        <w:t>第三方服务机构，开展烟花爆竹零售经营店安全生产专项排查治理。</w:t>
      </w:r>
    </w:p>
    <w:p>
      <w:pPr>
        <w:keepNext w:val="0"/>
        <w:keepLines w:val="0"/>
        <w:pageBreakBefore w:val="0"/>
        <w:numPr>
          <w:ilvl w:val="0"/>
          <w:numId w:val="1"/>
        </w:numPr>
        <w:wordWrap/>
        <w:overflowPunct/>
        <w:topLinePunct w:val="0"/>
        <w:bidi w:val="0"/>
        <w:spacing w:line="560" w:lineRule="exact"/>
        <w:ind w:firstLine="640" w:firstLineChars="200"/>
        <w:rPr>
          <w:rFonts w:ascii="黑体" w:hAnsi="黑体" w:eastAsia="黑体" w:cs="黑体"/>
          <w:color w:val="auto"/>
          <w:sz w:val="32"/>
          <w:szCs w:val="32"/>
          <w:highlight w:val="none"/>
        </w:rPr>
      </w:pPr>
      <w:r>
        <w:rPr>
          <w:rFonts w:hint="eastAsia" w:ascii="黑体" w:hAnsi="黑体" w:eastAsia="黑体" w:cs="黑体"/>
          <w:color w:val="auto"/>
          <w:sz w:val="32"/>
          <w:szCs w:val="32"/>
          <w:highlight w:val="none"/>
        </w:rPr>
        <w:t>整治内容</w:t>
      </w:r>
    </w:p>
    <w:p>
      <w:pPr>
        <w:pStyle w:val="2"/>
        <w:keepNext w:val="0"/>
        <w:keepLines w:val="0"/>
        <w:pageBreakBefore w:val="0"/>
        <w:wordWrap/>
        <w:overflowPunct/>
        <w:topLinePunct w:val="0"/>
        <w:bidi w:val="0"/>
        <w:spacing w:after="0" w:line="560" w:lineRule="exact"/>
        <w:ind w:firstLine="640" w:firstLineChars="200"/>
        <w:rPr>
          <w:rFonts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rPr>
        <w:t>（一）开展一次烟花爆竹布点</w:t>
      </w:r>
      <w:r>
        <w:rPr>
          <w:rFonts w:hint="eastAsia" w:ascii="楷体_GB2312" w:hAnsi="楷体_GB2312" w:eastAsia="楷体_GB2312" w:cs="楷体_GB2312"/>
          <w:color w:val="auto"/>
          <w:sz w:val="32"/>
          <w:szCs w:val="32"/>
          <w:highlight w:val="none"/>
          <w:lang w:eastAsia="zh-CN"/>
        </w:rPr>
        <w:t>和专项整治动员</w:t>
      </w:r>
      <w:r>
        <w:rPr>
          <w:rFonts w:hint="eastAsia" w:ascii="楷体_GB2312" w:hAnsi="楷体_GB2312" w:eastAsia="楷体_GB2312" w:cs="楷体_GB2312"/>
          <w:color w:val="auto"/>
          <w:sz w:val="32"/>
          <w:szCs w:val="32"/>
          <w:highlight w:val="none"/>
        </w:rPr>
        <w:t>会议（2023年9月</w:t>
      </w:r>
      <w:r>
        <w:rPr>
          <w:rFonts w:hint="eastAsia" w:ascii="楷体_GB2312" w:hAnsi="楷体_GB2312" w:eastAsia="楷体_GB2312" w:cs="楷体_GB2312"/>
          <w:color w:val="auto"/>
          <w:sz w:val="32"/>
          <w:szCs w:val="32"/>
          <w:highlight w:val="none"/>
          <w:lang w:val="en-US" w:eastAsia="zh-CN"/>
        </w:rPr>
        <w:t>20</w:t>
      </w:r>
      <w:r>
        <w:rPr>
          <w:rFonts w:hint="eastAsia" w:ascii="楷体_GB2312" w:hAnsi="楷体_GB2312" w:eastAsia="楷体_GB2312" w:cs="楷体_GB2312"/>
          <w:color w:val="auto"/>
          <w:sz w:val="32"/>
          <w:szCs w:val="32"/>
          <w:highlight w:val="none"/>
        </w:rPr>
        <w:t>日</w:t>
      </w:r>
      <w:r>
        <w:rPr>
          <w:rFonts w:hint="eastAsia" w:ascii="楷体_GB2312" w:hAnsi="楷体_GB2312" w:eastAsia="楷体_GB2312" w:cs="楷体_GB2312"/>
          <w:color w:val="auto"/>
          <w:sz w:val="32"/>
          <w:szCs w:val="32"/>
          <w:highlight w:val="none"/>
          <w:lang w:eastAsia="zh-CN"/>
        </w:rPr>
        <w:t>前</w:t>
      </w:r>
      <w:r>
        <w:rPr>
          <w:rFonts w:hint="eastAsia" w:ascii="楷体_GB2312" w:hAnsi="楷体_GB2312" w:eastAsia="楷体_GB2312" w:cs="楷体_GB2312"/>
          <w:color w:val="auto"/>
          <w:sz w:val="32"/>
          <w:szCs w:val="32"/>
          <w:highlight w:val="none"/>
        </w:rPr>
        <w:t>）。</w:t>
      </w:r>
      <w:r>
        <w:rPr>
          <w:rFonts w:hint="eastAsia" w:ascii="仿宋_GB2312" w:eastAsia="仿宋_GB2312"/>
          <w:color w:val="auto"/>
          <w:sz w:val="32"/>
          <w:szCs w:val="32"/>
          <w:highlight w:val="none"/>
        </w:rPr>
        <w:t>依据2023年《</w:t>
      </w:r>
      <w:r>
        <w:rPr>
          <w:rFonts w:hint="eastAsia" w:ascii="仿宋_GB2312" w:hAnsi="仿宋_GB2312" w:eastAsia="仿宋_GB2312"/>
          <w:color w:val="auto"/>
          <w:sz w:val="32"/>
          <w:szCs w:val="32"/>
          <w:highlight w:val="none"/>
        </w:rPr>
        <w:t>昆明市晋宁区烟花爆竹经营零售店布点方案</w:t>
      </w:r>
      <w:r>
        <w:rPr>
          <w:rFonts w:hint="eastAsia" w:ascii="仿宋_GB2312" w:eastAsia="仿宋_GB2312"/>
          <w:color w:val="auto"/>
          <w:sz w:val="32"/>
          <w:szCs w:val="32"/>
          <w:highlight w:val="none"/>
        </w:rPr>
        <w:t>》，召集烟花爆竹零售经营申请的个体工商户、公司经营单位解读布点方案和考务规则。</w:t>
      </w:r>
    </w:p>
    <w:p>
      <w:pPr>
        <w:pStyle w:val="2"/>
        <w:keepNext w:val="0"/>
        <w:keepLines w:val="0"/>
        <w:pageBreakBefore w:val="0"/>
        <w:wordWrap/>
        <w:overflowPunct/>
        <w:topLinePunct w:val="0"/>
        <w:bidi w:val="0"/>
        <w:spacing w:after="0" w:line="560" w:lineRule="exact"/>
        <w:ind w:firstLine="640" w:firstLineChars="200"/>
        <w:rPr>
          <w:rFonts w:ascii="仿宋_GB2312" w:eastAsia="仿宋_GB2312"/>
          <w:color w:val="auto"/>
          <w:sz w:val="32"/>
          <w:szCs w:val="32"/>
          <w:highlight w:val="none"/>
        </w:rPr>
      </w:pPr>
      <w:r>
        <w:rPr>
          <w:rFonts w:hint="eastAsia" w:ascii="楷体_GB2312" w:hAnsi="楷体_GB2312" w:eastAsia="楷体_GB2312" w:cs="楷体_GB2312"/>
          <w:color w:val="auto"/>
          <w:sz w:val="32"/>
          <w:szCs w:val="32"/>
          <w:highlight w:val="none"/>
        </w:rPr>
        <w:t>（二）开展一次烟花爆竹经营选拔考试（2023年10月</w:t>
      </w:r>
      <w:r>
        <w:rPr>
          <w:rFonts w:hint="eastAsia" w:ascii="楷体_GB2312" w:hAnsi="楷体_GB2312" w:eastAsia="楷体_GB2312" w:cs="楷体_GB2312"/>
          <w:color w:val="auto"/>
          <w:sz w:val="32"/>
          <w:szCs w:val="32"/>
          <w:highlight w:val="none"/>
          <w:lang w:val="en-US" w:eastAsia="zh-CN"/>
        </w:rPr>
        <w:t>11</w:t>
      </w:r>
      <w:r>
        <w:rPr>
          <w:rFonts w:hint="eastAsia" w:ascii="楷体_GB2312" w:hAnsi="楷体_GB2312" w:eastAsia="楷体_GB2312" w:cs="楷体_GB2312"/>
          <w:color w:val="auto"/>
          <w:sz w:val="32"/>
          <w:szCs w:val="32"/>
          <w:highlight w:val="none"/>
        </w:rPr>
        <w:t>日</w:t>
      </w:r>
      <w:r>
        <w:rPr>
          <w:rFonts w:hint="eastAsia" w:ascii="楷体_GB2312" w:hAnsi="楷体_GB2312" w:eastAsia="楷体_GB2312" w:cs="楷体_GB2312"/>
          <w:color w:val="auto"/>
          <w:sz w:val="32"/>
          <w:szCs w:val="32"/>
          <w:highlight w:val="none"/>
          <w:lang w:eastAsia="zh-CN"/>
        </w:rPr>
        <w:t>前</w:t>
      </w:r>
      <w:r>
        <w:rPr>
          <w:rFonts w:hint="eastAsia" w:ascii="楷体_GB2312" w:hAnsi="楷体_GB2312" w:eastAsia="楷体_GB2312" w:cs="楷体_GB2312"/>
          <w:color w:val="auto"/>
          <w:sz w:val="32"/>
          <w:szCs w:val="32"/>
          <w:highlight w:val="none"/>
        </w:rPr>
        <w:t>）。</w:t>
      </w:r>
      <w:r>
        <w:rPr>
          <w:rFonts w:hint="eastAsia" w:ascii="仿宋_GB2312" w:eastAsia="仿宋_GB2312"/>
          <w:color w:val="auto"/>
          <w:sz w:val="32"/>
          <w:szCs w:val="32"/>
          <w:highlight w:val="none"/>
        </w:rPr>
        <w:t>组织烟花爆竹零售经营申请人员及取得《烟花爆竹经营（零售）许可证》且还在有效期的经营户，参加烟花爆竹零售经营选拔考试。烟花爆竹零售经营申请人员</w:t>
      </w:r>
      <w:r>
        <w:rPr>
          <w:rFonts w:hint="eastAsia" w:ascii="仿宋_GB2312" w:eastAsia="仿宋_GB2312"/>
          <w:color w:val="auto"/>
          <w:sz w:val="32"/>
          <w:szCs w:val="32"/>
          <w:highlight w:val="none"/>
          <w:lang w:eastAsia="zh-CN"/>
        </w:rPr>
        <w:t>于</w:t>
      </w:r>
      <w:r>
        <w:rPr>
          <w:rFonts w:hint="eastAsia" w:ascii="仿宋_GB2312" w:hAnsi="仿宋_GB2312" w:eastAsia="仿宋_GB2312" w:cs="仿宋_GB2312"/>
          <w:color w:val="auto"/>
          <w:sz w:val="32"/>
          <w:szCs w:val="32"/>
          <w:highlight w:val="none"/>
        </w:rPr>
        <w:t>《昆明市晋宁区烟花爆竹经营零售店</w:t>
      </w:r>
      <w:r>
        <w:rPr>
          <w:rFonts w:hint="eastAsia" w:ascii="仿宋_GB2312" w:hAnsi="仿宋_GB2312" w:eastAsia="仿宋_GB2312" w:cs="仿宋_GB2312"/>
          <w:color w:val="auto"/>
          <w:sz w:val="32"/>
          <w:szCs w:val="32"/>
          <w:highlight w:val="none"/>
          <w:lang w:val="en-US" w:eastAsia="zh-CN"/>
        </w:rPr>
        <w:t>选拔考试通知</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eastAsia="zh-CN"/>
        </w:rPr>
        <w:t>在</w:t>
      </w:r>
      <w:r>
        <w:rPr>
          <w:rFonts w:hint="eastAsia" w:ascii="仿宋_GB2312" w:hAnsi="仿宋_GB2312" w:eastAsia="仿宋_GB2312" w:cs="仿宋_GB2312"/>
          <w:color w:val="auto"/>
          <w:sz w:val="32"/>
          <w:szCs w:val="32"/>
          <w:highlight w:val="none"/>
          <w:lang w:val="en-US" w:eastAsia="zh-CN"/>
        </w:rPr>
        <w:t>晋宁区政府</w:t>
      </w:r>
      <w:r>
        <w:rPr>
          <w:rFonts w:hint="eastAsia" w:ascii="仿宋_GB2312" w:eastAsia="仿宋_GB2312"/>
          <w:color w:val="auto"/>
          <w:sz w:val="32"/>
          <w:szCs w:val="32"/>
          <w:highlight w:val="none"/>
          <w:lang w:eastAsia="zh-CN"/>
        </w:rPr>
        <w:t>门户网站公布之日</w:t>
      </w:r>
      <w:r>
        <w:rPr>
          <w:rFonts w:hint="eastAsia" w:ascii="仿宋_GB2312" w:eastAsia="仿宋_GB2312"/>
          <w:color w:val="auto"/>
          <w:sz w:val="32"/>
          <w:szCs w:val="32"/>
          <w:highlight w:val="none"/>
          <w:lang w:val="en-US" w:eastAsia="zh-CN"/>
        </w:rPr>
        <w:t>起9月18日16：00至9月26日16：00</w:t>
      </w:r>
      <w:bookmarkStart w:id="0" w:name="_GoBack"/>
      <w:bookmarkEnd w:id="0"/>
      <w:r>
        <w:rPr>
          <w:rFonts w:hint="eastAsia" w:ascii="仿宋_GB2312" w:eastAsia="仿宋_GB2312"/>
          <w:color w:val="auto"/>
          <w:sz w:val="32"/>
          <w:szCs w:val="32"/>
          <w:highlight w:val="none"/>
          <w:lang w:val="en-US" w:eastAsia="zh-CN"/>
        </w:rPr>
        <w:t>报名，</w:t>
      </w:r>
      <w:r>
        <w:rPr>
          <w:rFonts w:hint="eastAsia" w:ascii="仿宋_GB2312" w:eastAsia="仿宋_GB2312"/>
          <w:color w:val="auto"/>
          <w:sz w:val="32"/>
          <w:szCs w:val="32"/>
          <w:highlight w:val="none"/>
        </w:rPr>
        <w:t>逾期</w:t>
      </w:r>
      <w:r>
        <w:rPr>
          <w:rFonts w:hint="eastAsia" w:ascii="仿宋_GB2312" w:eastAsia="仿宋_GB2312"/>
          <w:color w:val="auto"/>
          <w:sz w:val="32"/>
          <w:szCs w:val="32"/>
          <w:highlight w:val="none"/>
          <w:lang w:eastAsia="zh-CN"/>
        </w:rPr>
        <w:t>不接受参加择优录取报名申请</w:t>
      </w:r>
      <w:r>
        <w:rPr>
          <w:rFonts w:hint="eastAsia" w:ascii="仿宋_GB2312" w:eastAsia="仿宋_GB2312"/>
          <w:color w:val="auto"/>
          <w:sz w:val="32"/>
          <w:szCs w:val="32"/>
          <w:highlight w:val="none"/>
        </w:rPr>
        <w:t>。</w:t>
      </w:r>
      <w:r>
        <w:rPr>
          <w:rFonts w:hint="eastAsia" w:ascii="仿宋_GB2312" w:eastAsia="仿宋_GB2312"/>
          <w:color w:val="auto"/>
          <w:sz w:val="32"/>
          <w:szCs w:val="32"/>
          <w:highlight w:val="none"/>
          <w:lang w:eastAsia="zh-CN"/>
        </w:rPr>
        <w:t>选拔考试</w:t>
      </w:r>
      <w:r>
        <w:rPr>
          <w:rFonts w:hint="eastAsia" w:ascii="仿宋_GB2312" w:eastAsia="仿宋_GB2312"/>
          <w:color w:val="auto"/>
          <w:sz w:val="32"/>
          <w:szCs w:val="32"/>
          <w:highlight w:val="none"/>
        </w:rPr>
        <w:t>成绩合格的，</w:t>
      </w:r>
      <w:r>
        <w:rPr>
          <w:rFonts w:hint="eastAsia" w:ascii="仿宋_GB2312" w:eastAsia="仿宋_GB2312"/>
          <w:color w:val="auto"/>
          <w:sz w:val="32"/>
          <w:szCs w:val="32"/>
          <w:highlight w:val="none"/>
          <w:lang w:eastAsia="zh-CN"/>
        </w:rPr>
        <w:t>按照</w:t>
      </w:r>
      <w:r>
        <w:rPr>
          <w:rFonts w:hint="eastAsia" w:ascii="仿宋_GB2312" w:hAnsi="仿宋_GB2312" w:eastAsia="仿宋_GB2312" w:cs="仿宋_GB2312"/>
          <w:color w:val="auto"/>
          <w:sz w:val="32"/>
          <w:szCs w:val="32"/>
          <w:highlight w:val="none"/>
        </w:rPr>
        <w:t>《昆明市晋宁区烟花爆竹经营零售店布点方案》</w:t>
      </w:r>
      <w:r>
        <w:rPr>
          <w:rFonts w:hint="eastAsia" w:ascii="仿宋_GB2312" w:hAnsi="仿宋_GB2312" w:eastAsia="仿宋_GB2312" w:cs="仿宋_GB2312"/>
          <w:color w:val="auto"/>
          <w:sz w:val="32"/>
          <w:szCs w:val="32"/>
          <w:highlight w:val="none"/>
          <w:lang w:eastAsia="zh-CN"/>
        </w:rPr>
        <w:t>要求</w:t>
      </w:r>
      <w:r>
        <w:rPr>
          <w:rFonts w:hint="eastAsia" w:ascii="仿宋_GB2312" w:eastAsia="仿宋_GB2312"/>
          <w:color w:val="auto"/>
          <w:sz w:val="32"/>
          <w:szCs w:val="32"/>
          <w:highlight w:val="none"/>
        </w:rPr>
        <w:t>确定烟花爆竹拟经营人员。</w:t>
      </w:r>
    </w:p>
    <w:p>
      <w:pPr>
        <w:pStyle w:val="2"/>
        <w:keepNext w:val="0"/>
        <w:keepLines w:val="0"/>
        <w:pageBreakBefore w:val="0"/>
        <w:wordWrap/>
        <w:overflowPunct/>
        <w:topLinePunct w:val="0"/>
        <w:bidi w:val="0"/>
        <w:spacing w:after="0" w:line="560" w:lineRule="exact"/>
        <w:ind w:firstLine="640" w:firstLineChars="200"/>
        <w:rPr>
          <w:color w:val="auto"/>
          <w:highlight w:val="none"/>
        </w:rPr>
      </w:pPr>
      <w:r>
        <w:rPr>
          <w:rFonts w:hint="eastAsia" w:ascii="楷体_GB2312" w:hAnsi="楷体_GB2312" w:eastAsia="楷体_GB2312" w:cs="楷体_GB2312"/>
          <w:color w:val="auto"/>
          <w:sz w:val="32"/>
          <w:szCs w:val="32"/>
          <w:highlight w:val="none"/>
        </w:rPr>
        <w:t>（</w:t>
      </w:r>
      <w:r>
        <w:rPr>
          <w:rFonts w:hint="eastAsia" w:ascii="楷体_GB2312" w:hAnsi="楷体_GB2312" w:eastAsia="楷体_GB2312" w:cs="楷体_GB2312"/>
          <w:color w:val="auto"/>
          <w:sz w:val="32"/>
          <w:szCs w:val="32"/>
          <w:highlight w:val="none"/>
          <w:lang w:eastAsia="zh-CN"/>
        </w:rPr>
        <w:t>三</w:t>
      </w:r>
      <w:r>
        <w:rPr>
          <w:rFonts w:hint="eastAsia" w:ascii="楷体_GB2312" w:hAnsi="楷体_GB2312" w:eastAsia="楷体_GB2312" w:cs="楷体_GB2312"/>
          <w:color w:val="auto"/>
          <w:sz w:val="32"/>
          <w:szCs w:val="32"/>
          <w:highlight w:val="none"/>
        </w:rPr>
        <w:t>）开展一轮全覆盖专家排查确认。（2023年1</w:t>
      </w:r>
      <w:r>
        <w:rPr>
          <w:rFonts w:hint="eastAsia" w:ascii="楷体_GB2312" w:hAnsi="楷体_GB2312" w:eastAsia="楷体_GB2312" w:cs="楷体_GB2312"/>
          <w:color w:val="auto"/>
          <w:sz w:val="32"/>
          <w:szCs w:val="32"/>
          <w:highlight w:val="none"/>
          <w:lang w:val="en-US" w:eastAsia="zh-CN"/>
        </w:rPr>
        <w:t>0</w:t>
      </w:r>
      <w:r>
        <w:rPr>
          <w:rFonts w:hint="eastAsia" w:ascii="楷体_GB2312" w:hAnsi="楷体_GB2312" w:eastAsia="楷体_GB2312" w:cs="楷体_GB2312"/>
          <w:color w:val="auto"/>
          <w:sz w:val="32"/>
          <w:szCs w:val="32"/>
          <w:highlight w:val="none"/>
        </w:rPr>
        <w:t>月</w:t>
      </w:r>
      <w:r>
        <w:rPr>
          <w:rFonts w:hint="eastAsia" w:ascii="楷体_GB2312" w:hAnsi="楷体_GB2312" w:eastAsia="楷体_GB2312" w:cs="楷体_GB2312"/>
          <w:color w:val="auto"/>
          <w:sz w:val="32"/>
          <w:szCs w:val="32"/>
          <w:highlight w:val="none"/>
          <w:lang w:val="en-US" w:eastAsia="zh-CN"/>
        </w:rPr>
        <w:t>30</w:t>
      </w:r>
      <w:r>
        <w:rPr>
          <w:rFonts w:hint="eastAsia" w:ascii="楷体_GB2312" w:hAnsi="楷体_GB2312" w:eastAsia="楷体_GB2312" w:cs="楷体_GB2312"/>
          <w:color w:val="auto"/>
          <w:sz w:val="32"/>
          <w:szCs w:val="32"/>
          <w:highlight w:val="none"/>
        </w:rPr>
        <w:t>日至11月</w:t>
      </w:r>
      <w:r>
        <w:rPr>
          <w:rFonts w:hint="eastAsia" w:ascii="楷体_GB2312" w:hAnsi="楷体_GB2312" w:eastAsia="楷体_GB2312" w:cs="楷体_GB2312"/>
          <w:color w:val="auto"/>
          <w:sz w:val="32"/>
          <w:szCs w:val="32"/>
          <w:highlight w:val="none"/>
          <w:lang w:val="en-US" w:eastAsia="zh-CN"/>
        </w:rPr>
        <w:t>3</w:t>
      </w:r>
      <w:r>
        <w:rPr>
          <w:rFonts w:hint="eastAsia" w:ascii="楷体_GB2312" w:hAnsi="楷体_GB2312" w:eastAsia="楷体_GB2312" w:cs="楷体_GB2312"/>
          <w:color w:val="auto"/>
          <w:sz w:val="32"/>
          <w:szCs w:val="32"/>
          <w:highlight w:val="none"/>
        </w:rPr>
        <w:t>日）。</w:t>
      </w:r>
      <w:r>
        <w:rPr>
          <w:rFonts w:hint="eastAsia" w:ascii="仿宋_GB2312" w:eastAsia="仿宋_GB2312"/>
          <w:color w:val="auto"/>
          <w:sz w:val="32"/>
          <w:szCs w:val="32"/>
          <w:highlight w:val="none"/>
          <w:lang w:eastAsia="zh-CN"/>
        </w:rPr>
        <w:t>经确定</w:t>
      </w:r>
      <w:r>
        <w:rPr>
          <w:rFonts w:hint="eastAsia" w:ascii="仿宋_GB2312" w:eastAsia="仿宋_GB2312"/>
          <w:color w:val="auto"/>
          <w:sz w:val="32"/>
          <w:szCs w:val="32"/>
          <w:highlight w:val="none"/>
        </w:rPr>
        <w:t>的烟花爆竹拟经营人员，自成绩公布日起</w:t>
      </w:r>
      <w:r>
        <w:rPr>
          <w:rFonts w:hint="eastAsia" w:ascii="仿宋_GB2312" w:eastAsia="仿宋_GB2312"/>
          <w:color w:val="auto"/>
          <w:sz w:val="32"/>
          <w:szCs w:val="32"/>
          <w:highlight w:val="none"/>
          <w:lang w:val="en-US" w:eastAsia="zh-CN"/>
        </w:rPr>
        <w:t>15</w:t>
      </w:r>
      <w:r>
        <w:rPr>
          <w:rFonts w:hint="eastAsia" w:ascii="仿宋_GB2312" w:eastAsia="仿宋_GB2312"/>
          <w:color w:val="auto"/>
          <w:sz w:val="32"/>
          <w:szCs w:val="32"/>
          <w:highlight w:val="none"/>
        </w:rPr>
        <w:t>日内，按照</w:t>
      </w:r>
      <w:r>
        <w:rPr>
          <w:rFonts w:hint="eastAsia" w:ascii="Calibri" w:hAnsi="Calibri" w:eastAsia="仿宋_GB2312" w:cs="Times New Roman"/>
          <w:color w:val="auto"/>
          <w:sz w:val="32"/>
          <w:szCs w:val="32"/>
          <w:highlight w:val="none"/>
        </w:rPr>
        <w:t>《烟花爆竹零售店（点）安全技术规范》（AQ4128-2019）</w:t>
      </w:r>
      <w:r>
        <w:rPr>
          <w:rFonts w:hint="eastAsia" w:ascii="仿宋_GB2312" w:eastAsia="仿宋_GB2312"/>
          <w:color w:val="auto"/>
          <w:sz w:val="32"/>
          <w:szCs w:val="32"/>
          <w:highlight w:val="none"/>
        </w:rPr>
        <w:t>安全、建筑和消防等相关规定，自主在晋宁区范围内的集镇道路临街铺面</w:t>
      </w:r>
      <w:r>
        <w:rPr>
          <w:rFonts w:hint="eastAsia" w:ascii="仿宋_GB2312" w:eastAsia="仿宋_GB2312"/>
          <w:color w:val="auto"/>
          <w:sz w:val="32"/>
          <w:szCs w:val="32"/>
          <w:highlight w:val="none"/>
          <w:lang w:eastAsia="zh-CN"/>
        </w:rPr>
        <w:t>预选零售店（遵循每个通过选拔考试的申请人可预选两个点位进行审核的原则，择优选点）</w:t>
      </w:r>
      <w:r>
        <w:rPr>
          <w:rFonts w:hint="eastAsia" w:ascii="仿宋_GB2312" w:eastAsia="仿宋_GB2312"/>
          <w:color w:val="auto"/>
          <w:sz w:val="32"/>
          <w:szCs w:val="32"/>
          <w:highlight w:val="none"/>
        </w:rPr>
        <w:t>，开展一轮全覆盖的安全专项排查，相关职能部门现场联勘联审确认</w:t>
      </w:r>
      <w:r>
        <w:rPr>
          <w:rFonts w:hint="eastAsia" w:ascii="仿宋_GB2312" w:eastAsia="仿宋_GB2312"/>
          <w:color w:val="auto"/>
          <w:sz w:val="32"/>
          <w:szCs w:val="32"/>
          <w:highlight w:val="none"/>
          <w:lang w:eastAsia="zh-CN"/>
        </w:rPr>
        <w:t>是否满足</w:t>
      </w:r>
      <w:r>
        <w:rPr>
          <w:rFonts w:hint="eastAsia" w:ascii="仿宋_GB2312" w:eastAsia="仿宋_GB2312"/>
          <w:color w:val="auto"/>
          <w:sz w:val="32"/>
          <w:szCs w:val="32"/>
          <w:highlight w:val="none"/>
        </w:rPr>
        <w:t>安全、建筑和消防等相关规定，具备条件的拟确定为晋宁区2023年烟花爆竹零售经营点，不具备安全条件的</w:t>
      </w:r>
      <w:r>
        <w:rPr>
          <w:rFonts w:hint="eastAsia" w:ascii="仿宋_GB2312" w:eastAsia="仿宋_GB2312"/>
          <w:color w:val="auto"/>
          <w:sz w:val="32"/>
          <w:szCs w:val="32"/>
          <w:highlight w:val="none"/>
          <w:lang w:eastAsia="zh-CN"/>
        </w:rPr>
        <w:t>，若</w:t>
      </w:r>
      <w:r>
        <w:rPr>
          <w:rFonts w:hint="eastAsia" w:ascii="仿宋_GB2312" w:eastAsia="仿宋_GB2312"/>
          <w:color w:val="auto"/>
          <w:sz w:val="32"/>
          <w:szCs w:val="32"/>
          <w:highlight w:val="none"/>
        </w:rPr>
        <w:t>成绩公布日起</w:t>
      </w:r>
      <w:r>
        <w:rPr>
          <w:rFonts w:hint="eastAsia" w:ascii="仿宋_GB2312" w:eastAsia="仿宋_GB2312"/>
          <w:color w:val="auto"/>
          <w:sz w:val="32"/>
          <w:szCs w:val="32"/>
          <w:highlight w:val="none"/>
          <w:lang w:val="en-US" w:eastAsia="zh-CN"/>
        </w:rPr>
        <w:t>1个月内仍不能确定经营点的，</w:t>
      </w:r>
      <w:r>
        <w:rPr>
          <w:rFonts w:hint="eastAsia" w:ascii="仿宋_GB2312" w:eastAsia="仿宋_GB2312"/>
          <w:color w:val="auto"/>
          <w:sz w:val="32"/>
          <w:szCs w:val="32"/>
          <w:highlight w:val="none"/>
        </w:rPr>
        <w:t>取消拟经营资格。</w:t>
      </w:r>
    </w:p>
    <w:p>
      <w:pPr>
        <w:pStyle w:val="2"/>
        <w:keepNext w:val="0"/>
        <w:keepLines w:val="0"/>
        <w:pageBreakBefore w:val="0"/>
        <w:wordWrap/>
        <w:overflowPunct/>
        <w:topLinePunct w:val="0"/>
        <w:bidi w:val="0"/>
        <w:spacing w:after="0" w:line="560" w:lineRule="exact"/>
        <w:ind w:left="0" w:leftChars="0" w:firstLine="640" w:firstLineChars="200"/>
        <w:rPr>
          <w:rFonts w:hint="eastAsia" w:ascii="仿宋_GB2312" w:eastAsia="仿宋_GB2312"/>
          <w:color w:val="auto"/>
          <w:sz w:val="32"/>
          <w:szCs w:val="32"/>
          <w:highlight w:val="none"/>
        </w:rPr>
      </w:pPr>
      <w:r>
        <w:rPr>
          <w:rFonts w:hint="eastAsia" w:ascii="楷体_GB2312" w:hAnsi="楷体_GB2312" w:eastAsia="楷体_GB2312" w:cs="楷体_GB2312"/>
          <w:color w:val="auto"/>
          <w:sz w:val="32"/>
          <w:szCs w:val="32"/>
          <w:highlight w:val="none"/>
        </w:rPr>
        <w:t>（</w:t>
      </w:r>
      <w:r>
        <w:rPr>
          <w:rFonts w:hint="eastAsia" w:ascii="楷体_GB2312" w:hAnsi="楷体_GB2312" w:eastAsia="楷体_GB2312" w:cs="楷体_GB2312"/>
          <w:color w:val="auto"/>
          <w:sz w:val="32"/>
          <w:szCs w:val="32"/>
          <w:highlight w:val="none"/>
          <w:lang w:eastAsia="zh-CN"/>
        </w:rPr>
        <w:t>四</w:t>
      </w:r>
      <w:r>
        <w:rPr>
          <w:rFonts w:hint="eastAsia" w:ascii="楷体_GB2312" w:hAnsi="楷体_GB2312" w:eastAsia="楷体_GB2312" w:cs="楷体_GB2312"/>
          <w:color w:val="auto"/>
          <w:sz w:val="32"/>
          <w:szCs w:val="32"/>
          <w:highlight w:val="none"/>
        </w:rPr>
        <w:t>）开展一次现有长期点隐患问题整治整改（2023年</w:t>
      </w:r>
      <w:r>
        <w:rPr>
          <w:rFonts w:hint="eastAsia" w:ascii="楷体_GB2312" w:hAnsi="楷体_GB2312" w:eastAsia="楷体_GB2312" w:cs="楷体_GB2312"/>
          <w:color w:val="auto"/>
          <w:sz w:val="32"/>
          <w:szCs w:val="32"/>
          <w:highlight w:val="none"/>
          <w:lang w:val="en-US" w:eastAsia="zh-CN"/>
        </w:rPr>
        <w:t>10</w:t>
      </w:r>
      <w:r>
        <w:rPr>
          <w:rFonts w:hint="eastAsia" w:ascii="楷体_GB2312" w:hAnsi="楷体_GB2312" w:eastAsia="楷体_GB2312" w:cs="楷体_GB2312"/>
          <w:color w:val="auto"/>
          <w:sz w:val="32"/>
          <w:szCs w:val="32"/>
          <w:highlight w:val="none"/>
        </w:rPr>
        <w:t>月</w:t>
      </w:r>
      <w:r>
        <w:rPr>
          <w:rFonts w:hint="eastAsia" w:ascii="楷体_GB2312" w:hAnsi="楷体_GB2312" w:eastAsia="楷体_GB2312" w:cs="楷体_GB2312"/>
          <w:color w:val="auto"/>
          <w:sz w:val="32"/>
          <w:szCs w:val="32"/>
          <w:highlight w:val="none"/>
          <w:lang w:val="en-US" w:eastAsia="zh-CN"/>
        </w:rPr>
        <w:t>30</w:t>
      </w:r>
      <w:r>
        <w:rPr>
          <w:rFonts w:hint="eastAsia" w:ascii="楷体_GB2312" w:hAnsi="楷体_GB2312" w:eastAsia="楷体_GB2312" w:cs="楷体_GB2312"/>
          <w:color w:val="auto"/>
          <w:sz w:val="32"/>
          <w:szCs w:val="32"/>
          <w:highlight w:val="none"/>
        </w:rPr>
        <w:t>日至</w:t>
      </w:r>
      <w:r>
        <w:rPr>
          <w:rFonts w:hint="eastAsia" w:ascii="楷体_GB2312" w:hAnsi="楷体_GB2312" w:eastAsia="楷体_GB2312" w:cs="楷体_GB2312"/>
          <w:color w:val="auto"/>
          <w:sz w:val="32"/>
          <w:szCs w:val="32"/>
          <w:highlight w:val="none"/>
          <w:lang w:val="en-US" w:eastAsia="zh-CN"/>
        </w:rPr>
        <w:t>11</w:t>
      </w:r>
      <w:r>
        <w:rPr>
          <w:rFonts w:hint="eastAsia" w:ascii="楷体_GB2312" w:hAnsi="楷体_GB2312" w:eastAsia="楷体_GB2312" w:cs="楷体_GB2312"/>
          <w:color w:val="auto"/>
          <w:sz w:val="32"/>
          <w:szCs w:val="32"/>
          <w:highlight w:val="none"/>
        </w:rPr>
        <w:t>月</w:t>
      </w:r>
      <w:r>
        <w:rPr>
          <w:rFonts w:hint="eastAsia" w:ascii="楷体_GB2312" w:hAnsi="楷体_GB2312" w:eastAsia="楷体_GB2312" w:cs="楷体_GB2312"/>
          <w:color w:val="auto"/>
          <w:sz w:val="32"/>
          <w:szCs w:val="32"/>
          <w:highlight w:val="none"/>
          <w:lang w:val="en-US" w:eastAsia="zh-CN"/>
        </w:rPr>
        <w:t>3</w:t>
      </w:r>
      <w:r>
        <w:rPr>
          <w:rFonts w:hint="eastAsia" w:ascii="楷体_GB2312" w:hAnsi="楷体_GB2312" w:eastAsia="楷体_GB2312" w:cs="楷体_GB2312"/>
          <w:color w:val="auto"/>
          <w:sz w:val="32"/>
          <w:szCs w:val="32"/>
          <w:highlight w:val="none"/>
        </w:rPr>
        <w:t>日）。</w:t>
      </w:r>
      <w:r>
        <w:rPr>
          <w:rFonts w:hint="eastAsia" w:ascii="仿宋_GB2312" w:eastAsia="仿宋_GB2312"/>
          <w:color w:val="auto"/>
          <w:sz w:val="32"/>
          <w:szCs w:val="32"/>
          <w:highlight w:val="none"/>
        </w:rPr>
        <w:t>对《烟花爆竹经营（零售）许可证》还在有效期的烟花爆竹长期点开展全覆盖隐患排查，区应急局督促各长期点按照专家指导服务提出的整改建议，对照</w:t>
      </w:r>
      <w:r>
        <w:rPr>
          <w:rFonts w:hint="eastAsia" w:ascii="Calibri" w:hAnsi="Calibri" w:eastAsia="仿宋_GB2312" w:cs="Times New Roman"/>
          <w:color w:val="auto"/>
          <w:sz w:val="32"/>
          <w:szCs w:val="32"/>
          <w:highlight w:val="none"/>
        </w:rPr>
        <w:t>《烟花爆竹零售店（点）安全技术规范》（AQ4128-2019）要求，安全、建筑和消防的相关规定，落实落细烟花爆竹规范化精细化管理，整治整改一批安全隐患，对成绩合格且整改完成存在隐患的长期点，</w:t>
      </w:r>
      <w:r>
        <w:rPr>
          <w:rFonts w:hint="eastAsia" w:ascii="仿宋_GB2312" w:eastAsia="仿宋_GB2312"/>
          <w:color w:val="auto"/>
          <w:sz w:val="32"/>
          <w:szCs w:val="32"/>
          <w:highlight w:val="none"/>
        </w:rPr>
        <w:t>《烟花爆竹经营（零售）许可证》到期后继续办理延期。成绩不合格的经营点整改完存在隐患，《烟花爆竹经营（零售）许可证》到期后不再办理烟花爆竹经营（零售）许可延期，缺额按</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lang w:val="en-US" w:eastAsia="zh-CN"/>
        </w:rPr>
        <w:t>2023年度经营选拔</w:t>
      </w:r>
      <w:r>
        <w:rPr>
          <w:rFonts w:hint="eastAsia" w:ascii="仿宋_GB2312" w:eastAsia="仿宋_GB2312"/>
          <w:color w:val="auto"/>
          <w:sz w:val="32"/>
          <w:szCs w:val="32"/>
          <w:highlight w:val="none"/>
        </w:rPr>
        <w:t>考试</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rPr>
        <w:t>成绩从高到低顺延补齐。</w:t>
      </w:r>
    </w:p>
    <w:p>
      <w:pPr>
        <w:pStyle w:val="2"/>
        <w:keepNext w:val="0"/>
        <w:keepLines w:val="0"/>
        <w:pageBreakBefore w:val="0"/>
        <w:wordWrap/>
        <w:overflowPunct/>
        <w:topLinePunct w:val="0"/>
        <w:bidi w:val="0"/>
        <w:spacing w:after="0" w:line="560" w:lineRule="exact"/>
        <w:ind w:left="0" w:leftChars="0" w:firstLine="640" w:firstLineChars="200"/>
        <w:rPr>
          <w:rFonts w:hint="eastAsia" w:ascii="仿宋_GB2312" w:eastAsia="仿宋_GB2312"/>
          <w:color w:val="auto"/>
          <w:sz w:val="32"/>
          <w:szCs w:val="32"/>
          <w:highlight w:val="none"/>
          <w:lang w:val="en-US" w:eastAsia="zh-CN"/>
        </w:rPr>
      </w:pPr>
      <w:r>
        <w:rPr>
          <w:rFonts w:hint="eastAsia" w:ascii="楷体_GB2312" w:hAnsi="楷体_GB2312" w:eastAsia="楷体_GB2312" w:cs="楷体_GB2312"/>
          <w:color w:val="auto"/>
          <w:sz w:val="32"/>
          <w:szCs w:val="32"/>
          <w:highlight w:val="none"/>
          <w:lang w:eastAsia="zh-CN"/>
        </w:rPr>
        <w:t>（五）集中开展一次烟花爆竹从业人员持证培训考核</w:t>
      </w:r>
      <w:r>
        <w:rPr>
          <w:rFonts w:hint="eastAsia" w:ascii="楷体_GB2312" w:hAnsi="楷体_GB2312" w:eastAsia="楷体_GB2312" w:cs="楷体_GB2312"/>
          <w:color w:val="auto"/>
          <w:sz w:val="32"/>
          <w:szCs w:val="32"/>
          <w:highlight w:val="none"/>
        </w:rPr>
        <w:t>（2023年</w:t>
      </w:r>
      <w:r>
        <w:rPr>
          <w:rFonts w:hint="eastAsia" w:ascii="楷体_GB2312" w:hAnsi="楷体_GB2312" w:eastAsia="楷体_GB2312" w:cs="楷体_GB2312"/>
          <w:color w:val="auto"/>
          <w:sz w:val="32"/>
          <w:szCs w:val="32"/>
          <w:highlight w:val="none"/>
          <w:lang w:val="en-US" w:eastAsia="zh-CN"/>
        </w:rPr>
        <w:t>11</w:t>
      </w:r>
      <w:r>
        <w:rPr>
          <w:rFonts w:hint="eastAsia" w:ascii="楷体_GB2312" w:hAnsi="楷体_GB2312" w:eastAsia="楷体_GB2312" w:cs="楷体_GB2312"/>
          <w:color w:val="auto"/>
          <w:sz w:val="32"/>
          <w:szCs w:val="32"/>
          <w:highlight w:val="none"/>
        </w:rPr>
        <w:t>月</w:t>
      </w:r>
      <w:r>
        <w:rPr>
          <w:rFonts w:hint="eastAsia" w:ascii="楷体_GB2312" w:hAnsi="楷体_GB2312" w:eastAsia="楷体_GB2312" w:cs="楷体_GB2312"/>
          <w:color w:val="auto"/>
          <w:sz w:val="32"/>
          <w:szCs w:val="32"/>
          <w:highlight w:val="none"/>
          <w:lang w:val="en-US" w:eastAsia="zh-CN"/>
        </w:rPr>
        <w:t>20</w:t>
      </w:r>
      <w:r>
        <w:rPr>
          <w:rFonts w:hint="eastAsia" w:ascii="楷体_GB2312" w:hAnsi="楷体_GB2312" w:eastAsia="楷体_GB2312" w:cs="楷体_GB2312"/>
          <w:color w:val="auto"/>
          <w:sz w:val="32"/>
          <w:szCs w:val="32"/>
          <w:highlight w:val="none"/>
        </w:rPr>
        <w:t>日</w:t>
      </w:r>
      <w:r>
        <w:rPr>
          <w:rFonts w:hint="eastAsia" w:ascii="楷体_GB2312" w:hAnsi="楷体_GB2312" w:eastAsia="楷体_GB2312" w:cs="楷体_GB2312"/>
          <w:color w:val="auto"/>
          <w:sz w:val="32"/>
          <w:szCs w:val="32"/>
          <w:highlight w:val="none"/>
          <w:lang w:eastAsia="zh-CN"/>
        </w:rPr>
        <w:t>前</w:t>
      </w:r>
      <w:r>
        <w:rPr>
          <w:rFonts w:hint="eastAsia" w:ascii="楷体_GB2312" w:hAnsi="楷体_GB2312" w:eastAsia="楷体_GB2312" w:cs="楷体_GB2312"/>
          <w:color w:val="auto"/>
          <w:sz w:val="32"/>
          <w:szCs w:val="32"/>
          <w:highlight w:val="none"/>
        </w:rPr>
        <w:t>）。</w:t>
      </w:r>
      <w:r>
        <w:rPr>
          <w:rFonts w:hint="eastAsia" w:ascii="仿宋_GB2312" w:eastAsia="仿宋_GB2312"/>
          <w:color w:val="auto"/>
          <w:sz w:val="32"/>
          <w:szCs w:val="32"/>
          <w:highlight w:val="none"/>
          <w:lang w:eastAsia="zh-CN"/>
        </w:rPr>
        <w:t>已确认烟花爆竹零售经营点位的主要负责人、安全管理人员、从业人员</w:t>
      </w:r>
      <w:r>
        <w:rPr>
          <w:rFonts w:hint="eastAsia" w:ascii="仿宋_GB2312" w:eastAsia="仿宋_GB2312"/>
          <w:color w:val="auto"/>
          <w:sz w:val="32"/>
          <w:szCs w:val="32"/>
          <w:highlight w:val="none"/>
          <w:lang w:val="en-US" w:eastAsia="zh-CN"/>
        </w:rPr>
        <w:t>须依据</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lang w:val="en-US" w:eastAsia="zh-CN"/>
        </w:rPr>
        <w:t>中华人民共和国安全生产法</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lang w:val="en-US" w:eastAsia="zh-CN"/>
        </w:rPr>
        <w:t>烟花爆竹安全管理条例</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lang w:val="en-US" w:eastAsia="zh-CN"/>
        </w:rPr>
        <w:t>烟花爆竹经营许可实施办法</w:t>
      </w:r>
      <w:r>
        <w:rPr>
          <w:rFonts w:hint="eastAsia" w:ascii="仿宋_GB2312" w:eastAsia="仿宋_GB2312"/>
          <w:color w:val="auto"/>
          <w:sz w:val="32"/>
          <w:szCs w:val="32"/>
          <w:highlight w:val="none"/>
          <w:lang w:eastAsia="zh-CN"/>
        </w:rPr>
        <w:t>》、《</w:t>
      </w:r>
      <w:r>
        <w:rPr>
          <w:rFonts w:hint="eastAsia" w:ascii="仿宋_GB2312" w:hAnsi="Times New Roman" w:eastAsia="仿宋_GB2312" w:cs="Times New Roman"/>
          <w:i w:val="0"/>
          <w:caps w:val="0"/>
          <w:color w:val="auto"/>
          <w:spacing w:val="0"/>
          <w:sz w:val="32"/>
          <w:szCs w:val="32"/>
          <w:highlight w:val="none"/>
          <w:shd w:val="clear" w:color="auto" w:fill="FFFFFF"/>
        </w:rPr>
        <w:t>云南省烟花爆竹经营许可实施细则</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lang w:val="en-US" w:eastAsia="zh-CN"/>
        </w:rPr>
        <w:t>等法律法规要求开展持证培训，取得安全管理能力考核合格证，方可从事烟花爆竹零售经营。</w:t>
      </w:r>
    </w:p>
    <w:p>
      <w:pPr>
        <w:pStyle w:val="2"/>
        <w:keepNext w:val="0"/>
        <w:keepLines w:val="0"/>
        <w:pageBreakBefore w:val="0"/>
        <w:wordWrap/>
        <w:overflowPunct/>
        <w:topLinePunct w:val="0"/>
        <w:bidi w:val="0"/>
        <w:spacing w:after="0" w:line="560" w:lineRule="exact"/>
        <w:ind w:firstLine="640" w:firstLineChars="200"/>
        <w:rPr>
          <w:rFonts w:hint="eastAsia" w:ascii="楷体_GB2312" w:hAnsi="楷体_GB2312" w:eastAsia="楷体_GB2312" w:cs="楷体_GB2312"/>
          <w:color w:val="auto"/>
          <w:sz w:val="32"/>
          <w:szCs w:val="32"/>
          <w:highlight w:val="none"/>
          <w:lang w:eastAsia="zh-CN"/>
        </w:rPr>
      </w:pPr>
      <w:r>
        <w:rPr>
          <w:rFonts w:hint="eastAsia" w:ascii="楷体_GB2312" w:hAnsi="楷体_GB2312" w:eastAsia="楷体_GB2312" w:cs="楷体_GB2312"/>
          <w:color w:val="auto"/>
          <w:sz w:val="32"/>
          <w:szCs w:val="32"/>
          <w:highlight w:val="none"/>
          <w:lang w:eastAsia="zh-CN"/>
        </w:rPr>
        <w:t>（六）集中办理一批烟花爆竹零售经营许可证</w:t>
      </w:r>
    </w:p>
    <w:p>
      <w:pPr>
        <w:pStyle w:val="2"/>
        <w:keepNext w:val="0"/>
        <w:keepLines w:val="0"/>
        <w:pageBreakBefore w:val="0"/>
        <w:wordWrap/>
        <w:overflowPunct/>
        <w:topLinePunct w:val="0"/>
        <w:bidi w:val="0"/>
        <w:spacing w:after="0" w:line="560" w:lineRule="exact"/>
        <w:ind w:left="0" w:leftChars="0" w:firstLine="640" w:firstLineChars="200"/>
        <w:rPr>
          <w:rFonts w:hint="eastAsia" w:ascii="仿宋_GB2312" w:hAnsi="仿宋_GB2312" w:eastAsia="仿宋_GB2312" w:cs="仿宋_GB2312"/>
          <w:color w:val="auto"/>
          <w:sz w:val="32"/>
          <w:szCs w:val="32"/>
          <w:highlight w:val="none"/>
          <w:lang w:val="en-US" w:eastAsia="zh-CN"/>
        </w:rPr>
      </w:pPr>
      <w:r>
        <w:rPr>
          <w:rFonts w:hint="eastAsia" w:ascii="仿宋_GB2312" w:eastAsia="仿宋_GB2312"/>
          <w:color w:val="auto"/>
          <w:sz w:val="32"/>
          <w:szCs w:val="32"/>
          <w:highlight w:val="none"/>
          <w:lang w:val="en-US" w:eastAsia="zh-CN"/>
        </w:rPr>
        <w:t>取得安全管理能力考核合格证的零售点位，按照晋宁区《四个部门联发关于印发“我要开烟花爆竹（零售）店一件事一次办”套餐服务指南的通知》要求准备材料，提交政务局窗口审查录入系统，按照《烟花爆竹经营（零售）许可证》申办流程审核办证。同时，区应急局将加强对</w:t>
      </w:r>
      <w:r>
        <w:rPr>
          <w:rFonts w:hint="eastAsia" w:ascii="仿宋_GB2312" w:hAnsi="仿宋_GB2312" w:eastAsia="仿宋_GB2312" w:cs="仿宋_GB2312"/>
          <w:color w:val="auto"/>
          <w:sz w:val="32"/>
          <w:szCs w:val="32"/>
          <w:highlight w:val="none"/>
          <w:lang w:val="en-US" w:eastAsia="zh-CN"/>
        </w:rPr>
        <w:t>已取得烟花爆竹经营许可零售点的安全监管，督促企业配备相关安全管理设施，对未依法落实《烟花爆竹经营许可办法》相关规定的行为将依法依规处理。</w:t>
      </w:r>
    </w:p>
    <w:p>
      <w:pPr>
        <w:pStyle w:val="2"/>
        <w:keepNext w:val="0"/>
        <w:keepLines w:val="0"/>
        <w:pageBreakBefore w:val="0"/>
        <w:wordWrap/>
        <w:overflowPunct/>
        <w:topLinePunct w:val="0"/>
        <w:bidi w:val="0"/>
        <w:spacing w:after="0" w:line="560" w:lineRule="exact"/>
        <w:ind w:left="0" w:leftChars="0" w:firstLine="640" w:firstLineChars="200"/>
        <w:rPr>
          <w:rFonts w:ascii="黑体" w:hAnsi="黑体" w:eastAsia="黑体" w:cs="黑体"/>
          <w:color w:val="auto"/>
          <w:sz w:val="32"/>
          <w:szCs w:val="32"/>
          <w:highlight w:val="none"/>
        </w:rPr>
      </w:pPr>
      <w:r>
        <w:rPr>
          <w:rFonts w:hint="eastAsia" w:ascii="黑体" w:hAnsi="黑体" w:eastAsia="黑体" w:cs="黑体"/>
          <w:color w:val="auto"/>
          <w:sz w:val="32"/>
          <w:szCs w:val="32"/>
          <w:highlight w:val="none"/>
        </w:rPr>
        <w:t>七、工作要求</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jc w:val="left"/>
        <w:textAlignment w:val="baseline"/>
        <w:rPr>
          <w:rFonts w:ascii="仿宋_GB2312" w:hAnsi="仿宋_GB2312" w:eastAsia="仿宋_GB2312" w:cs="仿宋_GB2312"/>
          <w:color w:val="auto"/>
          <w:sz w:val="32"/>
          <w:szCs w:val="32"/>
          <w:highlight w:val="none"/>
        </w:rPr>
      </w:pPr>
      <w:r>
        <w:rPr>
          <w:rFonts w:hint="eastAsia" w:ascii="楷体_GB2312" w:hAnsi="楷体_GB2312" w:eastAsia="楷体_GB2312" w:cs="楷体_GB2312"/>
          <w:color w:val="auto"/>
          <w:sz w:val="32"/>
          <w:szCs w:val="32"/>
          <w:highlight w:val="none"/>
        </w:rPr>
        <w:t>（一）提高</w:t>
      </w:r>
      <w:r>
        <w:rPr>
          <w:rFonts w:hint="eastAsia" w:ascii="楷体_GB2312" w:hAnsi="楷体_GB2312" w:eastAsia="楷体_GB2312" w:cs="楷体_GB2312"/>
          <w:color w:val="auto"/>
          <w:sz w:val="32"/>
          <w:szCs w:val="32"/>
          <w:highlight w:val="none"/>
          <w:lang w:eastAsia="zh-CN"/>
        </w:rPr>
        <w:t>思想</w:t>
      </w:r>
      <w:r>
        <w:rPr>
          <w:rFonts w:hint="eastAsia" w:ascii="楷体_GB2312" w:hAnsi="楷体_GB2312" w:eastAsia="楷体_GB2312" w:cs="楷体_GB2312"/>
          <w:color w:val="auto"/>
          <w:sz w:val="32"/>
          <w:szCs w:val="32"/>
          <w:highlight w:val="none"/>
        </w:rPr>
        <w:t>认识，高度重视</w:t>
      </w:r>
      <w:r>
        <w:rPr>
          <w:rFonts w:hint="eastAsia" w:ascii="楷体_GB2312" w:hAnsi="楷体_GB2312" w:eastAsia="楷体_GB2312" w:cs="楷体_GB2312"/>
          <w:color w:val="auto"/>
          <w:sz w:val="32"/>
          <w:szCs w:val="32"/>
          <w:highlight w:val="none"/>
          <w:lang w:eastAsia="zh-CN"/>
        </w:rPr>
        <w:t>专项整治工作</w:t>
      </w:r>
      <w:r>
        <w:rPr>
          <w:rFonts w:hint="eastAsia" w:ascii="楷体_GB2312" w:hAnsi="楷体_GB2312" w:eastAsia="楷体_GB2312" w:cs="楷体_GB2312"/>
          <w:color w:val="auto"/>
          <w:sz w:val="32"/>
          <w:szCs w:val="32"/>
          <w:highlight w:val="none"/>
        </w:rPr>
        <w:t>。</w:t>
      </w:r>
      <w:r>
        <w:rPr>
          <w:rFonts w:hint="eastAsia" w:ascii="仿宋_GB2312" w:hAnsi="仿宋_GB2312" w:eastAsia="仿宋_GB2312" w:cs="仿宋_GB2312"/>
          <w:color w:val="auto"/>
          <w:sz w:val="32"/>
          <w:szCs w:val="32"/>
          <w:highlight w:val="none"/>
        </w:rPr>
        <w:t>各乡镇（街道）、应急等部门要持续跟进督促经营户完成隐患整改。各经营户要对专项整治提升工作高度重视，提高思想认识，</w:t>
      </w:r>
      <w:r>
        <w:rPr>
          <w:rFonts w:hint="eastAsia" w:ascii="仿宋_GB2312" w:hAnsi="仿宋_GB2312" w:eastAsia="仿宋_GB2312" w:cs="仿宋_GB2312"/>
          <w:color w:val="auto"/>
          <w:sz w:val="32"/>
          <w:szCs w:val="32"/>
          <w:highlight w:val="none"/>
          <w:lang w:eastAsia="zh-CN"/>
        </w:rPr>
        <w:t>积极配合，</w:t>
      </w:r>
      <w:r>
        <w:rPr>
          <w:rFonts w:hint="eastAsia" w:ascii="仿宋_GB2312" w:hAnsi="仿宋_GB2312" w:eastAsia="仿宋_GB2312" w:cs="仿宋_GB2312"/>
          <w:color w:val="auto"/>
          <w:sz w:val="32"/>
          <w:szCs w:val="32"/>
          <w:highlight w:val="none"/>
        </w:rPr>
        <w:t>严格按照文件要求，切实做好</w:t>
      </w:r>
      <w:r>
        <w:rPr>
          <w:rFonts w:hint="eastAsia" w:ascii="仿宋_GB2312" w:hAnsi="仿宋_GB2312" w:eastAsia="仿宋_GB2312" w:cs="仿宋_GB2312"/>
          <w:color w:val="auto"/>
          <w:sz w:val="32"/>
          <w:szCs w:val="32"/>
          <w:highlight w:val="none"/>
          <w:lang w:eastAsia="zh-CN"/>
        </w:rPr>
        <w:t>整治</w:t>
      </w:r>
      <w:r>
        <w:rPr>
          <w:rFonts w:hint="eastAsia" w:ascii="仿宋_GB2312" w:hAnsi="仿宋_GB2312" w:eastAsia="仿宋_GB2312" w:cs="仿宋_GB2312"/>
          <w:color w:val="auto"/>
          <w:sz w:val="32"/>
          <w:szCs w:val="32"/>
          <w:highlight w:val="none"/>
        </w:rPr>
        <w:t>提升工作。</w:t>
      </w:r>
    </w:p>
    <w:p>
      <w:pPr>
        <w:keepNext w:val="0"/>
        <w:keepLines w:val="0"/>
        <w:pageBreakBefore w:val="0"/>
        <w:widowControl/>
        <w:numPr>
          <w:ilvl w:val="0"/>
          <w:numId w:val="0"/>
        </w:numPr>
        <w:kinsoku w:val="0"/>
        <w:wordWrap/>
        <w:overflowPunct/>
        <w:topLinePunct w:val="0"/>
        <w:autoSpaceDE w:val="0"/>
        <w:autoSpaceDN w:val="0"/>
        <w:bidi w:val="0"/>
        <w:adjustRightInd w:val="0"/>
        <w:snapToGrid w:val="0"/>
        <w:spacing w:line="560" w:lineRule="exact"/>
        <w:ind w:firstLine="640" w:firstLineChars="200"/>
        <w:jc w:val="left"/>
        <w:textAlignment w:val="baseline"/>
        <w:rPr>
          <w:rFonts w:ascii="仿宋_GB2312" w:hAnsi="仿宋_GB2312" w:eastAsia="仿宋_GB2312" w:cs="仿宋_GB2312"/>
          <w:color w:val="auto"/>
          <w:sz w:val="32"/>
          <w:szCs w:val="32"/>
          <w:highlight w:val="none"/>
        </w:rPr>
      </w:pPr>
      <w:r>
        <w:rPr>
          <w:rFonts w:hint="eastAsia" w:ascii="楷体_GB2312" w:hAnsi="楷体_GB2312" w:eastAsia="楷体_GB2312" w:cs="楷体_GB2312"/>
          <w:color w:val="auto"/>
          <w:sz w:val="32"/>
          <w:szCs w:val="32"/>
          <w:highlight w:val="none"/>
        </w:rPr>
        <w:t>（</w:t>
      </w:r>
      <w:r>
        <w:rPr>
          <w:rFonts w:hint="eastAsia" w:ascii="楷体_GB2312" w:hAnsi="楷体_GB2312" w:eastAsia="楷体_GB2312" w:cs="楷体_GB2312"/>
          <w:color w:val="auto"/>
          <w:sz w:val="32"/>
          <w:szCs w:val="32"/>
          <w:highlight w:val="none"/>
          <w:lang w:eastAsia="zh-CN"/>
        </w:rPr>
        <w:t>二</w:t>
      </w:r>
      <w:r>
        <w:rPr>
          <w:rFonts w:hint="eastAsia" w:ascii="楷体_GB2312" w:hAnsi="楷体_GB2312" w:eastAsia="楷体_GB2312" w:cs="楷体_GB2312"/>
          <w:color w:val="auto"/>
          <w:sz w:val="32"/>
          <w:szCs w:val="32"/>
          <w:highlight w:val="none"/>
        </w:rPr>
        <w:t>）严格</w:t>
      </w:r>
      <w:r>
        <w:rPr>
          <w:rFonts w:hint="eastAsia" w:ascii="楷体_GB2312" w:hAnsi="楷体_GB2312" w:eastAsia="楷体_GB2312" w:cs="楷体_GB2312"/>
          <w:color w:val="auto"/>
          <w:sz w:val="32"/>
          <w:szCs w:val="32"/>
          <w:highlight w:val="none"/>
          <w:lang w:eastAsia="zh-CN"/>
        </w:rPr>
        <w:t>整治程序，加强持证管理和专款专用</w:t>
      </w:r>
      <w:r>
        <w:rPr>
          <w:rFonts w:hint="eastAsia" w:ascii="楷体_GB2312" w:hAnsi="楷体_GB2312" w:eastAsia="楷体_GB2312" w:cs="楷体_GB2312"/>
          <w:color w:val="auto"/>
          <w:sz w:val="32"/>
          <w:szCs w:val="32"/>
          <w:highlight w:val="none"/>
        </w:rPr>
        <w:t>。</w:t>
      </w:r>
      <w:r>
        <w:rPr>
          <w:rFonts w:hint="eastAsia" w:ascii="仿宋_GB2312" w:hAnsi="仿宋_GB2312" w:eastAsia="仿宋_GB2312" w:cs="仿宋_GB2312"/>
          <w:color w:val="auto"/>
          <w:sz w:val="32"/>
          <w:szCs w:val="32"/>
          <w:highlight w:val="none"/>
          <w:lang w:eastAsia="zh-CN"/>
        </w:rPr>
        <w:t>由区应急局牵头，各相关部门积极配合，</w:t>
      </w:r>
      <w:r>
        <w:rPr>
          <w:rFonts w:hint="eastAsia" w:ascii="仿宋_GB2312" w:hAnsi="仿宋_GB2312" w:eastAsia="仿宋_GB2312" w:cs="仿宋_GB2312"/>
          <w:color w:val="auto"/>
          <w:sz w:val="32"/>
          <w:szCs w:val="32"/>
          <w:highlight w:val="none"/>
        </w:rPr>
        <w:t>对照要求逐项进行验收，符合一项，通过一项，对于整治提升不到位的经营户责令整改，逾期仍未整改</w:t>
      </w:r>
      <w:r>
        <w:rPr>
          <w:rFonts w:hint="eastAsia" w:ascii="仿宋_GB2312" w:hAnsi="仿宋_GB2312" w:eastAsia="仿宋_GB2312" w:cs="仿宋_GB2312"/>
          <w:color w:val="auto"/>
          <w:sz w:val="32"/>
          <w:szCs w:val="32"/>
          <w:highlight w:val="none"/>
          <w:lang w:eastAsia="zh-CN"/>
        </w:rPr>
        <w:t>到位和不具备安全条件的经营户，</w:t>
      </w:r>
      <w:r>
        <w:rPr>
          <w:rFonts w:hint="eastAsia" w:ascii="仿宋_GB2312" w:hAnsi="仿宋_GB2312" w:eastAsia="仿宋_GB2312" w:cs="仿宋_GB2312"/>
          <w:color w:val="auto"/>
          <w:sz w:val="32"/>
          <w:szCs w:val="32"/>
          <w:highlight w:val="none"/>
        </w:rPr>
        <w:t>依法</w:t>
      </w:r>
      <w:r>
        <w:rPr>
          <w:rFonts w:hint="eastAsia" w:ascii="仿宋_GB2312" w:hAnsi="仿宋_GB2312" w:eastAsia="仿宋_GB2312" w:cs="仿宋_GB2312"/>
          <w:color w:val="auto"/>
          <w:sz w:val="32"/>
          <w:szCs w:val="32"/>
          <w:highlight w:val="none"/>
          <w:lang w:eastAsia="zh-CN"/>
        </w:rPr>
        <w:t>注销其零售经营许可证</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eastAsia="zh-CN"/>
        </w:rPr>
        <w:t>确保应急管理专项转移支付资金使用，必须按照财经纪律专款专用，不得挪作它用。</w:t>
      </w:r>
    </w:p>
    <w:p>
      <w:pPr>
        <w:pStyle w:val="2"/>
        <w:keepNext w:val="0"/>
        <w:keepLines w:val="0"/>
        <w:pageBreakBefore w:val="0"/>
        <w:wordWrap/>
        <w:overflowPunct/>
        <w:topLinePunct w:val="0"/>
        <w:bidi w:val="0"/>
        <w:spacing w:after="0" w:line="560" w:lineRule="exact"/>
        <w:ind w:firstLine="640" w:firstLineChars="200"/>
        <w:rPr>
          <w:rFonts w:hint="eastAsia" w:ascii="仿宋_GB2312" w:hAnsi="仿宋_GB2312" w:eastAsia="仿宋_GB2312" w:cs="仿宋_GB2312"/>
          <w:b w:val="0"/>
          <w:bCs w:val="0"/>
          <w:color w:val="auto"/>
          <w:sz w:val="32"/>
          <w:szCs w:val="32"/>
          <w:highlight w:val="none"/>
          <w:lang w:eastAsia="zh-CN"/>
        </w:rPr>
      </w:pPr>
      <w:r>
        <w:rPr>
          <w:rFonts w:hint="eastAsia" w:ascii="楷体_GB2312" w:hAnsi="楷体_GB2312" w:eastAsia="楷体_GB2312" w:cs="楷体_GB2312"/>
          <w:color w:val="auto"/>
          <w:sz w:val="32"/>
          <w:szCs w:val="32"/>
          <w:highlight w:val="none"/>
        </w:rPr>
        <w:t>（三）</w:t>
      </w:r>
      <w:r>
        <w:rPr>
          <w:rFonts w:hint="eastAsia" w:ascii="楷体_GB2312" w:hAnsi="楷体_GB2312" w:eastAsia="楷体_GB2312" w:cs="楷体_GB2312"/>
          <w:color w:val="auto"/>
          <w:sz w:val="32"/>
          <w:szCs w:val="32"/>
          <w:highlight w:val="none"/>
          <w:lang w:eastAsia="zh-CN"/>
        </w:rPr>
        <w:t>加强考务安全秩序，强力推进“打非治违”。</w:t>
      </w:r>
      <w:r>
        <w:rPr>
          <w:rFonts w:hint="eastAsia" w:ascii="仿宋_GB2312" w:hAnsi="仿宋_GB2312" w:eastAsia="仿宋_GB2312" w:cs="仿宋_GB2312"/>
          <w:color w:val="auto"/>
          <w:kern w:val="2"/>
          <w:sz w:val="32"/>
          <w:szCs w:val="32"/>
          <w:highlight w:val="none"/>
          <w:lang w:val="en-US" w:eastAsia="zh-CN" w:bidi="ar-SA"/>
        </w:rPr>
        <w:t>区</w:t>
      </w:r>
      <w:r>
        <w:rPr>
          <w:rFonts w:hint="eastAsia" w:ascii="仿宋_GB2312" w:hAnsi="仿宋_GB2312" w:eastAsia="仿宋_GB2312" w:cs="仿宋_GB2312"/>
          <w:b w:val="0"/>
          <w:bCs w:val="0"/>
          <w:color w:val="auto"/>
          <w:sz w:val="32"/>
          <w:szCs w:val="32"/>
          <w:highlight w:val="none"/>
          <w:lang w:eastAsia="zh-CN"/>
        </w:rPr>
        <w:t>公安部门要</w:t>
      </w:r>
      <w:r>
        <w:rPr>
          <w:rFonts w:hint="eastAsia" w:ascii="楷体_GB2312" w:hAnsi="楷体_GB2312" w:eastAsia="楷体_GB2312" w:cs="楷体_GB2312"/>
          <w:color w:val="auto"/>
          <w:sz w:val="32"/>
          <w:szCs w:val="32"/>
          <w:highlight w:val="none"/>
          <w:lang w:eastAsia="zh-CN"/>
        </w:rPr>
        <w:t>确保</w:t>
      </w:r>
      <w:r>
        <w:rPr>
          <w:rFonts w:hint="eastAsia" w:ascii="仿宋_GB2312" w:hAnsi="仿宋_GB2312" w:eastAsia="仿宋_GB2312" w:cs="仿宋_GB2312"/>
          <w:b w:val="0"/>
          <w:bCs w:val="0"/>
          <w:color w:val="auto"/>
          <w:sz w:val="32"/>
          <w:szCs w:val="32"/>
          <w:highlight w:val="none"/>
          <w:lang w:eastAsia="zh-CN"/>
        </w:rPr>
        <w:t>考务期间的安全有序，严防考务期间扰乱考务秩序行为，并在下步工作中有力推进“打非治违”工作。</w:t>
      </w:r>
    </w:p>
    <w:p>
      <w:pPr>
        <w:pStyle w:val="2"/>
        <w:keepNext w:val="0"/>
        <w:keepLines w:val="0"/>
        <w:pageBreakBefore w:val="0"/>
        <w:wordWrap/>
        <w:overflowPunct/>
        <w:topLinePunct w:val="0"/>
        <w:bidi w:val="0"/>
        <w:spacing w:after="0" w:line="560" w:lineRule="exact"/>
        <w:ind w:firstLine="640" w:firstLineChars="200"/>
        <w:rPr>
          <w:rFonts w:hint="eastAsia" w:ascii="仿宋_GB2312" w:hAnsi="仿宋_GB2312" w:eastAsia="仿宋_GB2312" w:cs="仿宋_GB2312"/>
          <w:color w:val="auto"/>
          <w:sz w:val="32"/>
          <w:szCs w:val="32"/>
          <w:highlight w:val="none"/>
          <w:lang w:eastAsia="zh-CN"/>
        </w:rPr>
      </w:pPr>
      <w:r>
        <w:rPr>
          <w:rFonts w:hint="eastAsia" w:ascii="楷体_GB2312" w:hAnsi="楷体_GB2312" w:eastAsia="楷体_GB2312" w:cs="楷体_GB2312"/>
          <w:color w:val="auto"/>
          <w:sz w:val="32"/>
          <w:szCs w:val="32"/>
          <w:highlight w:val="none"/>
          <w:lang w:eastAsia="zh-CN"/>
        </w:rPr>
        <w:t>（四）确保质量安全，加强营业执照核发管理。</w:t>
      </w:r>
      <w:r>
        <w:rPr>
          <w:rFonts w:hint="eastAsia" w:ascii="仿宋_GB2312" w:hAnsi="仿宋_GB2312" w:eastAsia="仿宋_GB2312" w:cs="仿宋_GB2312"/>
          <w:color w:val="auto"/>
          <w:kern w:val="2"/>
          <w:sz w:val="32"/>
          <w:szCs w:val="32"/>
          <w:highlight w:val="none"/>
          <w:lang w:val="en-US" w:eastAsia="zh-CN" w:bidi="ar-SA"/>
        </w:rPr>
        <w:t>区</w:t>
      </w:r>
      <w:r>
        <w:rPr>
          <w:rFonts w:hint="eastAsia" w:ascii="仿宋_GB2312" w:hAnsi="仿宋_GB2312" w:eastAsia="仿宋_GB2312" w:cs="仿宋_GB2312"/>
          <w:color w:val="auto"/>
          <w:sz w:val="32"/>
          <w:szCs w:val="32"/>
          <w:highlight w:val="none"/>
          <w:lang w:eastAsia="zh-CN"/>
        </w:rPr>
        <w:t>市场监管部门要加强烟花爆竹的质量安全监管，定期抽检，对具备安全条件的零售经营户、公司办理营业执照，并督促已注销烟花爆竹经营许可的经营户做好营业执照经营范围烟花爆竹核销工作。</w:t>
      </w:r>
    </w:p>
    <w:p>
      <w:pPr>
        <w:pStyle w:val="2"/>
        <w:keepNext w:val="0"/>
        <w:keepLines w:val="0"/>
        <w:pageBreakBefore w:val="0"/>
        <w:wordWrap/>
        <w:overflowPunct/>
        <w:topLinePunct w:val="0"/>
        <w:bidi w:val="0"/>
        <w:spacing w:after="0" w:line="560" w:lineRule="exact"/>
        <w:ind w:firstLine="640" w:firstLineChars="200"/>
        <w:rPr>
          <w:rFonts w:hint="eastAsia" w:ascii="仿宋_GB2312" w:hAnsi="仿宋_GB2312" w:eastAsia="仿宋_GB2312" w:cs="仿宋_GB2312"/>
          <w:color w:val="auto"/>
          <w:sz w:val="32"/>
          <w:szCs w:val="32"/>
          <w:highlight w:val="none"/>
          <w:lang w:eastAsia="zh-CN"/>
        </w:rPr>
      </w:pPr>
      <w:r>
        <w:rPr>
          <w:rFonts w:hint="eastAsia" w:ascii="楷体_GB2312" w:hAnsi="楷体_GB2312" w:eastAsia="楷体_GB2312" w:cs="楷体_GB2312"/>
          <w:color w:val="auto"/>
          <w:sz w:val="32"/>
          <w:szCs w:val="32"/>
          <w:highlight w:val="none"/>
          <w:lang w:eastAsia="zh-CN"/>
        </w:rPr>
        <w:t>（五）严把消防安全关，加强消防审查。</w:t>
      </w:r>
      <w:r>
        <w:rPr>
          <w:rFonts w:hint="eastAsia" w:ascii="仿宋_GB2312" w:hAnsi="仿宋_GB2312" w:eastAsia="仿宋_GB2312" w:cs="仿宋_GB2312"/>
          <w:color w:val="auto"/>
          <w:kern w:val="2"/>
          <w:sz w:val="32"/>
          <w:szCs w:val="32"/>
          <w:highlight w:val="none"/>
          <w:lang w:val="en-US" w:eastAsia="zh-CN" w:bidi="ar-SA"/>
        </w:rPr>
        <w:t>区</w:t>
      </w:r>
      <w:r>
        <w:rPr>
          <w:rFonts w:hint="eastAsia" w:ascii="仿宋_GB2312" w:hAnsi="仿宋_GB2312" w:eastAsia="仿宋_GB2312" w:cs="仿宋_GB2312"/>
          <w:color w:val="auto"/>
          <w:sz w:val="32"/>
          <w:szCs w:val="32"/>
          <w:highlight w:val="none"/>
          <w:lang w:eastAsia="zh-CN"/>
        </w:rPr>
        <w:t>消防救援大队配合安委办开展烟花爆竹点位审查和确认，点位确认必须满足消防安全规定。</w:t>
      </w:r>
    </w:p>
    <w:p>
      <w:pPr>
        <w:pStyle w:val="2"/>
        <w:keepNext w:val="0"/>
        <w:keepLines w:val="0"/>
        <w:pageBreakBefore w:val="0"/>
        <w:wordWrap/>
        <w:overflowPunct/>
        <w:topLinePunct w:val="0"/>
        <w:bidi w:val="0"/>
        <w:spacing w:after="0" w:line="560" w:lineRule="exact"/>
        <w:ind w:firstLine="640" w:firstLineChars="200"/>
        <w:rPr>
          <w:rFonts w:hint="eastAsia" w:ascii="仿宋_GB2312" w:hAnsi="仿宋_GB2312" w:eastAsia="仿宋_GB2312" w:cs="仿宋_GB2312"/>
          <w:color w:val="auto"/>
          <w:sz w:val="32"/>
          <w:szCs w:val="32"/>
          <w:highlight w:val="none"/>
          <w:lang w:eastAsia="zh-CN"/>
        </w:rPr>
      </w:pPr>
      <w:r>
        <w:rPr>
          <w:rFonts w:hint="eastAsia" w:ascii="楷体_GB2312" w:hAnsi="楷体_GB2312" w:eastAsia="楷体_GB2312" w:cs="楷体_GB2312"/>
          <w:color w:val="auto"/>
          <w:sz w:val="32"/>
          <w:szCs w:val="32"/>
          <w:highlight w:val="none"/>
          <w:lang w:eastAsia="zh-CN"/>
        </w:rPr>
        <w:t>（六）严守市场秩序，加强点位建筑物合法性审核。</w:t>
      </w:r>
      <w:r>
        <w:rPr>
          <w:rFonts w:hint="eastAsia" w:ascii="仿宋_GB2312" w:hAnsi="仿宋_GB2312" w:eastAsia="仿宋_GB2312" w:cs="仿宋_GB2312"/>
          <w:color w:val="auto"/>
          <w:sz w:val="32"/>
          <w:szCs w:val="32"/>
          <w:highlight w:val="none"/>
          <w:lang w:eastAsia="zh-CN"/>
        </w:rPr>
        <w:t>区城管局在烟花爆竹点位审查确认时，重点负责审核城市建筑物是否合法合规，装修装饰审批是否符合要求，设施悬挂、张贴宣传品等是否符合市容市貌相关要求。</w:t>
      </w:r>
    </w:p>
    <w:p>
      <w:pPr>
        <w:pStyle w:val="2"/>
        <w:keepNext w:val="0"/>
        <w:keepLines w:val="0"/>
        <w:pageBreakBefore w:val="0"/>
        <w:wordWrap/>
        <w:overflowPunct/>
        <w:topLinePunct w:val="0"/>
        <w:bidi w:val="0"/>
        <w:spacing w:after="0" w:line="560" w:lineRule="exact"/>
        <w:ind w:firstLine="640" w:firstLineChars="200"/>
        <w:rPr>
          <w:rFonts w:hint="eastAsia" w:ascii="仿宋_GB2312" w:hAnsi="仿宋_GB2312" w:eastAsia="仿宋_GB2312" w:cs="仿宋_GB2312"/>
          <w:color w:val="auto"/>
          <w:sz w:val="32"/>
          <w:szCs w:val="32"/>
          <w:highlight w:val="none"/>
          <w:lang w:eastAsia="zh-CN"/>
        </w:rPr>
      </w:pPr>
      <w:r>
        <w:rPr>
          <w:rFonts w:hint="eastAsia" w:ascii="楷体_GB2312" w:hAnsi="楷体_GB2312" w:eastAsia="楷体_GB2312" w:cs="楷体_GB2312"/>
          <w:color w:val="auto"/>
          <w:sz w:val="32"/>
          <w:szCs w:val="32"/>
          <w:highlight w:val="none"/>
          <w:lang w:eastAsia="zh-CN"/>
        </w:rPr>
        <w:t>（七）加强过程监督，确保考务程序合规和专项整治到位。</w:t>
      </w:r>
      <w:r>
        <w:rPr>
          <w:rFonts w:hint="eastAsia" w:ascii="仿宋_GB2312" w:hAnsi="仿宋_GB2312" w:eastAsia="仿宋_GB2312" w:cs="仿宋_GB2312"/>
          <w:color w:val="auto"/>
          <w:sz w:val="32"/>
          <w:szCs w:val="32"/>
          <w:highlight w:val="none"/>
          <w:lang w:eastAsia="zh-CN"/>
        </w:rPr>
        <w:t>区纪检组依据</w:t>
      </w:r>
      <w:r>
        <w:rPr>
          <w:rFonts w:hint="eastAsia" w:ascii="仿宋_GB2312" w:hAnsi="仿宋_GB2312" w:eastAsia="仿宋_GB2312" w:cs="仿宋_GB2312"/>
          <w:color w:val="auto"/>
          <w:sz w:val="32"/>
          <w:szCs w:val="32"/>
          <w:highlight w:val="none"/>
        </w:rPr>
        <w:t>《昆明市晋宁区烟花爆竹经营零售店布点方案》</w:t>
      </w:r>
      <w:r>
        <w:rPr>
          <w:rFonts w:hint="eastAsia" w:ascii="仿宋_GB2312" w:hAnsi="仿宋_GB2312" w:eastAsia="仿宋_GB2312" w:cs="仿宋_GB2312"/>
          <w:color w:val="auto"/>
          <w:sz w:val="32"/>
          <w:szCs w:val="32"/>
          <w:highlight w:val="none"/>
          <w:lang w:eastAsia="zh-CN"/>
        </w:rPr>
        <w:t>负责监督烟花爆竹考务程序和专项整治的合法合规。</w:t>
      </w:r>
    </w:p>
    <w:p>
      <w:pPr>
        <w:pStyle w:val="2"/>
        <w:keepNext w:val="0"/>
        <w:keepLines w:val="0"/>
        <w:pageBreakBefore w:val="0"/>
        <w:wordWrap/>
        <w:overflowPunct/>
        <w:topLinePunct w:val="0"/>
        <w:bidi w:val="0"/>
        <w:spacing w:after="0" w:line="560" w:lineRule="exact"/>
        <w:ind w:firstLine="640" w:firstLineChars="200"/>
        <w:rPr>
          <w:rFonts w:hint="eastAsia" w:ascii="仿宋_GB2312" w:hAnsi="仿宋_GB2312" w:eastAsia="仿宋_GB2312"/>
          <w:color w:val="auto"/>
          <w:sz w:val="32"/>
          <w:szCs w:val="32"/>
          <w:highlight w:val="none"/>
        </w:rPr>
      </w:pPr>
    </w:p>
    <w:p>
      <w:pPr>
        <w:pStyle w:val="2"/>
        <w:keepNext w:val="0"/>
        <w:keepLines w:val="0"/>
        <w:pageBreakBefore w:val="0"/>
        <w:wordWrap/>
        <w:overflowPunct/>
        <w:topLinePunct w:val="0"/>
        <w:bidi w:val="0"/>
        <w:spacing w:after="0" w:line="560" w:lineRule="exact"/>
        <w:ind w:left="0" w:leftChars="0" w:firstLine="640" w:firstLineChars="200"/>
        <w:rPr>
          <w:rFonts w:ascii="仿宋_GB2312" w:hAnsi="仿宋_GB2312" w:eastAsia="仿宋_GB2312"/>
          <w:color w:val="auto"/>
          <w:sz w:val="32"/>
          <w:szCs w:val="32"/>
          <w:highlight w:val="none"/>
        </w:rPr>
      </w:pPr>
      <w:r>
        <w:rPr>
          <w:rFonts w:hint="eastAsia" w:ascii="仿宋_GB2312" w:hAnsi="仿宋_GB2312" w:eastAsia="仿宋_GB2312"/>
          <w:color w:val="auto"/>
          <w:sz w:val="32"/>
          <w:szCs w:val="32"/>
          <w:highlight w:val="none"/>
        </w:rPr>
        <w:t>附件：1.昆明市晋宁区烟花爆竹经营零售店布点方案</w:t>
      </w:r>
    </w:p>
    <w:p>
      <w:pPr>
        <w:keepNext w:val="0"/>
        <w:keepLines w:val="0"/>
        <w:pageBreakBefore w:val="0"/>
        <w:wordWrap/>
        <w:overflowPunct/>
        <w:topLinePunct w:val="0"/>
        <w:bidi w:val="0"/>
        <w:spacing w:line="560" w:lineRule="exact"/>
        <w:ind w:left="1916" w:leftChars="760" w:hanging="320" w:hangingChars="1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sz w:val="32"/>
          <w:szCs w:val="32"/>
          <w:highlight w:val="none"/>
          <w:lang w:eastAsia="zh-CN"/>
        </w:rPr>
        <w:t>晋宁区</w:t>
      </w:r>
      <w:r>
        <w:rPr>
          <w:rFonts w:hint="eastAsia" w:ascii="仿宋_GB2312" w:hAnsi="仿宋_GB2312" w:eastAsia="仿宋_GB2312" w:cs="仿宋_GB2312"/>
          <w:sz w:val="32"/>
          <w:szCs w:val="32"/>
          <w:highlight w:val="none"/>
        </w:rPr>
        <w:t>烟花爆竹经营店</w:t>
      </w:r>
      <w:r>
        <w:rPr>
          <w:rFonts w:hint="eastAsia" w:ascii="仿宋_GB2312" w:hAnsi="仿宋_GB2312" w:eastAsia="仿宋_GB2312" w:cs="仿宋_GB2312"/>
          <w:sz w:val="32"/>
          <w:szCs w:val="32"/>
          <w:highlight w:val="none"/>
          <w:lang w:eastAsia="zh-CN"/>
        </w:rPr>
        <w:t>安全、消防、建筑物</w:t>
      </w:r>
      <w:r>
        <w:rPr>
          <w:rFonts w:hint="eastAsia" w:ascii="仿宋_GB2312" w:hAnsi="仿宋_GB2312" w:eastAsia="仿宋_GB2312" w:cs="仿宋_GB2312"/>
          <w:sz w:val="32"/>
          <w:szCs w:val="32"/>
          <w:highlight w:val="none"/>
        </w:rPr>
        <w:t>内</w:t>
      </w:r>
      <w:r>
        <w:rPr>
          <w:rFonts w:hint="eastAsia" w:ascii="仿宋_GB2312" w:hAnsi="仿宋_GB2312" w:eastAsia="仿宋_GB2312" w:cs="仿宋_GB2312"/>
          <w:sz w:val="32"/>
          <w:szCs w:val="32"/>
          <w:highlight w:val="none"/>
          <w:lang w:eastAsia="zh-CN"/>
        </w:rPr>
        <w:t>、外</w:t>
      </w:r>
      <w:r>
        <w:rPr>
          <w:rFonts w:hint="eastAsia" w:ascii="仿宋_GB2312" w:hAnsi="仿宋_GB2312" w:eastAsia="仿宋_GB2312" w:cs="仿宋_GB2312"/>
          <w:sz w:val="32"/>
          <w:szCs w:val="32"/>
          <w:highlight w:val="none"/>
        </w:rPr>
        <w:t>部布置图</w:t>
      </w:r>
    </w:p>
    <w:p>
      <w:pPr>
        <w:pStyle w:val="2"/>
        <w:spacing w:line="560" w:lineRule="exact"/>
        <w:ind w:firstLine="2880" w:firstLineChars="900"/>
        <w:rPr>
          <w:rFonts w:hint="eastAsia" w:ascii="仿宋_GB2312" w:hAnsi="仿宋_GB2312" w:eastAsia="仿宋_GB2312"/>
          <w:color w:val="auto"/>
          <w:sz w:val="32"/>
          <w:szCs w:val="32"/>
          <w:highlight w:val="none"/>
        </w:rPr>
      </w:pPr>
      <w:r>
        <w:rPr>
          <w:rFonts w:hint="eastAsia" w:ascii="仿宋_GB2312" w:hAnsi="仿宋_GB2312" w:eastAsia="仿宋_GB2312"/>
          <w:color w:val="auto"/>
          <w:sz w:val="32"/>
          <w:szCs w:val="32"/>
          <w:highlight w:val="none"/>
          <w:lang w:val="en-US" w:eastAsia="zh-CN"/>
        </w:rPr>
        <w:t xml:space="preserve">  </w:t>
      </w:r>
      <w:r>
        <w:rPr>
          <w:rFonts w:hint="eastAsia" w:ascii="仿宋_GB2312" w:hAnsi="仿宋_GB2312" w:eastAsia="仿宋_GB2312"/>
          <w:color w:val="auto"/>
          <w:sz w:val="32"/>
          <w:szCs w:val="32"/>
          <w:highlight w:val="none"/>
        </w:rPr>
        <w:t xml:space="preserve"> </w:t>
      </w:r>
    </w:p>
    <w:p>
      <w:pPr>
        <w:pStyle w:val="2"/>
        <w:spacing w:line="560" w:lineRule="exact"/>
        <w:ind w:firstLine="2880" w:firstLineChars="900"/>
        <w:rPr>
          <w:rFonts w:hint="eastAsia" w:ascii="仿宋_GB2312" w:hAnsi="仿宋_GB2312" w:eastAsia="仿宋_GB2312"/>
          <w:color w:val="auto"/>
          <w:sz w:val="32"/>
          <w:szCs w:val="32"/>
          <w:highlight w:val="none"/>
        </w:rPr>
      </w:pPr>
    </w:p>
    <w:p>
      <w:pPr>
        <w:pStyle w:val="2"/>
        <w:spacing w:line="560" w:lineRule="exact"/>
        <w:ind w:firstLine="2880" w:firstLineChars="900"/>
        <w:rPr>
          <w:rFonts w:ascii="仿宋_GB2312" w:hAnsi="仿宋_GB2312" w:eastAsia="仿宋_GB2312"/>
          <w:color w:val="auto"/>
          <w:sz w:val="32"/>
          <w:szCs w:val="32"/>
          <w:highlight w:val="none"/>
        </w:rPr>
      </w:pPr>
      <w:r>
        <w:rPr>
          <w:rFonts w:hint="eastAsia" w:ascii="仿宋_GB2312" w:hAnsi="仿宋_GB2312" w:eastAsia="仿宋_GB2312"/>
          <w:color w:val="auto"/>
          <w:sz w:val="32"/>
          <w:szCs w:val="32"/>
          <w:highlight w:val="none"/>
        </w:rPr>
        <w:t>昆明市晋宁区安全生产委员会办公室</w:t>
      </w:r>
    </w:p>
    <w:p>
      <w:pPr>
        <w:pStyle w:val="2"/>
        <w:spacing w:line="560" w:lineRule="exact"/>
        <w:jc w:val="center"/>
        <w:rPr>
          <w:rFonts w:hint="eastAsia" w:ascii="仿宋_GB2312" w:hAnsi="仿宋_GB2312" w:eastAsia="仿宋_GB2312"/>
          <w:sz w:val="32"/>
          <w:szCs w:val="32"/>
          <w:highlight w:val="none"/>
        </w:rPr>
      </w:pPr>
      <w:r>
        <w:rPr>
          <w:rFonts w:hint="eastAsia" w:ascii="仿宋_GB2312" w:hAnsi="仿宋_GB2312" w:eastAsia="仿宋_GB2312"/>
          <w:color w:val="auto"/>
          <w:sz w:val="32"/>
          <w:szCs w:val="32"/>
          <w:highlight w:val="none"/>
        </w:rPr>
        <w:t xml:space="preserve">        </w:t>
      </w:r>
      <w:r>
        <w:rPr>
          <w:rFonts w:hint="eastAsia" w:ascii="仿宋_GB2312" w:hAnsi="仿宋_GB2312" w:eastAsia="仿宋_GB2312"/>
          <w:color w:val="auto"/>
          <w:sz w:val="32"/>
          <w:szCs w:val="32"/>
          <w:highlight w:val="none"/>
          <w:lang w:val="en-US" w:eastAsia="zh-CN"/>
        </w:rPr>
        <w:t xml:space="preserve">   </w:t>
      </w:r>
      <w:r>
        <w:rPr>
          <w:rFonts w:hint="eastAsia" w:ascii="仿宋_GB2312" w:hAnsi="仿宋_GB2312" w:eastAsia="仿宋_GB2312"/>
          <w:color w:val="auto"/>
          <w:sz w:val="32"/>
          <w:szCs w:val="32"/>
          <w:highlight w:val="none"/>
        </w:rPr>
        <w:t>2023年</w:t>
      </w:r>
      <w:r>
        <w:rPr>
          <w:rFonts w:hint="eastAsia" w:ascii="仿宋_GB2312" w:hAnsi="仿宋_GB2312" w:eastAsia="仿宋_GB2312"/>
          <w:color w:val="auto"/>
          <w:sz w:val="32"/>
          <w:szCs w:val="32"/>
          <w:highlight w:val="none"/>
          <w:lang w:val="en-US" w:eastAsia="zh-CN"/>
        </w:rPr>
        <w:t>9</w:t>
      </w:r>
      <w:r>
        <w:rPr>
          <w:rFonts w:hint="eastAsia" w:ascii="仿宋_GB2312" w:hAnsi="仿宋_GB2312" w:eastAsia="仿宋_GB2312"/>
          <w:color w:val="auto"/>
          <w:sz w:val="32"/>
          <w:szCs w:val="32"/>
          <w:highlight w:val="none"/>
        </w:rPr>
        <w:t>月</w:t>
      </w:r>
      <w:r>
        <w:rPr>
          <w:rFonts w:hint="eastAsia" w:ascii="仿宋_GB2312" w:hAnsi="仿宋_GB2312" w:eastAsia="仿宋_GB2312"/>
          <w:color w:val="auto"/>
          <w:sz w:val="32"/>
          <w:szCs w:val="32"/>
          <w:highlight w:val="none"/>
          <w:lang w:val="en-US" w:eastAsia="zh-CN"/>
        </w:rPr>
        <w:t>11</w:t>
      </w:r>
      <w:r>
        <w:rPr>
          <w:rFonts w:hint="eastAsia" w:ascii="仿宋_GB2312" w:hAnsi="仿宋_GB2312" w:eastAsia="仿宋_GB2312"/>
          <w:color w:val="auto"/>
          <w:sz w:val="32"/>
          <w:szCs w:val="32"/>
          <w:highlight w:val="none"/>
        </w:rPr>
        <w:t>日</w:t>
      </w:r>
    </w:p>
    <w:p>
      <w:pPr>
        <w:pStyle w:val="2"/>
        <w:spacing w:line="560" w:lineRule="exact"/>
        <w:rPr>
          <w:rFonts w:hint="eastAsia" w:ascii="仿宋_GB2312" w:hAnsi="仿宋_GB2312" w:eastAsia="仿宋_GB2312"/>
          <w:sz w:val="32"/>
          <w:szCs w:val="32"/>
          <w:highlight w:val="none"/>
        </w:rPr>
      </w:pPr>
    </w:p>
    <w:p>
      <w:pPr>
        <w:pStyle w:val="2"/>
        <w:spacing w:line="560" w:lineRule="exact"/>
        <w:rPr>
          <w:rFonts w:hint="eastAsia" w:ascii="仿宋_GB2312" w:hAnsi="仿宋_GB2312" w:eastAsia="仿宋_GB2312"/>
          <w:sz w:val="32"/>
          <w:szCs w:val="32"/>
          <w:highlight w:val="none"/>
        </w:rPr>
      </w:pPr>
    </w:p>
    <w:p>
      <w:pPr>
        <w:pStyle w:val="2"/>
        <w:spacing w:line="560" w:lineRule="exact"/>
        <w:rPr>
          <w:rFonts w:hint="eastAsia" w:ascii="仿宋_GB2312" w:hAnsi="仿宋_GB2312" w:eastAsia="仿宋_GB2312"/>
          <w:sz w:val="32"/>
          <w:szCs w:val="32"/>
          <w:highlight w:val="none"/>
        </w:rPr>
      </w:pPr>
    </w:p>
    <w:p>
      <w:pPr>
        <w:pStyle w:val="2"/>
        <w:spacing w:line="560" w:lineRule="exact"/>
        <w:rPr>
          <w:rFonts w:hint="eastAsia" w:ascii="仿宋_GB2312" w:hAnsi="仿宋_GB2312" w:eastAsia="仿宋_GB2312"/>
          <w:sz w:val="32"/>
          <w:szCs w:val="32"/>
          <w:highlight w:val="none"/>
        </w:rPr>
      </w:pPr>
    </w:p>
    <w:p>
      <w:pPr>
        <w:pStyle w:val="2"/>
        <w:spacing w:line="560" w:lineRule="exact"/>
        <w:rPr>
          <w:rFonts w:hint="eastAsia" w:ascii="仿宋_GB2312" w:hAnsi="仿宋_GB2312" w:eastAsia="仿宋_GB2312"/>
          <w:sz w:val="32"/>
          <w:szCs w:val="32"/>
          <w:highlight w:val="none"/>
        </w:rPr>
      </w:pPr>
    </w:p>
    <w:p>
      <w:pPr>
        <w:pStyle w:val="2"/>
        <w:spacing w:line="560" w:lineRule="exact"/>
        <w:rPr>
          <w:rFonts w:hint="eastAsia" w:ascii="仿宋_GB2312" w:hAnsi="仿宋_GB2312" w:eastAsia="仿宋_GB2312"/>
          <w:sz w:val="32"/>
          <w:szCs w:val="32"/>
          <w:highlight w:val="none"/>
        </w:rPr>
      </w:pPr>
    </w:p>
    <w:p>
      <w:pPr>
        <w:pStyle w:val="2"/>
        <w:spacing w:line="560" w:lineRule="exact"/>
        <w:rPr>
          <w:rFonts w:hint="eastAsia" w:ascii="仿宋_GB2312" w:hAnsi="仿宋_GB2312" w:eastAsia="仿宋_GB2312"/>
          <w:sz w:val="32"/>
          <w:szCs w:val="32"/>
          <w:highlight w:val="none"/>
        </w:rPr>
      </w:pPr>
    </w:p>
    <w:p>
      <w:pPr>
        <w:pStyle w:val="2"/>
        <w:spacing w:line="560" w:lineRule="exact"/>
        <w:rPr>
          <w:rFonts w:hint="eastAsia" w:ascii="仿宋_GB2312" w:hAnsi="仿宋_GB2312" w:eastAsia="仿宋_GB2312"/>
          <w:sz w:val="32"/>
          <w:szCs w:val="32"/>
          <w:highlight w:val="none"/>
        </w:rPr>
      </w:pPr>
    </w:p>
    <w:p>
      <w:pPr>
        <w:pStyle w:val="2"/>
        <w:spacing w:line="560" w:lineRule="exact"/>
        <w:rPr>
          <w:rFonts w:hint="eastAsia" w:ascii="仿宋_GB2312" w:hAnsi="仿宋_GB2312" w:eastAsia="仿宋_GB2312"/>
          <w:sz w:val="32"/>
          <w:szCs w:val="32"/>
          <w:highlight w:val="none"/>
        </w:rPr>
      </w:pPr>
    </w:p>
    <w:p>
      <w:pPr>
        <w:pStyle w:val="2"/>
        <w:spacing w:line="560" w:lineRule="exact"/>
        <w:rPr>
          <w:rFonts w:hint="eastAsia" w:ascii="仿宋_GB2312" w:hAnsi="仿宋_GB2312" w:eastAsia="仿宋_GB2312"/>
          <w:sz w:val="32"/>
          <w:szCs w:val="32"/>
          <w:highlight w:val="none"/>
        </w:rPr>
      </w:pPr>
    </w:p>
    <w:p>
      <w:pPr>
        <w:pStyle w:val="2"/>
        <w:spacing w:line="560" w:lineRule="exact"/>
        <w:rPr>
          <w:rFonts w:hint="eastAsia" w:ascii="仿宋_GB2312" w:hAnsi="仿宋_GB2312" w:eastAsia="仿宋_GB2312"/>
          <w:sz w:val="32"/>
          <w:szCs w:val="32"/>
          <w:highlight w:val="none"/>
        </w:rPr>
      </w:pPr>
    </w:p>
    <w:p>
      <w:pPr>
        <w:pStyle w:val="2"/>
        <w:spacing w:line="560" w:lineRule="exact"/>
        <w:rPr>
          <w:rFonts w:hint="eastAsia" w:ascii="仿宋_GB2312" w:hAnsi="仿宋_GB2312" w:eastAsia="仿宋_GB2312"/>
          <w:sz w:val="32"/>
          <w:szCs w:val="32"/>
          <w:highlight w:val="none"/>
        </w:rPr>
      </w:pPr>
    </w:p>
    <w:p>
      <w:pPr>
        <w:pStyle w:val="2"/>
        <w:spacing w:line="560" w:lineRule="exact"/>
        <w:rPr>
          <w:rFonts w:hint="eastAsia" w:ascii="仿宋_GB2312" w:hAnsi="仿宋_GB2312" w:eastAsia="仿宋_GB2312"/>
          <w:sz w:val="32"/>
          <w:szCs w:val="32"/>
          <w:highlight w:val="none"/>
        </w:rPr>
      </w:pPr>
    </w:p>
    <w:p>
      <w:pPr>
        <w:pStyle w:val="2"/>
        <w:spacing w:line="560" w:lineRule="exact"/>
        <w:rPr>
          <w:rFonts w:hint="eastAsia" w:ascii="仿宋_GB2312" w:hAnsi="仿宋_GB2312" w:eastAsia="仿宋_GB2312"/>
          <w:sz w:val="32"/>
          <w:szCs w:val="32"/>
          <w:highlight w:val="none"/>
        </w:rPr>
      </w:pPr>
    </w:p>
    <w:p>
      <w:pPr>
        <w:pStyle w:val="2"/>
        <w:spacing w:line="560" w:lineRule="exact"/>
        <w:rPr>
          <w:rFonts w:hint="eastAsia" w:ascii="仿宋_GB2312" w:hAnsi="仿宋_GB2312" w:eastAsia="仿宋_GB2312"/>
          <w:sz w:val="32"/>
          <w:szCs w:val="32"/>
          <w:highlight w:val="none"/>
        </w:rPr>
      </w:pPr>
    </w:p>
    <w:p>
      <w:pPr>
        <w:pStyle w:val="2"/>
        <w:spacing w:line="560" w:lineRule="exact"/>
        <w:rPr>
          <w:rFonts w:hint="eastAsia" w:ascii="仿宋_GB2312" w:hAnsi="仿宋_GB2312" w:eastAsia="仿宋_GB2312"/>
          <w:sz w:val="32"/>
          <w:szCs w:val="32"/>
          <w:highlight w:val="none"/>
        </w:rPr>
      </w:pPr>
    </w:p>
    <w:p>
      <w:pPr>
        <w:pStyle w:val="2"/>
        <w:spacing w:line="560" w:lineRule="exact"/>
        <w:rPr>
          <w:rFonts w:hint="eastAsia" w:ascii="仿宋_GB2312" w:hAnsi="仿宋_GB2312" w:eastAsia="仿宋_GB2312"/>
          <w:sz w:val="32"/>
          <w:szCs w:val="32"/>
          <w:highlight w:val="none"/>
          <w:lang w:val="en-US" w:eastAsia="zh-CN"/>
        </w:rPr>
      </w:pPr>
      <w:r>
        <w:rPr>
          <w:rFonts w:hint="eastAsia" w:ascii="仿宋_GB2312" w:hAnsi="仿宋_GB2312" w:eastAsia="仿宋_GB2312"/>
          <w:sz w:val="32"/>
          <w:szCs w:val="32"/>
          <w:highlight w:val="none"/>
        </w:rPr>
        <w:t>附件：</w:t>
      </w:r>
      <w:r>
        <w:rPr>
          <w:rFonts w:hint="eastAsia" w:ascii="仿宋_GB2312" w:hAnsi="仿宋_GB2312" w:eastAsia="仿宋_GB2312"/>
          <w:sz w:val="32"/>
          <w:szCs w:val="32"/>
          <w:highlight w:val="none"/>
          <w:lang w:val="en-US" w:eastAsia="zh-CN"/>
        </w:rPr>
        <w:t>2</w:t>
      </w:r>
    </w:p>
    <w:p>
      <w:pPr>
        <w:spacing w:line="576" w:lineRule="exact"/>
        <w:jc w:val="center"/>
        <w:rPr>
          <w:rFonts w:ascii="仿宋_GB2312" w:hAnsi="仿宋_GB2312" w:eastAsia="仿宋_GB2312" w:cs="仿宋_GB2312"/>
          <w:sz w:val="32"/>
          <w:szCs w:val="32"/>
          <w:highlight w:val="none"/>
        </w:rPr>
      </w:pPr>
      <w:r>
        <w:rPr>
          <w:rFonts w:hint="eastAsia" w:ascii="黑体" w:hAnsi="黑体" w:eastAsia="黑体" w:cs="黑体"/>
          <w:sz w:val="32"/>
          <w:szCs w:val="32"/>
          <w:highlight w:val="none"/>
          <w:lang w:eastAsia="zh-CN"/>
        </w:rPr>
        <w:t>晋宁区</w:t>
      </w:r>
      <w:r>
        <w:rPr>
          <w:rFonts w:hint="eastAsia" w:ascii="黑体" w:hAnsi="黑体" w:eastAsia="黑体" w:cs="黑体"/>
          <w:sz w:val="32"/>
          <w:szCs w:val="32"/>
          <w:highlight w:val="none"/>
        </w:rPr>
        <w:t>烟花爆竹经营店</w:t>
      </w:r>
      <w:r>
        <w:rPr>
          <w:rFonts w:hint="eastAsia" w:ascii="黑体" w:hAnsi="黑体" w:eastAsia="黑体" w:cs="黑体"/>
          <w:sz w:val="32"/>
          <w:szCs w:val="32"/>
          <w:highlight w:val="none"/>
          <w:lang w:eastAsia="zh-CN"/>
        </w:rPr>
        <w:t>安全、消防、建筑物</w:t>
      </w:r>
      <w:r>
        <w:rPr>
          <w:rFonts w:hint="eastAsia" w:ascii="黑体" w:hAnsi="黑体" w:eastAsia="黑体" w:cs="黑体"/>
          <w:sz w:val="32"/>
          <w:szCs w:val="32"/>
          <w:highlight w:val="none"/>
        </w:rPr>
        <w:t>内</w:t>
      </w:r>
      <w:r>
        <w:rPr>
          <w:rFonts w:hint="eastAsia" w:ascii="黑体" w:hAnsi="黑体" w:eastAsia="黑体" w:cs="黑体"/>
          <w:sz w:val="32"/>
          <w:szCs w:val="32"/>
          <w:highlight w:val="none"/>
          <w:lang w:eastAsia="zh-CN"/>
        </w:rPr>
        <w:t>、外</w:t>
      </w:r>
      <w:r>
        <w:rPr>
          <w:rFonts w:hint="eastAsia" w:ascii="黑体" w:hAnsi="黑体" w:eastAsia="黑体" w:cs="黑体"/>
          <w:sz w:val="32"/>
          <w:szCs w:val="32"/>
          <w:highlight w:val="none"/>
        </w:rPr>
        <w:t>部布置图</w:t>
      </w:r>
    </w:p>
    <w:p>
      <w:pPr>
        <w:rPr>
          <w:rFonts w:ascii="仿宋_GB2312" w:hAnsi="仿宋_GB2312" w:eastAsia="仿宋_GB2312" w:cs="仿宋_GB2312"/>
          <w:sz w:val="32"/>
          <w:szCs w:val="32"/>
          <w:highlight w:val="none"/>
        </w:rPr>
      </w:pPr>
      <w:r>
        <w:rPr>
          <w:rFonts w:ascii="仿宋_GB2312" w:hAnsi="仿宋_GB2312" w:eastAsia="仿宋_GB2312" w:cs="仿宋_GB2312"/>
          <w:sz w:val="32"/>
          <w:szCs w:val="32"/>
          <w:highlight w:val="none"/>
        </w:rPr>
        <w:drawing>
          <wp:inline distT="0" distB="0" distL="114300" distR="114300">
            <wp:extent cx="5730875" cy="3372485"/>
            <wp:effectExtent l="0" t="0" r="3175" b="18415"/>
            <wp:docPr id="2" name="图片 2" descr="317e127852fc45eb87420bf4501ff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317e127852fc45eb87420bf4501ffa3"/>
                    <pic:cNvPicPr>
                      <a:picLocks noChangeAspect="1"/>
                    </pic:cNvPicPr>
                  </pic:nvPicPr>
                  <pic:blipFill>
                    <a:blip r:embed="rId5"/>
                    <a:stretch>
                      <a:fillRect/>
                    </a:stretch>
                  </pic:blipFill>
                  <pic:spPr>
                    <a:xfrm>
                      <a:off x="0" y="0"/>
                      <a:ext cx="5730875" cy="3372485"/>
                    </a:xfrm>
                    <a:prstGeom prst="rect">
                      <a:avLst/>
                    </a:prstGeom>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spacing w:line="240" w:lineRule="exact"/>
        <w:ind w:firstLine="360" w:firstLineChars="200"/>
        <w:textAlignment w:val="auto"/>
        <w:rPr>
          <w:rFonts w:hint="eastAsia" w:ascii="宋体" w:hAnsi="宋体" w:eastAsia="宋体" w:cs="宋体"/>
          <w:b w:val="0"/>
          <w:bCs w:val="0"/>
          <w:sz w:val="18"/>
          <w:szCs w:val="18"/>
          <w:highlight w:val="none"/>
        </w:rPr>
      </w:pPr>
      <w:r>
        <w:rPr>
          <w:rFonts w:hint="eastAsia" w:ascii="宋体" w:hAnsi="宋体" w:eastAsia="宋体" w:cs="宋体"/>
          <w:b w:val="0"/>
          <w:bCs w:val="0"/>
          <w:sz w:val="18"/>
          <w:szCs w:val="18"/>
          <w:highlight w:val="none"/>
          <w:lang w:eastAsia="zh-CN"/>
        </w:rPr>
        <w:t>备注：（一）</w:t>
      </w:r>
      <w:r>
        <w:rPr>
          <w:rFonts w:hint="eastAsia" w:ascii="宋体" w:hAnsi="宋体" w:eastAsia="宋体" w:cs="宋体"/>
          <w:b w:val="0"/>
          <w:bCs w:val="0"/>
          <w:sz w:val="18"/>
          <w:szCs w:val="18"/>
          <w:highlight w:val="none"/>
        </w:rPr>
        <w:t>选址与布局</w:t>
      </w:r>
      <w:r>
        <w:rPr>
          <w:rFonts w:hint="eastAsia" w:ascii="宋体" w:hAnsi="宋体" w:cs="宋体"/>
          <w:b w:val="0"/>
          <w:bCs w:val="0"/>
          <w:sz w:val="18"/>
          <w:szCs w:val="18"/>
          <w:highlight w:val="none"/>
          <w:lang w:eastAsia="zh-CN"/>
        </w:rPr>
        <w:t>：</w:t>
      </w:r>
      <w:r>
        <w:rPr>
          <w:rFonts w:hint="eastAsia" w:ascii="宋体" w:hAnsi="宋体" w:eastAsia="宋体" w:cs="宋体"/>
          <w:b w:val="0"/>
          <w:bCs w:val="0"/>
          <w:sz w:val="18"/>
          <w:szCs w:val="18"/>
          <w:highlight w:val="none"/>
          <w:lang w:val="en-US" w:eastAsia="zh-CN"/>
        </w:rPr>
        <w:t>1.烟花爆竹零售店（点）的面积不小于10平方米，其周边50米范围内没有其他烟花爆竹零售点，并与学校、幼儿园、医院、集贸市场等人员密集场所和加油站等易燃易爆物品生产、储存设施等重点建筑物保持100米以上的安全距离；2.烟花爆竹零售店（点）不得与居住场所设置在同一建筑物内，不得设置在城镇居民集中居住小区内；3.</w:t>
      </w:r>
      <w:r>
        <w:rPr>
          <w:rFonts w:hint="eastAsia" w:ascii="宋体" w:hAnsi="宋体" w:eastAsia="宋体" w:cs="宋体"/>
          <w:b w:val="0"/>
          <w:bCs w:val="0"/>
          <w:sz w:val="18"/>
          <w:szCs w:val="18"/>
          <w:highlight w:val="none"/>
        </w:rPr>
        <w:t>烟花爆竹零售店（点）不应布置在军事管理区、风景名胜区、文物保护区等禁止燃放烟花爆竹区域内；</w:t>
      </w:r>
      <w:r>
        <w:rPr>
          <w:rFonts w:hint="eastAsia" w:ascii="宋体" w:hAnsi="宋体" w:eastAsia="宋体" w:cs="宋体"/>
          <w:b w:val="0"/>
          <w:bCs w:val="0"/>
          <w:sz w:val="18"/>
          <w:szCs w:val="18"/>
          <w:highlight w:val="none"/>
          <w:lang w:val="en-US" w:eastAsia="zh-CN"/>
        </w:rPr>
        <w:t>4.</w:t>
      </w:r>
      <w:r>
        <w:rPr>
          <w:rFonts w:hint="eastAsia" w:ascii="宋体" w:hAnsi="宋体" w:eastAsia="宋体" w:cs="宋体"/>
          <w:b w:val="0"/>
          <w:bCs w:val="0"/>
          <w:sz w:val="18"/>
          <w:szCs w:val="18"/>
          <w:highlight w:val="none"/>
        </w:rPr>
        <w:t>烟花爆竹零售店（点）不应布置在地下室、桥下及涵洞、三层及以上建筑物内；</w:t>
      </w:r>
      <w:r>
        <w:rPr>
          <w:rFonts w:hint="eastAsia" w:ascii="宋体" w:hAnsi="宋体" w:eastAsia="宋体" w:cs="宋体"/>
          <w:b w:val="0"/>
          <w:bCs w:val="0"/>
          <w:sz w:val="18"/>
          <w:szCs w:val="18"/>
          <w:highlight w:val="none"/>
          <w:lang w:val="en-US" w:eastAsia="zh-CN"/>
        </w:rPr>
        <w:t>5.</w:t>
      </w:r>
      <w:r>
        <w:rPr>
          <w:rFonts w:hint="eastAsia" w:ascii="宋体" w:hAnsi="宋体" w:eastAsia="宋体" w:cs="宋体"/>
          <w:b w:val="0"/>
          <w:bCs w:val="0"/>
          <w:sz w:val="18"/>
          <w:szCs w:val="18"/>
          <w:highlight w:val="none"/>
        </w:rPr>
        <w:t>当烟花爆竹零售店（点）布置在两层建筑物内时，其正上方不应有人员活动场所，上下层之间不应有楼梯和洞口；</w:t>
      </w:r>
      <w:r>
        <w:rPr>
          <w:rFonts w:hint="eastAsia" w:ascii="宋体" w:hAnsi="宋体" w:eastAsia="宋体" w:cs="宋体"/>
          <w:b w:val="0"/>
          <w:bCs w:val="0"/>
          <w:sz w:val="18"/>
          <w:szCs w:val="18"/>
          <w:highlight w:val="none"/>
          <w:lang w:val="en-US" w:eastAsia="zh-CN"/>
        </w:rPr>
        <w:t>6.</w:t>
      </w:r>
      <w:r>
        <w:rPr>
          <w:rFonts w:hint="eastAsia" w:ascii="宋体" w:hAnsi="宋体" w:eastAsia="宋体" w:cs="宋体"/>
          <w:b w:val="0"/>
          <w:bCs w:val="0"/>
          <w:sz w:val="18"/>
          <w:szCs w:val="18"/>
          <w:highlight w:val="none"/>
        </w:rPr>
        <w:t>当烟花爆竹零售店（点）毗邻其他建筑物时，其毗邻墙体应为不燃材料墙体，且不应有门窗和洞口；</w:t>
      </w:r>
      <w:r>
        <w:rPr>
          <w:rFonts w:hint="eastAsia" w:ascii="宋体" w:hAnsi="宋体" w:eastAsia="宋体" w:cs="宋体"/>
          <w:b w:val="0"/>
          <w:bCs w:val="0"/>
          <w:sz w:val="18"/>
          <w:szCs w:val="18"/>
          <w:highlight w:val="none"/>
          <w:lang w:val="en-US" w:eastAsia="zh-CN"/>
        </w:rPr>
        <w:t>7.</w:t>
      </w:r>
      <w:r>
        <w:rPr>
          <w:rFonts w:hint="eastAsia" w:ascii="宋体" w:hAnsi="宋体" w:eastAsia="宋体" w:cs="宋体"/>
          <w:b w:val="0"/>
          <w:bCs w:val="0"/>
          <w:sz w:val="18"/>
          <w:szCs w:val="18"/>
          <w:highlight w:val="none"/>
        </w:rPr>
        <w:t>烟花爆竹零售店（点）内部应将产品堆放区和销售柜台分区布置，确保安全疏散通道畅通；</w:t>
      </w:r>
      <w:r>
        <w:rPr>
          <w:rFonts w:hint="eastAsia" w:ascii="宋体" w:hAnsi="宋体" w:eastAsia="宋体" w:cs="宋体"/>
          <w:b w:val="0"/>
          <w:bCs w:val="0"/>
          <w:sz w:val="18"/>
          <w:szCs w:val="18"/>
          <w:highlight w:val="none"/>
          <w:lang w:val="en-US" w:eastAsia="zh-CN"/>
        </w:rPr>
        <w:t>8.</w:t>
      </w:r>
      <w:r>
        <w:rPr>
          <w:rFonts w:hint="eastAsia" w:ascii="宋体" w:hAnsi="宋体" w:eastAsia="宋体" w:cs="宋体"/>
          <w:b w:val="0"/>
          <w:bCs w:val="0"/>
          <w:sz w:val="18"/>
          <w:szCs w:val="18"/>
          <w:highlight w:val="none"/>
        </w:rPr>
        <w:t>严禁将烟花爆竹零售店（点）作为其他经营场所和生活场所的人员进出入通道；</w:t>
      </w:r>
      <w:r>
        <w:rPr>
          <w:rFonts w:hint="eastAsia" w:ascii="宋体" w:hAnsi="宋体" w:eastAsia="宋体" w:cs="宋体"/>
          <w:b w:val="0"/>
          <w:bCs w:val="0"/>
          <w:sz w:val="18"/>
          <w:szCs w:val="18"/>
          <w:highlight w:val="none"/>
          <w:lang w:val="en-US" w:eastAsia="zh-CN"/>
        </w:rPr>
        <w:t>9.</w:t>
      </w:r>
      <w:r>
        <w:rPr>
          <w:rFonts w:hint="eastAsia" w:ascii="宋体" w:hAnsi="宋体" w:eastAsia="宋体" w:cs="宋体"/>
          <w:b w:val="0"/>
          <w:bCs w:val="0"/>
          <w:sz w:val="18"/>
          <w:szCs w:val="18"/>
          <w:highlight w:val="none"/>
        </w:rPr>
        <w:t>专柜销售的烟花爆竹零售店（点）应相对独立，其他商品销售场所的安全疏散通道不应通过烟花爆竹销售场所；</w:t>
      </w:r>
      <w:r>
        <w:rPr>
          <w:rFonts w:hint="eastAsia" w:ascii="宋体" w:hAnsi="宋体" w:eastAsia="宋体" w:cs="宋体"/>
          <w:b w:val="0"/>
          <w:bCs w:val="0"/>
          <w:sz w:val="18"/>
          <w:szCs w:val="18"/>
          <w:highlight w:val="none"/>
          <w:lang w:val="en-US" w:eastAsia="zh-CN"/>
        </w:rPr>
        <w:t>10.</w:t>
      </w:r>
      <w:r>
        <w:rPr>
          <w:rFonts w:hint="eastAsia" w:ascii="宋体" w:hAnsi="宋体" w:eastAsia="宋体" w:cs="宋体"/>
          <w:b w:val="0"/>
          <w:bCs w:val="0"/>
          <w:sz w:val="18"/>
          <w:szCs w:val="18"/>
          <w:highlight w:val="none"/>
        </w:rPr>
        <w:t>在烟花爆竹零售店（点）的醒目位置应悬挂烟花爆竹经营（零售）许可证和营业执照；</w:t>
      </w:r>
      <w:r>
        <w:rPr>
          <w:rFonts w:hint="eastAsia" w:ascii="宋体" w:hAnsi="宋体" w:eastAsia="宋体" w:cs="宋体"/>
          <w:b w:val="0"/>
          <w:bCs w:val="0"/>
          <w:sz w:val="18"/>
          <w:szCs w:val="18"/>
          <w:highlight w:val="none"/>
          <w:lang w:val="en-US" w:eastAsia="zh-CN"/>
        </w:rPr>
        <w:t>11.</w:t>
      </w:r>
      <w:r>
        <w:rPr>
          <w:rFonts w:hint="eastAsia" w:ascii="宋体" w:hAnsi="宋体" w:eastAsia="宋体" w:cs="宋体"/>
          <w:b w:val="0"/>
          <w:bCs w:val="0"/>
          <w:sz w:val="18"/>
          <w:szCs w:val="18"/>
          <w:highlight w:val="none"/>
        </w:rPr>
        <w:t>在烟花爆竹零售店（点）的醒目位置设置禁止烟火等安全警示标识。</w:t>
      </w:r>
    </w:p>
    <w:p>
      <w:pPr>
        <w:keepNext w:val="0"/>
        <w:keepLines w:val="0"/>
        <w:pageBreakBefore w:val="0"/>
        <w:widowControl w:val="0"/>
        <w:kinsoku/>
        <w:wordWrap/>
        <w:overflowPunct/>
        <w:topLinePunct w:val="0"/>
        <w:autoSpaceDE/>
        <w:autoSpaceDN/>
        <w:bidi w:val="0"/>
        <w:adjustRightInd/>
        <w:snapToGrid/>
        <w:spacing w:line="240" w:lineRule="exact"/>
        <w:ind w:firstLine="360" w:firstLineChars="200"/>
        <w:textAlignment w:val="auto"/>
        <w:rPr>
          <w:rFonts w:hint="eastAsia" w:ascii="宋体" w:hAnsi="宋体" w:eastAsia="宋体" w:cs="宋体"/>
          <w:b w:val="0"/>
          <w:bCs w:val="0"/>
          <w:sz w:val="18"/>
          <w:szCs w:val="18"/>
          <w:highlight w:val="none"/>
        </w:rPr>
      </w:pPr>
      <w:r>
        <w:rPr>
          <w:rFonts w:hint="eastAsia" w:ascii="宋体" w:hAnsi="宋体" w:eastAsia="宋体" w:cs="宋体"/>
          <w:b w:val="0"/>
          <w:bCs w:val="0"/>
          <w:sz w:val="18"/>
          <w:szCs w:val="18"/>
          <w:highlight w:val="none"/>
        </w:rPr>
        <w:t>（二）建筑物结构</w:t>
      </w:r>
      <w:r>
        <w:rPr>
          <w:rFonts w:hint="eastAsia" w:ascii="宋体" w:hAnsi="宋体" w:eastAsia="宋体" w:cs="宋体"/>
          <w:b w:val="0"/>
          <w:bCs w:val="0"/>
          <w:sz w:val="18"/>
          <w:szCs w:val="18"/>
          <w:highlight w:val="none"/>
          <w:lang w:val="en-US" w:eastAsia="zh-CN"/>
        </w:rPr>
        <w:t>1.</w:t>
      </w:r>
      <w:r>
        <w:rPr>
          <w:rFonts w:hint="eastAsia" w:ascii="宋体" w:hAnsi="宋体" w:eastAsia="宋体" w:cs="宋体"/>
          <w:b w:val="0"/>
          <w:bCs w:val="0"/>
          <w:sz w:val="18"/>
          <w:szCs w:val="18"/>
          <w:highlight w:val="none"/>
        </w:rPr>
        <w:t>烟花爆竹零售店（点）建筑物的耐火等级不应低于三级；采用搭棚形式设置时，应采用不燃或难燃材料搭建。</w:t>
      </w:r>
      <w:r>
        <w:rPr>
          <w:rFonts w:hint="eastAsia" w:ascii="宋体" w:hAnsi="宋体" w:eastAsia="宋体" w:cs="宋体"/>
          <w:b w:val="0"/>
          <w:bCs w:val="0"/>
          <w:sz w:val="18"/>
          <w:szCs w:val="18"/>
          <w:highlight w:val="none"/>
          <w:lang w:val="en-US" w:eastAsia="zh-CN"/>
        </w:rPr>
        <w:t>2.</w:t>
      </w:r>
      <w:r>
        <w:rPr>
          <w:rFonts w:hint="eastAsia" w:ascii="宋体" w:hAnsi="宋体" w:eastAsia="宋体" w:cs="宋体"/>
          <w:b w:val="0"/>
          <w:bCs w:val="0"/>
          <w:sz w:val="18"/>
          <w:szCs w:val="18"/>
          <w:highlight w:val="none"/>
        </w:rPr>
        <w:t>烟花爆竹零售店（点）与其他场所联建时，其隔墙应为厚度不小于180毫米的密实砖墙，或者耐火极限不低于3小时的其他密实墙。</w:t>
      </w:r>
      <w:r>
        <w:rPr>
          <w:rFonts w:hint="eastAsia" w:ascii="宋体" w:hAnsi="宋体" w:eastAsia="宋体" w:cs="宋体"/>
          <w:b w:val="0"/>
          <w:bCs w:val="0"/>
          <w:sz w:val="18"/>
          <w:szCs w:val="18"/>
          <w:highlight w:val="none"/>
          <w:lang w:val="en-US" w:eastAsia="zh-CN"/>
        </w:rPr>
        <w:t>3.</w:t>
      </w:r>
      <w:r>
        <w:rPr>
          <w:rFonts w:hint="eastAsia" w:ascii="宋体" w:hAnsi="宋体" w:eastAsia="宋体" w:cs="宋体"/>
          <w:b w:val="0"/>
          <w:bCs w:val="0"/>
          <w:sz w:val="18"/>
          <w:szCs w:val="18"/>
          <w:highlight w:val="none"/>
        </w:rPr>
        <w:t>烟花爆竹零售店（点）的安全疏散门宜采用向外开启的平开门；采用其他形式的门时，应符合消防安全疏散要求。</w:t>
      </w:r>
      <w:r>
        <w:rPr>
          <w:rFonts w:hint="eastAsia" w:ascii="宋体" w:hAnsi="宋体" w:eastAsia="宋体" w:cs="宋体"/>
          <w:b w:val="0"/>
          <w:bCs w:val="0"/>
          <w:sz w:val="18"/>
          <w:szCs w:val="18"/>
          <w:highlight w:val="none"/>
          <w:lang w:val="en-US" w:eastAsia="zh-CN"/>
        </w:rPr>
        <w:t>4.</w:t>
      </w:r>
      <w:r>
        <w:rPr>
          <w:rFonts w:hint="eastAsia" w:ascii="宋体" w:hAnsi="宋体" w:eastAsia="宋体" w:cs="宋体"/>
          <w:b w:val="0"/>
          <w:bCs w:val="0"/>
          <w:sz w:val="18"/>
          <w:szCs w:val="18"/>
          <w:highlight w:val="none"/>
        </w:rPr>
        <w:t>顾客进出的门洞宽不应小于1.5米，搬运产品进出的门洞宽不宜小于1.2米。</w:t>
      </w:r>
    </w:p>
    <w:p>
      <w:pPr>
        <w:keepNext w:val="0"/>
        <w:keepLines w:val="0"/>
        <w:pageBreakBefore w:val="0"/>
        <w:widowControl w:val="0"/>
        <w:kinsoku/>
        <w:wordWrap/>
        <w:overflowPunct/>
        <w:topLinePunct w:val="0"/>
        <w:autoSpaceDE/>
        <w:autoSpaceDN/>
        <w:bidi w:val="0"/>
        <w:adjustRightInd/>
        <w:snapToGrid/>
        <w:spacing w:line="240" w:lineRule="exact"/>
        <w:ind w:firstLine="360" w:firstLineChars="200"/>
        <w:textAlignment w:val="auto"/>
        <w:rPr>
          <w:rFonts w:hint="eastAsia" w:ascii="宋体" w:hAnsi="宋体" w:eastAsia="宋体" w:cs="宋体"/>
          <w:b w:val="0"/>
          <w:bCs w:val="0"/>
          <w:sz w:val="18"/>
          <w:szCs w:val="18"/>
          <w:highlight w:val="none"/>
          <w:lang w:val="en-US" w:eastAsia="zh-CN"/>
        </w:rPr>
      </w:pPr>
      <w:r>
        <w:rPr>
          <w:rFonts w:hint="eastAsia" w:ascii="宋体" w:hAnsi="宋体" w:eastAsia="宋体" w:cs="宋体"/>
          <w:b w:val="0"/>
          <w:bCs w:val="0"/>
          <w:sz w:val="18"/>
          <w:szCs w:val="18"/>
          <w:highlight w:val="none"/>
        </w:rPr>
        <w:t>（三）电气与消防</w:t>
      </w:r>
      <w:r>
        <w:rPr>
          <w:rFonts w:hint="eastAsia" w:ascii="宋体" w:hAnsi="宋体" w:cs="宋体"/>
          <w:b w:val="0"/>
          <w:bCs w:val="0"/>
          <w:sz w:val="18"/>
          <w:szCs w:val="18"/>
          <w:highlight w:val="none"/>
          <w:lang w:eastAsia="zh-CN"/>
        </w:rPr>
        <w:t>：</w:t>
      </w:r>
      <w:r>
        <w:rPr>
          <w:rFonts w:hint="eastAsia" w:ascii="宋体" w:hAnsi="宋体" w:eastAsia="宋体" w:cs="宋体"/>
          <w:b w:val="0"/>
          <w:bCs w:val="0"/>
          <w:sz w:val="18"/>
          <w:szCs w:val="18"/>
          <w:highlight w:val="none"/>
          <w:lang w:val="en-US" w:eastAsia="zh-CN"/>
        </w:rPr>
        <w:t>1.</w:t>
      </w:r>
      <w:r>
        <w:rPr>
          <w:rFonts w:hint="eastAsia" w:ascii="宋体" w:hAnsi="宋体" w:eastAsia="宋体" w:cs="宋体"/>
          <w:b w:val="0"/>
          <w:bCs w:val="0"/>
          <w:sz w:val="18"/>
          <w:szCs w:val="18"/>
          <w:highlight w:val="none"/>
        </w:rPr>
        <w:t>烟花爆竹零售店（点）上空禁止1千伏及以上的电力线路跨越。</w:t>
      </w:r>
      <w:r>
        <w:rPr>
          <w:rFonts w:hint="eastAsia" w:ascii="宋体" w:hAnsi="宋体" w:eastAsia="宋体" w:cs="宋体"/>
          <w:b w:val="0"/>
          <w:bCs w:val="0"/>
          <w:sz w:val="18"/>
          <w:szCs w:val="18"/>
          <w:highlight w:val="none"/>
          <w:lang w:val="en-US" w:eastAsia="zh-CN"/>
        </w:rPr>
        <w:t>2.</w:t>
      </w:r>
      <w:r>
        <w:rPr>
          <w:rFonts w:hint="eastAsia" w:ascii="宋体" w:hAnsi="宋体" w:eastAsia="宋体" w:cs="宋体"/>
          <w:b w:val="0"/>
          <w:bCs w:val="0"/>
          <w:sz w:val="18"/>
          <w:szCs w:val="18"/>
          <w:highlight w:val="none"/>
        </w:rPr>
        <w:t>烟花爆竹零售店（点）禁止使用白炽灯、射灯等容易产生高温的灯具，电气线路应穿钢管敷设。</w:t>
      </w:r>
      <w:r>
        <w:rPr>
          <w:rFonts w:hint="eastAsia" w:ascii="宋体" w:hAnsi="宋体" w:eastAsia="宋体" w:cs="宋体"/>
          <w:b w:val="0"/>
          <w:bCs w:val="0"/>
          <w:sz w:val="18"/>
          <w:szCs w:val="18"/>
          <w:highlight w:val="none"/>
          <w:lang w:val="en-US" w:eastAsia="zh-CN"/>
        </w:rPr>
        <w:t>3.</w:t>
      </w:r>
      <w:r>
        <w:rPr>
          <w:rFonts w:hint="eastAsia" w:ascii="宋体" w:hAnsi="宋体" w:eastAsia="宋体" w:cs="宋体"/>
          <w:b w:val="0"/>
          <w:bCs w:val="0"/>
          <w:sz w:val="18"/>
          <w:szCs w:val="18"/>
          <w:highlight w:val="none"/>
        </w:rPr>
        <w:t>烟花爆竹零售店（点）采用非防爆型电器时，电器应与产品保持不小于1.2米的水平投影距离。</w:t>
      </w:r>
      <w:r>
        <w:rPr>
          <w:rFonts w:hint="eastAsia" w:ascii="宋体" w:hAnsi="宋体" w:eastAsia="宋体" w:cs="宋体"/>
          <w:b w:val="0"/>
          <w:bCs w:val="0"/>
          <w:sz w:val="18"/>
          <w:szCs w:val="18"/>
          <w:highlight w:val="none"/>
          <w:lang w:val="en-US" w:eastAsia="zh-CN"/>
        </w:rPr>
        <w:t>4.</w:t>
      </w:r>
      <w:r>
        <w:rPr>
          <w:rFonts w:hint="eastAsia" w:ascii="宋体" w:hAnsi="宋体" w:eastAsia="宋体" w:cs="宋体"/>
          <w:b w:val="0"/>
          <w:bCs w:val="0"/>
          <w:sz w:val="18"/>
          <w:szCs w:val="18"/>
          <w:highlight w:val="none"/>
        </w:rPr>
        <w:t>烟花爆竹零售店（点）内严禁有明火，不应有输送易燃易爆物质的管道通过。</w:t>
      </w:r>
      <w:r>
        <w:rPr>
          <w:rFonts w:hint="eastAsia" w:ascii="宋体" w:hAnsi="宋体" w:eastAsia="宋体" w:cs="宋体"/>
          <w:b w:val="0"/>
          <w:bCs w:val="0"/>
          <w:sz w:val="18"/>
          <w:szCs w:val="18"/>
          <w:highlight w:val="none"/>
          <w:lang w:val="en-US" w:eastAsia="zh-CN"/>
        </w:rPr>
        <w:t>5.</w:t>
      </w:r>
      <w:r>
        <w:rPr>
          <w:rFonts w:hint="eastAsia" w:ascii="宋体" w:hAnsi="宋体" w:eastAsia="宋体" w:cs="宋体"/>
          <w:b w:val="0"/>
          <w:bCs w:val="0"/>
          <w:sz w:val="18"/>
          <w:szCs w:val="18"/>
          <w:highlight w:val="none"/>
        </w:rPr>
        <w:t>烟花爆竹零售店（点）禁止采用产生明火和有强热辐射的采暖设备；采暖宜选用水暖，且产品与采暖设备的距离应不小于30厘米。</w:t>
      </w:r>
      <w:r>
        <w:rPr>
          <w:rFonts w:hint="eastAsia" w:ascii="宋体" w:hAnsi="宋体" w:eastAsia="宋体" w:cs="宋体"/>
          <w:b w:val="0"/>
          <w:bCs w:val="0"/>
          <w:sz w:val="18"/>
          <w:szCs w:val="18"/>
          <w:highlight w:val="none"/>
          <w:lang w:val="en-US" w:eastAsia="zh-CN"/>
        </w:rPr>
        <w:t>6.</w:t>
      </w:r>
      <w:r>
        <w:rPr>
          <w:rFonts w:hint="eastAsia" w:ascii="宋体" w:hAnsi="宋体" w:eastAsia="宋体" w:cs="宋体"/>
          <w:b w:val="0"/>
          <w:bCs w:val="0"/>
          <w:sz w:val="18"/>
          <w:szCs w:val="18"/>
          <w:highlight w:val="none"/>
        </w:rPr>
        <w:t>烟花爆竹零售店（点）应配备至少两具5公斤及以上的磷酸铵盐干粉灭火器，灭火器放置位置应便于取用。</w:t>
      </w:r>
    </w:p>
    <w:p>
      <w:pPr>
        <w:pStyle w:val="2"/>
        <w:keepNext w:val="0"/>
        <w:keepLines w:val="0"/>
        <w:pageBreakBefore w:val="0"/>
        <w:widowControl w:val="0"/>
        <w:kinsoku/>
        <w:wordWrap/>
        <w:overflowPunct/>
        <w:topLinePunct w:val="0"/>
        <w:autoSpaceDE/>
        <w:autoSpaceDN/>
        <w:bidi w:val="0"/>
        <w:adjustRightInd/>
        <w:snapToGrid/>
        <w:spacing w:after="0" w:line="200" w:lineRule="exact"/>
        <w:ind w:left="0" w:leftChars="0" w:firstLine="0" w:firstLineChars="0"/>
        <w:jc w:val="both"/>
        <w:textAlignment w:val="auto"/>
        <w:rPr>
          <w:rFonts w:hint="eastAsia" w:ascii="宋体" w:hAnsi="宋体" w:eastAsia="宋体" w:cs="宋体"/>
          <w:b w:val="0"/>
          <w:bCs w:val="0"/>
          <w:sz w:val="18"/>
          <w:szCs w:val="18"/>
          <w:highlight w:val="none"/>
        </w:rPr>
      </w:pPr>
    </w:p>
    <w:sectPr>
      <w:footerReference r:id="rId3" w:type="default"/>
      <w:pgSz w:w="11906" w:h="16838"/>
      <w:pgMar w:top="2098" w:right="1474" w:bottom="1984" w:left="1587" w:header="851" w:footer="992" w:gutter="0"/>
      <w:cols w:space="0" w:num="1"/>
      <w:docGrid w:type="lines"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F3B5D85-9801-4498-9F51-05E8D0B1F1CE}"/>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embedRegular r:id="rId2" w:fontKey="{9140DDCD-4C87-4D5D-8A51-E91F097E694E}"/>
  </w:font>
  <w:font w:name="仿宋_GB2312">
    <w:panose1 w:val="02010609030101010101"/>
    <w:charset w:val="86"/>
    <w:family w:val="modern"/>
    <w:pitch w:val="default"/>
    <w:sig w:usb0="00000001" w:usb1="080E0000" w:usb2="00000000" w:usb3="00000000" w:csb0="00040000" w:csb1="00000000"/>
    <w:embedRegular r:id="rId3" w:fontKey="{6C007E51-4FE8-495D-BC76-AF24A59F2B3A}"/>
  </w:font>
  <w:font w:name="方正小标宋简体">
    <w:panose1 w:val="03000509000000000000"/>
    <w:charset w:val="86"/>
    <w:family w:val="script"/>
    <w:pitch w:val="default"/>
    <w:sig w:usb0="00000001" w:usb1="080E0000" w:usb2="00000000" w:usb3="00000000" w:csb0="00040000" w:csb1="00000000"/>
    <w:embedRegular r:id="rId4" w:fontKey="{212A15AC-36BB-4190-A6B2-BD155145A5F4}"/>
  </w:font>
  <w:font w:name="方正小标宋_GBK">
    <w:panose1 w:val="03000509000000000000"/>
    <w:charset w:val="86"/>
    <w:family w:val="script"/>
    <w:pitch w:val="default"/>
    <w:sig w:usb0="00000001" w:usb1="080E0000" w:usb2="00000000" w:usb3="00000000" w:csb0="00040000" w:csb1="00000000"/>
    <w:embedRegular r:id="rId5" w:fontKey="{CD0E7DFD-4DBF-4AC9-87DD-173405E2625A}"/>
  </w:font>
  <w:font w:name="楷体_GB2312">
    <w:panose1 w:val="02010609030101010101"/>
    <w:charset w:val="86"/>
    <w:family w:val="modern"/>
    <w:pitch w:val="default"/>
    <w:sig w:usb0="00000001" w:usb1="080E0000" w:usb2="00000000" w:usb3="00000000" w:csb0="00040000" w:csb1="00000000"/>
    <w:embedRegular r:id="rId6" w:fontKey="{301CC04B-0171-4CBC-A601-C59288B16F4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7"/>
                          </w:pPr>
                          <w:r>
                            <w:fldChar w:fldCharType="begin"/>
                          </w:r>
                          <w:r>
                            <w:instrText xml:space="preserve"> PAGE  \* MERGEFORMAT </w:instrText>
                          </w:r>
                          <w:r>
                            <w:fldChar w:fldCharType="separate"/>
                          </w:r>
                          <w:r>
                            <w:t>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cN+E4AgAAcQ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T5w34TgCAABxBAAADgAAAAAAAAABACAAAAAfAQAAZHJzL2Uyb0RvYy54&#10;bWxQSwUGAAAAAAYABgBZAQAAyQUAAAAA&#10;">
              <v:fill on="f" focussize="0,0"/>
              <v:stroke on="f" weight="0.5pt"/>
              <v:imagedata o:title=""/>
              <o:lock v:ext="edit" aspectratio="f"/>
              <v:textbox inset="0mm,0mm,0mm,0mm" style="mso-fit-shape-to-text:t;">
                <w:txbxContent>
                  <w:p>
                    <w:pPr>
                      <w:pStyle w:val="7"/>
                    </w:pPr>
                    <w:r>
                      <w:fldChar w:fldCharType="begin"/>
                    </w:r>
                    <w:r>
                      <w:instrText xml:space="preserve"> PAGE  \* MERGEFORMAT </w:instrText>
                    </w:r>
                    <w:r>
                      <w:fldChar w:fldCharType="separate"/>
                    </w:r>
                    <w:r>
                      <w:t>7</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295439F"/>
    <w:multiLevelType w:val="singleLevel"/>
    <w:tmpl w:val="B295439F"/>
    <w:lvl w:ilvl="0" w:tentative="0">
      <w:start w:val="1"/>
      <w:numFmt w:val="chineseCounting"/>
      <w:suff w:val="nothing"/>
      <w:lvlText w:val="%1、"/>
      <w:lvlJc w:val="left"/>
      <w:rPr>
        <w:rFonts w:hint="eastAsia"/>
        <w:b/>
        <w:bC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8"/>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ZiNjBhMzY0NGM1NTQ1OGNhMTk2OGRmYjYwYTUwNjkifQ=="/>
  </w:docVars>
  <w:rsids>
    <w:rsidRoot w:val="1E645077"/>
    <w:rsid w:val="00103FB1"/>
    <w:rsid w:val="001A18D6"/>
    <w:rsid w:val="001A1CF9"/>
    <w:rsid w:val="001B223C"/>
    <w:rsid w:val="00327CB1"/>
    <w:rsid w:val="00366003"/>
    <w:rsid w:val="003B40A7"/>
    <w:rsid w:val="003C04F1"/>
    <w:rsid w:val="003D6048"/>
    <w:rsid w:val="004E0F85"/>
    <w:rsid w:val="005C7409"/>
    <w:rsid w:val="005F5461"/>
    <w:rsid w:val="00710A0E"/>
    <w:rsid w:val="007177C6"/>
    <w:rsid w:val="007D0463"/>
    <w:rsid w:val="00822706"/>
    <w:rsid w:val="008306DE"/>
    <w:rsid w:val="0089547B"/>
    <w:rsid w:val="008C5782"/>
    <w:rsid w:val="008D101C"/>
    <w:rsid w:val="009B6D33"/>
    <w:rsid w:val="00A67D58"/>
    <w:rsid w:val="00AB7A64"/>
    <w:rsid w:val="00BD2D5B"/>
    <w:rsid w:val="00BF2AAE"/>
    <w:rsid w:val="00C823C4"/>
    <w:rsid w:val="00D0030A"/>
    <w:rsid w:val="00D44528"/>
    <w:rsid w:val="00D725CE"/>
    <w:rsid w:val="00DB3761"/>
    <w:rsid w:val="00E20E0D"/>
    <w:rsid w:val="00F46546"/>
    <w:rsid w:val="00F67E29"/>
    <w:rsid w:val="00FD444C"/>
    <w:rsid w:val="00FF4492"/>
    <w:rsid w:val="012F5F9F"/>
    <w:rsid w:val="014313AE"/>
    <w:rsid w:val="01437C9C"/>
    <w:rsid w:val="017E2A82"/>
    <w:rsid w:val="019D73AC"/>
    <w:rsid w:val="01A06E9D"/>
    <w:rsid w:val="01A7022B"/>
    <w:rsid w:val="01FB02A2"/>
    <w:rsid w:val="02181129"/>
    <w:rsid w:val="02427F54"/>
    <w:rsid w:val="027F2F56"/>
    <w:rsid w:val="030B2A3C"/>
    <w:rsid w:val="03125B78"/>
    <w:rsid w:val="03366612"/>
    <w:rsid w:val="03483348"/>
    <w:rsid w:val="03507D3F"/>
    <w:rsid w:val="03A013D6"/>
    <w:rsid w:val="03BE360A"/>
    <w:rsid w:val="03D33559"/>
    <w:rsid w:val="03FE7EAB"/>
    <w:rsid w:val="04D73560"/>
    <w:rsid w:val="04E83035"/>
    <w:rsid w:val="05027E6C"/>
    <w:rsid w:val="05723828"/>
    <w:rsid w:val="059D3E1F"/>
    <w:rsid w:val="05D3072C"/>
    <w:rsid w:val="06606BFB"/>
    <w:rsid w:val="066F54A2"/>
    <w:rsid w:val="066F6E3E"/>
    <w:rsid w:val="06705C79"/>
    <w:rsid w:val="06782196"/>
    <w:rsid w:val="06840B3B"/>
    <w:rsid w:val="069F5975"/>
    <w:rsid w:val="06D3561E"/>
    <w:rsid w:val="06F2019A"/>
    <w:rsid w:val="06F55595"/>
    <w:rsid w:val="071F2612"/>
    <w:rsid w:val="07AA2A7A"/>
    <w:rsid w:val="07E61381"/>
    <w:rsid w:val="07EB27E0"/>
    <w:rsid w:val="07EC2E3C"/>
    <w:rsid w:val="08156254"/>
    <w:rsid w:val="08624EAC"/>
    <w:rsid w:val="08D53729"/>
    <w:rsid w:val="09220511"/>
    <w:rsid w:val="09475E50"/>
    <w:rsid w:val="09750C0F"/>
    <w:rsid w:val="097E3F67"/>
    <w:rsid w:val="09D05E45"/>
    <w:rsid w:val="0A067AB9"/>
    <w:rsid w:val="0A8F7AAE"/>
    <w:rsid w:val="0AA90B70"/>
    <w:rsid w:val="0B0E6790"/>
    <w:rsid w:val="0B9F6417"/>
    <w:rsid w:val="0BE856C8"/>
    <w:rsid w:val="0BE873DA"/>
    <w:rsid w:val="0BFA53FB"/>
    <w:rsid w:val="0C47064F"/>
    <w:rsid w:val="0C526FE5"/>
    <w:rsid w:val="0C572ABC"/>
    <w:rsid w:val="0CA830A9"/>
    <w:rsid w:val="0D1A3FA7"/>
    <w:rsid w:val="0D7116ED"/>
    <w:rsid w:val="0DAD6BC9"/>
    <w:rsid w:val="0DBF6CB9"/>
    <w:rsid w:val="0DEE2BFC"/>
    <w:rsid w:val="0DEF71E2"/>
    <w:rsid w:val="0E4806A0"/>
    <w:rsid w:val="0E5960F8"/>
    <w:rsid w:val="0E683F40"/>
    <w:rsid w:val="0E72396F"/>
    <w:rsid w:val="0E9E654C"/>
    <w:rsid w:val="0EBB761E"/>
    <w:rsid w:val="0ED26F75"/>
    <w:rsid w:val="0EDB1514"/>
    <w:rsid w:val="0EDF7256"/>
    <w:rsid w:val="0F7554C5"/>
    <w:rsid w:val="0FC477AC"/>
    <w:rsid w:val="0FF22FB9"/>
    <w:rsid w:val="0FF7412C"/>
    <w:rsid w:val="102D5D9F"/>
    <w:rsid w:val="103C5FE2"/>
    <w:rsid w:val="105C5790"/>
    <w:rsid w:val="107E3199"/>
    <w:rsid w:val="10A36062"/>
    <w:rsid w:val="10DC1574"/>
    <w:rsid w:val="10F845FF"/>
    <w:rsid w:val="110D3BA5"/>
    <w:rsid w:val="12062FB9"/>
    <w:rsid w:val="12155806"/>
    <w:rsid w:val="122338FE"/>
    <w:rsid w:val="1226519C"/>
    <w:rsid w:val="124B4C03"/>
    <w:rsid w:val="127A1044"/>
    <w:rsid w:val="128557CF"/>
    <w:rsid w:val="130031CE"/>
    <w:rsid w:val="1337496B"/>
    <w:rsid w:val="133E6296"/>
    <w:rsid w:val="13457C0A"/>
    <w:rsid w:val="13596EAB"/>
    <w:rsid w:val="138008DC"/>
    <w:rsid w:val="13B14F39"/>
    <w:rsid w:val="142E20E6"/>
    <w:rsid w:val="14493645"/>
    <w:rsid w:val="145F4995"/>
    <w:rsid w:val="14755F67"/>
    <w:rsid w:val="14A56265"/>
    <w:rsid w:val="14E14D31"/>
    <w:rsid w:val="152D05F0"/>
    <w:rsid w:val="15B66837"/>
    <w:rsid w:val="15C34AB0"/>
    <w:rsid w:val="15CF2CE6"/>
    <w:rsid w:val="163C4DDE"/>
    <w:rsid w:val="16DF00EF"/>
    <w:rsid w:val="16E96798"/>
    <w:rsid w:val="16F92E7F"/>
    <w:rsid w:val="17AA23CB"/>
    <w:rsid w:val="17B2302E"/>
    <w:rsid w:val="185B1F25"/>
    <w:rsid w:val="186802BC"/>
    <w:rsid w:val="191E097B"/>
    <w:rsid w:val="193C52A5"/>
    <w:rsid w:val="1991739F"/>
    <w:rsid w:val="19CB50FA"/>
    <w:rsid w:val="1A3F329F"/>
    <w:rsid w:val="1A534654"/>
    <w:rsid w:val="1A8E7704"/>
    <w:rsid w:val="1AD27C6F"/>
    <w:rsid w:val="1ADA4D76"/>
    <w:rsid w:val="1B253699"/>
    <w:rsid w:val="1B7A20B5"/>
    <w:rsid w:val="1BA3160C"/>
    <w:rsid w:val="1BBF7C5E"/>
    <w:rsid w:val="1BCF41AF"/>
    <w:rsid w:val="1BE0016A"/>
    <w:rsid w:val="1BF02374"/>
    <w:rsid w:val="1C0A3439"/>
    <w:rsid w:val="1C18440A"/>
    <w:rsid w:val="1C281B11"/>
    <w:rsid w:val="1C393D1E"/>
    <w:rsid w:val="1C6A7C7F"/>
    <w:rsid w:val="1C705992"/>
    <w:rsid w:val="1CAC44F0"/>
    <w:rsid w:val="1CB515F6"/>
    <w:rsid w:val="1CB6711D"/>
    <w:rsid w:val="1D0D1432"/>
    <w:rsid w:val="1DBC69B5"/>
    <w:rsid w:val="1DE45C08"/>
    <w:rsid w:val="1E012619"/>
    <w:rsid w:val="1E0D0FBE"/>
    <w:rsid w:val="1E2D2071"/>
    <w:rsid w:val="1E4E3AB1"/>
    <w:rsid w:val="1E645077"/>
    <w:rsid w:val="1E654612"/>
    <w:rsid w:val="1EA00260"/>
    <w:rsid w:val="1EA2204E"/>
    <w:rsid w:val="1EB1403F"/>
    <w:rsid w:val="1EBD36E8"/>
    <w:rsid w:val="1ED61CF8"/>
    <w:rsid w:val="1ED65854"/>
    <w:rsid w:val="1ED815CC"/>
    <w:rsid w:val="1F096E07"/>
    <w:rsid w:val="1F0C571A"/>
    <w:rsid w:val="1F220A99"/>
    <w:rsid w:val="1F443106"/>
    <w:rsid w:val="1F5D7D23"/>
    <w:rsid w:val="1F7710AA"/>
    <w:rsid w:val="1FEA7809"/>
    <w:rsid w:val="20196340"/>
    <w:rsid w:val="20280331"/>
    <w:rsid w:val="20BB2F53"/>
    <w:rsid w:val="20BD316F"/>
    <w:rsid w:val="20E24984"/>
    <w:rsid w:val="20E5422A"/>
    <w:rsid w:val="20E93F65"/>
    <w:rsid w:val="212154AC"/>
    <w:rsid w:val="21442F49"/>
    <w:rsid w:val="21447321"/>
    <w:rsid w:val="215E177E"/>
    <w:rsid w:val="21A460DD"/>
    <w:rsid w:val="21B26104"/>
    <w:rsid w:val="21DE514B"/>
    <w:rsid w:val="21FC3824"/>
    <w:rsid w:val="220323AB"/>
    <w:rsid w:val="222B46FB"/>
    <w:rsid w:val="223615FD"/>
    <w:rsid w:val="22462793"/>
    <w:rsid w:val="22AA3280"/>
    <w:rsid w:val="230211FF"/>
    <w:rsid w:val="234B4A63"/>
    <w:rsid w:val="23566F63"/>
    <w:rsid w:val="238C0BD7"/>
    <w:rsid w:val="23963804"/>
    <w:rsid w:val="23DF33FD"/>
    <w:rsid w:val="244514B2"/>
    <w:rsid w:val="24B14D99"/>
    <w:rsid w:val="24DE5462"/>
    <w:rsid w:val="24EA2059"/>
    <w:rsid w:val="24F904EE"/>
    <w:rsid w:val="254774AC"/>
    <w:rsid w:val="257302A1"/>
    <w:rsid w:val="259563AB"/>
    <w:rsid w:val="259D3570"/>
    <w:rsid w:val="25E7019C"/>
    <w:rsid w:val="26002C3D"/>
    <w:rsid w:val="2610789E"/>
    <w:rsid w:val="26513092"/>
    <w:rsid w:val="266B2205"/>
    <w:rsid w:val="268F2EB8"/>
    <w:rsid w:val="26CA0394"/>
    <w:rsid w:val="26DC2D2F"/>
    <w:rsid w:val="26ED7BDF"/>
    <w:rsid w:val="27104166"/>
    <w:rsid w:val="27117D71"/>
    <w:rsid w:val="271C2272"/>
    <w:rsid w:val="275B34F0"/>
    <w:rsid w:val="27736336"/>
    <w:rsid w:val="278971C3"/>
    <w:rsid w:val="280B47C0"/>
    <w:rsid w:val="28C66939"/>
    <w:rsid w:val="28E868B0"/>
    <w:rsid w:val="29086F52"/>
    <w:rsid w:val="29785E86"/>
    <w:rsid w:val="297939AC"/>
    <w:rsid w:val="29B521A9"/>
    <w:rsid w:val="29CE019B"/>
    <w:rsid w:val="29F66948"/>
    <w:rsid w:val="2A0911D4"/>
    <w:rsid w:val="2A0B6CFA"/>
    <w:rsid w:val="2A353D77"/>
    <w:rsid w:val="2A475858"/>
    <w:rsid w:val="2B8209DE"/>
    <w:rsid w:val="2C0C0B07"/>
    <w:rsid w:val="2C4402A1"/>
    <w:rsid w:val="2C506C46"/>
    <w:rsid w:val="2C701096"/>
    <w:rsid w:val="2CC567B5"/>
    <w:rsid w:val="2CDC497D"/>
    <w:rsid w:val="2D6C5D01"/>
    <w:rsid w:val="2D6F134E"/>
    <w:rsid w:val="2DCF44E2"/>
    <w:rsid w:val="2DE57862"/>
    <w:rsid w:val="2E083213"/>
    <w:rsid w:val="2E3014D6"/>
    <w:rsid w:val="2E347C45"/>
    <w:rsid w:val="2E422F06"/>
    <w:rsid w:val="2EEF20A7"/>
    <w:rsid w:val="2F0F103A"/>
    <w:rsid w:val="2F856387"/>
    <w:rsid w:val="2FF975F4"/>
    <w:rsid w:val="303348B4"/>
    <w:rsid w:val="3049057C"/>
    <w:rsid w:val="306F78B6"/>
    <w:rsid w:val="30B359F5"/>
    <w:rsid w:val="30CB4750"/>
    <w:rsid w:val="30ED4978"/>
    <w:rsid w:val="3140197F"/>
    <w:rsid w:val="31675436"/>
    <w:rsid w:val="31D10829"/>
    <w:rsid w:val="31FB2915"/>
    <w:rsid w:val="32210A35"/>
    <w:rsid w:val="32794A1C"/>
    <w:rsid w:val="32C35685"/>
    <w:rsid w:val="32C97752"/>
    <w:rsid w:val="33353039"/>
    <w:rsid w:val="33513241"/>
    <w:rsid w:val="33837901"/>
    <w:rsid w:val="33872082"/>
    <w:rsid w:val="33B34B6C"/>
    <w:rsid w:val="34A56849"/>
    <w:rsid w:val="352F1070"/>
    <w:rsid w:val="359758E5"/>
    <w:rsid w:val="35BE10C4"/>
    <w:rsid w:val="35D00DF7"/>
    <w:rsid w:val="35E825E5"/>
    <w:rsid w:val="35F44AE6"/>
    <w:rsid w:val="360A35EA"/>
    <w:rsid w:val="368A5015"/>
    <w:rsid w:val="368A71F8"/>
    <w:rsid w:val="37272C99"/>
    <w:rsid w:val="378400EB"/>
    <w:rsid w:val="37A97B52"/>
    <w:rsid w:val="37CB1876"/>
    <w:rsid w:val="3809239F"/>
    <w:rsid w:val="38B642D4"/>
    <w:rsid w:val="38C30A66"/>
    <w:rsid w:val="38EC7CF6"/>
    <w:rsid w:val="38F117B0"/>
    <w:rsid w:val="391D07F7"/>
    <w:rsid w:val="398B39B3"/>
    <w:rsid w:val="39CA14A4"/>
    <w:rsid w:val="39DD51F6"/>
    <w:rsid w:val="3A371445"/>
    <w:rsid w:val="3A59760D"/>
    <w:rsid w:val="3A5E69D2"/>
    <w:rsid w:val="3AFE73AB"/>
    <w:rsid w:val="3BA66882"/>
    <w:rsid w:val="3BE71F75"/>
    <w:rsid w:val="3BFE66BE"/>
    <w:rsid w:val="3BFF2436"/>
    <w:rsid w:val="3C067321"/>
    <w:rsid w:val="3C8D7A42"/>
    <w:rsid w:val="3D483969"/>
    <w:rsid w:val="3D595B76"/>
    <w:rsid w:val="3DB159B2"/>
    <w:rsid w:val="3E18158D"/>
    <w:rsid w:val="3E270381"/>
    <w:rsid w:val="3E38578C"/>
    <w:rsid w:val="3E67183F"/>
    <w:rsid w:val="3E691DE9"/>
    <w:rsid w:val="3E832EAB"/>
    <w:rsid w:val="3E8D6E71"/>
    <w:rsid w:val="3EF67B21"/>
    <w:rsid w:val="3F982986"/>
    <w:rsid w:val="3FEE07F8"/>
    <w:rsid w:val="405C1C05"/>
    <w:rsid w:val="40752CC7"/>
    <w:rsid w:val="408D6263"/>
    <w:rsid w:val="40A11D0E"/>
    <w:rsid w:val="416A2994"/>
    <w:rsid w:val="418807D8"/>
    <w:rsid w:val="419378A9"/>
    <w:rsid w:val="41BD66D4"/>
    <w:rsid w:val="420A7788"/>
    <w:rsid w:val="42130902"/>
    <w:rsid w:val="42181B5C"/>
    <w:rsid w:val="42530540"/>
    <w:rsid w:val="4278084D"/>
    <w:rsid w:val="431C38CE"/>
    <w:rsid w:val="4359067E"/>
    <w:rsid w:val="443F68DF"/>
    <w:rsid w:val="446A1915"/>
    <w:rsid w:val="44BF2CE3"/>
    <w:rsid w:val="452D690B"/>
    <w:rsid w:val="45BE2A1A"/>
    <w:rsid w:val="46050582"/>
    <w:rsid w:val="4618187B"/>
    <w:rsid w:val="462E7BA0"/>
    <w:rsid w:val="4654337F"/>
    <w:rsid w:val="46A2058E"/>
    <w:rsid w:val="46CC73B9"/>
    <w:rsid w:val="46CD5A1B"/>
    <w:rsid w:val="46FC1A4C"/>
    <w:rsid w:val="47573126"/>
    <w:rsid w:val="476F244E"/>
    <w:rsid w:val="477A0BC3"/>
    <w:rsid w:val="47A0687C"/>
    <w:rsid w:val="47D91395"/>
    <w:rsid w:val="481B23A6"/>
    <w:rsid w:val="482B65DF"/>
    <w:rsid w:val="483B65A4"/>
    <w:rsid w:val="48A40B02"/>
    <w:rsid w:val="48B10A26"/>
    <w:rsid w:val="48B73FFE"/>
    <w:rsid w:val="48C05095"/>
    <w:rsid w:val="48C91E02"/>
    <w:rsid w:val="48DC7D87"/>
    <w:rsid w:val="48EE1869"/>
    <w:rsid w:val="48F36E7F"/>
    <w:rsid w:val="49A10689"/>
    <w:rsid w:val="49C5081B"/>
    <w:rsid w:val="49C820BA"/>
    <w:rsid w:val="49DC7913"/>
    <w:rsid w:val="49E2260D"/>
    <w:rsid w:val="49F70BF1"/>
    <w:rsid w:val="4A6A13C3"/>
    <w:rsid w:val="4A7558DB"/>
    <w:rsid w:val="4A993A56"/>
    <w:rsid w:val="4AC82D72"/>
    <w:rsid w:val="4B122C3E"/>
    <w:rsid w:val="4B125CE2"/>
    <w:rsid w:val="4B310E2D"/>
    <w:rsid w:val="4B956967"/>
    <w:rsid w:val="4B983A0C"/>
    <w:rsid w:val="4BB40B47"/>
    <w:rsid w:val="4BBE3774"/>
    <w:rsid w:val="4BD760A8"/>
    <w:rsid w:val="4BF54CBC"/>
    <w:rsid w:val="4C3B14F2"/>
    <w:rsid w:val="4C453E95"/>
    <w:rsid w:val="4C5145E8"/>
    <w:rsid w:val="4C8809DD"/>
    <w:rsid w:val="4CBE77A4"/>
    <w:rsid w:val="4D167A9A"/>
    <w:rsid w:val="4DD72EC5"/>
    <w:rsid w:val="4E1F4272"/>
    <w:rsid w:val="4E50267E"/>
    <w:rsid w:val="4EAF1A9A"/>
    <w:rsid w:val="4ECC264C"/>
    <w:rsid w:val="4F200267"/>
    <w:rsid w:val="4F6C524A"/>
    <w:rsid w:val="4F995502"/>
    <w:rsid w:val="4FBD3D43"/>
    <w:rsid w:val="4FCC21D8"/>
    <w:rsid w:val="4FD95020"/>
    <w:rsid w:val="503C110B"/>
    <w:rsid w:val="50865970"/>
    <w:rsid w:val="50907152"/>
    <w:rsid w:val="509D49E2"/>
    <w:rsid w:val="50A54F03"/>
    <w:rsid w:val="50AA42C7"/>
    <w:rsid w:val="50D15CF8"/>
    <w:rsid w:val="50EC3FE1"/>
    <w:rsid w:val="50FD6AED"/>
    <w:rsid w:val="511A58F1"/>
    <w:rsid w:val="5146724D"/>
    <w:rsid w:val="515F3303"/>
    <w:rsid w:val="5176689F"/>
    <w:rsid w:val="51856AE2"/>
    <w:rsid w:val="52262073"/>
    <w:rsid w:val="5227555C"/>
    <w:rsid w:val="522D3402"/>
    <w:rsid w:val="52BC0F29"/>
    <w:rsid w:val="52CD24EF"/>
    <w:rsid w:val="53334A48"/>
    <w:rsid w:val="53410B54"/>
    <w:rsid w:val="53980D4F"/>
    <w:rsid w:val="539F68F0"/>
    <w:rsid w:val="53BF0089"/>
    <w:rsid w:val="53C5766A"/>
    <w:rsid w:val="53E2646E"/>
    <w:rsid w:val="53F71F19"/>
    <w:rsid w:val="545C7FCE"/>
    <w:rsid w:val="54C87412"/>
    <w:rsid w:val="5512068D"/>
    <w:rsid w:val="55297C80"/>
    <w:rsid w:val="553464AA"/>
    <w:rsid w:val="5552474F"/>
    <w:rsid w:val="55851EA7"/>
    <w:rsid w:val="55EC7130"/>
    <w:rsid w:val="560A4E39"/>
    <w:rsid w:val="563F1955"/>
    <w:rsid w:val="56E9366F"/>
    <w:rsid w:val="57021C08"/>
    <w:rsid w:val="57135F3E"/>
    <w:rsid w:val="572A6162"/>
    <w:rsid w:val="572D2FE2"/>
    <w:rsid w:val="578226A1"/>
    <w:rsid w:val="57B6295F"/>
    <w:rsid w:val="581F37ED"/>
    <w:rsid w:val="5829466B"/>
    <w:rsid w:val="588A7E29"/>
    <w:rsid w:val="596A6CE9"/>
    <w:rsid w:val="59B60181"/>
    <w:rsid w:val="59C43223"/>
    <w:rsid w:val="59C83A10"/>
    <w:rsid w:val="5A33357F"/>
    <w:rsid w:val="5A4F611C"/>
    <w:rsid w:val="5A7D2A4C"/>
    <w:rsid w:val="5AF06D5C"/>
    <w:rsid w:val="5B7B3430"/>
    <w:rsid w:val="5C1F2CD9"/>
    <w:rsid w:val="5C9A1694"/>
    <w:rsid w:val="5CB20F0F"/>
    <w:rsid w:val="5CD050B5"/>
    <w:rsid w:val="5D184CAE"/>
    <w:rsid w:val="5D215911"/>
    <w:rsid w:val="5D335644"/>
    <w:rsid w:val="5D3970FE"/>
    <w:rsid w:val="5DAD25CD"/>
    <w:rsid w:val="5E850121"/>
    <w:rsid w:val="5EB94577"/>
    <w:rsid w:val="5F6D0154"/>
    <w:rsid w:val="5F82462F"/>
    <w:rsid w:val="5FB962D5"/>
    <w:rsid w:val="5FDF3EB5"/>
    <w:rsid w:val="600A6B30"/>
    <w:rsid w:val="60125EE4"/>
    <w:rsid w:val="601C6864"/>
    <w:rsid w:val="60210924"/>
    <w:rsid w:val="60347295"/>
    <w:rsid w:val="61500EBB"/>
    <w:rsid w:val="615A5895"/>
    <w:rsid w:val="617701F5"/>
    <w:rsid w:val="618E3791"/>
    <w:rsid w:val="61DA0784"/>
    <w:rsid w:val="61E433B1"/>
    <w:rsid w:val="62B47227"/>
    <w:rsid w:val="62D96275"/>
    <w:rsid w:val="63212B0F"/>
    <w:rsid w:val="63386BEA"/>
    <w:rsid w:val="633B5253"/>
    <w:rsid w:val="639F57E1"/>
    <w:rsid w:val="63C65FFB"/>
    <w:rsid w:val="63EE6769"/>
    <w:rsid w:val="63FE3A6A"/>
    <w:rsid w:val="63FF2724"/>
    <w:rsid w:val="64223212"/>
    <w:rsid w:val="64374A0E"/>
    <w:rsid w:val="6445735F"/>
    <w:rsid w:val="64990483"/>
    <w:rsid w:val="64D476D0"/>
    <w:rsid w:val="64DF4A2F"/>
    <w:rsid w:val="653D1756"/>
    <w:rsid w:val="654C3747"/>
    <w:rsid w:val="655F347A"/>
    <w:rsid w:val="6587766C"/>
    <w:rsid w:val="65A610A9"/>
    <w:rsid w:val="65BA2DA7"/>
    <w:rsid w:val="65E73470"/>
    <w:rsid w:val="65FE0EE5"/>
    <w:rsid w:val="66014531"/>
    <w:rsid w:val="663F32AC"/>
    <w:rsid w:val="66432D7A"/>
    <w:rsid w:val="66AD6467"/>
    <w:rsid w:val="66B7135B"/>
    <w:rsid w:val="66E31F8B"/>
    <w:rsid w:val="66F127F8"/>
    <w:rsid w:val="66F66060"/>
    <w:rsid w:val="67010561"/>
    <w:rsid w:val="670C5884"/>
    <w:rsid w:val="672C1A82"/>
    <w:rsid w:val="674A63AC"/>
    <w:rsid w:val="679247E2"/>
    <w:rsid w:val="67C73559"/>
    <w:rsid w:val="67E81E4D"/>
    <w:rsid w:val="68637725"/>
    <w:rsid w:val="691427CE"/>
    <w:rsid w:val="691E53FA"/>
    <w:rsid w:val="698F62F8"/>
    <w:rsid w:val="6A8401B6"/>
    <w:rsid w:val="6A8B2F63"/>
    <w:rsid w:val="6AA32632"/>
    <w:rsid w:val="6AB75B07"/>
    <w:rsid w:val="6AD20B92"/>
    <w:rsid w:val="6AE24A1D"/>
    <w:rsid w:val="6AE52674"/>
    <w:rsid w:val="6B2807B2"/>
    <w:rsid w:val="6B293C1E"/>
    <w:rsid w:val="6B3C600C"/>
    <w:rsid w:val="6B6919D3"/>
    <w:rsid w:val="6B6C069F"/>
    <w:rsid w:val="6B730E18"/>
    <w:rsid w:val="6B7B2FD8"/>
    <w:rsid w:val="6B9A16B0"/>
    <w:rsid w:val="6BAF4A30"/>
    <w:rsid w:val="6C0703C8"/>
    <w:rsid w:val="6C727F44"/>
    <w:rsid w:val="6CC4450B"/>
    <w:rsid w:val="6CD40BF2"/>
    <w:rsid w:val="6D093028"/>
    <w:rsid w:val="6D1159A2"/>
    <w:rsid w:val="6D3A0D36"/>
    <w:rsid w:val="6DB12CE1"/>
    <w:rsid w:val="6DEF7365"/>
    <w:rsid w:val="6DF80910"/>
    <w:rsid w:val="6E0A5EF3"/>
    <w:rsid w:val="6E645FA5"/>
    <w:rsid w:val="6E8229E7"/>
    <w:rsid w:val="6E970129"/>
    <w:rsid w:val="6E9D3265"/>
    <w:rsid w:val="6EA00C7F"/>
    <w:rsid w:val="6EA12D56"/>
    <w:rsid w:val="6EBE5021"/>
    <w:rsid w:val="6EDC09B2"/>
    <w:rsid w:val="6EFC7F8C"/>
    <w:rsid w:val="6F1B2B08"/>
    <w:rsid w:val="6F3A458E"/>
    <w:rsid w:val="6FA523D2"/>
    <w:rsid w:val="6FC14D32"/>
    <w:rsid w:val="6FCC3E02"/>
    <w:rsid w:val="6FFF3301"/>
    <w:rsid w:val="7036571F"/>
    <w:rsid w:val="707A385E"/>
    <w:rsid w:val="70A94143"/>
    <w:rsid w:val="70BA00FF"/>
    <w:rsid w:val="70CB5E68"/>
    <w:rsid w:val="70F03B20"/>
    <w:rsid w:val="71213CDA"/>
    <w:rsid w:val="71A54968"/>
    <w:rsid w:val="71DE6093"/>
    <w:rsid w:val="71E35433"/>
    <w:rsid w:val="720A4C56"/>
    <w:rsid w:val="730E028E"/>
    <w:rsid w:val="7315161C"/>
    <w:rsid w:val="73375A36"/>
    <w:rsid w:val="73552361"/>
    <w:rsid w:val="736670D3"/>
    <w:rsid w:val="7426233D"/>
    <w:rsid w:val="7440091B"/>
    <w:rsid w:val="749A44CF"/>
    <w:rsid w:val="74E03EAC"/>
    <w:rsid w:val="750C2C21"/>
    <w:rsid w:val="753D30AC"/>
    <w:rsid w:val="75510906"/>
    <w:rsid w:val="756B19C7"/>
    <w:rsid w:val="757C1E26"/>
    <w:rsid w:val="758F1B5A"/>
    <w:rsid w:val="759F59B6"/>
    <w:rsid w:val="75AA6909"/>
    <w:rsid w:val="75C17839"/>
    <w:rsid w:val="75E17EDC"/>
    <w:rsid w:val="7601232C"/>
    <w:rsid w:val="76556B0C"/>
    <w:rsid w:val="76832D41"/>
    <w:rsid w:val="76CE0F6A"/>
    <w:rsid w:val="774C5829"/>
    <w:rsid w:val="7774302C"/>
    <w:rsid w:val="77D637C2"/>
    <w:rsid w:val="77EC0E9F"/>
    <w:rsid w:val="77F57C6E"/>
    <w:rsid w:val="781F4E13"/>
    <w:rsid w:val="786646C8"/>
    <w:rsid w:val="78AE679B"/>
    <w:rsid w:val="78E57CE3"/>
    <w:rsid w:val="78E74258"/>
    <w:rsid w:val="79067E0B"/>
    <w:rsid w:val="790A599B"/>
    <w:rsid w:val="796E7CD8"/>
    <w:rsid w:val="797D7F1B"/>
    <w:rsid w:val="798E48B8"/>
    <w:rsid w:val="799D1CF3"/>
    <w:rsid w:val="79B55907"/>
    <w:rsid w:val="7A067F11"/>
    <w:rsid w:val="7A2605B3"/>
    <w:rsid w:val="7A666614"/>
    <w:rsid w:val="7A7C4677"/>
    <w:rsid w:val="7AD46261"/>
    <w:rsid w:val="7AD61FD9"/>
    <w:rsid w:val="7AD95625"/>
    <w:rsid w:val="7AE71AF0"/>
    <w:rsid w:val="7B05641A"/>
    <w:rsid w:val="7B3C1F59"/>
    <w:rsid w:val="7B3E36DA"/>
    <w:rsid w:val="7B5B428C"/>
    <w:rsid w:val="7B685128"/>
    <w:rsid w:val="7BC462D5"/>
    <w:rsid w:val="7BD05638"/>
    <w:rsid w:val="7BEC1388"/>
    <w:rsid w:val="7BF81ADB"/>
    <w:rsid w:val="7C142DB9"/>
    <w:rsid w:val="7C286D9F"/>
    <w:rsid w:val="7C66113B"/>
    <w:rsid w:val="7C725D31"/>
    <w:rsid w:val="7C887303"/>
    <w:rsid w:val="7D871368"/>
    <w:rsid w:val="7DC53D98"/>
    <w:rsid w:val="7E235535"/>
    <w:rsid w:val="7E4E1E86"/>
    <w:rsid w:val="7F264BB1"/>
    <w:rsid w:val="7F2856AA"/>
    <w:rsid w:val="7F2C666B"/>
    <w:rsid w:val="7F4514DB"/>
    <w:rsid w:val="7F89761A"/>
    <w:rsid w:val="7FEF022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qFormat/>
    <w:uiPriority w:val="0"/>
    <w:pPr>
      <w:widowControl/>
      <w:spacing w:before="100" w:beforeAutospacing="1" w:after="100" w:afterAutospacing="1"/>
      <w:jc w:val="left"/>
      <w:outlineLvl w:val="0"/>
    </w:pPr>
    <w:rPr>
      <w:rFonts w:ascii="宋体" w:hAnsi="宋体" w:cs="宋体"/>
      <w:b/>
      <w:bCs/>
      <w:kern w:val="36"/>
      <w:sz w:val="48"/>
      <w:szCs w:val="48"/>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unhideWhenUsed/>
    <w:qFormat/>
    <w:uiPriority w:val="99"/>
    <w:pPr>
      <w:ind w:firstLine="420"/>
    </w:pPr>
  </w:style>
  <w:style w:type="paragraph" w:styleId="3">
    <w:name w:val="Body Text"/>
    <w:basedOn w:val="1"/>
    <w:next w:val="1"/>
    <w:qFormat/>
    <w:uiPriority w:val="0"/>
    <w:pPr>
      <w:spacing w:after="120"/>
    </w:pPr>
    <w:rPr>
      <w:rFonts w:cs="仿宋_GB2312"/>
    </w:rPr>
  </w:style>
  <w:style w:type="paragraph" w:styleId="5">
    <w:name w:val="Plain Text"/>
    <w:next w:val="1"/>
    <w:qFormat/>
    <w:uiPriority w:val="0"/>
    <w:pPr>
      <w:widowControl w:val="0"/>
      <w:jc w:val="both"/>
    </w:pPr>
    <w:rPr>
      <w:rFonts w:ascii="宋体" w:hAnsi="Courier New" w:eastAsia="宋体" w:cs="Times New Roman"/>
      <w:kern w:val="2"/>
      <w:sz w:val="21"/>
      <w:szCs w:val="21"/>
      <w:lang w:val="en-US" w:eastAsia="zh-CN" w:bidi="ar-SA"/>
    </w:rPr>
  </w:style>
  <w:style w:type="paragraph" w:styleId="6">
    <w:name w:val="Balloon Text"/>
    <w:basedOn w:val="1"/>
    <w:link w:val="13"/>
    <w:qFormat/>
    <w:uiPriority w:val="0"/>
    <w:rPr>
      <w:sz w:val="18"/>
      <w:szCs w:val="18"/>
    </w:rPr>
  </w:style>
  <w:style w:type="paragraph" w:styleId="7">
    <w:name w:val="footer"/>
    <w:basedOn w:val="1"/>
    <w:qFormat/>
    <w:uiPriority w:val="0"/>
    <w:pPr>
      <w:tabs>
        <w:tab w:val="center" w:pos="4153"/>
        <w:tab w:val="right" w:pos="8306"/>
      </w:tabs>
      <w:snapToGrid w:val="0"/>
    </w:pPr>
    <w:rPr>
      <w:sz w:val="18"/>
    </w:rPr>
  </w:style>
  <w:style w:type="paragraph" w:styleId="8">
    <w:name w:val="header"/>
    <w:basedOn w:val="1"/>
    <w:link w:val="12"/>
    <w:qFormat/>
    <w:uiPriority w:val="0"/>
    <w:pPr>
      <w:pBdr>
        <w:bottom w:val="single" w:color="auto" w:sz="6" w:space="1"/>
      </w:pBdr>
      <w:tabs>
        <w:tab w:val="center" w:pos="4153"/>
        <w:tab w:val="right" w:pos="8306"/>
      </w:tabs>
      <w:snapToGrid w:val="0"/>
      <w:jc w:val="center"/>
    </w:pPr>
    <w:rPr>
      <w:sz w:val="18"/>
      <w:szCs w:val="18"/>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2">
    <w:name w:val="页眉 Char"/>
    <w:basedOn w:val="11"/>
    <w:link w:val="8"/>
    <w:qFormat/>
    <w:uiPriority w:val="0"/>
    <w:rPr>
      <w:kern w:val="2"/>
      <w:sz w:val="18"/>
      <w:szCs w:val="18"/>
    </w:rPr>
  </w:style>
  <w:style w:type="character" w:customStyle="1" w:styleId="13">
    <w:name w:val="批注框文本 Char"/>
    <w:basedOn w:val="11"/>
    <w:link w:val="6"/>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58E5A07-E021-415D-A456-BF26644BA829}">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8</Pages>
  <Words>421</Words>
  <Characters>2406</Characters>
  <Lines>20</Lines>
  <Paragraphs>5</Paragraphs>
  <TotalTime>0</TotalTime>
  <ScaleCrop>false</ScaleCrop>
  <LinksUpToDate>false</LinksUpToDate>
  <CharactersWithSpaces>2822</CharactersWithSpaces>
  <Application>WPS Office_12.1.0.15336_F1E327BC-269C-435d-A152-05C5408002CA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2020-04-15T06:19:00Z</dcterms:created>
  <dc:creator>喵爷</dc:creator>
  <cp:lastModifiedBy>杨熠冉</cp:lastModifiedBy>
  <cp:lastPrinted>2023-09-11T09:10:00Z</cp:lastPrinted>
  <dcterms:modified xsi:type="dcterms:W3CDTF">2023-09-18T07:27:08Z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2052-12.1.0.15336</vt:lpwstr>
  </property>
  <property fmtid="{D5CDD505-2E9C-101B-9397-08002B2CF9AE}" pid="3" name="ICV">
    <vt:lpwstr>0CA30B2DA1714D1BAB1941B2583D47B0_13</vt:lpwstr>
  </property>
</Properties>
</file>