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lang w:val="en-US" w:bidi="ar-SA"/>
        </w:rPr>
      </w:pPr>
    </w:p>
    <w:p>
      <w:pPr>
        <w:rPr>
          <w:rFonts w:hint="eastAsia"/>
        </w:rPr>
      </w:pPr>
    </w:p>
    <w:p>
      <w:pPr>
        <w:tabs>
          <w:tab w:val="left" w:pos="5310"/>
        </w:tabs>
        <w:jc w:val="center"/>
        <w:rPr>
          <w:sz w:val="30"/>
        </w:rPr>
      </w:pPr>
      <w:r>
        <w:rPr>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59264;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400" w:lineRule="exact"/>
        <w:jc w:val="center"/>
        <w:rPr>
          <w:rFonts w:ascii="方正小标宋简体" w:hAnsi="宋体" w:eastAsia="方正小标宋简体"/>
          <w:sz w:val="28"/>
          <w:szCs w:val="28"/>
        </w:rPr>
      </w:pPr>
    </w:p>
    <w:p>
      <w:pPr>
        <w:spacing w:line="560" w:lineRule="exact"/>
        <w:jc w:val="center"/>
        <w:rPr>
          <w:rFonts w:ascii="仿宋_GB2312" w:hAnsi="Calibri" w:eastAsia="仿宋_GB2312"/>
          <w:sz w:val="32"/>
          <w:szCs w:val="32"/>
        </w:rPr>
      </w:pPr>
      <w:r>
        <w:rPr>
          <w:rFonts w:hint="eastAsia" w:ascii="仿宋_GB2312"/>
          <w:szCs w:val="32"/>
        </w:rPr>
        <w:t xml:space="preserve">                            </w:t>
      </w:r>
      <w:r>
        <w:rPr>
          <w:rFonts w:hint="eastAsia" w:ascii="仿宋_GB2312" w:hAnsi="Calibri" w:eastAsia="仿宋_GB2312"/>
          <w:sz w:val="32"/>
          <w:szCs w:val="32"/>
        </w:rPr>
        <w:t xml:space="preserve">               [A</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[公开</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晋农函〔2023〕45号</w:t>
      </w:r>
    </w:p>
    <w:p>
      <w:pPr>
        <w:spacing w:line="510" w:lineRule="exact"/>
        <w:jc w:val="center"/>
        <w:rPr>
          <w:rFonts w:eastAsia="方正小标宋简体"/>
          <w:sz w:val="44"/>
          <w:szCs w:val="44"/>
        </w:rPr>
      </w:pPr>
    </w:p>
    <w:p>
      <w:pPr>
        <w:spacing w:line="51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政协</w:t>
      </w:r>
      <w:r>
        <w:rPr>
          <w:rFonts w:eastAsia="方正小标宋简体"/>
          <w:sz w:val="44"/>
          <w:szCs w:val="44"/>
        </w:rPr>
        <w:t>昆明市晋宁区</w:t>
      </w:r>
      <w:r>
        <w:rPr>
          <w:rFonts w:hint="eastAsia" w:eastAsia="方正小标宋简体"/>
          <w:sz w:val="44"/>
          <w:szCs w:val="44"/>
        </w:rPr>
        <w:t>第二届委员会第二次会议1号提案答复意见的函</w:t>
      </w:r>
    </w:p>
    <w:p>
      <w:pPr>
        <w:spacing w:line="510" w:lineRule="exact"/>
        <w:ind w:firstLine="880" w:firstLineChars="200"/>
        <w:rPr>
          <w:rFonts w:asciiTheme="majorEastAsia" w:hAnsiTheme="majorEastAsia" w:eastAsiaTheme="majorEastAsia" w:cstheme="majorEastAsia"/>
          <w:sz w:val="44"/>
          <w:szCs w:val="44"/>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沈娅丽委员、</w:t>
      </w:r>
      <w:r>
        <w:rPr>
          <w:rFonts w:hint="eastAsia" w:ascii="仿宋_GB2312" w:hAnsi="仿宋" w:eastAsia="仿宋_GB2312" w:cs="仿宋"/>
          <w:sz w:val="32"/>
          <w:szCs w:val="32"/>
          <w:bdr w:val="single" w:color="auto" w:sz="4" w:space="0"/>
        </w:rPr>
        <w:t>龙祥</w:t>
      </w:r>
      <w:r>
        <w:rPr>
          <w:rFonts w:hint="eastAsia" w:ascii="仿宋_GB2312" w:hAnsi="仿宋" w:eastAsia="仿宋_GB2312" w:cs="仿宋"/>
          <w:sz w:val="32"/>
          <w:szCs w:val="32"/>
        </w:rPr>
        <w:t>委员：</w:t>
      </w:r>
    </w:p>
    <w:p>
      <w:pPr>
        <w:spacing w:line="560" w:lineRule="exact"/>
        <w:ind w:firstLine="640" w:firstLineChars="200"/>
        <w:rPr>
          <w:rFonts w:ascii="仿宋_GB2312" w:hAnsi="仿宋_GB2312" w:eastAsia="仿宋_GB2312" w:cs="仿宋_GB2312"/>
          <w:sz w:val="28"/>
          <w:szCs w:val="28"/>
        </w:rPr>
      </w:pPr>
      <w:r>
        <w:rPr>
          <w:rFonts w:hint="eastAsia" w:ascii="仿宋_GB2312" w:hAnsi="仿宋" w:eastAsia="仿宋_GB2312" w:cs="仿宋"/>
          <w:sz w:val="32"/>
          <w:szCs w:val="32"/>
        </w:rPr>
        <w:t>您们提出的“关于聚焦区域产业发展，成立晋宁区乡村振兴产业技术技能人才培养培训中心的建议”交由我局牵头、区人社局、区教体局配合办理。</w:t>
      </w:r>
      <w:r>
        <w:rPr>
          <w:rFonts w:hint="eastAsia" w:ascii="仿宋_GB2312" w:hAnsi="仿宋_GB2312" w:eastAsia="仿宋_GB2312" w:cs="仿宋_GB2312"/>
          <w:color w:val="333333"/>
          <w:sz w:val="32"/>
          <w:szCs w:val="32"/>
        </w:rPr>
        <w:t>根据与您面商的情况，</w:t>
      </w:r>
      <w:r>
        <w:rPr>
          <w:rFonts w:hint="eastAsia" w:ascii="仿宋_GB2312" w:hAnsi="仿宋" w:eastAsia="仿宋_GB2312" w:cs="仿宋"/>
          <w:sz w:val="32"/>
          <w:szCs w:val="32"/>
        </w:rPr>
        <w:t>现将办理情况答复如下：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晋宁中专核定事业编制数100个。现有教职工131名，其中编制内教职工99名、编制外教师16名（专业教师），辅导员10名，安保 6名。教职工配置师生比为1：12.82，专任教师配置师生比为1:14.99，教师配置超过职业学校办学条件重点检测指标及分类达标1:20的标准要求。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前，随着晋宁建设“国际康养旅游示范区、健康旅游目的地”和花卉、乡村生态休闲旅游、古滇历史文化旅游等乡村振兴产业集群的快速发展，对康养旅游、花卉产业、乡村生态休闲旅游、古滇历史文化旅游等乡村振兴产业的技术技能人才需求量与日俱增。</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农业农村部门紧紧围绕农业产业的特点，各阶段均立足实际开展农民培训工作，近五年来，完成新型农民科技培训 500 人、完成新型职业农民培训960人、完成高素质农民培育1227人，培训以花卉种植技术、蔬菜种植技术、科学使用化肥农药、电商直播等为主。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二、办理情况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区农业农村局、区人社局、区教体局相关人员组成办理小组，经与委员面商，并整合现有资源，积极开展办理工作。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近年来，晋宁区通过合作办学、校企合作等方式推进晋宁中专专业发展及人才柔性引进。晋宁区教育体育局通过公开招聘、系统内选调、购买服务、劳务派遣等多条渠道多种办法解决晋宁中专师资问题，确保教育教学工作正常开展。今后，晋宁教育主管部门将一如既往多请示多对接，为晋宁中专教育发展做好保障服务工作。</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二）建议晋宁区中等专业学校主动融入晋宁区主要产业，充分利用学校目前开设的健康旅游等专业群的产教融合资源优势，进一步整合辖区职业教育资源和产业生产经营资源，开办“高端设施农业管理”“水肥一体管理”“文物讲解”“乡村CEO”等专业，培育亟需的专业人才，暨能解决学生就业问题，又能确保毕业生收入水平。为晋宁康养旅游、设施农业、农家生态休闲旅游、古滇历史文化旅游等乡村振兴产业的高质量可持续发展提供强大的人才保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加强与科研院校的合作，聘请专业人才作为客座师资；在晋宁区农业、旅游、卫生等系统，遴选专业技术人才，建立本土师资库，到学校担任专兼职教师；如学校有需求，晋宁区农业农村局将配合遴选农业和乡村振兴类优秀专业技术人员给予支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感谢您对农业农村局、人社局、教育局工作的关心！</w:t>
      </w:r>
    </w:p>
    <w:p>
      <w:pPr>
        <w:pStyle w:val="2"/>
        <w:spacing w:line="560" w:lineRule="exact"/>
        <w:jc w:val="left"/>
        <w:rPr>
          <w:rFonts w:ascii="仿宋_GB2312" w:hAnsi="仿宋" w:eastAsia="仿宋_GB2312" w:cs="仿宋"/>
          <w:sz w:val="32"/>
          <w:szCs w:val="32"/>
          <w:lang w:val="en-US"/>
        </w:rPr>
      </w:pPr>
      <w:r>
        <w:rPr>
          <w:rFonts w:hint="eastAsia" w:ascii="仿宋_GB2312" w:hAnsi="仿宋" w:eastAsia="仿宋_GB2312" w:cs="仿宋"/>
          <w:sz w:val="32"/>
          <w:szCs w:val="32"/>
          <w:lang w:val="en-US"/>
        </w:rPr>
        <w:t xml:space="preserve">  （联系人及电话：谭贵红</w:t>
      </w:r>
      <w:r>
        <w:rPr>
          <w:rFonts w:hint="eastAsia" w:ascii="仿宋_GB2312" w:hAnsi="仿宋" w:eastAsia="仿宋_GB2312" w:cs="仿宋"/>
          <w:sz w:val="32"/>
          <w:szCs w:val="32"/>
          <w:lang w:val="en-US" w:eastAsia="zh-CN"/>
        </w:rPr>
        <w:t xml:space="preserve">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Fonts w:hint="eastAsia" w:ascii="仿宋_GB2312" w:hAnsi="仿宋" w:eastAsia="仿宋_GB2312" w:cs="仿宋"/>
          <w:sz w:val="32"/>
          <w:szCs w:val="32"/>
          <w:lang w:val="en-US"/>
        </w:rPr>
        <w:t>）</w:t>
      </w:r>
    </w:p>
    <w:p>
      <w:pPr>
        <w:spacing w:line="560" w:lineRule="exact"/>
        <w:ind w:firstLine="4480" w:firstLineChars="1400"/>
        <w:rPr>
          <w:rFonts w:ascii="仿宋_GB2312" w:hAnsi="仿宋" w:eastAsia="仿宋_GB2312" w:cs="仿宋"/>
          <w:sz w:val="32"/>
          <w:szCs w:val="32"/>
        </w:rPr>
      </w:pPr>
    </w:p>
    <w:p>
      <w:pPr>
        <w:pStyle w:val="2"/>
        <w:rPr>
          <w:lang w:val="en-US" w:bidi="ar-SA"/>
        </w:rPr>
      </w:pPr>
    </w:p>
    <w:p>
      <w:pPr>
        <w:spacing w:line="56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昆明市晋宁区农业农村局</w:t>
      </w:r>
    </w:p>
    <w:p>
      <w:pPr>
        <w:pStyle w:val="2"/>
        <w:spacing w:line="560" w:lineRule="exact"/>
        <w:rPr>
          <w:rFonts w:ascii="仿宋_GB2312" w:hAnsi="仿宋" w:eastAsia="仿宋_GB2312" w:cs="仿宋"/>
          <w:sz w:val="32"/>
          <w:szCs w:val="32"/>
          <w:lang w:val="en-US"/>
        </w:rPr>
      </w:pPr>
      <w:r>
        <w:rPr>
          <w:rFonts w:hint="eastAsia" w:ascii="仿宋_GB2312" w:hAnsi="仿宋" w:eastAsia="仿宋_GB2312" w:cs="仿宋"/>
          <w:sz w:val="32"/>
          <w:szCs w:val="32"/>
          <w:lang w:val="en-US"/>
        </w:rPr>
        <w:t xml:space="preserve">                  2023年6月19日</w:t>
      </w:r>
    </w:p>
    <w:p>
      <w:pPr>
        <w:rPr>
          <w:rFonts w:ascii="仿宋_GB2312" w:eastAsia="仿宋_GB2312"/>
          <w:lang w:bidi="zh-CN"/>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rFonts w:ascii="仿宋_GB2312" w:eastAsia="仿宋_GB2312"/>
          <w:lang w:val="en-US" w:bidi="ar-SA"/>
        </w:rPr>
      </w:pPr>
    </w:p>
    <w:p>
      <w:pPr>
        <w:rPr>
          <w:rFonts w:ascii="仿宋_GB2312" w:eastAsia="仿宋_GB2312"/>
        </w:rPr>
      </w:pPr>
    </w:p>
    <w:p>
      <w:pPr>
        <w:pStyle w:val="2"/>
        <w:rPr>
          <w:lang w:val="en-US" w:bidi="ar-SA"/>
        </w:rPr>
      </w:pPr>
    </w:p>
    <w:p>
      <w:pPr>
        <w:pStyle w:val="2"/>
        <w:rPr>
          <w:lang w:val="en-US" w:bidi="ar-SA"/>
        </w:rPr>
      </w:pPr>
    </w:p>
    <w:p>
      <w:pPr>
        <w:pStyle w:val="2"/>
        <w:rPr>
          <w:rFonts w:hint="eastAsia"/>
          <w:lang w:val="en-US" w:bidi="ar-SA"/>
        </w:rPr>
      </w:pPr>
    </w:p>
    <w:p/>
    <w:p/>
    <w:p>
      <w:pPr>
        <w:pStyle w:val="2"/>
        <w:rPr>
          <w:lang w:val="en-US" w:bidi="ar-SA"/>
        </w:rPr>
      </w:pPr>
    </w:p>
    <w:p/>
    <w:tbl>
      <w:tblPr>
        <w:tblStyle w:val="5"/>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ascii="仿宋_GB2312" w:eastAsia="仿宋_GB2312"/>
                <w:snapToGrid w:val="0"/>
                <w:sz w:val="28"/>
                <w:szCs w:val="28"/>
              </w:rPr>
            </w:pPr>
            <w:r>
              <w:rPr>
                <w:rFonts w:hint="eastAsia" w:ascii="仿宋_GB2312" w:eastAsia="仿宋_GB2312"/>
                <w:sz w:val="30"/>
                <w:szCs w:val="30"/>
              </w:rPr>
              <w:t>抄送：区委办公室、区政府办公室、区政协提案委。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ascii="仿宋_GB2312" w:eastAsia="仿宋_GB2312"/>
                <w:snapToGrid w:val="0"/>
                <w:sz w:val="28"/>
                <w:szCs w:val="28"/>
              </w:rPr>
            </w:pPr>
            <w:r>
              <w:rPr>
                <w:rFonts w:hint="eastAsia" w:ascii="仿宋_GB2312" w:eastAsia="仿宋_GB2312"/>
                <w:sz w:val="30"/>
                <w:szCs w:val="30"/>
              </w:rPr>
              <w:t>昆明市晋宁区农业农村局               2023年6月19日印发</w:t>
            </w:r>
          </w:p>
        </w:tc>
      </w:tr>
    </w:tbl>
    <w:p>
      <w:pPr>
        <w:pStyle w:val="2"/>
        <w:rPr>
          <w:sz w:val="21"/>
          <w:szCs w:val="21"/>
          <w:lang w:val="en-US"/>
        </w:rPr>
      </w:pPr>
    </w:p>
    <w:sectPr>
      <w:pgSz w:w="11905" w:h="16838"/>
      <w:pgMar w:top="2098" w:right="1474" w:bottom="1984" w:left="1587" w:header="856" w:footer="6"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ZDJhZTlhNzdjMTU3MjZlMWFmMDVlMGU5ODQzMjYifQ=="/>
  </w:docVars>
  <w:rsids>
    <w:rsidRoot w:val="2E8E0A7D"/>
    <w:rsid w:val="000443D1"/>
    <w:rsid w:val="00100C3D"/>
    <w:rsid w:val="00133EC9"/>
    <w:rsid w:val="0018202E"/>
    <w:rsid w:val="001F58B1"/>
    <w:rsid w:val="00355710"/>
    <w:rsid w:val="004375AE"/>
    <w:rsid w:val="004C44BA"/>
    <w:rsid w:val="008222FC"/>
    <w:rsid w:val="008549BA"/>
    <w:rsid w:val="008F0305"/>
    <w:rsid w:val="008F1611"/>
    <w:rsid w:val="009D013E"/>
    <w:rsid w:val="00C75638"/>
    <w:rsid w:val="00E83875"/>
    <w:rsid w:val="088C6839"/>
    <w:rsid w:val="0A867257"/>
    <w:rsid w:val="20ED4A13"/>
    <w:rsid w:val="2E8E0A7D"/>
    <w:rsid w:val="31F214C0"/>
    <w:rsid w:val="379D4474"/>
    <w:rsid w:val="3C80080A"/>
    <w:rsid w:val="485D2EFD"/>
    <w:rsid w:val="4B0E109B"/>
    <w:rsid w:val="553C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autoSpaceDE w:val="0"/>
      <w:autoSpaceDN w:val="0"/>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1101</Words>
  <Characters>1154</Characters>
  <Lines>9</Lines>
  <Paragraphs>2</Paragraphs>
  <TotalTime>0</TotalTime>
  <ScaleCrop>false</ScaleCrop>
  <LinksUpToDate>false</LinksUpToDate>
  <CharactersWithSpaces>1306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2023-05-22T01:53:00Z</dcterms:created>
  <dc:creator>XSD</dc:creator>
  <cp:lastModifiedBy>Administrator</cp:lastModifiedBy>
  <cp:lastPrinted>2023-06-19T07:16:00Z</cp:lastPrinted>
  <dcterms:modified xsi:type="dcterms:W3CDTF">2023-08-15T05:23:52Z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1248910254984BB699F50D9F8C1EE994_12</vt:lpwstr>
  </property>
</Properties>
</file>