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7"/>
        <w:rPr>
          <w:rFonts w:hint="eastAsia"/>
          <w:lang w:val="en-US" w:bidi="ar-SA"/>
        </w:rPr>
      </w:pPr>
    </w:p>
    <w:p>
      <w:pPr>
        <w:rPr>
          <w:rFonts w:hint="eastAsia"/>
        </w:rPr>
      </w:pPr>
    </w:p>
    <w:p>
      <w:pPr>
        <w:tabs>
          <w:tab w:val="left" w:pos="5310"/>
        </w:tabs>
        <w:jc w:val="center"/>
        <w:rPr>
          <w:sz w:val="30"/>
        </w:rPr>
      </w:pPr>
      <w:r>
        <w:rPr>
          <w:sz w:val="30"/>
        </w:rPr>
        <w:pict>
          <v:shape id="_x0000_i1025" o:spt="136" type="#_x0000_t136" style="height:41.25pt;width:441.75pt;" fillcolor="#FF0000" filled="t" stroked="t" coordsize="21600,21600">
            <v:path/>
            <v:fill on="t" focussize="0,0"/>
            <v:stroke color="#FF0000"/>
            <v:imagedata o:title=""/>
            <o:lock v:ext="edit"/>
            <v:textpath on="t" fitshape="t" fitpath="t" trim="t" xscale="f" string="昆明市晋宁区农业农村局文件&#10;" style="font-family:方正小标宋简体;font-size:36pt;v-text-align:center;"/>
            <v:shadow on="t" color="#B2B2B2" opacity="52428f" offset="0.000236220472440945pt,0pt" offset2="-2pt,-2pt"/>
            <w10:wrap type="none"/>
            <w10:anchorlock/>
          </v:shape>
        </w:pict>
      </w:r>
    </w:p>
    <w:p>
      <w:pPr>
        <w:spacing w:line="400" w:lineRule="exact"/>
        <w:jc w:val="center"/>
        <w:rPr>
          <w:rFonts w:ascii="宋体" w:hAnsi="宋体"/>
          <w:sz w:val="36"/>
          <w:szCs w:val="36"/>
        </w:rPr>
      </w:pPr>
      <w: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240665</wp:posOffset>
                </wp:positionV>
                <wp:extent cx="5676900" cy="8255"/>
                <wp:effectExtent l="0" t="19050" r="0" b="29845"/>
                <wp:wrapNone/>
                <wp:docPr id="1" name="直线 23"/>
                <wp:cNvGraphicFramePr/>
                <a:graphic xmlns:a="http://schemas.openxmlformats.org/drawingml/2006/main">
                  <a:graphicData uri="http://schemas.microsoft.com/office/word/2010/wordprocessingShape">
                    <wps:wsp>
                      <wps:cNvCnPr/>
                      <wps:spPr>
                        <a:xfrm>
                          <a:off x="0" y="0"/>
                          <a:ext cx="5676900" cy="825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1.65pt;margin-top:18.95pt;height:0.65pt;width:447pt;z-index:251660288;mso-width-relative:page;mso-height-relative:page;" filled="f" stroked="t" coordsize="21600,21600" o:gfxdata="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zf07bAAAACAEAAA8AAAAAAAAAAQAg&#10;AAAAIgAAAGRycy9kb3ducmV2LnhtbFBLAQIUABQAAAAIAIdO4kBL/qYQ0gEAAJIDAAAOAAAAAAAA&#10;AAEAIAAAACoBAABkcnMvZTJvRG9jLnhtbFBLBQYAAAAABgAGAFkBAABuBQAAAAA=&#10;">
                <v:fill on="f" focussize="0,0"/>
                <v:stroke weight="3pt" color="#FF0000" joinstyle="round"/>
                <v:imagedata o:title=""/>
                <o:lock v:ext="edit" aspectratio="f"/>
              </v:line>
            </w:pict>
          </mc:Fallback>
        </mc:AlternateContent>
      </w:r>
    </w:p>
    <w:p>
      <w:pPr>
        <w:spacing w:line="400" w:lineRule="exact"/>
        <w:jc w:val="center"/>
        <w:rPr>
          <w:rFonts w:ascii="方正小标宋简体" w:hAnsi="宋体" w:eastAsia="方正小标宋简体"/>
          <w:sz w:val="28"/>
          <w:szCs w:val="28"/>
        </w:rPr>
      </w:pPr>
    </w:p>
    <w:p>
      <w:pPr>
        <w:spacing w:line="560" w:lineRule="exact"/>
        <w:jc w:val="center"/>
        <w:rPr>
          <w:rFonts w:ascii="仿宋_GB2312" w:hAnsi="Calibri" w:eastAsia="仿宋_GB2312"/>
          <w:sz w:val="32"/>
          <w:szCs w:val="32"/>
        </w:rPr>
      </w:pPr>
      <w:r>
        <w:rPr>
          <w:rFonts w:hint="eastAsia" w:ascii="仿宋_GB2312"/>
          <w:szCs w:val="32"/>
        </w:rPr>
        <w:t xml:space="preserve">                            </w:t>
      </w:r>
      <w:r>
        <w:rPr>
          <w:rFonts w:hint="eastAsia" w:ascii="仿宋_GB2312" w:hAnsi="Calibri" w:eastAsia="仿宋_GB2312"/>
          <w:sz w:val="32"/>
          <w:szCs w:val="32"/>
        </w:rPr>
        <w:t xml:space="preserve">               [A</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[公开</w:t>
      </w:r>
      <w:r>
        <w:rPr>
          <w:rFonts w:ascii="仿宋_GB2312" w:hAnsi="Calibri" w:eastAsia="仿宋_GB2312"/>
          <w:sz w:val="32"/>
          <w:szCs w:val="32"/>
        </w:rPr>
        <w:t>]</w:t>
      </w:r>
    </w:p>
    <w:p>
      <w:pPr>
        <w:spacing w:line="560" w:lineRule="exact"/>
        <w:jc w:val="center"/>
        <w:rPr>
          <w:rFonts w:ascii="仿宋_GB2312" w:hAnsi="Calibri" w:eastAsia="仿宋_GB2312"/>
          <w:sz w:val="32"/>
          <w:szCs w:val="32"/>
        </w:rPr>
      </w:pPr>
      <w:r>
        <w:rPr>
          <w:rFonts w:hint="eastAsia" w:ascii="仿宋_GB2312" w:hAnsi="Calibri" w:eastAsia="仿宋_GB2312"/>
          <w:sz w:val="32"/>
          <w:szCs w:val="32"/>
        </w:rPr>
        <w:t xml:space="preserve">                                  晋农函〔</w:t>
      </w:r>
      <w:r>
        <w:rPr>
          <w:rFonts w:hint="default" w:ascii="Times New Roman" w:hAnsi="Times New Roman" w:eastAsia="仿宋_GB2312" w:cs="Times New Roman"/>
          <w:sz w:val="32"/>
          <w:szCs w:val="32"/>
        </w:rPr>
        <w:t>2023</w:t>
      </w:r>
      <w:r>
        <w:rPr>
          <w:rFonts w:hint="eastAsia" w:ascii="仿宋_GB2312" w:hAnsi="Calibri" w:eastAsia="仿宋_GB2312"/>
          <w:sz w:val="32"/>
          <w:szCs w:val="32"/>
        </w:rPr>
        <w:t>〕</w:t>
      </w: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6</w:t>
      </w:r>
      <w:r>
        <w:rPr>
          <w:rFonts w:hint="eastAsia" w:ascii="仿宋_GB2312" w:hAnsi="Calibri" w:eastAsia="仿宋_GB2312"/>
          <w:sz w:val="32"/>
          <w:szCs w:val="32"/>
        </w:rPr>
        <w:t>号</w:t>
      </w:r>
    </w:p>
    <w:p>
      <w:pPr>
        <w:spacing w:line="510" w:lineRule="exact"/>
        <w:jc w:val="center"/>
        <w:rPr>
          <w:rFonts w:eastAsia="方正小标宋简体"/>
          <w:sz w:val="44"/>
          <w:szCs w:val="44"/>
        </w:rPr>
      </w:pPr>
    </w:p>
    <w:p>
      <w:pPr>
        <w:spacing w:line="510" w:lineRule="exact"/>
        <w:jc w:val="center"/>
        <w:rPr>
          <w:rFonts w:eastAsia="方正小标宋简体"/>
          <w:sz w:val="44"/>
          <w:szCs w:val="44"/>
        </w:rPr>
      </w:pPr>
      <w:r>
        <w:rPr>
          <w:rFonts w:eastAsia="方正小标宋简体"/>
          <w:sz w:val="44"/>
          <w:szCs w:val="44"/>
        </w:rPr>
        <w:t>关</w:t>
      </w:r>
      <w:r>
        <w:rPr>
          <w:rFonts w:hint="eastAsia" w:ascii="Times New Roman" w:hAnsi="Times New Roman" w:eastAsia="方正小标宋简体" w:cs="Times New Roman"/>
          <w:sz w:val="44"/>
          <w:szCs w:val="44"/>
        </w:rPr>
        <w:t>于</w:t>
      </w:r>
      <w:r>
        <w:rPr>
          <w:rFonts w:hint="default" w:ascii="Times New Roman" w:hAnsi="Times New Roman" w:eastAsia="方正小标宋简体" w:cs="Times New Roman"/>
          <w:sz w:val="44"/>
          <w:szCs w:val="44"/>
        </w:rPr>
        <w:t>昆明市晋宁区第二届人大二次会议第</w:t>
      </w:r>
      <w:r>
        <w:rPr>
          <w:rFonts w:hint="default" w:ascii="Times New Roman" w:hAnsi="Times New Roman" w:eastAsia="方正小标宋简体" w:cs="Times New Roman"/>
          <w:sz w:val="44"/>
          <w:szCs w:val="44"/>
          <w:lang w:val="en-US" w:eastAsia="zh-CN"/>
        </w:rPr>
        <w:t>134</w:t>
      </w:r>
      <w:r>
        <w:rPr>
          <w:rFonts w:hint="default" w:ascii="Times New Roman" w:hAnsi="Times New Roman" w:eastAsia="方正小标宋简体" w:cs="Times New Roman"/>
          <w:sz w:val="44"/>
          <w:szCs w:val="44"/>
        </w:rPr>
        <w:t>号建议</w:t>
      </w:r>
      <w:r>
        <w:rPr>
          <w:rFonts w:hint="eastAsia" w:ascii="Times New Roman" w:hAnsi="Times New Roman" w:eastAsia="方正小标宋简体" w:cs="Times New Roman"/>
          <w:sz w:val="44"/>
          <w:szCs w:val="44"/>
        </w:rPr>
        <w:t>答复意</w:t>
      </w:r>
      <w:r>
        <w:rPr>
          <w:rFonts w:hint="eastAsia" w:eastAsia="方正小标宋简体"/>
          <w:sz w:val="44"/>
          <w:szCs w:val="44"/>
        </w:rPr>
        <w:t>见的函</w:t>
      </w:r>
    </w:p>
    <w:p>
      <w:pPr>
        <w:spacing w:line="510" w:lineRule="exact"/>
        <w:ind w:firstLine="880" w:firstLineChars="200"/>
        <w:rPr>
          <w:rFonts w:asciiTheme="majorEastAsia" w:hAnsiTheme="majorEastAsia" w:eastAsiaTheme="majorEastAsia" w:cstheme="majorEastAsia"/>
          <w:sz w:val="44"/>
          <w:szCs w:val="44"/>
        </w:rPr>
      </w:pPr>
    </w:p>
    <w:p>
      <w:pPr>
        <w:keepNext w:val="0"/>
        <w:keepLines w:val="0"/>
        <w:pageBreakBefore w:val="0"/>
        <w:widowControl w:val="0"/>
        <w:kinsoku/>
        <w:wordWrap/>
        <w:overflowPunct/>
        <w:topLinePunct w:val="0"/>
        <w:bidi w:val="0"/>
        <w:adjustRightInd/>
        <w:snapToGrid/>
        <w:spacing w:line="560" w:lineRule="exact"/>
        <w:ind w:left="0" w:leftChars="0"/>
        <w:rPr>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lang w:val="en-US" w:eastAsia="zh-CN"/>
        </w:rPr>
        <w:t>方建华</w:t>
      </w:r>
      <w:r>
        <w:rPr>
          <w:rFonts w:hint="eastAsia" w:ascii="仿宋_GB2312" w:hAnsi="仿宋_GB2312" w:eastAsia="仿宋_GB2312" w:cs="仿宋_GB2312"/>
          <w:bCs/>
          <w:sz w:val="32"/>
          <w:szCs w:val="32"/>
        </w:rPr>
        <w:t>代表：</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baseline"/>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您在昆明市晋宁区第二届人民代表大会二次会议上提出的《</w:t>
      </w:r>
      <w:r>
        <w:rPr>
          <w:rStyle w:val="14"/>
          <w:rFonts w:hint="eastAsia" w:ascii="仿宋_GB2312" w:hAnsi="仿宋_GB2312" w:eastAsia="仿宋_GB2312" w:cs="仿宋_GB2312"/>
          <w:sz w:val="32"/>
          <w:szCs w:val="32"/>
          <w:lang w:val="en-US" w:eastAsia="zh-CN"/>
        </w:rPr>
        <w:t>关于加快晋宁蔬菜产业高质量发展的建议</w:t>
      </w:r>
      <w:r>
        <w:rPr>
          <w:rStyle w:val="14"/>
          <w:rFonts w:hint="eastAsia" w:ascii="仿宋_GB2312" w:hAnsi="仿宋_GB2312" w:eastAsia="仿宋_GB2312" w:cs="仿宋_GB2312"/>
          <w:sz w:val="32"/>
          <w:szCs w:val="32"/>
        </w:rPr>
        <w:t>》（</w:t>
      </w:r>
      <w:r>
        <w:rPr>
          <w:rStyle w:val="14"/>
          <w:rFonts w:hint="eastAsia" w:ascii="仿宋_GB2312" w:hAnsi="仿宋_GB2312" w:eastAsia="仿宋_GB2312" w:cs="仿宋_GB2312"/>
          <w:sz w:val="32"/>
          <w:szCs w:val="32"/>
          <w:lang w:eastAsia="zh-CN"/>
        </w:rPr>
        <w:t>编号</w:t>
      </w:r>
      <w:r>
        <w:rPr>
          <w:rStyle w:val="14"/>
          <w:rFonts w:hint="default" w:ascii="Times New Roman" w:hAnsi="Times New Roman" w:eastAsia="仿宋_GB2312" w:cs="Times New Roman"/>
          <w:sz w:val="32"/>
          <w:szCs w:val="32"/>
          <w:lang w:val="en-US"/>
        </w:rPr>
        <w:t>134</w:t>
      </w:r>
      <w:r>
        <w:rPr>
          <w:rStyle w:val="14"/>
          <w:rFonts w:hint="eastAsia" w:ascii="仿宋_GB2312" w:hAnsi="仿宋_GB2312" w:eastAsia="仿宋_GB2312" w:cs="仿宋_GB2312"/>
          <w:sz w:val="32"/>
          <w:szCs w:val="32"/>
        </w:rPr>
        <w:t>号），已交我局研究办理，现答复如下：</w:t>
      </w:r>
    </w:p>
    <w:p>
      <w:pPr>
        <w:pStyle w:val="5"/>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rPr>
          <w:rFonts w:hint="eastAsia" w:ascii="黑体" w:hAnsi="黑体" w:eastAsia="黑体" w:cs="黑体"/>
          <w:sz w:val="32"/>
          <w:szCs w:val="32"/>
        </w:rPr>
      </w:pPr>
      <w:r>
        <w:rPr>
          <w:rStyle w:val="14"/>
          <w:rFonts w:hint="eastAsia" w:ascii="黑体" w:hAnsi="黑体" w:eastAsia="黑体" w:cs="黑体"/>
          <w:sz w:val="32"/>
          <w:szCs w:val="32"/>
          <w:lang w:val="en-US"/>
        </w:rPr>
        <w:t>一、</w:t>
      </w:r>
      <w:r>
        <w:rPr>
          <w:rStyle w:val="14"/>
          <w:rFonts w:hint="eastAsia" w:ascii="黑体" w:hAnsi="黑体" w:eastAsia="黑体" w:cs="黑体"/>
          <w:sz w:val="32"/>
          <w:szCs w:val="32"/>
        </w:rPr>
        <w:t>基本情况</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晋宁区位于滇池西南岸，具备</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天独厚的区位优势、资源优势，近年来，晋宁加大产业结构调整，大力发展蔬菜产业并取得一定成绩，被认定为全国蔬菜生产强县和云南省蔬菜生产重点县。</w:t>
      </w:r>
      <w:r>
        <w:rPr>
          <w:rFonts w:hint="eastAsia" w:ascii="Times New Roman" w:hAnsi="Times New Roman" w:eastAsia="仿宋_GB2312" w:cs="Times New Roman"/>
          <w:sz w:val="32"/>
          <w:szCs w:val="32"/>
        </w:rPr>
        <w:t>2022</w:t>
      </w:r>
      <w:r>
        <w:rPr>
          <w:rFonts w:hint="eastAsia" w:ascii="仿宋_GB2312" w:hAnsi="仿宋_GB2312" w:eastAsia="仿宋_GB2312" w:cs="仿宋_GB2312"/>
          <w:sz w:val="32"/>
          <w:szCs w:val="32"/>
        </w:rPr>
        <w:t>年全区蔬菜播种面积</w:t>
      </w:r>
      <w:r>
        <w:rPr>
          <w:rFonts w:hint="default" w:ascii="Times New Roman" w:hAnsi="Times New Roman" w:eastAsia="仿宋_GB2312" w:cs="Times New Roman"/>
          <w:sz w:val="32"/>
          <w:szCs w:val="32"/>
        </w:rPr>
        <w:t>25</w:t>
      </w:r>
      <w:r>
        <w:rPr>
          <w:rFonts w:hint="eastAsia" w:ascii="仿宋_GB2312" w:hAnsi="仿宋_GB2312" w:eastAsia="仿宋_GB2312" w:cs="仿宋_GB2312"/>
          <w:sz w:val="32"/>
          <w:szCs w:val="32"/>
        </w:rPr>
        <w:t>万亩，产量</w:t>
      </w:r>
      <w:r>
        <w:rPr>
          <w:rFonts w:hint="eastAsia" w:ascii="Times New Roman" w:hAnsi="Times New Roman" w:eastAsia="仿宋_GB2312" w:cs="Times New Roman"/>
          <w:sz w:val="32"/>
          <w:szCs w:val="32"/>
        </w:rPr>
        <w:t>55</w:t>
      </w:r>
      <w:r>
        <w:rPr>
          <w:rFonts w:hint="eastAsia" w:ascii="仿宋_GB2312" w:hAnsi="仿宋_GB2312" w:eastAsia="仿宋_GB2312" w:cs="仿宋_GB2312"/>
          <w:sz w:val="32"/>
          <w:szCs w:val="32"/>
        </w:rPr>
        <w:t>万吨，外销量达</w:t>
      </w:r>
      <w:r>
        <w:rPr>
          <w:rFonts w:hint="eastAsia" w:ascii="Times New Roman" w:hAnsi="Times New Roman" w:eastAsia="仿宋_GB2312" w:cs="Times New Roman"/>
          <w:sz w:val="32"/>
          <w:szCs w:val="32"/>
        </w:rPr>
        <w:t>93</w:t>
      </w:r>
      <w:r>
        <w:rPr>
          <w:rFonts w:hint="eastAsia" w:ascii="仿宋_GB2312" w:hAnsi="仿宋_GB2312" w:eastAsia="仿宋_GB2312" w:cs="仿宋_GB2312"/>
          <w:sz w:val="32"/>
          <w:szCs w:val="32"/>
        </w:rPr>
        <w:t>%以上，产值达</w:t>
      </w:r>
      <w:r>
        <w:rPr>
          <w:rFonts w:hint="eastAsia" w:ascii="Times New Roman" w:hAnsi="Times New Roman" w:eastAsia="仿宋_GB2312" w:cs="Times New Roman"/>
          <w:sz w:val="32"/>
          <w:szCs w:val="32"/>
        </w:rPr>
        <w:t>16</w:t>
      </w:r>
      <w:r>
        <w:rPr>
          <w:rFonts w:hint="eastAsia" w:ascii="仿宋_GB2312" w:hAnsi="仿宋_GB2312" w:eastAsia="仿宋_GB2312" w:cs="仿宋_GB2312"/>
          <w:sz w:val="32"/>
          <w:szCs w:val="32"/>
        </w:rPr>
        <w:t>亿元，全区</w:t>
      </w:r>
      <w:r>
        <w:rPr>
          <w:rFonts w:hint="eastAsia" w:ascii="仿宋_GB2312" w:hAnsi="仿宋_GB2312" w:eastAsia="仿宋_GB2312" w:cs="仿宋_GB2312"/>
          <w:sz w:val="32"/>
          <w:szCs w:val="32"/>
          <w:lang w:val="en-US" w:eastAsia="zh-CN"/>
        </w:rPr>
        <w:t>蔬菜</w:t>
      </w:r>
      <w:r>
        <w:rPr>
          <w:rFonts w:hint="eastAsia" w:ascii="仿宋_GB2312" w:hAnsi="仿宋_GB2312" w:eastAsia="仿宋_GB2312" w:cs="仿宋_GB2312"/>
          <w:sz w:val="32"/>
          <w:szCs w:val="32"/>
        </w:rPr>
        <w:t>主要种植荷兰豆、油麦菜、青笋瓜、西芹、青花、辣椒、番茄等。产品周年供应，销往全国各大中城市及东南亚国家。目前，全区拥有蔬菜保鲜库</w:t>
      </w:r>
      <w:r>
        <w:rPr>
          <w:rFonts w:hint="eastAsia" w:ascii="Times New Roman" w:hAnsi="Times New Roman" w:eastAsia="仿宋_GB2312" w:cs="Times New Roman"/>
          <w:sz w:val="32"/>
          <w:szCs w:val="32"/>
        </w:rPr>
        <w:t>122</w:t>
      </w:r>
      <w:r>
        <w:rPr>
          <w:rFonts w:hint="eastAsia" w:ascii="仿宋_GB2312" w:hAnsi="仿宋_GB2312" w:eastAsia="仿宋_GB2312" w:cs="仿宋_GB2312"/>
          <w:sz w:val="32"/>
          <w:szCs w:val="32"/>
        </w:rPr>
        <w:t>家，生产设施大棚</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万余亩。晋宁是全省蔬菜粗加工和销售集散地，每年在晋宁加工、销往全国各地的蔬菜达</w:t>
      </w:r>
      <w:r>
        <w:rPr>
          <w:rFonts w:hint="eastAsia" w:ascii="Times New Roman" w:hAnsi="Times New Roman" w:eastAsia="仿宋_GB2312" w:cs="Times New Roman"/>
          <w:sz w:val="32"/>
          <w:szCs w:val="32"/>
        </w:rPr>
        <w:t>350</w:t>
      </w:r>
      <w:r>
        <w:rPr>
          <w:rFonts w:hint="eastAsia" w:ascii="仿宋_GB2312" w:hAnsi="仿宋_GB2312" w:eastAsia="仿宋_GB2312" w:cs="仿宋_GB2312"/>
          <w:sz w:val="32"/>
          <w:szCs w:val="32"/>
        </w:rPr>
        <w:t>万吨，其中晋宁自产</w:t>
      </w:r>
      <w:r>
        <w:rPr>
          <w:rFonts w:hint="eastAsia" w:ascii="Times New Roman" w:hAnsi="Times New Roman" w:eastAsia="仿宋_GB2312" w:cs="Times New Roman"/>
          <w:sz w:val="32"/>
          <w:szCs w:val="32"/>
        </w:rPr>
        <w:t>55</w:t>
      </w:r>
      <w:r>
        <w:rPr>
          <w:rFonts w:hint="eastAsia" w:ascii="仿宋_GB2312" w:hAnsi="仿宋_GB2312" w:eastAsia="仿宋_GB2312" w:cs="仿宋_GB2312"/>
          <w:sz w:val="32"/>
          <w:szCs w:val="32"/>
        </w:rPr>
        <w:t>万吨。蔬菜产业真正成为晋宁农民增收致富的主要支柱产业之一。</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2022 </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 xml:space="preserve"> 7 </w:t>
      </w:r>
      <w:r>
        <w:rPr>
          <w:rFonts w:hint="eastAsia" w:ascii="仿宋_GB2312" w:hAnsi="仿宋_GB2312" w:eastAsia="仿宋_GB2312" w:cs="仿宋_GB2312"/>
          <w:sz w:val="32"/>
          <w:szCs w:val="32"/>
          <w:lang w:val="en-US" w:eastAsia="zh-CN"/>
        </w:rPr>
        <w:t>月，昆明市融入了粤港澳大湾区“菜篮子”产品配送中心建设，</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月，云南云天化现代农业发展有限公司作为了粤港澳大湾区“菜篮子”产品昆明配送分中心承建主体，</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日，昆明蔬菜交易中心正式挂牌启用。为顺利推进项目建设晋宁区成立了以区长为组长、常务副区长、分管副区长为副组长，区级相关职能部门为成员的工作专班，以晋宁区蔬菜产业链招商、粤港澳大湾区“菜篮子”体系为核心抓手，以“云菜全域整合”为战略目标，全力推进项目建设。</w:t>
      </w:r>
    </w:p>
    <w:p>
      <w:pPr>
        <w:pStyle w:val="5"/>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以服务云南省和粤港澳地区，以及东南亚国家蔬菜需求为宗旨，打造国际性蔬菜物流，以蔬菜产地初加工、仓储、冷链物流为载体，通过资源、信息整合，采取“上联市场、下联农户”的模式，把晋宁及周边农产品资源进行整合、集散，形成“基地+农户+仓储+冷链物流+市场”紧密相联的产业链，着力打造集农产品交易、智慧保鲜、农残检测、溯源体系、大数据中心、供应链金融、报关服务、跨境电商、运输于一体的智慧综合农产品交易中心，项目总投资约</w:t>
      </w:r>
      <w:r>
        <w:rPr>
          <w:rFonts w:hint="eastAsia" w:ascii="Times New Roman" w:hAnsi="Times New Roman" w:eastAsia="仿宋_GB2312" w:cs="Times New Roman"/>
          <w:sz w:val="32"/>
          <w:szCs w:val="32"/>
          <w:lang w:val="en-US" w:eastAsia="zh-CN"/>
        </w:rPr>
        <w:t>27</w:t>
      </w:r>
      <w:r>
        <w:rPr>
          <w:rFonts w:hint="eastAsia" w:ascii="仿宋_GB2312" w:hAnsi="仿宋_GB2312" w:eastAsia="仿宋_GB2312" w:cs="仿宋_GB2312"/>
          <w:sz w:val="32"/>
          <w:szCs w:val="32"/>
          <w:lang w:val="en-US" w:eastAsia="zh-CN"/>
        </w:rPr>
        <w:t>亿元，规划用地面积</w:t>
      </w:r>
      <w:r>
        <w:rPr>
          <w:rFonts w:hint="eastAsia" w:ascii="Times New Roman" w:hAnsi="Times New Roman" w:eastAsia="仿宋_GB2312" w:cs="Times New Roman"/>
          <w:sz w:val="32"/>
          <w:szCs w:val="32"/>
          <w:lang w:val="en-US" w:eastAsia="zh-CN"/>
        </w:rPr>
        <w:t>600</w:t>
      </w:r>
      <w:r>
        <w:rPr>
          <w:rFonts w:hint="eastAsia" w:ascii="仿宋_GB2312" w:hAnsi="仿宋_GB2312" w:eastAsia="仿宋_GB2312" w:cs="仿宋_GB2312"/>
          <w:sz w:val="32"/>
          <w:szCs w:val="32"/>
          <w:lang w:val="en-US" w:eastAsia="zh-CN"/>
        </w:rPr>
        <w:t>余亩。分二期执行，第一期用地</w:t>
      </w:r>
      <w:r>
        <w:rPr>
          <w:rFonts w:hint="eastAsia"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余亩，第二期用地</w:t>
      </w:r>
      <w:r>
        <w:rPr>
          <w:rFonts w:hint="default" w:ascii="Times New Roman" w:hAnsi="Times New Roman" w:eastAsia="仿宋_GB2312" w:cs="Times New Roman"/>
          <w:sz w:val="32"/>
          <w:szCs w:val="32"/>
          <w:lang w:val="en-US" w:eastAsia="zh-CN"/>
        </w:rPr>
        <w:t>510</w:t>
      </w:r>
      <w:r>
        <w:rPr>
          <w:rFonts w:hint="eastAsia" w:ascii="仿宋_GB2312" w:hAnsi="仿宋_GB2312" w:eastAsia="仿宋_GB2312" w:cs="仿宋_GB2312"/>
          <w:sz w:val="32"/>
          <w:szCs w:val="32"/>
          <w:lang w:val="en-US" w:eastAsia="zh-CN"/>
        </w:rPr>
        <w:t>余亩。</w:t>
      </w:r>
    </w:p>
    <w:p>
      <w:pPr>
        <w:pStyle w:val="5"/>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rPr>
          <w:rStyle w:val="14"/>
          <w:rFonts w:hint="eastAsia" w:ascii="黑体" w:hAnsi="黑体" w:eastAsia="黑体" w:cs="黑体"/>
          <w:sz w:val="32"/>
          <w:szCs w:val="32"/>
          <w:lang w:val="en-US" w:eastAsia="zh-CN"/>
        </w:rPr>
      </w:pPr>
      <w:r>
        <w:rPr>
          <w:rStyle w:val="14"/>
          <w:rFonts w:hint="eastAsia" w:ascii="黑体" w:hAnsi="黑体" w:eastAsia="黑体" w:cs="黑体"/>
          <w:sz w:val="32"/>
          <w:szCs w:val="32"/>
          <w:lang w:val="en-US" w:eastAsia="zh-CN"/>
        </w:rPr>
        <w:t>二、工作取得的实效</w:t>
      </w:r>
    </w:p>
    <w:p>
      <w:pPr>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（一）生产端实现绿色发展</w:t>
      </w:r>
    </w:p>
    <w:p>
      <w:pPr>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晋宁区依托以广州为枢纽的粤港澳大湾区“菜篮子”生产及流通服务体系，以“一个标准供湾区”为原则，引进云天化建设粤港澳大湾区“菜篮子”蔬菜生产示范园和蔬菜供应链中心，通过农业现代化服务为蔬菜种植端赋能，以“高标准大棚+智能化控制无土栽培”为主要种植模式，开展工厂化、流程化、绿色化种植，以“订单农业模式”辐射带动周边区域农户、合作社、种植公司从产量、质量、品牌上把控蔬菜产品，生产高品质的供大湾区蔬菜产品。提升了区域农业种植技术水平，提高蔬菜的生产效率、产品品质。为国内外消费市场提供了“绿色、生态、有机、健康、品质”的云南蔬菜，晋宁蔬菜产业向着绿色有机的方向发展的同时实现了农产品的提质增效与农户的增产增收，有效提高晋宁蔬菜品牌效应与流通效率，推进了晋宁蔬菜产业的高质量发展。</w:t>
      </w:r>
    </w:p>
    <w:p>
      <w:pPr>
        <w:pStyle w:val="6"/>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（二）优质农产品认证成效显著</w:t>
      </w:r>
    </w:p>
    <w:p>
      <w:pPr>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在</w:t>
      </w:r>
      <w:r>
        <w:rPr>
          <w:rFonts w:hint="default" w:ascii="Times New Roman" w:hAnsi="Times New Roman" w:eastAsia="仿宋_GB2312" w:cs="Times New Roman"/>
          <w:color w:val="000000"/>
          <w:sz w:val="32"/>
          <w:szCs w:val="32"/>
          <w:lang w:val="en-US" w:eastAsia="zh-CN" w:bidi="ar-SA"/>
        </w:rPr>
        <w:t>2022</w:t>
      </w:r>
      <w:r>
        <w:rPr>
          <w:rFonts w:hint="eastAsia" w:ascii="仿宋_GB2312" w:hAnsi="仿宋_GB2312" w:eastAsia="仿宋_GB2312" w:cs="仿宋_GB2312"/>
          <w:color w:val="000000"/>
          <w:sz w:val="32"/>
          <w:szCs w:val="32"/>
          <w:lang w:val="en-US" w:eastAsia="zh-CN" w:bidi="ar-SA"/>
        </w:rPr>
        <w:t>年，我区除了注重农产品的生产标准外，也将优质农产品认证放在了重要的战略位置。目前全区已认定无公害蔬菜基地面积</w:t>
      </w:r>
      <w:r>
        <w:rPr>
          <w:rFonts w:hint="eastAsia" w:ascii="Times New Roman" w:hAnsi="Times New Roman" w:eastAsia="仿宋_GB2312" w:cs="Times New Roman"/>
          <w:color w:val="000000"/>
          <w:sz w:val="32"/>
          <w:szCs w:val="32"/>
          <w:lang w:val="en-US" w:eastAsia="zh-CN" w:bidi="ar-SA"/>
        </w:rPr>
        <w:t>8.04</w:t>
      </w:r>
      <w:r>
        <w:rPr>
          <w:rFonts w:hint="eastAsia" w:ascii="仿宋_GB2312" w:hAnsi="仿宋_GB2312" w:eastAsia="仿宋_GB2312" w:cs="仿宋_GB2312"/>
          <w:color w:val="000000"/>
          <w:sz w:val="32"/>
          <w:szCs w:val="32"/>
          <w:lang w:val="en-US" w:eastAsia="zh-CN" w:bidi="ar-SA"/>
        </w:rPr>
        <w:t>万亩。云南云天化现代农业发展有限公司完成了出口食品生产企业备案</w:t>
      </w:r>
      <w:r>
        <w:rPr>
          <w:rFonts w:hint="eastAsia" w:ascii="Times New Roman" w:hAnsi="Times New Roman" w:eastAsia="仿宋_GB2312" w:cs="Times New Roman"/>
          <w:color w:val="000000"/>
          <w:sz w:val="32"/>
          <w:szCs w:val="32"/>
          <w:lang w:val="en-US" w:eastAsia="zh-CN" w:bidi="ar-SA"/>
        </w:rPr>
        <w:t>4</w:t>
      </w:r>
      <w:r>
        <w:rPr>
          <w:rFonts w:hint="eastAsia" w:ascii="仿宋_GB2312" w:hAnsi="仿宋_GB2312" w:eastAsia="仿宋_GB2312" w:cs="仿宋_GB2312"/>
          <w:color w:val="000000"/>
          <w:sz w:val="32"/>
          <w:szCs w:val="32"/>
          <w:lang w:val="en-US" w:eastAsia="zh-CN" w:bidi="ar-SA"/>
        </w:rPr>
        <w:t>处、供港澳蔬菜种植基地备案</w:t>
      </w:r>
      <w:r>
        <w:rPr>
          <w:rFonts w:hint="eastAsia" w:ascii="Times New Roman" w:hAnsi="Times New Roman" w:eastAsia="仿宋_GB2312" w:cs="Times New Roman"/>
          <w:color w:val="000000"/>
          <w:sz w:val="32"/>
          <w:szCs w:val="32"/>
          <w:lang w:val="en-US" w:eastAsia="zh-CN" w:bidi="ar-SA"/>
        </w:rPr>
        <w:t>3</w:t>
      </w:r>
      <w:r>
        <w:rPr>
          <w:rFonts w:hint="eastAsia" w:ascii="仿宋_GB2312" w:hAnsi="仿宋_GB2312" w:eastAsia="仿宋_GB2312" w:cs="仿宋_GB2312"/>
          <w:color w:val="000000"/>
          <w:sz w:val="32"/>
          <w:szCs w:val="32"/>
          <w:lang w:val="en-US" w:eastAsia="zh-CN" w:bidi="ar-SA"/>
        </w:rPr>
        <w:t>处，粤港澳大湾区“菜篮子”生产基地认证成功</w:t>
      </w:r>
      <w:r>
        <w:rPr>
          <w:rFonts w:hint="eastAsia" w:ascii="Times New Roman" w:hAnsi="Times New Roman" w:eastAsia="仿宋_GB2312" w:cs="Times New Roman"/>
          <w:color w:val="000000"/>
          <w:sz w:val="32"/>
          <w:szCs w:val="32"/>
          <w:lang w:val="en-US" w:eastAsia="zh-CN" w:bidi="ar-SA"/>
        </w:rPr>
        <w:t>1</w:t>
      </w:r>
      <w:r>
        <w:rPr>
          <w:rFonts w:hint="eastAsia" w:ascii="仿宋_GB2312" w:hAnsi="仿宋_GB2312" w:eastAsia="仿宋_GB2312" w:cs="仿宋_GB2312"/>
          <w:color w:val="000000"/>
          <w:sz w:val="32"/>
          <w:szCs w:val="32"/>
          <w:lang w:val="en-US" w:eastAsia="zh-CN" w:bidi="ar-SA"/>
        </w:rPr>
        <w:t>处、还有</w:t>
      </w:r>
      <w:r>
        <w:rPr>
          <w:rFonts w:hint="eastAsia" w:ascii="Times New Roman" w:hAnsi="Times New Roman" w:eastAsia="仿宋_GB2312" w:cs="Times New Roman"/>
          <w:color w:val="000000"/>
          <w:sz w:val="32"/>
          <w:szCs w:val="32"/>
          <w:lang w:val="en-US" w:eastAsia="zh-CN" w:bidi="ar-SA"/>
        </w:rPr>
        <w:t>3</w:t>
      </w:r>
      <w:r>
        <w:rPr>
          <w:rFonts w:hint="eastAsia" w:ascii="仿宋_GB2312" w:hAnsi="仿宋_GB2312" w:eastAsia="仿宋_GB2312" w:cs="仿宋_GB2312"/>
          <w:color w:val="000000"/>
          <w:sz w:val="32"/>
          <w:szCs w:val="32"/>
          <w:lang w:val="en-US" w:eastAsia="zh-CN" w:bidi="ar-SA"/>
        </w:rPr>
        <w:t>处正在申请中。云南云天化现代农业发展有限公司作为省属国企、市级龙头企业、云南省数字农业示范基地，以自身的资源优势为晋宁区蔬菜产业发展做好了示范带动的榜样。同时，云南智农高新技术有限公司在</w:t>
      </w:r>
      <w:r>
        <w:rPr>
          <w:rFonts w:hint="eastAsia" w:ascii="Times New Roman" w:hAnsi="Times New Roman" w:eastAsia="仿宋_GB2312" w:cs="Times New Roman"/>
          <w:color w:val="000000"/>
          <w:kern w:val="2"/>
          <w:sz w:val="32"/>
          <w:szCs w:val="32"/>
          <w:lang w:val="en-US" w:eastAsia="zh-CN" w:bidi="ar-SA"/>
        </w:rPr>
        <w:t>2022</w:t>
      </w:r>
      <w:r>
        <w:rPr>
          <w:rFonts w:hint="eastAsia" w:ascii="仿宋_GB2312" w:hAnsi="仿宋_GB2312" w:eastAsia="仿宋_GB2312" w:cs="仿宋_GB2312"/>
          <w:color w:val="000000"/>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5</w:t>
      </w:r>
      <w:r>
        <w:rPr>
          <w:rFonts w:hint="eastAsia" w:ascii="仿宋_GB2312" w:hAnsi="仿宋_GB2312" w:eastAsia="仿宋_GB2312" w:cs="仿宋_GB2312"/>
          <w:color w:val="000000"/>
          <w:sz w:val="32"/>
          <w:szCs w:val="32"/>
          <w:lang w:val="en-US" w:eastAsia="zh-CN" w:bidi="ar-SA"/>
        </w:rPr>
        <w:t>月获批为云南省首家粤港澳大湾区“菜篮子”产品安全承检机构。</w:t>
      </w:r>
    </w:p>
    <w:p>
      <w:pPr>
        <w:pStyle w:val="6"/>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（三）市场端取得较大突破</w:t>
      </w:r>
    </w:p>
    <w:p>
      <w:pPr>
        <w:pStyle w:val="5"/>
        <w:keepNext w:val="0"/>
        <w:keepLines w:val="0"/>
        <w:pageBreakBefore w:val="0"/>
        <w:widowControl w:val="0"/>
        <w:kinsoku/>
        <w:wordWrap/>
        <w:overflowPunct/>
        <w:topLinePunct w:val="0"/>
        <w:bidi w:val="0"/>
        <w:adjustRightInd/>
        <w:snapToGrid/>
        <w:spacing w:after="0" w:line="560" w:lineRule="exact"/>
        <w:ind w:left="0" w:leftChars="0" w:firstLine="643"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b/>
          <w:bCs/>
          <w:color w:val="000000"/>
          <w:sz w:val="32"/>
          <w:szCs w:val="32"/>
          <w:lang w:val="en-US" w:eastAsia="zh-CN" w:bidi="ar-SA"/>
        </w:rPr>
        <w:t>一是</w:t>
      </w:r>
      <w:r>
        <w:rPr>
          <w:rFonts w:hint="eastAsia" w:ascii="仿宋_GB2312" w:hAnsi="仿宋_GB2312" w:eastAsia="仿宋_GB2312" w:cs="仿宋_GB2312"/>
          <w:color w:val="000000"/>
          <w:sz w:val="32"/>
          <w:szCs w:val="32"/>
          <w:lang w:val="en-US" w:eastAsia="zh-CN" w:bidi="ar-SA"/>
        </w:rPr>
        <w:t>云天化投资</w:t>
      </w:r>
      <w:r>
        <w:rPr>
          <w:rFonts w:hint="default" w:ascii="Times New Roman" w:hAnsi="Times New Roman" w:eastAsia="仿宋_GB2312" w:cs="Times New Roman"/>
          <w:color w:val="000000"/>
          <w:sz w:val="32"/>
          <w:szCs w:val="32"/>
          <w:lang w:val="en-US" w:eastAsia="zh-CN" w:bidi="ar-SA"/>
        </w:rPr>
        <w:t>1000</w:t>
      </w:r>
      <w:r>
        <w:rPr>
          <w:rFonts w:hint="eastAsia" w:ascii="仿宋_GB2312" w:hAnsi="仿宋_GB2312" w:eastAsia="仿宋_GB2312" w:cs="仿宋_GB2312"/>
          <w:color w:val="000000"/>
          <w:sz w:val="32"/>
          <w:szCs w:val="32"/>
          <w:lang w:val="en-US" w:eastAsia="zh-CN" w:bidi="ar-SA"/>
        </w:rPr>
        <w:t>万元建设的云南省第一个大湾区“菜篮子”展示交易中心已设置在晋宁区绿色农业科创中心（含展厅、电商区、商务洽谈、云菜数字）内，展示交易中心介绍农业生产环节关键因素，承载蔬菜种植技术、产业宣传作用；</w:t>
      </w:r>
      <w:r>
        <w:rPr>
          <w:rFonts w:hint="eastAsia" w:ascii="仿宋_GB2312" w:hAnsi="仿宋_GB2312" w:eastAsia="仿宋_GB2312" w:cs="仿宋_GB2312"/>
          <w:b/>
          <w:bCs/>
          <w:color w:val="000000"/>
          <w:sz w:val="32"/>
          <w:szCs w:val="32"/>
          <w:lang w:val="en-US" w:eastAsia="zh-CN" w:bidi="ar-SA"/>
        </w:rPr>
        <w:t>二是</w:t>
      </w:r>
      <w:r>
        <w:rPr>
          <w:rFonts w:hint="eastAsia" w:ascii="仿宋_GB2312" w:hAnsi="仿宋_GB2312" w:eastAsia="仿宋_GB2312" w:cs="仿宋_GB2312"/>
          <w:color w:val="000000"/>
          <w:sz w:val="32"/>
          <w:szCs w:val="32"/>
          <w:lang w:val="en-US" w:eastAsia="zh-CN" w:bidi="ar-SA"/>
        </w:rPr>
        <w:t>投资建设的广州直供平台展厅已建设完成并正常运营，成为云菜在广州的重要展示窗口。</w:t>
      </w:r>
      <w:r>
        <w:rPr>
          <w:rFonts w:hint="eastAsia" w:ascii="仿宋_GB2312" w:hAnsi="仿宋_GB2312" w:eastAsia="仿宋_GB2312" w:cs="仿宋_GB2312"/>
          <w:b/>
          <w:bCs/>
          <w:color w:val="000000"/>
          <w:sz w:val="32"/>
          <w:szCs w:val="32"/>
          <w:lang w:val="en-US" w:eastAsia="zh-CN" w:bidi="ar-SA"/>
        </w:rPr>
        <w:t>三是</w:t>
      </w:r>
      <w:r>
        <w:rPr>
          <w:rFonts w:hint="eastAsia" w:ascii="仿宋_GB2312" w:hAnsi="仿宋_GB2312" w:eastAsia="仿宋_GB2312" w:cs="仿宋_GB2312"/>
          <w:color w:val="000000"/>
          <w:sz w:val="32"/>
          <w:szCs w:val="32"/>
          <w:lang w:val="en-US" w:eastAsia="zh-CN" w:bidi="ar-SA"/>
        </w:rPr>
        <w:t>成立了蔬菜产业联盟，目前，已有</w:t>
      </w:r>
      <w:r>
        <w:rPr>
          <w:rFonts w:hint="default" w:ascii="Times New Roman" w:hAnsi="Times New Roman" w:eastAsia="仿宋_GB2312" w:cs="Times New Roman"/>
          <w:color w:val="000000"/>
          <w:sz w:val="32"/>
          <w:szCs w:val="32"/>
          <w:lang w:val="en-US" w:eastAsia="zh-CN" w:bidi="ar-SA"/>
        </w:rPr>
        <w:t>56</w:t>
      </w:r>
      <w:r>
        <w:rPr>
          <w:rFonts w:hint="eastAsia" w:ascii="仿宋_GB2312" w:hAnsi="仿宋_GB2312" w:eastAsia="仿宋_GB2312" w:cs="仿宋_GB2312"/>
          <w:color w:val="000000"/>
          <w:sz w:val="32"/>
          <w:szCs w:val="32"/>
          <w:lang w:val="en-US" w:eastAsia="zh-CN" w:bidi="ar-SA"/>
        </w:rPr>
        <w:t>家蔬菜产业链上中下游各类市场主体加入联盟，并被认证为昆明蔬菜交易中心第一批参与主体，凭借自有基地，参与平台蔬菜供应。</w:t>
      </w:r>
      <w:r>
        <w:rPr>
          <w:rFonts w:hint="eastAsia" w:ascii="仿宋_GB2312" w:hAnsi="仿宋_GB2312" w:eastAsia="仿宋_GB2312" w:cs="仿宋_GB2312"/>
          <w:b/>
          <w:bCs/>
          <w:color w:val="000000"/>
          <w:sz w:val="32"/>
          <w:szCs w:val="32"/>
          <w:lang w:val="en-US" w:eastAsia="zh-CN" w:bidi="ar-SA"/>
        </w:rPr>
        <w:t>四是</w:t>
      </w:r>
      <w:r>
        <w:rPr>
          <w:rFonts w:hint="eastAsia" w:ascii="仿宋_GB2312" w:hAnsi="仿宋_GB2312" w:eastAsia="仿宋_GB2312" w:cs="仿宋_GB2312"/>
          <w:color w:val="000000"/>
          <w:sz w:val="32"/>
          <w:szCs w:val="32"/>
          <w:lang w:val="en-US" w:eastAsia="zh-CN" w:bidi="ar-SA"/>
        </w:rPr>
        <w:t>积极营销统筹省外国企保供客户的线上采购，目前与广州粤秀集团签订供应协议；</w:t>
      </w:r>
      <w:r>
        <w:rPr>
          <w:rFonts w:hint="eastAsia" w:ascii="仿宋_GB2312" w:hAnsi="仿宋_GB2312" w:eastAsia="仿宋_GB2312" w:cs="仿宋_GB2312"/>
          <w:b/>
          <w:bCs/>
          <w:color w:val="000000"/>
          <w:sz w:val="32"/>
          <w:szCs w:val="32"/>
          <w:lang w:val="en-US" w:eastAsia="zh-CN" w:bidi="ar-SA"/>
        </w:rPr>
        <w:t>五是</w:t>
      </w:r>
      <w:r>
        <w:rPr>
          <w:rFonts w:hint="eastAsia" w:ascii="仿宋_GB2312" w:hAnsi="仿宋_GB2312" w:eastAsia="仿宋_GB2312" w:cs="仿宋_GB2312"/>
          <w:color w:val="000000"/>
          <w:sz w:val="32"/>
          <w:szCs w:val="32"/>
          <w:lang w:val="en-US" w:eastAsia="zh-CN" w:bidi="ar-SA"/>
        </w:rPr>
        <w:t>与富滇、中信、华夏、交行等银行合作，搭建“昆明蔬菜交易中心”线上平台金融类产品管理事宜。</w:t>
      </w:r>
    </w:p>
    <w:p>
      <w:pPr>
        <w:pStyle w:val="6"/>
        <w:keepNext w:val="0"/>
        <w:keepLines w:val="0"/>
        <w:pageBreakBefore w:val="0"/>
        <w:widowControl w:val="0"/>
        <w:kinsoku/>
        <w:wordWrap/>
        <w:overflowPunct/>
        <w:topLinePunct w:val="0"/>
        <w:bidi w:val="0"/>
        <w:adjustRightInd/>
        <w:snapToGrid/>
        <w:spacing w:line="560" w:lineRule="exact"/>
        <w:ind w:left="0" w:leftChars="0" w:firstLine="640" w:firstLineChars="200"/>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（四）项目建设稳步推进</w:t>
      </w:r>
    </w:p>
    <w:p>
      <w:pPr>
        <w:pStyle w:val="6"/>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项目确定在晋宁工业园区晋城基地内选址，区域位于区城市资源开发有限公司摘牌地块旁93.83亩的商业地块，拟作为一期用地先期建设。项目建设完成后粤港澳大湾区蔬菜配送中心、昆明蔬菜交易中心在园区挂牌，由项目建设方、云天化现代农业公司管理经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三、存在的困难和问题</w:t>
      </w:r>
    </w:p>
    <w:p>
      <w:pPr>
        <w:pStyle w:val="5"/>
        <w:keepNext w:val="0"/>
        <w:keepLines w:val="0"/>
        <w:pageBreakBefore w:val="0"/>
        <w:widowControl w:val="0"/>
        <w:kinsoku/>
        <w:wordWrap/>
        <w:overflowPunct/>
        <w:topLinePunct w:val="0"/>
        <w:bidi w:val="0"/>
        <w:adjustRightInd/>
        <w:snapToGrid/>
        <w:spacing w:after="0" w:line="560" w:lineRule="exact"/>
        <w:ind w:left="0" w:leftChars="0" w:firstLine="640" w:firstLineChars="20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流通效率低下和交易小</w:t>
      </w:r>
      <w:r>
        <w:rPr>
          <w:rFonts w:hint="eastAsia" w:ascii="仿宋_GB2312" w:hAnsi="仿宋_GB2312" w:eastAsia="仿宋_GB2312" w:cs="仿宋_GB2312"/>
          <w:b w:val="0"/>
          <w:bCs w:val="0"/>
          <w:sz w:val="32"/>
          <w:szCs w:val="32"/>
          <w:lang w:val="en-US" w:eastAsia="zh-CN"/>
        </w:rPr>
        <w:t>、散、弱是我区蔬菜产业发展的最大堵点和根本制约，突破“有产品无商品”的困境仍在路上。在我区建设昆明蔬菜交易中心的过程中，存在以下问题：</w:t>
      </w:r>
      <w:r>
        <w:rPr>
          <w:rFonts w:hint="eastAsia" w:ascii="仿宋_GB2312" w:hAnsi="仿宋_GB2312" w:eastAsia="仿宋_GB2312" w:cs="仿宋_GB2312"/>
          <w:b/>
          <w:bCs/>
          <w:color w:val="000000"/>
          <w:sz w:val="32"/>
          <w:szCs w:val="32"/>
          <w:lang w:val="en-US" w:eastAsia="zh-CN" w:bidi="ar-SA"/>
        </w:rPr>
        <w:t>一是</w:t>
      </w:r>
      <w:r>
        <w:rPr>
          <w:rFonts w:hint="eastAsia" w:ascii="仿宋_GB2312" w:hAnsi="仿宋_GB2312" w:eastAsia="仿宋_GB2312" w:cs="仿宋_GB2312"/>
          <w:color w:val="000000"/>
          <w:sz w:val="32"/>
          <w:szCs w:val="32"/>
          <w:lang w:val="en-US" w:eastAsia="zh-CN" w:bidi="ar-SA"/>
        </w:rPr>
        <w:t>昆明蔬菜交易中心市场化吸引力和规模效应略显不足，因初成立时市场客观因素、主体交易规模和市场影响力尚未突显，需加强运用市场化及政策化手段提升平台影响力。</w:t>
      </w:r>
      <w:r>
        <w:rPr>
          <w:rFonts w:hint="eastAsia" w:ascii="仿宋_GB2312" w:hAnsi="仿宋_GB2312" w:eastAsia="仿宋_GB2312" w:cs="仿宋_GB2312"/>
          <w:b/>
          <w:bCs/>
          <w:color w:val="000000"/>
          <w:sz w:val="32"/>
          <w:szCs w:val="32"/>
          <w:lang w:val="en-US" w:eastAsia="zh-CN" w:bidi="ar-SA"/>
        </w:rPr>
        <w:t>二是</w:t>
      </w:r>
      <w:r>
        <w:rPr>
          <w:rFonts w:hint="eastAsia" w:ascii="仿宋_GB2312" w:hAnsi="仿宋_GB2312" w:eastAsia="仿宋_GB2312" w:cs="仿宋_GB2312"/>
          <w:color w:val="000000"/>
          <w:sz w:val="32"/>
          <w:szCs w:val="32"/>
          <w:lang w:val="en-US" w:eastAsia="zh-CN" w:bidi="ar-SA"/>
        </w:rPr>
        <w:t>蔬菜交易中心平台地理位置优势不明显，尤其是金融环境，导致办公环境、基建交通、配套设施不能充分满足发展需要，需加强相关配套设施建设，进一步满足中心发展需要。</w:t>
      </w:r>
      <w:r>
        <w:rPr>
          <w:rFonts w:hint="eastAsia" w:ascii="仿宋_GB2312" w:hAnsi="仿宋_GB2312" w:eastAsia="仿宋_GB2312" w:cs="仿宋_GB2312"/>
          <w:b/>
          <w:bCs/>
          <w:color w:val="000000"/>
          <w:sz w:val="32"/>
          <w:szCs w:val="32"/>
          <w:lang w:val="en-US" w:eastAsia="zh-CN" w:bidi="ar-SA"/>
        </w:rPr>
        <w:t>三是</w:t>
      </w:r>
      <w:r>
        <w:rPr>
          <w:rFonts w:hint="eastAsia" w:ascii="仿宋_GB2312" w:hAnsi="仿宋_GB2312" w:eastAsia="仿宋_GB2312" w:cs="仿宋_GB2312"/>
          <w:color w:val="000000"/>
          <w:sz w:val="32"/>
          <w:szCs w:val="32"/>
          <w:lang w:val="en-US" w:eastAsia="zh-CN" w:bidi="ar-SA"/>
        </w:rPr>
        <w:t>蔬菜交易中心平台对平台交易的标的物质量安全承担一定风险责任，食品安全检测存在一定困难，需要借助政府农产品承诺达标合格证进行初筛。</w:t>
      </w:r>
    </w:p>
    <w:p>
      <w:pPr>
        <w:pStyle w:val="5"/>
        <w:keepNext w:val="0"/>
        <w:keepLines w:val="0"/>
        <w:pageBreakBefore w:val="0"/>
        <w:widowControl w:val="0"/>
        <w:numPr>
          <w:ilvl w:val="0"/>
          <w:numId w:val="1"/>
        </w:numPr>
        <w:kinsoku/>
        <w:wordWrap/>
        <w:overflowPunct/>
        <w:topLinePunct w:val="0"/>
        <w:bidi w:val="0"/>
        <w:adjustRightInd/>
        <w:snapToGrid/>
        <w:spacing w:after="0" w:line="560" w:lineRule="exact"/>
        <w:ind w:left="0" w:leftChars="0" w:firstLine="640" w:firstLineChars="200"/>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下步工作措施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着力提升组织化，打通“最先一公里”。推进</w:t>
      </w:r>
      <w:r>
        <w:rPr>
          <w:rFonts w:hint="eastAsia" w:ascii="仿宋_GB2312" w:hAnsi="仿宋_GB2312" w:eastAsia="仿宋_GB2312" w:cs="仿宋_GB2312"/>
          <w:b w:val="0"/>
          <w:bCs w:val="0"/>
          <w:sz w:val="32"/>
          <w:szCs w:val="32"/>
          <w:u w:val="none"/>
          <w:lang w:val="en-US" w:eastAsia="zh-CN"/>
        </w:rPr>
        <w:t>村集体特色蔬菜合作社</w:t>
      </w:r>
      <w:r>
        <w:rPr>
          <w:rFonts w:hint="eastAsia" w:ascii="仿宋_GB2312" w:hAnsi="仿宋_GB2312" w:eastAsia="仿宋_GB2312" w:cs="仿宋_GB2312"/>
          <w:b w:val="0"/>
          <w:bCs w:val="0"/>
          <w:sz w:val="32"/>
          <w:szCs w:val="32"/>
          <w:lang w:val="en-US" w:eastAsia="zh-CN"/>
        </w:rPr>
        <w:t>建设，配套制定相关标准，进一步提升种植端规模化、组织化程度。以产销为主导，创新“订单+集采”模式，试点认定的生产基地产品统一收购，通过上游集采联采，引导“减损促销、联农带农”的田头市场体系建立健全，保障上游农产品规模供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着力推动市场化，畅通中游“肠梗阻”。作为当期工作重中之重，大力推进蔬菜交易中心建设，</w:t>
      </w:r>
      <w:r>
        <w:rPr>
          <w:rFonts w:hint="eastAsia" w:ascii="仿宋_GB2312" w:hAnsi="仿宋_GB2312" w:eastAsia="仿宋_GB2312" w:cs="仿宋_GB2312"/>
          <w:color w:val="000000"/>
          <w:kern w:val="0"/>
          <w:sz w:val="32"/>
          <w:szCs w:val="32"/>
          <w:lang w:val="en-US" w:eastAsia="zh-CN" w:bidi="ar"/>
        </w:rPr>
        <w:t>实现集订单交易、现货挂牌和竞价拍卖等多元化交易模式于一体的绿色食品现货交易，立足“昆明优势”，推动晋宁发展成为面向国内经济腹地、辐射南亚东南亚地区的蔬菜交易枢纽。</w:t>
      </w:r>
      <w:r>
        <w:rPr>
          <w:rFonts w:hint="eastAsia" w:ascii="仿宋_GB2312" w:hAnsi="仿宋_GB2312" w:eastAsia="仿宋_GB2312" w:cs="仿宋_GB2312"/>
          <w:b w:val="0"/>
          <w:bCs w:val="0"/>
          <w:sz w:val="32"/>
          <w:szCs w:val="32"/>
          <w:lang w:val="en-US" w:eastAsia="zh-CN"/>
        </w:rPr>
        <w:t>推动传统蔬菜冷库批发市场改造升级，促进蔬菜流通线上线下融合，实现集中采购、集中结算、集中销售，扩大交易规模，提升流通效率。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着力促进一体化，贯通“最后一公里”。搭建完善“昆明蔬菜交易”供应链平台建设，</w:t>
      </w:r>
      <w:r>
        <w:rPr>
          <w:rFonts w:hint="eastAsia" w:ascii="仿宋_GB2312" w:hAnsi="仿宋_GB2312" w:eastAsia="仿宋_GB2312" w:cs="仿宋_GB2312"/>
          <w:color w:val="000000"/>
          <w:sz w:val="32"/>
          <w:szCs w:val="32"/>
          <w:lang w:val="en-US" w:eastAsia="zh-CN" w:bidi="ar-SA"/>
        </w:rPr>
        <w:t>制定相关政策及措施，引导市场主体主动参与，充分</w:t>
      </w:r>
      <w:r>
        <w:rPr>
          <w:rFonts w:hint="eastAsia" w:ascii="仿宋_GB2312" w:hAnsi="仿宋_GB2312" w:eastAsia="仿宋_GB2312" w:cs="仿宋_GB2312"/>
          <w:b w:val="0"/>
          <w:bCs w:val="0"/>
          <w:sz w:val="32"/>
          <w:szCs w:val="32"/>
          <w:lang w:val="en-US" w:eastAsia="zh-CN"/>
        </w:rPr>
        <w:t>发挥壮大昆明蔬菜产业联盟作用，不断拓展销售渠道，</w:t>
      </w:r>
      <w:r>
        <w:rPr>
          <w:rFonts w:hint="eastAsia" w:ascii="仿宋_GB2312" w:hAnsi="仿宋_GB2312" w:eastAsia="仿宋_GB2312" w:cs="仿宋_GB2312"/>
          <w:color w:val="000000"/>
          <w:sz w:val="32"/>
          <w:szCs w:val="32"/>
          <w:lang w:val="en-US" w:eastAsia="zh-CN" w:bidi="ar-SA"/>
        </w:rPr>
        <w:t>实现线上交易平台及政府农产品承诺达标合格证系统的链接，</w:t>
      </w:r>
      <w:r>
        <w:rPr>
          <w:rFonts w:hint="eastAsia" w:ascii="仿宋_GB2312" w:hAnsi="仿宋_GB2312" w:eastAsia="仿宋_GB2312" w:cs="仿宋_GB2312"/>
          <w:b w:val="0"/>
          <w:bCs w:val="0"/>
          <w:sz w:val="32"/>
          <w:szCs w:val="32"/>
          <w:lang w:val="en-US" w:eastAsia="zh-CN"/>
        </w:rPr>
        <w:t>健全完善线上线下融合，</w:t>
      </w:r>
      <w:r>
        <w:rPr>
          <w:rFonts w:hint="eastAsia" w:ascii="仿宋_GB2312" w:hAnsi="仿宋_GB2312" w:eastAsia="仿宋_GB2312" w:cs="仿宋_GB2312"/>
          <w:sz w:val="32"/>
          <w:szCs w:val="32"/>
          <w:lang w:val="en-US" w:eastAsia="zh-CN"/>
        </w:rPr>
        <w:t>厚植发展后劲、提升产业能级，</w:t>
      </w:r>
      <w:r>
        <w:rPr>
          <w:rFonts w:hint="eastAsia" w:ascii="仿宋_GB2312" w:hAnsi="仿宋_GB2312" w:eastAsia="仿宋_GB2312" w:cs="仿宋_GB2312"/>
          <w:b w:val="0"/>
          <w:bCs w:val="0"/>
          <w:sz w:val="32"/>
          <w:szCs w:val="32"/>
          <w:lang w:val="en-US" w:eastAsia="zh-CN"/>
        </w:rPr>
        <w:t>实现“买全省、卖全国”乃至“卖全球”的目标。</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baseline"/>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如有不妥，敬请批评指正，感谢您对我单位工作的支持！</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baseline"/>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 xml:space="preserve">（联系人及电话：许玲  </w:t>
      </w:r>
      <w:r>
        <w:rPr>
          <w:rFonts w:hint="eastAsia" w:ascii="仿宋_GB2312" w:hAnsi="宋体" w:eastAsia="仿宋_GB2312"/>
          <w:color w:val="000000"/>
          <w:sz w:val="32"/>
          <w:szCs w:val="32"/>
        </w:rPr>
        <w:t xml:space="preserve"> </w:t>
      </w:r>
      <w:r>
        <w:rPr>
          <w:rFonts w:hint="eastAsia" w:ascii="Times New Roman" w:hAnsi="Times New Roman" w:eastAsia="仿宋_GB2312"/>
          <w:color w:val="000000"/>
          <w:sz w:val="32"/>
          <w:szCs w:val="32"/>
          <w:lang w:val="en-US" w:eastAsia="zh-CN"/>
        </w:rPr>
        <w:t>0871-67892255</w:t>
      </w:r>
      <w:bookmarkStart w:id="0" w:name="_GoBack"/>
      <w:bookmarkEnd w:id="0"/>
      <w:r>
        <w:rPr>
          <w:rStyle w:val="14"/>
          <w:rFonts w:hint="eastAsia" w:ascii="仿宋_GB2312" w:hAnsi="仿宋_GB2312" w:eastAsia="仿宋_GB2312" w:cs="仿宋_GB2312"/>
          <w:sz w:val="32"/>
          <w:szCs w:val="32"/>
        </w:rPr>
        <w:t>）</w:t>
      </w:r>
    </w:p>
    <w:p>
      <w:pPr>
        <w:pStyle w:val="2"/>
        <w:rPr>
          <w:rStyle w:val="14"/>
          <w:rFonts w:hint="eastAsia" w:ascii="仿宋_GB2312" w:hAnsi="仿宋_GB2312" w:eastAsia="仿宋_GB2312" w:cs="仿宋_GB2312"/>
          <w:sz w:val="32"/>
          <w:szCs w:val="32"/>
        </w:rPr>
      </w:pPr>
    </w:p>
    <w:p>
      <w:pPr>
        <w:pStyle w:val="7"/>
        <w:ind w:left="0" w:leftChars="0" w:firstLine="0" w:firstLineChars="0"/>
        <w:jc w:val="both"/>
        <w:rPr>
          <w:lang w:val="en-US" w:bidi="ar-SA"/>
        </w:rPr>
      </w:pPr>
    </w:p>
    <w:p>
      <w:pPr>
        <w:spacing w:line="56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昆明市晋宁区农业农村局</w:t>
      </w:r>
    </w:p>
    <w:p>
      <w:pPr>
        <w:pStyle w:val="7"/>
        <w:spacing w:line="560" w:lineRule="exact"/>
        <w:rPr>
          <w:rFonts w:ascii="仿宋_GB2312" w:hAnsi="仿宋" w:eastAsia="仿宋_GB2312" w:cs="仿宋"/>
          <w:sz w:val="28"/>
          <w:szCs w:val="28"/>
          <w:lang w:val="en-US"/>
        </w:rPr>
      </w:pPr>
      <w:r>
        <w:rPr>
          <w:rFonts w:hint="eastAsia" w:ascii="仿宋_GB2312" w:hAnsi="仿宋" w:eastAsia="仿宋_GB2312" w:cs="仿宋"/>
          <w:sz w:val="32"/>
          <w:szCs w:val="32"/>
          <w:lang w:val="en-US"/>
        </w:rPr>
        <w:t xml:space="preserve">                 </w:t>
      </w:r>
      <w:r>
        <w:rPr>
          <w:rFonts w:hint="eastAsia" w:ascii="Times New Roman" w:hAnsi="Times New Roman" w:eastAsia="仿宋_GB2312" w:cs="Times New Roman"/>
          <w:kern w:val="2"/>
          <w:sz w:val="32"/>
          <w:szCs w:val="32"/>
          <w:lang w:val="en-US" w:eastAsia="zh-CN" w:bidi="ar-SA"/>
        </w:rPr>
        <w:t xml:space="preserve"> 2023</w:t>
      </w:r>
      <w:r>
        <w:rPr>
          <w:rFonts w:hint="eastAsia" w:ascii="仿宋_GB2312" w:hAnsi="仿宋" w:eastAsia="仿宋_GB2312" w:cs="仿宋"/>
          <w:sz w:val="32"/>
          <w:szCs w:val="32"/>
          <w:lang w:val="en-US"/>
        </w:rPr>
        <w:t>年</w:t>
      </w:r>
      <w:r>
        <w:rPr>
          <w:rFonts w:hint="eastAsia" w:ascii="Times New Roman" w:hAnsi="Times New Roman" w:eastAsia="仿宋_GB2312" w:cs="Times New Roman"/>
          <w:kern w:val="2"/>
          <w:sz w:val="32"/>
          <w:szCs w:val="32"/>
          <w:lang w:val="en-US" w:eastAsia="zh-CN" w:bidi="ar-SA"/>
        </w:rPr>
        <w:t>6</w:t>
      </w:r>
      <w:r>
        <w:rPr>
          <w:rFonts w:hint="eastAsia" w:ascii="仿宋_GB2312" w:hAnsi="仿宋" w:eastAsia="仿宋_GB2312" w:cs="仿宋"/>
          <w:sz w:val="32"/>
          <w:szCs w:val="32"/>
          <w:lang w:val="en-US"/>
        </w:rPr>
        <w:t>月</w:t>
      </w:r>
      <w:r>
        <w:rPr>
          <w:rFonts w:hint="eastAsia" w:ascii="Times New Roman" w:hAnsi="Times New Roman" w:eastAsia="仿宋_GB2312" w:cs="Times New Roman"/>
          <w:kern w:val="2"/>
          <w:sz w:val="32"/>
          <w:szCs w:val="32"/>
          <w:lang w:val="en-US" w:eastAsia="zh-CN" w:bidi="ar-SA"/>
        </w:rPr>
        <w:t>19</w:t>
      </w:r>
      <w:r>
        <w:rPr>
          <w:rFonts w:hint="eastAsia" w:ascii="仿宋_GB2312" w:hAnsi="仿宋" w:eastAsia="仿宋_GB2312" w:cs="仿宋"/>
          <w:sz w:val="32"/>
          <w:szCs w:val="32"/>
          <w:lang w:val="en-US"/>
        </w:rPr>
        <w:t>日</w:t>
      </w:r>
    </w:p>
    <w:p>
      <w:pPr>
        <w:rPr>
          <w:rFonts w:ascii="仿宋_GB2312" w:eastAsia="仿宋_GB2312"/>
          <w:lang w:bidi="zh-CN"/>
        </w:rPr>
      </w:pPr>
    </w:p>
    <w:p>
      <w:pPr>
        <w:rPr>
          <w:rFonts w:ascii="仿宋_GB2312" w:eastAsia="仿宋_GB2312"/>
        </w:rPr>
      </w:pPr>
    </w:p>
    <w:p>
      <w:pPr>
        <w:pStyle w:val="7"/>
        <w:rPr>
          <w:rFonts w:ascii="仿宋_GB2312" w:eastAsia="仿宋_GB2312"/>
          <w:lang w:val="en-US" w:bidi="ar-SA"/>
        </w:rPr>
      </w:pPr>
    </w:p>
    <w:p>
      <w:pPr>
        <w:pStyle w:val="7"/>
        <w:ind w:left="0" w:leftChars="0" w:firstLine="0" w:firstLineChars="0"/>
        <w:jc w:val="both"/>
        <w:rPr>
          <w:rFonts w:ascii="仿宋_GB2312" w:eastAsia="仿宋_GB2312"/>
          <w:lang w:val="en-US" w:bidi="ar-SA"/>
        </w:rPr>
      </w:pPr>
    </w:p>
    <w:tbl>
      <w:tblPr>
        <w:tblStyle w:val="10"/>
        <w:tblpPr w:leftFromText="180" w:rightFromText="180" w:vertAnchor="text" w:horzAnchor="page" w:tblpX="1854" w:tblpY="109"/>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抄送：区委办公室、区政府办公室、区人大常委会人事代表委。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snapToGrid w:val="0"/>
              <w:spacing w:line="520" w:lineRule="exact"/>
              <w:rPr>
                <w:rFonts w:hint="eastAsia" w:ascii="仿宋_GB2312" w:hAnsi="仿宋_GB2312" w:eastAsia="仿宋_GB2312" w:cs="仿宋_GB2312"/>
                <w:snapToGrid w:val="0"/>
                <w:sz w:val="28"/>
                <w:szCs w:val="28"/>
              </w:rPr>
            </w:pPr>
            <w:r>
              <w:rPr>
                <w:rFonts w:hint="eastAsia" w:ascii="仿宋_GB2312" w:hAnsi="仿宋_GB2312" w:eastAsia="仿宋_GB2312" w:cs="仿宋_GB2312"/>
                <w:sz w:val="28"/>
                <w:szCs w:val="28"/>
              </w:rPr>
              <w:t xml:space="preserve">昆明市晋宁区农业农村局              </w:t>
            </w:r>
            <w:r>
              <w:rPr>
                <w:rFonts w:hint="default" w:ascii="Times New Roman" w:hAnsi="Times New Roman" w:eastAsia="仿宋_GB2312" w:cs="Times New Roman"/>
                <w:sz w:val="28"/>
                <w:szCs w:val="28"/>
              </w:rPr>
              <w:t xml:space="preserve"> 2023</w:t>
            </w:r>
            <w:r>
              <w:rPr>
                <w:rFonts w:hint="eastAsia" w:ascii="仿宋_GB2312" w:hAnsi="仿宋_GB2312" w:eastAsia="仿宋_GB2312" w:cs="仿宋_GB2312"/>
                <w:sz w:val="28"/>
                <w:szCs w:val="28"/>
              </w:rPr>
              <w:t>年</w:t>
            </w:r>
            <w:r>
              <w:rPr>
                <w:rFonts w:hint="eastAsia" w:ascii="Times New Roman" w:hAnsi="Times New Roman" w:eastAsia="仿宋_GB2312" w:cs="Times New Roman"/>
                <w:sz w:val="28"/>
                <w:szCs w:val="28"/>
              </w:rPr>
              <w:t>6</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rPr>
              <w:t>19</w:t>
            </w:r>
            <w:r>
              <w:rPr>
                <w:rFonts w:hint="eastAsia" w:ascii="仿宋_GB2312" w:hAnsi="仿宋_GB2312" w:eastAsia="仿宋_GB2312" w:cs="仿宋_GB2312"/>
                <w:sz w:val="28"/>
                <w:szCs w:val="28"/>
              </w:rPr>
              <w:t>日印发</w:t>
            </w:r>
          </w:p>
        </w:tc>
      </w:tr>
    </w:tbl>
    <w:p>
      <w:pPr>
        <w:pStyle w:val="7"/>
        <w:ind w:left="0" w:leftChars="0" w:firstLine="0" w:firstLineChars="0"/>
        <w:jc w:val="both"/>
        <w:rPr>
          <w:sz w:val="21"/>
          <w:szCs w:val="21"/>
          <w:lang w:val="en-US"/>
        </w:rPr>
      </w:pPr>
    </w:p>
    <w:sectPr>
      <w:footerReference r:id="rId3" w:type="default"/>
      <w:pgSz w:w="11905" w:h="16838"/>
      <w:pgMar w:top="2098" w:right="1474" w:bottom="1984" w:left="1587" w:header="856" w:footer="6"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5273040</wp:posOffset>
              </wp:positionH>
              <wp:positionV relativeFrom="paragraph">
                <wp:posOffset>-1076325</wp:posOffset>
              </wp:positionV>
              <wp:extent cx="342900" cy="35941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42900" cy="359410"/>
                      </a:xfrm>
                      <a:prstGeom prst="rect">
                        <a:avLst/>
                      </a:prstGeom>
                      <a:noFill/>
                      <a:ln>
                        <a:noFill/>
                      </a:ln>
                    </wps:spPr>
                    <wps:txbx>
                      <w:txbxContent>
                        <w:p>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lIns="0" tIns="0" rIns="0" bIns="0" upright="0"/>
                  </wps:wsp>
                </a:graphicData>
              </a:graphic>
            </wp:anchor>
          </w:drawing>
        </mc:Choice>
        <mc:Fallback>
          <w:pict>
            <v:shape id="文本框 1" o:spid="_x0000_s1026" o:spt="202" type="#_x0000_t202" style="position:absolute;left:0pt;margin-left:415.2pt;margin-top:-84.75pt;height:28.3pt;width:27pt;mso-position-horizontal-relative:margin;z-index:251659264;mso-width-relative:page;mso-height-relative:page;" filled="f" stroked="f" coordsize="21600,21600" o:gfxdata="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H8oDnbAAAADQEAAA8AAAAA&#10;AAAAAQAgAAAAIgAAAGRycy9kb3ducmV2LnhtbFBLAQIUABQAAAAIAIdO4kD8rPfDnwEAACMDAAAO&#10;AAAAAAAAAAEAIAAAACoBAABkcnMvZTJvRG9jLnhtbFBLBQYAAAAABgAGAFkBAAA7BQAAAAA=&#10;">
              <v:fill on="f" focussize="0,0"/>
              <v:stroke on="f"/>
              <v:imagedata o:title=""/>
              <o:lock v:ext="edit" aspectratio="f"/>
              <v:textbox inset="0mm,0mm,0mm,0mm">
                <w:txbxContent>
                  <w:p>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8E7B8"/>
    <w:multiLevelType w:val="singleLevel"/>
    <w:tmpl w:val="8778E7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2RhMjg1MTdlZTdhYjQwMTZkNjAwOWZiMzUyOWEifQ=="/>
  </w:docVars>
  <w:rsids>
    <w:rsidRoot w:val="2E8E0A7D"/>
    <w:rsid w:val="000443D1"/>
    <w:rsid w:val="00100C3D"/>
    <w:rsid w:val="00133EC9"/>
    <w:rsid w:val="0018202E"/>
    <w:rsid w:val="001F58B1"/>
    <w:rsid w:val="00355710"/>
    <w:rsid w:val="004375AE"/>
    <w:rsid w:val="004C44BA"/>
    <w:rsid w:val="008222FC"/>
    <w:rsid w:val="008549BA"/>
    <w:rsid w:val="008F0305"/>
    <w:rsid w:val="008F1611"/>
    <w:rsid w:val="009D013E"/>
    <w:rsid w:val="00C75638"/>
    <w:rsid w:val="00E83875"/>
    <w:rsid w:val="088C6839"/>
    <w:rsid w:val="0A867257"/>
    <w:rsid w:val="0ED02F34"/>
    <w:rsid w:val="1F76239F"/>
    <w:rsid w:val="20ED4A13"/>
    <w:rsid w:val="2E8E0A7D"/>
    <w:rsid w:val="31F214C0"/>
    <w:rsid w:val="379D4474"/>
    <w:rsid w:val="4B0E109B"/>
    <w:rsid w:val="4CF6364B"/>
    <w:rsid w:val="5298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next w:val="1"/>
    <w:qFormat/>
    <w:uiPriority w:val="0"/>
    <w:pPr>
      <w:widowControl w:val="0"/>
      <w:autoSpaceDE w:val="0"/>
      <w:autoSpaceDN w:val="0"/>
      <w:ind w:left="348"/>
      <w:jc w:val="center"/>
      <w:outlineLvl w:val="1"/>
    </w:pPr>
    <w:rPr>
      <w:rFonts w:ascii="Arial Unicode MS" w:hAnsi="Arial Unicode MS" w:eastAsia="Arial Unicode MS" w:cs="Arial Unicode MS"/>
      <w:kern w:val="2"/>
      <w:sz w:val="44"/>
      <w:szCs w:val="44"/>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First Indent"/>
    <w:basedOn w:val="5"/>
    <w:next w:val="1"/>
    <w:unhideWhenUsed/>
    <w:qFormat/>
    <w:uiPriority w:val="99"/>
    <w:pPr>
      <w:ind w:firstLine="420" w:firstLineChars="100"/>
    </w:pPr>
  </w:style>
  <w:style w:type="paragraph" w:styleId="5">
    <w:name w:val="Body Text"/>
    <w:basedOn w:val="1"/>
    <w:next w:val="6"/>
    <w:unhideWhenUsed/>
    <w:qFormat/>
    <w:uiPriority w:val="99"/>
    <w:pPr>
      <w:ind w:left="555" w:firstLine="7"/>
    </w:pPr>
    <w:rPr>
      <w:rFonts w:hint="eastAsia" w:ascii="宋体" w:hAnsi="宋体"/>
      <w:sz w:val="29"/>
    </w:rPr>
  </w:style>
  <w:style w:type="paragraph" w:styleId="6">
    <w:name w:val="toc 5"/>
    <w:basedOn w:val="1"/>
    <w:next w:val="1"/>
    <w:unhideWhenUsed/>
    <w:qFormat/>
    <w:uiPriority w:val="39"/>
    <w:pPr>
      <w:ind w:left="1680" w:leftChars="800"/>
    </w:p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0"/>
    <w:rPr>
      <w:rFonts w:ascii="Times New Roman" w:hAnsi="Times New Roman" w:eastAsia="宋体" w:cs="Times New Roman"/>
      <w:kern w:val="2"/>
      <w:sz w:val="18"/>
      <w:szCs w:val="18"/>
    </w:rPr>
  </w:style>
  <w:style w:type="character" w:customStyle="1" w:styleId="13">
    <w:name w:val="页脚 Char"/>
    <w:basedOn w:val="11"/>
    <w:link w:val="8"/>
    <w:qFormat/>
    <w:uiPriority w:val="0"/>
    <w:rPr>
      <w:rFonts w:ascii="Times New Roman" w:hAnsi="Times New Roman" w:eastAsia="宋体" w:cs="Times New Roman"/>
      <w:kern w:val="2"/>
      <w:sz w:val="18"/>
      <w:szCs w:val="18"/>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昆明市晋宁区党政机关单位</Company>
  <Pages>4</Pages>
  <Words>1101</Words>
  <Characters>1154</Characters>
  <Lines>9</Lines>
  <Paragraphs>2</Paragraphs>
  <TotalTime>0</TotalTime>
  <ScaleCrop>false</ScaleCrop>
  <LinksUpToDate>false</LinksUpToDate>
  <CharactersWithSpaces>1306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2023-05-22T01:53:00Z</dcterms:created>
  <dc:creator>XSD</dc:creator>
  <cp:lastModifiedBy>Administrator</cp:lastModifiedBy>
  <cp:lastPrinted>2023-06-21T08:35:00Z</cp:lastPrinted>
  <dcterms:modified xsi:type="dcterms:W3CDTF">2023-08-15T05:20:43Z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DC7F98028DD4450B9712AAFE62D0A86B_12</vt:lpwstr>
  </property>
</Properties>
</file>