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19" w:lineRule="exact"/>
        <w:jc w:val="center"/>
        <w:textAlignment w:val="auto"/>
        <w:rPr>
          <w:rFonts w:hint="eastAsia" w:ascii="方正小标宋简体" w:hAnsi="方正小标宋简体" w:eastAsia="方正小标宋简体" w:cs="方正小标宋简体"/>
          <w:spacing w:val="6"/>
          <w:kern w:val="0"/>
          <w:sz w:val="44"/>
          <w:szCs w:val="44"/>
        </w:rPr>
      </w:pPr>
    </w:p>
    <w:p>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ascii="方正小标宋简体" w:hAnsi="方正小标宋简体" w:eastAsia="方正小标宋简体" w:cs="方正小标宋简体"/>
          <w:spacing w:val="6"/>
          <w:kern w:val="0"/>
          <w:sz w:val="44"/>
          <w:szCs w:val="44"/>
        </w:rPr>
      </w:pPr>
      <w:r>
        <w:rPr>
          <w:rFonts w:hint="eastAsia" w:ascii="方正小标宋简体" w:hAnsi="方正小标宋简体" w:eastAsia="方正小标宋简体" w:cs="方正小标宋简体"/>
          <w:spacing w:val="6"/>
          <w:kern w:val="0"/>
          <w:sz w:val="44"/>
          <w:szCs w:val="44"/>
        </w:rPr>
        <w:t>昆明市晋宁区教育体育局2021年义务教育阶段课后服务专项资金项目</w:t>
      </w:r>
    </w:p>
    <w:p>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ascii="方正小标宋简体" w:hAnsi="方正小标宋简体" w:eastAsia="方正小标宋简体" w:cs="方正小标宋简体"/>
          <w:spacing w:val="6"/>
          <w:kern w:val="0"/>
          <w:sz w:val="44"/>
          <w:szCs w:val="44"/>
        </w:rPr>
      </w:pPr>
      <w:r>
        <w:rPr>
          <w:rFonts w:hint="eastAsia" w:ascii="方正小标宋简体" w:hAnsi="方正小标宋简体" w:eastAsia="方正小标宋简体" w:cs="方正小标宋简体"/>
          <w:spacing w:val="6"/>
          <w:kern w:val="0"/>
          <w:sz w:val="44"/>
          <w:szCs w:val="44"/>
        </w:rPr>
        <w:t>绩效</w:t>
      </w:r>
      <w:r>
        <w:rPr>
          <w:rFonts w:hint="eastAsia" w:ascii="方正小标宋简体" w:hAnsi="方正小标宋简体" w:eastAsia="方正小标宋简体" w:cs="方正小标宋简体"/>
          <w:spacing w:val="6"/>
          <w:kern w:val="0"/>
          <w:sz w:val="44"/>
          <w:szCs w:val="44"/>
          <w:lang w:val="en-US" w:eastAsia="zh-CN"/>
        </w:rPr>
        <w:t>重点</w:t>
      </w:r>
      <w:r>
        <w:rPr>
          <w:rFonts w:hint="eastAsia" w:ascii="方正小标宋简体" w:hAnsi="方正小标宋简体" w:eastAsia="方正小标宋简体" w:cs="方正小标宋简体"/>
          <w:spacing w:val="6"/>
          <w:kern w:val="0"/>
          <w:sz w:val="44"/>
          <w:szCs w:val="44"/>
        </w:rPr>
        <w:t>评价报告</w:t>
      </w:r>
    </w:p>
    <w:p>
      <w:pPr>
        <w:spacing w:line="579" w:lineRule="exact"/>
        <w:jc w:val="center"/>
        <w:rPr>
          <w:rFonts w:hint="eastAsia" w:ascii="方正小标宋简体" w:hAnsi="Arial Narrow" w:eastAsia="方正小标宋简体"/>
          <w:spacing w:val="6"/>
          <w:kern w:val="0"/>
          <w:sz w:val="40"/>
          <w:szCs w:val="40"/>
          <w:lang w:val="en-US" w:eastAsia="zh-CN"/>
        </w:rPr>
      </w:pPr>
      <w:bookmarkStart w:id="0" w:name="_Toc7194"/>
    </w:p>
    <w:p>
      <w:pPr>
        <w:spacing w:line="579" w:lineRule="exact"/>
        <w:jc w:val="center"/>
        <w:rPr>
          <w:rFonts w:hint="eastAsia" w:ascii="方正小标宋简体" w:hAnsi="Arial Narrow" w:eastAsia="方正小标宋简体"/>
          <w:spacing w:val="6"/>
          <w:kern w:val="0"/>
          <w:sz w:val="40"/>
          <w:szCs w:val="40"/>
          <w:lang w:val="en-US" w:eastAsia="zh-CN"/>
        </w:rPr>
      </w:pPr>
    </w:p>
    <w:p>
      <w:pPr>
        <w:spacing w:line="579" w:lineRule="exact"/>
        <w:jc w:val="center"/>
        <w:rPr>
          <w:rFonts w:hint="eastAsia" w:ascii="方正小标宋简体" w:hAnsi="Arial Narrow" w:eastAsia="方正小标宋简体"/>
          <w:spacing w:val="6"/>
          <w:kern w:val="0"/>
          <w:sz w:val="40"/>
          <w:szCs w:val="40"/>
          <w:lang w:val="en-US" w:eastAsia="zh-CN"/>
        </w:rPr>
      </w:pP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hint="eastAsia" w:ascii="黑体" w:hAnsi="黑体" w:eastAsia="黑体" w:cs="黑体"/>
          <w:b w:val="0"/>
          <w:bCs w:val="0"/>
          <w:spacing w:val="0"/>
          <w:kern w:val="0"/>
          <w:sz w:val="30"/>
          <w:szCs w:val="30"/>
          <w:lang w:val="en-US" w:eastAsia="zh-CN" w:bidi="ar"/>
        </w:rPr>
      </w:pP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hint="eastAsia" w:ascii="黑体" w:hAnsi="黑体" w:eastAsia="黑体" w:cs="黑体"/>
          <w:b w:val="0"/>
          <w:bCs w:val="0"/>
          <w:spacing w:val="0"/>
          <w:kern w:val="0"/>
          <w:sz w:val="30"/>
          <w:szCs w:val="30"/>
          <w:lang w:val="en-US" w:eastAsia="zh-CN" w:bidi="ar"/>
        </w:rPr>
      </w:pPr>
      <w:r>
        <w:rPr>
          <w:rFonts w:hint="eastAsia" w:ascii="黑体" w:hAnsi="黑体" w:eastAsia="黑体" w:cs="黑体"/>
          <w:b w:val="0"/>
          <w:bCs w:val="0"/>
          <w:spacing w:val="0"/>
          <w:kern w:val="0"/>
          <w:sz w:val="30"/>
          <w:szCs w:val="30"/>
          <w:lang w:val="en-US" w:eastAsia="zh-CN" w:bidi="ar"/>
        </w:rPr>
        <w:t>委托单位名称：昆明市晋宁区财政局</w:t>
      </w: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hint="eastAsia" w:ascii="黑体" w:hAnsi="黑体" w:eastAsia="黑体" w:cs="黑体"/>
          <w:b w:val="0"/>
          <w:bCs w:val="0"/>
          <w:spacing w:val="0"/>
          <w:kern w:val="0"/>
          <w:sz w:val="30"/>
          <w:szCs w:val="30"/>
          <w:lang w:val="en-US" w:eastAsia="zh-CN" w:bidi="ar"/>
        </w:rPr>
      </w:pPr>
      <w:r>
        <w:rPr>
          <w:rFonts w:hint="eastAsia" w:ascii="黑体" w:hAnsi="黑体" w:eastAsia="黑体" w:cs="黑体"/>
          <w:b w:val="0"/>
          <w:bCs w:val="0"/>
          <w:spacing w:val="0"/>
          <w:kern w:val="0"/>
          <w:sz w:val="30"/>
          <w:szCs w:val="30"/>
          <w:lang w:val="en-US" w:eastAsia="zh-CN" w:bidi="ar"/>
        </w:rPr>
        <w:t>评审机构名称：大华会计师事务所（特殊普通合伙）云南分所</w:t>
      </w: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hint="eastAsia" w:ascii="黑体" w:hAnsi="黑体" w:eastAsia="黑体" w:cs="黑体"/>
          <w:b w:val="0"/>
          <w:bCs w:val="0"/>
          <w:spacing w:val="0"/>
          <w:kern w:val="0"/>
          <w:sz w:val="30"/>
          <w:szCs w:val="30"/>
          <w:lang w:val="en-US" w:eastAsia="zh-CN" w:bidi="ar"/>
        </w:rPr>
      </w:pPr>
      <w:r>
        <w:rPr>
          <w:rFonts w:hint="eastAsia" w:ascii="黑体" w:hAnsi="黑体" w:eastAsia="黑体" w:cs="黑体"/>
          <w:b w:val="0"/>
          <w:bCs w:val="0"/>
          <w:spacing w:val="0"/>
          <w:kern w:val="0"/>
          <w:sz w:val="30"/>
          <w:szCs w:val="30"/>
          <w:lang w:val="en-US" w:eastAsia="zh-CN" w:bidi="ar"/>
        </w:rPr>
        <w:t>报告编号：大华核字[2022]200635号</w:t>
      </w: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hint="eastAsia" w:ascii="黑体" w:hAnsi="黑体" w:eastAsia="黑体" w:cs="黑体"/>
          <w:b w:val="0"/>
          <w:bCs w:val="0"/>
          <w:spacing w:val="0"/>
          <w:kern w:val="0"/>
          <w:sz w:val="30"/>
          <w:szCs w:val="30"/>
          <w:lang w:val="en-US" w:eastAsia="zh-CN" w:bidi="ar"/>
        </w:rPr>
      </w:pPr>
      <w:r>
        <w:rPr>
          <w:rFonts w:hint="eastAsia" w:ascii="黑体" w:hAnsi="黑体" w:eastAsia="黑体" w:cs="黑体"/>
          <w:b w:val="0"/>
          <w:bCs w:val="0"/>
          <w:spacing w:val="0"/>
          <w:kern w:val="0"/>
          <w:sz w:val="30"/>
          <w:szCs w:val="30"/>
          <w:lang w:val="en-US" w:eastAsia="zh-CN" w:bidi="ar"/>
        </w:rPr>
        <w:t>项目评审起止时间：2022年8月10日至2022年10月20日</w:t>
      </w: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hint="eastAsia" w:ascii="黑体" w:hAnsi="黑体" w:eastAsia="黑体" w:cs="黑体"/>
          <w:b w:val="0"/>
          <w:bCs w:val="0"/>
          <w:spacing w:val="0"/>
          <w:kern w:val="0"/>
          <w:sz w:val="30"/>
          <w:szCs w:val="30"/>
          <w:lang w:val="en-US" w:eastAsia="zh-CN" w:bidi="ar"/>
        </w:rPr>
      </w:pPr>
      <w:r>
        <w:rPr>
          <w:rFonts w:hint="eastAsia" w:ascii="黑体" w:hAnsi="黑体" w:eastAsia="黑体" w:cs="黑体"/>
          <w:b w:val="0"/>
          <w:bCs w:val="0"/>
          <w:spacing w:val="0"/>
          <w:kern w:val="0"/>
          <w:sz w:val="30"/>
          <w:szCs w:val="30"/>
          <w:lang w:val="en-US" w:eastAsia="zh-CN" w:bidi="ar"/>
        </w:rPr>
        <w:t>评审报告出具时间：2022年11月22日</w:t>
      </w:r>
    </w:p>
    <w:p>
      <w:pPr>
        <w:snapToGrid w:val="0"/>
        <w:jc w:val="center"/>
        <w:rPr>
          <w:rFonts w:ascii="宋体" w:hAnsi="宋体"/>
          <w:b/>
          <w:spacing w:val="40"/>
          <w:sz w:val="30"/>
          <w:szCs w:val="30"/>
        </w:rPr>
      </w:pPr>
    </w:p>
    <w:p>
      <w:pPr>
        <w:snapToGrid w:val="0"/>
        <w:jc w:val="center"/>
        <w:rPr>
          <w:rFonts w:ascii="宋体" w:hAnsi="宋体"/>
          <w:b/>
          <w:spacing w:val="40"/>
          <w:sz w:val="30"/>
          <w:szCs w:val="30"/>
        </w:rPr>
      </w:pPr>
    </w:p>
    <w:p>
      <w:pPr>
        <w:snapToGrid w:val="0"/>
        <w:jc w:val="center"/>
        <w:rPr>
          <w:rFonts w:ascii="宋体" w:hAnsi="宋体"/>
          <w:b/>
          <w:spacing w:val="40"/>
          <w:sz w:val="30"/>
          <w:szCs w:val="30"/>
        </w:rPr>
      </w:pPr>
    </w:p>
    <w:p>
      <w:pPr>
        <w:snapToGrid w:val="0"/>
        <w:jc w:val="center"/>
        <w:rPr>
          <w:rFonts w:hint="eastAsia" w:ascii="宋体" w:hAnsi="宋体" w:eastAsia="宋体" w:cs="Times New Roman"/>
          <w:b/>
          <w:spacing w:val="40"/>
          <w:kern w:val="2"/>
          <w:sz w:val="30"/>
          <w:szCs w:val="30"/>
        </w:rPr>
      </w:pPr>
    </w:p>
    <w:p>
      <w:pPr>
        <w:snapToGrid w:val="0"/>
        <w:jc w:val="center"/>
        <w:rPr>
          <w:rFonts w:hint="eastAsia" w:ascii="宋体" w:hAnsi="宋体" w:eastAsia="宋体" w:cs="Times New Roman"/>
          <w:b/>
          <w:spacing w:val="40"/>
          <w:kern w:val="2"/>
          <w:sz w:val="30"/>
          <w:szCs w:val="30"/>
        </w:rPr>
      </w:pPr>
    </w:p>
    <w:p>
      <w:pPr>
        <w:snapToGrid w:val="0"/>
        <w:jc w:val="center"/>
        <w:rPr>
          <w:rFonts w:hint="eastAsia" w:ascii="宋体" w:hAnsi="宋体" w:eastAsia="宋体" w:cs="Times New Roman"/>
          <w:b/>
          <w:spacing w:val="40"/>
          <w:kern w:val="2"/>
          <w:sz w:val="30"/>
          <w:szCs w:val="30"/>
        </w:rPr>
      </w:pPr>
    </w:p>
    <w:p>
      <w:pPr>
        <w:snapToGrid w:val="0"/>
        <w:jc w:val="center"/>
        <w:rPr>
          <w:rFonts w:ascii="宋体" w:hAnsi="宋体"/>
          <w:b/>
          <w:spacing w:val="40"/>
          <w:sz w:val="30"/>
          <w:szCs w:val="30"/>
        </w:rPr>
      </w:pPr>
      <w:r>
        <w:rPr>
          <w:rFonts w:hint="eastAsia" w:ascii="宋体" w:hAnsi="宋体" w:eastAsia="宋体" w:cs="Times New Roman"/>
          <w:b/>
          <w:spacing w:val="40"/>
          <w:kern w:val="2"/>
          <w:sz w:val="30"/>
          <w:szCs w:val="30"/>
        </w:rPr>
        <w:t>大华会计师事务所(特殊普通合伙) 云南分所</w:t>
      </w:r>
    </w:p>
    <w:p>
      <w:pPr>
        <w:snapToGrid w:val="0"/>
        <w:jc w:val="center"/>
        <w:rPr>
          <w:rFonts w:ascii="Times New Roman" w:hAnsi="Times New Roman" w:eastAsia="宋体" w:cs="Times New Roman"/>
          <w:spacing w:val="-8"/>
          <w:kern w:val="2"/>
          <w:sz w:val="24"/>
          <w:szCs w:val="24"/>
        </w:rPr>
      </w:pPr>
    </w:p>
    <w:p>
      <w:pPr>
        <w:snapToGrid w:val="0"/>
        <w:jc w:val="center"/>
        <w:rPr>
          <w:rFonts w:ascii="方正小标宋简体" w:hAnsi="方正小标宋简体" w:eastAsia="方正小标宋简体" w:cs="方正小标宋简体"/>
          <w:spacing w:val="6"/>
          <w:kern w:val="0"/>
          <w:sz w:val="36"/>
          <w:szCs w:val="36"/>
        </w:rPr>
      </w:pPr>
      <w:r>
        <w:rPr>
          <w:rFonts w:ascii="Times New Roman" w:hAnsi="Times New Roman" w:eastAsia="宋体" w:cs="Times New Roman"/>
          <w:spacing w:val="-8"/>
          <w:kern w:val="2"/>
          <w:sz w:val="24"/>
          <w:szCs w:val="24"/>
        </w:rPr>
        <w:t>D</w:t>
      </w:r>
      <w:r>
        <w:rPr>
          <w:rFonts w:hint="eastAsia" w:ascii="Times New Roman" w:hAnsi="Times New Roman" w:eastAsia="宋体" w:cs="Times New Roman"/>
          <w:spacing w:val="-8"/>
          <w:kern w:val="2"/>
          <w:sz w:val="24"/>
          <w:szCs w:val="24"/>
        </w:rPr>
        <w:t>a</w:t>
      </w:r>
      <w:r>
        <w:rPr>
          <w:rFonts w:ascii="Times New Roman" w:hAnsi="Times New Roman" w:eastAsia="宋体" w:cs="Times New Roman"/>
          <w:spacing w:val="-8"/>
          <w:kern w:val="2"/>
          <w:sz w:val="24"/>
          <w:szCs w:val="24"/>
        </w:rPr>
        <w:t xml:space="preserve"> H</w:t>
      </w:r>
      <w:r>
        <w:rPr>
          <w:rFonts w:hint="eastAsia" w:ascii="Times New Roman" w:hAnsi="Times New Roman" w:eastAsia="宋体" w:cs="Times New Roman"/>
          <w:spacing w:val="-8"/>
          <w:kern w:val="2"/>
          <w:sz w:val="24"/>
          <w:szCs w:val="24"/>
        </w:rPr>
        <w:t xml:space="preserve">ua </w:t>
      </w:r>
      <w:r>
        <w:rPr>
          <w:rFonts w:ascii="Times New Roman" w:hAnsi="Times New Roman" w:eastAsia="宋体" w:cs="Times New Roman"/>
          <w:spacing w:val="-8"/>
          <w:kern w:val="2"/>
          <w:sz w:val="24"/>
          <w:szCs w:val="24"/>
        </w:rPr>
        <w:t>Certified Public Accountants</w:t>
      </w:r>
      <w:r>
        <w:rPr>
          <w:rFonts w:hint="eastAsia" w:ascii="Times New Roman" w:hAnsi="Times New Roman" w:eastAsia="宋体" w:cs="Times New Roman"/>
          <w:spacing w:val="-8"/>
          <w:kern w:val="2"/>
          <w:sz w:val="24"/>
          <w:szCs w:val="24"/>
        </w:rPr>
        <w:t>（Special General Partnership）Yun</w:t>
      </w:r>
      <w:r>
        <w:rPr>
          <w:rFonts w:ascii="Times New Roman" w:hAnsi="Times New Roman" w:eastAsia="宋体" w:cs="Times New Roman"/>
          <w:spacing w:val="-8"/>
          <w:kern w:val="2"/>
          <w:sz w:val="24"/>
          <w:szCs w:val="24"/>
        </w:rPr>
        <w:t>nan Branch</w:t>
      </w:r>
    </w:p>
    <w:p>
      <w:pPr>
        <w:autoSpaceDE w:val="0"/>
        <w:autoSpaceDN w:val="0"/>
        <w:adjustRightInd w:val="0"/>
        <w:spacing w:line="579" w:lineRule="exact"/>
        <w:rPr>
          <w:rFonts w:ascii="黑体" w:hAnsi="宋体" w:eastAsia="黑体"/>
          <w:spacing w:val="6"/>
          <w:szCs w:val="30"/>
        </w:rPr>
        <w:sectPr>
          <w:headerReference r:id="rId5" w:type="first"/>
          <w:footerReference r:id="rId7" w:type="first"/>
          <w:headerReference r:id="rId3" w:type="default"/>
          <w:headerReference r:id="rId4" w:type="even"/>
          <w:footerReference r:id="rId6" w:type="even"/>
          <w:type w:val="oddPage"/>
          <w:pgSz w:w="11906" w:h="16838"/>
          <w:pgMar w:top="2098" w:right="1474" w:bottom="1984" w:left="1588" w:header="851" w:footer="1474" w:gutter="0"/>
          <w:pgNumType w:start="1"/>
          <w:cols w:space="0" w:num="1"/>
          <w:docGrid w:type="linesAndChars" w:linePitch="579" w:charSpace="3247"/>
        </w:sectPr>
      </w:pPr>
    </w:p>
    <w:p>
      <w:pPr>
        <w:widowControl/>
        <w:spacing w:line="579" w:lineRule="exact"/>
        <w:jc w:val="center"/>
        <w:outlineLvl w:val="0"/>
        <w:rPr>
          <w:rFonts w:asciiTheme="minorEastAsia" w:hAnsiTheme="minorEastAsia" w:eastAsiaTheme="minorEastAsia"/>
          <w:b/>
          <w:sz w:val="36"/>
          <w:szCs w:val="36"/>
          <w:lang w:val="zh-CN"/>
        </w:rPr>
      </w:pPr>
      <w:r>
        <w:rPr>
          <w:rFonts w:hint="eastAsia" w:asciiTheme="minorEastAsia" w:hAnsiTheme="minorEastAsia" w:eastAsiaTheme="minorEastAsia"/>
          <w:b/>
          <w:sz w:val="36"/>
          <w:szCs w:val="36"/>
          <w:lang w:val="zh-CN"/>
        </w:rPr>
        <w:t>目  录</w:t>
      </w:r>
      <w:bookmarkEnd w:id="0"/>
    </w:p>
    <w:sdt>
      <w:sdtPr>
        <w:rPr>
          <w:rFonts w:ascii="仿宋_GB2312" w:hAnsi="Times New Roman" w:eastAsia="仿宋_GB2312"/>
          <w:kern w:val="30"/>
          <w:sz w:val="24"/>
          <w:szCs w:val="24"/>
          <w:lang w:val="zh-CN"/>
        </w:rPr>
        <w:id w:val="-201706083"/>
      </w:sdtPr>
      <w:sdtEndPr>
        <w:rPr>
          <w:rFonts w:hint="eastAsia" w:asciiTheme="minorEastAsia" w:hAnsiTheme="minorEastAsia" w:eastAsiaTheme="minorEastAsia"/>
          <w:kern w:val="30"/>
          <w:sz w:val="28"/>
          <w:szCs w:val="28"/>
          <w:lang w:val="en-US"/>
        </w:rPr>
      </w:sdtEndPr>
      <w:sdtContent>
        <w:p>
          <w:pPr>
            <w:pStyle w:val="12"/>
            <w:spacing w:line="579" w:lineRule="exact"/>
            <w:ind w:right="38"/>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TOC \o "1-3" \h \z \u </w:instrText>
          </w:r>
          <w:r>
            <w:rPr>
              <w:rFonts w:asciiTheme="minorEastAsia" w:hAnsiTheme="minorEastAsia"/>
              <w:sz w:val="28"/>
              <w:szCs w:val="28"/>
            </w:rPr>
            <w:fldChar w:fldCharType="separate"/>
          </w:r>
        </w:p>
        <w:p>
          <w:pPr>
            <w:pStyle w:val="12"/>
            <w:tabs>
              <w:tab w:val="right" w:leader="dot" w:pos="8844"/>
              <w:tab w:val="clear" w:pos="8931"/>
            </w:tabs>
            <w:spacing w:line="579" w:lineRule="exact"/>
            <w:ind w:right="38"/>
            <w:rPr>
              <w:rFonts w:ascii="仿宋" w:hAnsi="仿宋" w:eastAsia="仿宋" w:cs="仿宋"/>
              <w:b/>
              <w:bCs/>
              <w:sz w:val="24"/>
              <w:szCs w:val="24"/>
            </w:rPr>
          </w:pPr>
          <w:r>
            <w:fldChar w:fldCharType="begin"/>
          </w:r>
          <w:r>
            <w:instrText xml:space="preserve"> HYPERLINK \l "_Toc7194" </w:instrText>
          </w:r>
          <w:r>
            <w:fldChar w:fldCharType="separate"/>
          </w:r>
          <w:r>
            <w:rPr>
              <w:rFonts w:hint="eastAsia" w:ascii="仿宋" w:hAnsi="仿宋" w:eastAsia="仿宋" w:cs="仿宋"/>
              <w:b/>
              <w:bCs/>
              <w:sz w:val="24"/>
              <w:szCs w:val="24"/>
              <w:lang w:val="zh-CN"/>
            </w:rPr>
            <w:t>目  录</w:t>
          </w:r>
          <w:r>
            <w:rPr>
              <w:rFonts w:hint="eastAsia" w:ascii="仿宋" w:hAnsi="仿宋" w:eastAsia="仿宋" w:cs="仿宋"/>
              <w:b/>
              <w:bCs/>
              <w:sz w:val="24"/>
              <w:szCs w:val="24"/>
            </w:rPr>
            <w:tab/>
          </w: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PAGEREF _Toc7194 \h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I</w:t>
          </w:r>
          <w:r>
            <w:rPr>
              <w:rFonts w:hint="eastAsia" w:ascii="仿宋" w:hAnsi="仿宋" w:eastAsia="仿宋" w:cs="仿宋"/>
              <w:b/>
              <w:bCs/>
              <w:sz w:val="24"/>
              <w:szCs w:val="24"/>
            </w:rPr>
            <w:fldChar w:fldCharType="end"/>
          </w:r>
          <w:r>
            <w:rPr>
              <w:rFonts w:hint="eastAsia" w:ascii="仿宋" w:hAnsi="仿宋" w:eastAsia="仿宋" w:cs="仿宋"/>
              <w:b/>
              <w:bCs/>
              <w:sz w:val="24"/>
              <w:szCs w:val="24"/>
            </w:rPr>
            <w:fldChar w:fldCharType="end"/>
          </w:r>
        </w:p>
        <w:p>
          <w:pPr>
            <w:pStyle w:val="12"/>
            <w:tabs>
              <w:tab w:val="right" w:leader="dot" w:pos="8844"/>
              <w:tab w:val="clear" w:pos="8931"/>
            </w:tabs>
            <w:spacing w:line="579" w:lineRule="exact"/>
            <w:ind w:right="38"/>
            <w:rPr>
              <w:rFonts w:ascii="仿宋" w:hAnsi="仿宋" w:eastAsia="仿宋" w:cs="仿宋"/>
              <w:b/>
              <w:bCs/>
              <w:sz w:val="24"/>
              <w:szCs w:val="24"/>
            </w:rPr>
          </w:pPr>
          <w:r>
            <w:fldChar w:fldCharType="begin"/>
          </w:r>
          <w:r>
            <w:instrText xml:space="preserve"> HYPERLINK \l "_Toc7493" </w:instrText>
          </w:r>
          <w:r>
            <w:fldChar w:fldCharType="separate"/>
          </w:r>
          <w:r>
            <w:rPr>
              <w:rFonts w:hint="eastAsia" w:ascii="仿宋" w:hAnsi="仿宋" w:eastAsia="仿宋" w:cs="仿宋"/>
              <w:b/>
              <w:bCs/>
              <w:sz w:val="24"/>
              <w:szCs w:val="24"/>
            </w:rPr>
            <w:t>摘  要</w:t>
          </w:r>
          <w:r>
            <w:rPr>
              <w:rFonts w:hint="eastAsia" w:ascii="仿宋" w:hAnsi="仿宋" w:eastAsia="仿宋" w:cs="仿宋"/>
              <w:b/>
              <w:bCs/>
              <w:sz w:val="24"/>
              <w:szCs w:val="24"/>
            </w:rPr>
            <w:tab/>
          </w: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PAGEREF _Toc7493 \h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II</w:t>
          </w:r>
          <w:r>
            <w:rPr>
              <w:rFonts w:hint="eastAsia" w:ascii="仿宋" w:hAnsi="仿宋" w:eastAsia="仿宋" w:cs="仿宋"/>
              <w:b/>
              <w:bCs/>
              <w:sz w:val="24"/>
              <w:szCs w:val="24"/>
            </w:rPr>
            <w:fldChar w:fldCharType="end"/>
          </w:r>
          <w:r>
            <w:rPr>
              <w:rFonts w:hint="eastAsia" w:ascii="仿宋" w:hAnsi="仿宋" w:eastAsia="仿宋" w:cs="仿宋"/>
              <w:b/>
              <w:bCs/>
              <w:sz w:val="24"/>
              <w:szCs w:val="24"/>
            </w:rPr>
            <w:fldChar w:fldCharType="end"/>
          </w:r>
        </w:p>
        <w:p>
          <w:pPr>
            <w:pStyle w:val="12"/>
            <w:tabs>
              <w:tab w:val="right" w:leader="dot" w:pos="8844"/>
              <w:tab w:val="clear" w:pos="8931"/>
            </w:tabs>
            <w:spacing w:line="579" w:lineRule="exact"/>
            <w:ind w:right="38"/>
            <w:rPr>
              <w:rFonts w:ascii="仿宋" w:hAnsi="仿宋" w:eastAsia="仿宋" w:cs="仿宋"/>
              <w:b/>
              <w:bCs/>
              <w:sz w:val="24"/>
              <w:szCs w:val="24"/>
            </w:rPr>
          </w:pPr>
          <w:r>
            <w:fldChar w:fldCharType="begin"/>
          </w:r>
          <w:r>
            <w:instrText xml:space="preserve"> HYPERLINK \l "_Toc7564" </w:instrText>
          </w:r>
          <w:r>
            <w:fldChar w:fldCharType="separate"/>
          </w:r>
          <w:r>
            <w:rPr>
              <w:rFonts w:hint="eastAsia" w:ascii="仿宋" w:hAnsi="仿宋" w:eastAsia="仿宋" w:cs="仿宋"/>
              <w:b/>
              <w:bCs/>
              <w:sz w:val="24"/>
              <w:szCs w:val="24"/>
            </w:rPr>
            <w:t>一、基本情况</w:t>
          </w:r>
          <w:r>
            <w:rPr>
              <w:rFonts w:hint="eastAsia" w:ascii="仿宋" w:hAnsi="仿宋" w:eastAsia="仿宋" w:cs="仿宋"/>
              <w:b/>
              <w:bCs/>
              <w:sz w:val="24"/>
              <w:szCs w:val="24"/>
            </w:rPr>
            <w:tab/>
          </w: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PAGEREF _Toc7564 \h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1</w:t>
          </w:r>
          <w:r>
            <w:rPr>
              <w:rFonts w:hint="eastAsia" w:ascii="仿宋" w:hAnsi="仿宋" w:eastAsia="仿宋" w:cs="仿宋"/>
              <w:b/>
              <w:bCs/>
              <w:sz w:val="24"/>
              <w:szCs w:val="24"/>
            </w:rPr>
            <w:fldChar w:fldCharType="end"/>
          </w:r>
          <w:r>
            <w:rPr>
              <w:rFonts w:hint="eastAsia" w:ascii="仿宋" w:hAnsi="仿宋" w:eastAsia="仿宋" w:cs="仿宋"/>
              <w:b/>
              <w:bCs/>
              <w:sz w:val="24"/>
              <w:szCs w:val="24"/>
            </w:rPr>
            <w:fldChar w:fldCharType="end"/>
          </w:r>
        </w:p>
        <w:p>
          <w:pPr>
            <w:pStyle w:val="12"/>
            <w:tabs>
              <w:tab w:val="right" w:leader="dot" w:pos="8844"/>
              <w:tab w:val="clear" w:pos="8931"/>
            </w:tabs>
            <w:spacing w:line="579" w:lineRule="exact"/>
            <w:ind w:right="38"/>
            <w:rPr>
              <w:rFonts w:ascii="仿宋" w:hAnsi="仿宋" w:eastAsia="仿宋" w:cs="仿宋"/>
              <w:b/>
              <w:bCs/>
              <w:sz w:val="24"/>
              <w:szCs w:val="24"/>
            </w:rPr>
          </w:pPr>
          <w:r>
            <w:fldChar w:fldCharType="begin"/>
          </w:r>
          <w:r>
            <w:instrText xml:space="preserve"> HYPERLINK \l "_Toc3922" </w:instrText>
          </w:r>
          <w:r>
            <w:fldChar w:fldCharType="separate"/>
          </w:r>
          <w:r>
            <w:rPr>
              <w:rFonts w:hint="eastAsia" w:ascii="仿宋" w:hAnsi="仿宋" w:eastAsia="仿宋" w:cs="仿宋"/>
              <w:b/>
              <w:bCs/>
              <w:sz w:val="24"/>
              <w:szCs w:val="24"/>
            </w:rPr>
            <w:t>二、绩效评价工作开展情况</w:t>
          </w:r>
          <w:r>
            <w:rPr>
              <w:rFonts w:hint="eastAsia" w:ascii="仿宋" w:hAnsi="仿宋" w:eastAsia="仿宋" w:cs="仿宋"/>
              <w:b/>
              <w:bCs/>
              <w:sz w:val="24"/>
              <w:szCs w:val="24"/>
            </w:rPr>
            <w:tab/>
          </w: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PAGEREF _Toc3922 \h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3</w:t>
          </w:r>
          <w:r>
            <w:rPr>
              <w:rFonts w:hint="eastAsia" w:ascii="仿宋" w:hAnsi="仿宋" w:eastAsia="仿宋" w:cs="仿宋"/>
              <w:b/>
              <w:bCs/>
              <w:sz w:val="24"/>
              <w:szCs w:val="24"/>
            </w:rPr>
            <w:fldChar w:fldCharType="end"/>
          </w:r>
          <w:r>
            <w:rPr>
              <w:rFonts w:hint="eastAsia" w:ascii="仿宋" w:hAnsi="仿宋" w:eastAsia="仿宋" w:cs="仿宋"/>
              <w:b/>
              <w:bCs/>
              <w:sz w:val="24"/>
              <w:szCs w:val="24"/>
            </w:rPr>
            <w:fldChar w:fldCharType="end"/>
          </w:r>
        </w:p>
        <w:p>
          <w:pPr>
            <w:pStyle w:val="13"/>
            <w:tabs>
              <w:tab w:val="right" w:leader="dot" w:pos="8844"/>
              <w:tab w:val="clear" w:pos="8789"/>
            </w:tabs>
            <w:spacing w:line="579" w:lineRule="exact"/>
            <w:rPr>
              <w:rFonts w:ascii="仿宋" w:hAnsi="仿宋" w:eastAsia="仿宋" w:cs="仿宋"/>
              <w:b w:val="0"/>
              <w:bCs w:val="0"/>
            </w:rPr>
          </w:pPr>
          <w:r>
            <w:fldChar w:fldCharType="begin"/>
          </w:r>
          <w:r>
            <w:instrText xml:space="preserve"> HYPERLINK \l "_Toc10334" </w:instrText>
          </w:r>
          <w:r>
            <w:fldChar w:fldCharType="separate"/>
          </w:r>
          <w:r>
            <w:rPr>
              <w:rFonts w:hint="eastAsia" w:ascii="仿宋" w:hAnsi="仿宋" w:eastAsia="仿宋" w:cs="仿宋"/>
              <w:b w:val="0"/>
              <w:bCs w:val="0"/>
            </w:rPr>
            <w:t>（一）绩效评价目的、对象和范围</w:t>
          </w:r>
          <w:r>
            <w:rPr>
              <w:rFonts w:hint="eastAsia" w:ascii="仿宋" w:hAnsi="仿宋" w:eastAsia="仿宋" w:cs="仿宋"/>
              <w:b w:val="0"/>
              <w:bCs w:val="0"/>
            </w:rPr>
            <w:tab/>
          </w:r>
          <w:r>
            <w:rPr>
              <w:rFonts w:hint="eastAsia" w:ascii="仿宋" w:hAnsi="仿宋" w:eastAsia="仿宋" w:cs="仿宋"/>
              <w:b w:val="0"/>
              <w:bCs w:val="0"/>
            </w:rPr>
            <w:fldChar w:fldCharType="begin"/>
          </w:r>
          <w:r>
            <w:rPr>
              <w:rFonts w:hint="eastAsia" w:ascii="仿宋" w:hAnsi="仿宋" w:eastAsia="仿宋" w:cs="仿宋"/>
              <w:b w:val="0"/>
              <w:bCs w:val="0"/>
            </w:rPr>
            <w:instrText xml:space="preserve"> PAGEREF _Toc10334 \h </w:instrText>
          </w:r>
          <w:r>
            <w:rPr>
              <w:rFonts w:hint="eastAsia" w:ascii="仿宋" w:hAnsi="仿宋" w:eastAsia="仿宋" w:cs="仿宋"/>
              <w:b w:val="0"/>
              <w:bCs w:val="0"/>
            </w:rPr>
            <w:fldChar w:fldCharType="separate"/>
          </w:r>
          <w:r>
            <w:rPr>
              <w:rFonts w:hint="eastAsia" w:ascii="仿宋" w:hAnsi="仿宋" w:eastAsia="仿宋" w:cs="仿宋"/>
              <w:b w:val="0"/>
              <w:bCs w:val="0"/>
            </w:rPr>
            <w:t>3</w:t>
          </w:r>
          <w:r>
            <w:rPr>
              <w:rFonts w:hint="eastAsia" w:ascii="仿宋" w:hAnsi="仿宋" w:eastAsia="仿宋" w:cs="仿宋"/>
              <w:b w:val="0"/>
              <w:bCs w:val="0"/>
            </w:rPr>
            <w:fldChar w:fldCharType="end"/>
          </w:r>
          <w:r>
            <w:rPr>
              <w:rFonts w:hint="eastAsia" w:ascii="仿宋" w:hAnsi="仿宋" w:eastAsia="仿宋" w:cs="仿宋"/>
              <w:b w:val="0"/>
              <w:bCs w:val="0"/>
            </w:rPr>
            <w:fldChar w:fldCharType="end"/>
          </w:r>
        </w:p>
        <w:p>
          <w:pPr>
            <w:pStyle w:val="13"/>
            <w:tabs>
              <w:tab w:val="right" w:leader="dot" w:pos="8844"/>
              <w:tab w:val="clear" w:pos="8789"/>
            </w:tabs>
            <w:spacing w:line="579" w:lineRule="exact"/>
            <w:rPr>
              <w:rFonts w:ascii="仿宋" w:hAnsi="仿宋" w:eastAsia="仿宋" w:cs="仿宋"/>
              <w:b w:val="0"/>
              <w:bCs w:val="0"/>
            </w:rPr>
          </w:pPr>
          <w:r>
            <w:fldChar w:fldCharType="begin"/>
          </w:r>
          <w:r>
            <w:instrText xml:space="preserve"> HYPERLINK \l "_Toc32659" </w:instrText>
          </w:r>
          <w:r>
            <w:fldChar w:fldCharType="separate"/>
          </w:r>
          <w:r>
            <w:rPr>
              <w:rFonts w:hint="eastAsia" w:ascii="仿宋" w:hAnsi="仿宋" w:eastAsia="仿宋" w:cs="仿宋"/>
              <w:b w:val="0"/>
              <w:bCs w:val="0"/>
            </w:rPr>
            <w:t>（二）绩效评价原则、评价指标体系、评价方法、评价标准和评价抽样</w:t>
          </w:r>
          <w:r>
            <w:rPr>
              <w:rFonts w:hint="eastAsia" w:ascii="仿宋" w:hAnsi="仿宋" w:eastAsia="仿宋" w:cs="仿宋"/>
              <w:b w:val="0"/>
              <w:bCs w:val="0"/>
            </w:rPr>
            <w:tab/>
          </w:r>
          <w:r>
            <w:rPr>
              <w:rFonts w:hint="eastAsia" w:ascii="仿宋" w:hAnsi="仿宋" w:eastAsia="仿宋" w:cs="仿宋"/>
              <w:b w:val="0"/>
              <w:bCs w:val="0"/>
            </w:rPr>
            <w:fldChar w:fldCharType="begin"/>
          </w:r>
          <w:r>
            <w:rPr>
              <w:rFonts w:hint="eastAsia" w:ascii="仿宋" w:hAnsi="仿宋" w:eastAsia="仿宋" w:cs="仿宋"/>
              <w:b w:val="0"/>
              <w:bCs w:val="0"/>
            </w:rPr>
            <w:instrText xml:space="preserve"> PAGEREF _Toc32659 \h </w:instrText>
          </w:r>
          <w:r>
            <w:rPr>
              <w:rFonts w:hint="eastAsia" w:ascii="仿宋" w:hAnsi="仿宋" w:eastAsia="仿宋" w:cs="仿宋"/>
              <w:b w:val="0"/>
              <w:bCs w:val="0"/>
            </w:rPr>
            <w:fldChar w:fldCharType="separate"/>
          </w:r>
          <w:r>
            <w:rPr>
              <w:rFonts w:hint="eastAsia" w:ascii="仿宋" w:hAnsi="仿宋" w:eastAsia="仿宋" w:cs="仿宋"/>
              <w:b w:val="0"/>
              <w:bCs w:val="0"/>
            </w:rPr>
            <w:t>4</w:t>
          </w:r>
          <w:r>
            <w:rPr>
              <w:rFonts w:hint="eastAsia" w:ascii="仿宋" w:hAnsi="仿宋" w:eastAsia="仿宋" w:cs="仿宋"/>
              <w:b w:val="0"/>
              <w:bCs w:val="0"/>
            </w:rPr>
            <w:fldChar w:fldCharType="end"/>
          </w:r>
          <w:r>
            <w:rPr>
              <w:rFonts w:hint="eastAsia" w:ascii="仿宋" w:hAnsi="仿宋" w:eastAsia="仿宋" w:cs="仿宋"/>
              <w:b w:val="0"/>
              <w:bCs w:val="0"/>
            </w:rPr>
            <w:fldChar w:fldCharType="end"/>
          </w:r>
        </w:p>
        <w:p>
          <w:pPr>
            <w:pStyle w:val="13"/>
            <w:tabs>
              <w:tab w:val="right" w:leader="dot" w:pos="8844"/>
              <w:tab w:val="clear" w:pos="8789"/>
            </w:tabs>
            <w:spacing w:line="579" w:lineRule="exact"/>
            <w:rPr>
              <w:rFonts w:ascii="仿宋" w:hAnsi="仿宋" w:eastAsia="仿宋" w:cs="仿宋"/>
              <w:b w:val="0"/>
              <w:bCs w:val="0"/>
            </w:rPr>
          </w:pPr>
          <w:r>
            <w:fldChar w:fldCharType="begin"/>
          </w:r>
          <w:r>
            <w:instrText xml:space="preserve"> HYPERLINK \l "_Toc2711" </w:instrText>
          </w:r>
          <w:r>
            <w:fldChar w:fldCharType="separate"/>
          </w:r>
          <w:r>
            <w:rPr>
              <w:rFonts w:hint="eastAsia" w:ascii="仿宋" w:hAnsi="仿宋" w:eastAsia="仿宋" w:cs="仿宋"/>
              <w:b w:val="0"/>
              <w:bCs w:val="0"/>
            </w:rPr>
            <w:t>（三）绩效评价工作过程</w:t>
          </w:r>
          <w:r>
            <w:rPr>
              <w:rFonts w:hint="eastAsia" w:ascii="仿宋" w:hAnsi="仿宋" w:eastAsia="仿宋" w:cs="仿宋"/>
              <w:b w:val="0"/>
              <w:bCs w:val="0"/>
            </w:rPr>
            <w:tab/>
          </w:r>
          <w:r>
            <w:rPr>
              <w:rFonts w:hint="eastAsia" w:ascii="仿宋" w:hAnsi="仿宋" w:eastAsia="仿宋" w:cs="仿宋"/>
              <w:b w:val="0"/>
              <w:bCs w:val="0"/>
            </w:rPr>
            <w:fldChar w:fldCharType="begin"/>
          </w:r>
          <w:r>
            <w:rPr>
              <w:rFonts w:hint="eastAsia" w:ascii="仿宋" w:hAnsi="仿宋" w:eastAsia="仿宋" w:cs="仿宋"/>
              <w:b w:val="0"/>
              <w:bCs w:val="0"/>
            </w:rPr>
            <w:instrText xml:space="preserve"> PAGEREF _Toc2711 \h </w:instrText>
          </w:r>
          <w:r>
            <w:rPr>
              <w:rFonts w:hint="eastAsia" w:ascii="仿宋" w:hAnsi="仿宋" w:eastAsia="仿宋" w:cs="仿宋"/>
              <w:b w:val="0"/>
              <w:bCs w:val="0"/>
            </w:rPr>
            <w:fldChar w:fldCharType="separate"/>
          </w:r>
          <w:r>
            <w:rPr>
              <w:rFonts w:hint="eastAsia" w:ascii="仿宋" w:hAnsi="仿宋" w:eastAsia="仿宋" w:cs="仿宋"/>
              <w:b w:val="0"/>
              <w:bCs w:val="0"/>
            </w:rPr>
            <w:t>8</w:t>
          </w:r>
          <w:r>
            <w:rPr>
              <w:rFonts w:hint="eastAsia" w:ascii="仿宋" w:hAnsi="仿宋" w:eastAsia="仿宋" w:cs="仿宋"/>
              <w:b w:val="0"/>
              <w:bCs w:val="0"/>
            </w:rPr>
            <w:fldChar w:fldCharType="end"/>
          </w:r>
          <w:r>
            <w:rPr>
              <w:rFonts w:hint="eastAsia" w:ascii="仿宋" w:hAnsi="仿宋" w:eastAsia="仿宋" w:cs="仿宋"/>
              <w:b w:val="0"/>
              <w:bCs w:val="0"/>
            </w:rPr>
            <w:fldChar w:fldCharType="end"/>
          </w:r>
        </w:p>
        <w:p>
          <w:pPr>
            <w:pStyle w:val="12"/>
            <w:tabs>
              <w:tab w:val="right" w:leader="dot" w:pos="8844"/>
              <w:tab w:val="clear" w:pos="8931"/>
            </w:tabs>
            <w:spacing w:line="579" w:lineRule="exact"/>
            <w:ind w:right="38"/>
            <w:rPr>
              <w:rFonts w:ascii="仿宋" w:hAnsi="仿宋" w:eastAsia="仿宋" w:cs="仿宋"/>
              <w:b/>
              <w:bCs/>
              <w:sz w:val="24"/>
              <w:szCs w:val="24"/>
            </w:rPr>
          </w:pPr>
          <w:r>
            <w:fldChar w:fldCharType="begin"/>
          </w:r>
          <w:r>
            <w:instrText xml:space="preserve"> HYPERLINK \l "_Toc4246" </w:instrText>
          </w:r>
          <w:r>
            <w:fldChar w:fldCharType="separate"/>
          </w:r>
          <w:r>
            <w:rPr>
              <w:rFonts w:hint="eastAsia" w:ascii="仿宋" w:hAnsi="仿宋" w:eastAsia="仿宋" w:cs="仿宋"/>
              <w:b/>
              <w:bCs/>
              <w:sz w:val="24"/>
              <w:szCs w:val="24"/>
            </w:rPr>
            <w:t>三、绩效评价结论</w:t>
          </w:r>
          <w:r>
            <w:rPr>
              <w:rFonts w:hint="eastAsia" w:ascii="仿宋" w:hAnsi="仿宋" w:eastAsia="仿宋" w:cs="仿宋"/>
              <w:b/>
              <w:bCs/>
              <w:sz w:val="24"/>
              <w:szCs w:val="24"/>
            </w:rPr>
            <w:tab/>
          </w: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PAGEREF _Toc4246 \h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8</w:t>
          </w:r>
          <w:r>
            <w:rPr>
              <w:rFonts w:hint="eastAsia" w:ascii="仿宋" w:hAnsi="仿宋" w:eastAsia="仿宋" w:cs="仿宋"/>
              <w:b/>
              <w:bCs/>
              <w:sz w:val="24"/>
              <w:szCs w:val="24"/>
            </w:rPr>
            <w:fldChar w:fldCharType="end"/>
          </w:r>
          <w:r>
            <w:rPr>
              <w:rFonts w:hint="eastAsia" w:ascii="仿宋" w:hAnsi="仿宋" w:eastAsia="仿宋" w:cs="仿宋"/>
              <w:b/>
              <w:bCs/>
              <w:sz w:val="24"/>
              <w:szCs w:val="24"/>
            </w:rPr>
            <w:fldChar w:fldCharType="end"/>
          </w:r>
        </w:p>
        <w:p>
          <w:pPr>
            <w:pStyle w:val="13"/>
            <w:tabs>
              <w:tab w:val="right" w:leader="dot" w:pos="8844"/>
              <w:tab w:val="clear" w:pos="8789"/>
            </w:tabs>
            <w:spacing w:line="579" w:lineRule="exact"/>
            <w:rPr>
              <w:rFonts w:ascii="仿宋" w:hAnsi="仿宋" w:eastAsia="仿宋" w:cs="仿宋"/>
              <w:b w:val="0"/>
              <w:bCs w:val="0"/>
            </w:rPr>
          </w:pPr>
          <w:r>
            <w:fldChar w:fldCharType="begin"/>
          </w:r>
          <w:r>
            <w:instrText xml:space="preserve"> HYPERLINK \l "_Toc16039" </w:instrText>
          </w:r>
          <w:r>
            <w:fldChar w:fldCharType="separate"/>
          </w:r>
          <w:r>
            <w:rPr>
              <w:rFonts w:hint="eastAsia" w:ascii="仿宋" w:hAnsi="仿宋" w:eastAsia="仿宋" w:cs="仿宋"/>
              <w:b w:val="0"/>
              <w:bCs w:val="0"/>
            </w:rPr>
            <w:t>（一）绩效评价综合结论</w:t>
          </w:r>
          <w:r>
            <w:rPr>
              <w:rFonts w:hint="eastAsia" w:ascii="仿宋" w:hAnsi="仿宋" w:eastAsia="仿宋" w:cs="仿宋"/>
              <w:b w:val="0"/>
              <w:bCs w:val="0"/>
            </w:rPr>
            <w:tab/>
          </w:r>
          <w:r>
            <w:rPr>
              <w:rFonts w:hint="eastAsia" w:ascii="仿宋" w:hAnsi="仿宋" w:eastAsia="仿宋" w:cs="仿宋"/>
              <w:b w:val="0"/>
              <w:bCs w:val="0"/>
            </w:rPr>
            <w:fldChar w:fldCharType="begin"/>
          </w:r>
          <w:r>
            <w:rPr>
              <w:rFonts w:hint="eastAsia" w:ascii="仿宋" w:hAnsi="仿宋" w:eastAsia="仿宋" w:cs="仿宋"/>
              <w:b w:val="0"/>
              <w:bCs w:val="0"/>
            </w:rPr>
            <w:instrText xml:space="preserve"> PAGEREF _Toc16039 \h </w:instrText>
          </w:r>
          <w:r>
            <w:rPr>
              <w:rFonts w:hint="eastAsia" w:ascii="仿宋" w:hAnsi="仿宋" w:eastAsia="仿宋" w:cs="仿宋"/>
              <w:b w:val="0"/>
              <w:bCs w:val="0"/>
            </w:rPr>
            <w:fldChar w:fldCharType="separate"/>
          </w:r>
          <w:r>
            <w:rPr>
              <w:rFonts w:hint="eastAsia" w:ascii="仿宋" w:hAnsi="仿宋" w:eastAsia="仿宋" w:cs="仿宋"/>
              <w:b w:val="0"/>
              <w:bCs w:val="0"/>
            </w:rPr>
            <w:t>8</w:t>
          </w:r>
          <w:r>
            <w:rPr>
              <w:rFonts w:hint="eastAsia" w:ascii="仿宋" w:hAnsi="仿宋" w:eastAsia="仿宋" w:cs="仿宋"/>
              <w:b w:val="0"/>
              <w:bCs w:val="0"/>
            </w:rPr>
            <w:fldChar w:fldCharType="end"/>
          </w:r>
          <w:r>
            <w:rPr>
              <w:rFonts w:hint="eastAsia" w:ascii="仿宋" w:hAnsi="仿宋" w:eastAsia="仿宋" w:cs="仿宋"/>
              <w:b w:val="0"/>
              <w:bCs w:val="0"/>
            </w:rPr>
            <w:fldChar w:fldCharType="end"/>
          </w:r>
        </w:p>
        <w:p>
          <w:pPr>
            <w:pStyle w:val="13"/>
            <w:tabs>
              <w:tab w:val="right" w:leader="dot" w:pos="8844"/>
              <w:tab w:val="clear" w:pos="8789"/>
            </w:tabs>
            <w:spacing w:line="579" w:lineRule="exact"/>
            <w:rPr>
              <w:rFonts w:ascii="仿宋" w:hAnsi="仿宋" w:eastAsia="仿宋" w:cs="仿宋"/>
              <w:b w:val="0"/>
              <w:bCs w:val="0"/>
            </w:rPr>
          </w:pPr>
          <w:r>
            <w:fldChar w:fldCharType="begin"/>
          </w:r>
          <w:r>
            <w:instrText xml:space="preserve"> HYPERLINK \l "_Toc5306" </w:instrText>
          </w:r>
          <w:r>
            <w:fldChar w:fldCharType="separate"/>
          </w:r>
          <w:r>
            <w:rPr>
              <w:rFonts w:hint="eastAsia" w:ascii="仿宋" w:hAnsi="仿宋" w:eastAsia="仿宋" w:cs="仿宋"/>
              <w:b w:val="0"/>
              <w:bCs w:val="0"/>
            </w:rPr>
            <w:t>（二）绩效目标实现情况</w:t>
          </w:r>
          <w:r>
            <w:rPr>
              <w:rFonts w:hint="eastAsia" w:ascii="仿宋" w:hAnsi="仿宋" w:eastAsia="仿宋" w:cs="仿宋"/>
              <w:b w:val="0"/>
              <w:bCs w:val="0"/>
            </w:rPr>
            <w:tab/>
          </w:r>
          <w:r>
            <w:rPr>
              <w:rFonts w:hint="eastAsia" w:ascii="仿宋" w:hAnsi="仿宋" w:eastAsia="仿宋" w:cs="仿宋"/>
              <w:b w:val="0"/>
              <w:bCs w:val="0"/>
            </w:rPr>
            <w:fldChar w:fldCharType="begin"/>
          </w:r>
          <w:r>
            <w:rPr>
              <w:rFonts w:hint="eastAsia" w:ascii="仿宋" w:hAnsi="仿宋" w:eastAsia="仿宋" w:cs="仿宋"/>
              <w:b w:val="0"/>
              <w:bCs w:val="0"/>
            </w:rPr>
            <w:instrText xml:space="preserve"> PAGEREF _Toc5306 \h </w:instrText>
          </w:r>
          <w:r>
            <w:rPr>
              <w:rFonts w:hint="eastAsia" w:ascii="仿宋" w:hAnsi="仿宋" w:eastAsia="仿宋" w:cs="仿宋"/>
              <w:b w:val="0"/>
              <w:bCs w:val="0"/>
            </w:rPr>
            <w:fldChar w:fldCharType="separate"/>
          </w:r>
          <w:r>
            <w:rPr>
              <w:rFonts w:hint="eastAsia" w:ascii="仿宋" w:hAnsi="仿宋" w:eastAsia="仿宋" w:cs="仿宋"/>
              <w:b w:val="0"/>
              <w:bCs w:val="0"/>
            </w:rPr>
            <w:t>9</w:t>
          </w:r>
          <w:r>
            <w:rPr>
              <w:rFonts w:hint="eastAsia" w:ascii="仿宋" w:hAnsi="仿宋" w:eastAsia="仿宋" w:cs="仿宋"/>
              <w:b w:val="0"/>
              <w:bCs w:val="0"/>
            </w:rPr>
            <w:fldChar w:fldCharType="end"/>
          </w:r>
          <w:r>
            <w:rPr>
              <w:rFonts w:hint="eastAsia" w:ascii="仿宋" w:hAnsi="仿宋" w:eastAsia="仿宋" w:cs="仿宋"/>
              <w:b w:val="0"/>
              <w:bCs w:val="0"/>
            </w:rPr>
            <w:fldChar w:fldCharType="end"/>
          </w:r>
        </w:p>
        <w:p>
          <w:pPr>
            <w:pStyle w:val="12"/>
            <w:tabs>
              <w:tab w:val="right" w:leader="dot" w:pos="8844"/>
              <w:tab w:val="clear" w:pos="8931"/>
            </w:tabs>
            <w:spacing w:line="579" w:lineRule="exact"/>
            <w:ind w:right="38"/>
            <w:rPr>
              <w:rFonts w:ascii="仿宋" w:hAnsi="仿宋" w:eastAsia="仿宋" w:cs="仿宋"/>
              <w:b/>
              <w:bCs/>
              <w:sz w:val="24"/>
              <w:szCs w:val="24"/>
            </w:rPr>
          </w:pPr>
          <w:r>
            <w:fldChar w:fldCharType="begin"/>
          </w:r>
          <w:r>
            <w:instrText xml:space="preserve"> HYPERLINK \l "_Toc20570" </w:instrText>
          </w:r>
          <w:r>
            <w:fldChar w:fldCharType="separate"/>
          </w:r>
          <w:r>
            <w:rPr>
              <w:rFonts w:hint="eastAsia" w:ascii="仿宋" w:hAnsi="仿宋" w:eastAsia="仿宋" w:cs="仿宋"/>
              <w:b/>
              <w:bCs/>
              <w:sz w:val="24"/>
              <w:szCs w:val="24"/>
            </w:rPr>
            <w:t>四、绩效评价指标分析</w:t>
          </w:r>
          <w:r>
            <w:rPr>
              <w:rFonts w:hint="eastAsia" w:ascii="仿宋" w:hAnsi="仿宋" w:eastAsia="仿宋" w:cs="仿宋"/>
              <w:b/>
              <w:bCs/>
              <w:sz w:val="24"/>
              <w:szCs w:val="24"/>
            </w:rPr>
            <w:tab/>
          </w: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PAGEREF _Toc20570 \h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11</w:t>
          </w:r>
          <w:r>
            <w:rPr>
              <w:rFonts w:hint="eastAsia" w:ascii="仿宋" w:hAnsi="仿宋" w:eastAsia="仿宋" w:cs="仿宋"/>
              <w:b/>
              <w:bCs/>
              <w:sz w:val="24"/>
              <w:szCs w:val="24"/>
            </w:rPr>
            <w:fldChar w:fldCharType="end"/>
          </w:r>
          <w:r>
            <w:rPr>
              <w:rFonts w:hint="eastAsia" w:ascii="仿宋" w:hAnsi="仿宋" w:eastAsia="仿宋" w:cs="仿宋"/>
              <w:b/>
              <w:bCs/>
              <w:sz w:val="24"/>
              <w:szCs w:val="24"/>
            </w:rPr>
            <w:fldChar w:fldCharType="end"/>
          </w:r>
        </w:p>
        <w:p>
          <w:pPr>
            <w:pStyle w:val="13"/>
            <w:tabs>
              <w:tab w:val="right" w:leader="dot" w:pos="8844"/>
              <w:tab w:val="clear" w:pos="8789"/>
            </w:tabs>
            <w:spacing w:line="579" w:lineRule="exact"/>
            <w:rPr>
              <w:rFonts w:ascii="仿宋" w:hAnsi="仿宋" w:eastAsia="仿宋" w:cs="仿宋"/>
              <w:b w:val="0"/>
              <w:bCs w:val="0"/>
            </w:rPr>
          </w:pPr>
          <w:r>
            <w:fldChar w:fldCharType="begin"/>
          </w:r>
          <w:r>
            <w:instrText xml:space="preserve"> HYPERLINK \l "_Toc2017" </w:instrText>
          </w:r>
          <w:r>
            <w:fldChar w:fldCharType="separate"/>
          </w:r>
          <w:r>
            <w:rPr>
              <w:rFonts w:hint="eastAsia" w:ascii="仿宋" w:hAnsi="仿宋" w:eastAsia="仿宋" w:cs="仿宋"/>
              <w:b w:val="0"/>
              <w:bCs w:val="0"/>
            </w:rPr>
            <w:t>（一）项目决策情况</w:t>
          </w:r>
          <w:r>
            <w:rPr>
              <w:rFonts w:hint="eastAsia" w:ascii="仿宋" w:hAnsi="仿宋" w:eastAsia="仿宋" w:cs="仿宋"/>
              <w:b w:val="0"/>
              <w:bCs w:val="0"/>
            </w:rPr>
            <w:tab/>
          </w:r>
          <w:r>
            <w:rPr>
              <w:rFonts w:hint="eastAsia" w:ascii="仿宋" w:hAnsi="仿宋" w:eastAsia="仿宋" w:cs="仿宋"/>
              <w:b w:val="0"/>
              <w:bCs w:val="0"/>
            </w:rPr>
            <w:fldChar w:fldCharType="begin"/>
          </w:r>
          <w:r>
            <w:rPr>
              <w:rFonts w:hint="eastAsia" w:ascii="仿宋" w:hAnsi="仿宋" w:eastAsia="仿宋" w:cs="仿宋"/>
              <w:b w:val="0"/>
              <w:bCs w:val="0"/>
            </w:rPr>
            <w:instrText xml:space="preserve"> PAGEREF _Toc2017 \h </w:instrText>
          </w:r>
          <w:r>
            <w:rPr>
              <w:rFonts w:hint="eastAsia" w:ascii="仿宋" w:hAnsi="仿宋" w:eastAsia="仿宋" w:cs="仿宋"/>
              <w:b w:val="0"/>
              <w:bCs w:val="0"/>
            </w:rPr>
            <w:fldChar w:fldCharType="separate"/>
          </w:r>
          <w:r>
            <w:rPr>
              <w:rFonts w:hint="eastAsia" w:ascii="仿宋" w:hAnsi="仿宋" w:eastAsia="仿宋" w:cs="仿宋"/>
              <w:b w:val="0"/>
              <w:bCs w:val="0"/>
            </w:rPr>
            <w:t>11</w:t>
          </w:r>
          <w:r>
            <w:rPr>
              <w:rFonts w:hint="eastAsia" w:ascii="仿宋" w:hAnsi="仿宋" w:eastAsia="仿宋" w:cs="仿宋"/>
              <w:b w:val="0"/>
              <w:bCs w:val="0"/>
            </w:rPr>
            <w:fldChar w:fldCharType="end"/>
          </w:r>
          <w:r>
            <w:rPr>
              <w:rFonts w:hint="eastAsia" w:ascii="仿宋" w:hAnsi="仿宋" w:eastAsia="仿宋" w:cs="仿宋"/>
              <w:b w:val="0"/>
              <w:bCs w:val="0"/>
            </w:rPr>
            <w:fldChar w:fldCharType="end"/>
          </w:r>
        </w:p>
        <w:p>
          <w:pPr>
            <w:pStyle w:val="13"/>
            <w:tabs>
              <w:tab w:val="right" w:leader="dot" w:pos="8844"/>
              <w:tab w:val="clear" w:pos="8789"/>
            </w:tabs>
            <w:spacing w:line="579" w:lineRule="exact"/>
            <w:rPr>
              <w:rFonts w:ascii="仿宋" w:hAnsi="仿宋" w:eastAsia="仿宋" w:cs="仿宋"/>
              <w:b w:val="0"/>
              <w:bCs w:val="0"/>
            </w:rPr>
          </w:pPr>
          <w:r>
            <w:fldChar w:fldCharType="begin"/>
          </w:r>
          <w:r>
            <w:instrText xml:space="preserve"> HYPERLINK \l "_Toc30277" </w:instrText>
          </w:r>
          <w:r>
            <w:fldChar w:fldCharType="separate"/>
          </w:r>
          <w:r>
            <w:rPr>
              <w:rFonts w:hint="eastAsia" w:ascii="仿宋" w:hAnsi="仿宋" w:eastAsia="仿宋" w:cs="仿宋"/>
              <w:b w:val="0"/>
              <w:bCs w:val="0"/>
            </w:rPr>
            <w:t>（二）项目过程情况</w:t>
          </w:r>
          <w:r>
            <w:rPr>
              <w:rFonts w:hint="eastAsia" w:ascii="仿宋" w:hAnsi="仿宋" w:eastAsia="仿宋" w:cs="仿宋"/>
              <w:b w:val="0"/>
              <w:bCs w:val="0"/>
            </w:rPr>
            <w:tab/>
          </w:r>
          <w:r>
            <w:rPr>
              <w:rFonts w:hint="eastAsia" w:ascii="仿宋" w:hAnsi="仿宋" w:eastAsia="仿宋" w:cs="仿宋"/>
              <w:b w:val="0"/>
              <w:bCs w:val="0"/>
            </w:rPr>
            <w:fldChar w:fldCharType="begin"/>
          </w:r>
          <w:r>
            <w:rPr>
              <w:rFonts w:hint="eastAsia" w:ascii="仿宋" w:hAnsi="仿宋" w:eastAsia="仿宋" w:cs="仿宋"/>
              <w:b w:val="0"/>
              <w:bCs w:val="0"/>
            </w:rPr>
            <w:instrText xml:space="preserve"> PAGEREF _Toc30277 \h </w:instrText>
          </w:r>
          <w:r>
            <w:rPr>
              <w:rFonts w:hint="eastAsia" w:ascii="仿宋" w:hAnsi="仿宋" w:eastAsia="仿宋" w:cs="仿宋"/>
              <w:b w:val="0"/>
              <w:bCs w:val="0"/>
            </w:rPr>
            <w:fldChar w:fldCharType="separate"/>
          </w:r>
          <w:r>
            <w:rPr>
              <w:rFonts w:hint="eastAsia" w:ascii="仿宋" w:hAnsi="仿宋" w:eastAsia="仿宋" w:cs="仿宋"/>
              <w:b w:val="0"/>
              <w:bCs w:val="0"/>
            </w:rPr>
            <w:t>14</w:t>
          </w:r>
          <w:r>
            <w:rPr>
              <w:rFonts w:hint="eastAsia" w:ascii="仿宋" w:hAnsi="仿宋" w:eastAsia="仿宋" w:cs="仿宋"/>
              <w:b w:val="0"/>
              <w:bCs w:val="0"/>
            </w:rPr>
            <w:fldChar w:fldCharType="end"/>
          </w:r>
          <w:r>
            <w:rPr>
              <w:rFonts w:hint="eastAsia" w:ascii="仿宋" w:hAnsi="仿宋" w:eastAsia="仿宋" w:cs="仿宋"/>
              <w:b w:val="0"/>
              <w:bCs w:val="0"/>
            </w:rPr>
            <w:fldChar w:fldCharType="end"/>
          </w:r>
        </w:p>
        <w:p>
          <w:pPr>
            <w:pStyle w:val="13"/>
            <w:tabs>
              <w:tab w:val="right" w:leader="dot" w:pos="8844"/>
              <w:tab w:val="clear" w:pos="8789"/>
            </w:tabs>
            <w:spacing w:line="579" w:lineRule="exact"/>
            <w:rPr>
              <w:rFonts w:ascii="仿宋" w:hAnsi="仿宋" w:eastAsia="仿宋" w:cs="仿宋"/>
              <w:b w:val="0"/>
              <w:bCs w:val="0"/>
            </w:rPr>
          </w:pPr>
          <w:r>
            <w:fldChar w:fldCharType="begin"/>
          </w:r>
          <w:r>
            <w:instrText xml:space="preserve"> HYPERLINK \l "_Toc12187" </w:instrText>
          </w:r>
          <w:r>
            <w:fldChar w:fldCharType="separate"/>
          </w:r>
          <w:r>
            <w:rPr>
              <w:rFonts w:hint="eastAsia" w:ascii="仿宋" w:hAnsi="仿宋" w:eastAsia="仿宋" w:cs="仿宋"/>
              <w:b w:val="0"/>
              <w:bCs w:val="0"/>
            </w:rPr>
            <w:t>（三）项目产出情况</w:t>
          </w:r>
          <w:r>
            <w:rPr>
              <w:rFonts w:hint="eastAsia" w:ascii="仿宋" w:hAnsi="仿宋" w:eastAsia="仿宋" w:cs="仿宋"/>
              <w:b w:val="0"/>
              <w:bCs w:val="0"/>
            </w:rPr>
            <w:tab/>
          </w:r>
          <w:r>
            <w:rPr>
              <w:rFonts w:hint="eastAsia" w:ascii="仿宋" w:hAnsi="仿宋" w:eastAsia="仿宋" w:cs="仿宋"/>
              <w:b w:val="0"/>
              <w:bCs w:val="0"/>
            </w:rPr>
            <w:fldChar w:fldCharType="begin"/>
          </w:r>
          <w:r>
            <w:rPr>
              <w:rFonts w:hint="eastAsia" w:ascii="仿宋" w:hAnsi="仿宋" w:eastAsia="仿宋" w:cs="仿宋"/>
              <w:b w:val="0"/>
              <w:bCs w:val="0"/>
            </w:rPr>
            <w:instrText xml:space="preserve"> PAGEREF _Toc12187 \h </w:instrText>
          </w:r>
          <w:r>
            <w:rPr>
              <w:rFonts w:hint="eastAsia" w:ascii="仿宋" w:hAnsi="仿宋" w:eastAsia="仿宋" w:cs="仿宋"/>
              <w:b w:val="0"/>
              <w:bCs w:val="0"/>
            </w:rPr>
            <w:fldChar w:fldCharType="separate"/>
          </w:r>
          <w:r>
            <w:rPr>
              <w:rFonts w:hint="eastAsia" w:ascii="仿宋" w:hAnsi="仿宋" w:eastAsia="仿宋" w:cs="仿宋"/>
              <w:b w:val="0"/>
              <w:bCs w:val="0"/>
            </w:rPr>
            <w:t>17</w:t>
          </w:r>
          <w:r>
            <w:rPr>
              <w:rFonts w:hint="eastAsia" w:ascii="仿宋" w:hAnsi="仿宋" w:eastAsia="仿宋" w:cs="仿宋"/>
              <w:b w:val="0"/>
              <w:bCs w:val="0"/>
            </w:rPr>
            <w:fldChar w:fldCharType="end"/>
          </w:r>
          <w:r>
            <w:rPr>
              <w:rFonts w:hint="eastAsia" w:ascii="仿宋" w:hAnsi="仿宋" w:eastAsia="仿宋" w:cs="仿宋"/>
              <w:b w:val="0"/>
              <w:bCs w:val="0"/>
            </w:rPr>
            <w:fldChar w:fldCharType="end"/>
          </w:r>
        </w:p>
        <w:p>
          <w:pPr>
            <w:pStyle w:val="13"/>
            <w:tabs>
              <w:tab w:val="right" w:leader="dot" w:pos="8844"/>
              <w:tab w:val="clear" w:pos="8789"/>
            </w:tabs>
            <w:spacing w:line="579" w:lineRule="exact"/>
            <w:rPr>
              <w:rFonts w:ascii="仿宋" w:hAnsi="仿宋" w:eastAsia="仿宋" w:cs="仿宋"/>
              <w:b w:val="0"/>
              <w:bCs w:val="0"/>
            </w:rPr>
          </w:pPr>
          <w:r>
            <w:fldChar w:fldCharType="begin"/>
          </w:r>
          <w:r>
            <w:instrText xml:space="preserve"> HYPERLINK \l "_Toc27589" </w:instrText>
          </w:r>
          <w:r>
            <w:fldChar w:fldCharType="separate"/>
          </w:r>
          <w:r>
            <w:rPr>
              <w:rFonts w:hint="eastAsia" w:ascii="仿宋" w:hAnsi="仿宋" w:eastAsia="仿宋" w:cs="仿宋"/>
              <w:b w:val="0"/>
              <w:bCs w:val="0"/>
            </w:rPr>
            <w:t>（四）项目效益情况</w:t>
          </w:r>
          <w:r>
            <w:rPr>
              <w:rFonts w:hint="eastAsia" w:ascii="仿宋" w:hAnsi="仿宋" w:eastAsia="仿宋" w:cs="仿宋"/>
              <w:b w:val="0"/>
              <w:bCs w:val="0"/>
            </w:rPr>
            <w:tab/>
          </w:r>
          <w:r>
            <w:rPr>
              <w:rFonts w:hint="eastAsia" w:ascii="仿宋" w:hAnsi="仿宋" w:eastAsia="仿宋" w:cs="仿宋"/>
              <w:b w:val="0"/>
              <w:bCs w:val="0"/>
            </w:rPr>
            <w:fldChar w:fldCharType="begin"/>
          </w:r>
          <w:r>
            <w:rPr>
              <w:rFonts w:hint="eastAsia" w:ascii="仿宋" w:hAnsi="仿宋" w:eastAsia="仿宋" w:cs="仿宋"/>
              <w:b w:val="0"/>
              <w:bCs w:val="0"/>
            </w:rPr>
            <w:instrText xml:space="preserve"> PAGEREF _Toc27589 \h </w:instrText>
          </w:r>
          <w:r>
            <w:rPr>
              <w:rFonts w:hint="eastAsia" w:ascii="仿宋" w:hAnsi="仿宋" w:eastAsia="仿宋" w:cs="仿宋"/>
              <w:b w:val="0"/>
              <w:bCs w:val="0"/>
            </w:rPr>
            <w:fldChar w:fldCharType="separate"/>
          </w:r>
          <w:r>
            <w:rPr>
              <w:rFonts w:hint="eastAsia" w:ascii="仿宋" w:hAnsi="仿宋" w:eastAsia="仿宋" w:cs="仿宋"/>
              <w:b w:val="0"/>
              <w:bCs w:val="0"/>
            </w:rPr>
            <w:t>22</w:t>
          </w:r>
          <w:r>
            <w:rPr>
              <w:rFonts w:hint="eastAsia" w:ascii="仿宋" w:hAnsi="仿宋" w:eastAsia="仿宋" w:cs="仿宋"/>
              <w:b w:val="0"/>
              <w:bCs w:val="0"/>
            </w:rPr>
            <w:fldChar w:fldCharType="end"/>
          </w:r>
          <w:r>
            <w:rPr>
              <w:rFonts w:hint="eastAsia" w:ascii="仿宋" w:hAnsi="仿宋" w:eastAsia="仿宋" w:cs="仿宋"/>
              <w:b w:val="0"/>
              <w:bCs w:val="0"/>
            </w:rPr>
            <w:fldChar w:fldCharType="end"/>
          </w:r>
        </w:p>
        <w:p>
          <w:pPr>
            <w:pStyle w:val="12"/>
            <w:tabs>
              <w:tab w:val="right" w:leader="dot" w:pos="8844"/>
              <w:tab w:val="clear" w:pos="8931"/>
            </w:tabs>
            <w:spacing w:line="579" w:lineRule="exact"/>
            <w:ind w:right="38"/>
            <w:rPr>
              <w:rFonts w:ascii="仿宋" w:hAnsi="仿宋" w:eastAsia="仿宋" w:cs="仿宋"/>
              <w:b/>
              <w:bCs/>
              <w:sz w:val="24"/>
              <w:szCs w:val="24"/>
            </w:rPr>
          </w:pPr>
          <w:r>
            <w:fldChar w:fldCharType="begin"/>
          </w:r>
          <w:r>
            <w:instrText xml:space="preserve"> HYPERLINK \l "_Toc23990" </w:instrText>
          </w:r>
          <w:r>
            <w:fldChar w:fldCharType="separate"/>
          </w:r>
          <w:r>
            <w:rPr>
              <w:rFonts w:hint="eastAsia" w:ascii="仿宋" w:hAnsi="仿宋" w:eastAsia="仿宋" w:cs="仿宋"/>
              <w:b/>
              <w:bCs/>
              <w:sz w:val="24"/>
              <w:szCs w:val="24"/>
            </w:rPr>
            <w:t>五、存在问题及原因分析</w:t>
          </w:r>
          <w:r>
            <w:rPr>
              <w:rFonts w:hint="eastAsia" w:ascii="仿宋" w:hAnsi="仿宋" w:eastAsia="仿宋" w:cs="仿宋"/>
              <w:b/>
              <w:bCs/>
              <w:sz w:val="24"/>
              <w:szCs w:val="24"/>
            </w:rPr>
            <w:tab/>
          </w: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PAGEREF _Toc23990 \h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24</w:t>
          </w:r>
          <w:r>
            <w:rPr>
              <w:rFonts w:hint="eastAsia" w:ascii="仿宋" w:hAnsi="仿宋" w:eastAsia="仿宋" w:cs="仿宋"/>
              <w:b/>
              <w:bCs/>
              <w:sz w:val="24"/>
              <w:szCs w:val="24"/>
            </w:rPr>
            <w:fldChar w:fldCharType="end"/>
          </w:r>
          <w:r>
            <w:rPr>
              <w:rFonts w:hint="eastAsia" w:ascii="仿宋" w:hAnsi="仿宋" w:eastAsia="仿宋" w:cs="仿宋"/>
              <w:b/>
              <w:bCs/>
              <w:sz w:val="24"/>
              <w:szCs w:val="24"/>
            </w:rPr>
            <w:fldChar w:fldCharType="end"/>
          </w:r>
        </w:p>
        <w:p>
          <w:pPr>
            <w:pStyle w:val="12"/>
            <w:tabs>
              <w:tab w:val="right" w:leader="dot" w:pos="8844"/>
              <w:tab w:val="clear" w:pos="8931"/>
            </w:tabs>
            <w:spacing w:line="579" w:lineRule="exact"/>
            <w:ind w:right="38"/>
            <w:rPr>
              <w:rFonts w:ascii="仿宋" w:hAnsi="仿宋" w:eastAsia="仿宋" w:cs="仿宋"/>
              <w:b/>
              <w:bCs/>
              <w:sz w:val="24"/>
              <w:szCs w:val="24"/>
            </w:rPr>
          </w:pPr>
          <w:r>
            <w:fldChar w:fldCharType="begin"/>
          </w:r>
          <w:r>
            <w:instrText xml:space="preserve"> HYPERLINK \l "_Toc14277" </w:instrText>
          </w:r>
          <w:r>
            <w:fldChar w:fldCharType="separate"/>
          </w:r>
          <w:r>
            <w:rPr>
              <w:rFonts w:hint="eastAsia" w:ascii="仿宋" w:hAnsi="仿宋" w:eastAsia="仿宋" w:cs="仿宋"/>
              <w:b/>
              <w:bCs/>
              <w:sz w:val="24"/>
              <w:szCs w:val="24"/>
            </w:rPr>
            <w:t>六、建议</w:t>
          </w:r>
          <w:r>
            <w:rPr>
              <w:rFonts w:hint="eastAsia" w:ascii="仿宋" w:hAnsi="仿宋" w:eastAsia="仿宋" w:cs="仿宋"/>
              <w:b/>
              <w:bCs/>
              <w:sz w:val="24"/>
              <w:szCs w:val="24"/>
            </w:rPr>
            <w:tab/>
          </w: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PAGEREF _Toc14277 \h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25</w:t>
          </w:r>
          <w:r>
            <w:rPr>
              <w:rFonts w:hint="eastAsia" w:ascii="仿宋" w:hAnsi="仿宋" w:eastAsia="仿宋" w:cs="仿宋"/>
              <w:b/>
              <w:bCs/>
              <w:sz w:val="24"/>
              <w:szCs w:val="24"/>
            </w:rPr>
            <w:fldChar w:fldCharType="end"/>
          </w:r>
          <w:r>
            <w:rPr>
              <w:rFonts w:hint="eastAsia" w:ascii="仿宋" w:hAnsi="仿宋" w:eastAsia="仿宋" w:cs="仿宋"/>
              <w:b/>
              <w:bCs/>
              <w:sz w:val="24"/>
              <w:szCs w:val="24"/>
            </w:rPr>
            <w:fldChar w:fldCharType="end"/>
          </w:r>
        </w:p>
        <w:p>
          <w:pPr>
            <w:pStyle w:val="12"/>
            <w:tabs>
              <w:tab w:val="right" w:leader="dot" w:pos="8844"/>
              <w:tab w:val="clear" w:pos="8931"/>
            </w:tabs>
            <w:spacing w:line="579" w:lineRule="exact"/>
            <w:ind w:right="38"/>
            <w:rPr>
              <w:b/>
              <w:bCs/>
            </w:rPr>
          </w:pPr>
          <w:r>
            <w:fldChar w:fldCharType="begin"/>
          </w:r>
          <w:r>
            <w:instrText xml:space="preserve"> HYPERLINK \l "_Toc28769" </w:instrText>
          </w:r>
          <w:r>
            <w:fldChar w:fldCharType="separate"/>
          </w:r>
          <w:r>
            <w:rPr>
              <w:rFonts w:hint="eastAsia" w:ascii="仿宋" w:hAnsi="仿宋" w:eastAsia="仿宋" w:cs="仿宋"/>
              <w:b/>
              <w:bCs/>
              <w:sz w:val="24"/>
              <w:szCs w:val="24"/>
            </w:rPr>
            <w:t>七、其他需说明的情况</w:t>
          </w:r>
          <w:r>
            <w:rPr>
              <w:rFonts w:hint="eastAsia" w:ascii="仿宋" w:hAnsi="仿宋" w:eastAsia="仿宋" w:cs="仿宋"/>
              <w:b/>
              <w:bCs/>
              <w:sz w:val="24"/>
              <w:szCs w:val="24"/>
            </w:rPr>
            <w:tab/>
          </w: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PAGEREF _Toc28769 \h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27</w:t>
          </w:r>
          <w:r>
            <w:rPr>
              <w:rFonts w:hint="eastAsia" w:ascii="仿宋" w:hAnsi="仿宋" w:eastAsia="仿宋" w:cs="仿宋"/>
              <w:b/>
              <w:bCs/>
              <w:sz w:val="24"/>
              <w:szCs w:val="24"/>
            </w:rPr>
            <w:fldChar w:fldCharType="end"/>
          </w:r>
          <w:r>
            <w:rPr>
              <w:rFonts w:hint="eastAsia" w:ascii="仿宋" w:hAnsi="仿宋" w:eastAsia="仿宋" w:cs="仿宋"/>
              <w:b/>
              <w:bCs/>
              <w:sz w:val="24"/>
              <w:szCs w:val="24"/>
            </w:rPr>
            <w:fldChar w:fldCharType="end"/>
          </w:r>
        </w:p>
        <w:p>
          <w:pPr>
            <w:pStyle w:val="12"/>
            <w:tabs>
              <w:tab w:val="right" w:leader="dot" w:pos="8789"/>
              <w:tab w:val="clear" w:pos="8931"/>
            </w:tabs>
            <w:spacing w:line="579" w:lineRule="exact"/>
            <w:ind w:right="37" w:rightChars="12"/>
          </w:pPr>
          <w:r>
            <w:rPr>
              <w:rFonts w:asciiTheme="minorEastAsia" w:hAnsiTheme="minorEastAsia"/>
              <w:sz w:val="28"/>
              <w:szCs w:val="28"/>
            </w:rPr>
            <w:fldChar w:fldCharType="end"/>
          </w:r>
          <w:bookmarkStart w:id="1" w:name="_Toc7493"/>
          <w:bookmarkStart w:id="2" w:name="_Hlk525313924"/>
        </w:p>
      </w:sdtContent>
    </w:sdt>
    <w:p>
      <w:pPr>
        <w:overflowPunct w:val="0"/>
        <w:spacing w:line="579" w:lineRule="exact"/>
        <w:jc w:val="center"/>
        <w:outlineLvl w:val="0"/>
        <w:rPr>
          <w:rFonts w:hint="eastAsia" w:ascii="黑体" w:hAnsi="黑体" w:eastAsia="黑体" w:cs="黑体"/>
          <w:sz w:val="44"/>
          <w:szCs w:val="44"/>
        </w:rPr>
        <w:sectPr>
          <w:headerReference r:id="rId8" w:type="default"/>
          <w:footerReference r:id="rId10" w:type="default"/>
          <w:headerReference r:id="rId9" w:type="even"/>
          <w:footerReference r:id="rId11" w:type="even"/>
          <w:pgSz w:w="11906" w:h="16838"/>
          <w:pgMar w:top="2098" w:right="1474" w:bottom="1984" w:left="1588" w:header="851" w:footer="1474" w:gutter="0"/>
          <w:pgNumType w:fmt="upperRoman"/>
          <w:cols w:space="0" w:num="1"/>
          <w:docGrid w:type="linesAndChars" w:linePitch="579" w:charSpace="3247"/>
        </w:sectPr>
      </w:pPr>
    </w:p>
    <w:p>
      <w:pPr>
        <w:overflowPunct w:val="0"/>
        <w:spacing w:line="579" w:lineRule="exact"/>
        <w:jc w:val="center"/>
        <w:outlineLvl w:val="0"/>
        <w:rPr>
          <w:rFonts w:ascii="黑体" w:hAnsi="黑体" w:eastAsia="黑体" w:cs="黑体"/>
          <w:sz w:val="44"/>
          <w:szCs w:val="44"/>
        </w:rPr>
      </w:pPr>
      <w:r>
        <w:rPr>
          <w:rFonts w:hint="eastAsia" w:ascii="黑体" w:hAnsi="黑体" w:eastAsia="黑体" w:cs="黑体"/>
          <w:sz w:val="44"/>
          <w:szCs w:val="44"/>
        </w:rPr>
        <w:t>摘  要</w:t>
      </w:r>
      <w:bookmarkEnd w:id="1"/>
    </w:p>
    <w:p>
      <w:pPr>
        <w:numPr>
          <w:ilvl w:val="0"/>
          <w:numId w:val="1"/>
        </w:numPr>
        <w:overflowPunct w:val="0"/>
        <w:adjustRightInd w:val="0"/>
        <w:snapToGrid w:val="0"/>
        <w:spacing w:line="579" w:lineRule="exact"/>
        <w:ind w:firstLine="629"/>
        <w:rPr>
          <w:rFonts w:ascii="黑体" w:hAnsi="黑体" w:eastAsia="黑体" w:cs="黑体"/>
          <w:szCs w:val="30"/>
        </w:rPr>
      </w:pPr>
      <w:r>
        <w:rPr>
          <w:rFonts w:hint="eastAsia" w:ascii="黑体" w:hAnsi="黑体" w:eastAsia="黑体" w:cs="黑体"/>
          <w:szCs w:val="30"/>
        </w:rPr>
        <w:t>基本情况</w:t>
      </w:r>
    </w:p>
    <w:p>
      <w:pPr>
        <w:spacing w:line="579" w:lineRule="exact"/>
        <w:ind w:firstLine="630" w:firstLineChars="200"/>
        <w:rPr>
          <w:rFonts w:hAnsi="仿宋"/>
          <w:szCs w:val="30"/>
        </w:rPr>
      </w:pPr>
      <w:r>
        <w:rPr>
          <w:rFonts w:hint="eastAsia" w:hAnsi="仿宋"/>
          <w:szCs w:val="30"/>
        </w:rPr>
        <w:t>为贯彻落实中办、国办《关于进一步减轻义务教育阶段学生作业负担和校外培训负担的意见》《教育部办公厅关于进一步做好义务教育课后服务工作的通知》（教基厅函〔2021〕28 号）及《云南省教育厅关于做好“一校一案”全面落实课后服务工作的通知》的精神，响应国家”双减”政策,促进学校课后服务水平,减轻家长和学生负担,解决学生放学早、家长下班晚、时间不衔接、出现教育时段空白的问题,开展课后服务工作,丰富学生校园生活,促进学生全面发展,激发学生的学习兴趣,培养学生个性特长,进-步提升群众对教育工作的满意度。昆明市晋宁区2021年春季学期，全区共有义务教育阶段学校36所开展课后服务（含校点），其中，小学25所（含校点6所）、初中9所（公办8所、民办1所）、九年一贯制学校2所（公办1所、民办1所）。区教育体育局组织开展的“义务教育阶段课后服务”项目，财政补助只补助小学，费用只拨付至19所中心校（校点相关费用拨付至中心校）和1所九年一贯制学校（昆阳九年一贯制学校），拨付学校为20所。六个校点情况为昆阳五小为昆阳四小校点，石碑小学为晋城二小校点，小海小学为为晋城一小校点，大西小学为晋城六小校点，六街二小为六街小学校点，二街二小为二街小学校点。2021年秋季学期，全区共有义务教育阶段学校36所开展课后服务（含校点）。财政资金补助初中和小学，其中小学含校点26所，初中10所，昆阳九年一贯制学校有初中部和小学部。</w:t>
      </w:r>
    </w:p>
    <w:p>
      <w:pPr>
        <w:numPr>
          <w:ilvl w:val="0"/>
          <w:numId w:val="1"/>
        </w:numPr>
        <w:overflowPunct w:val="0"/>
        <w:adjustRightInd w:val="0"/>
        <w:snapToGrid w:val="0"/>
        <w:spacing w:line="579" w:lineRule="exact"/>
        <w:ind w:firstLine="629"/>
        <w:rPr>
          <w:rFonts w:ascii="黑体" w:hAnsi="黑体" w:eastAsia="黑体" w:cs="黑体"/>
          <w:szCs w:val="30"/>
        </w:rPr>
      </w:pPr>
      <w:r>
        <w:rPr>
          <w:rFonts w:hint="eastAsia" w:ascii="黑体" w:hAnsi="黑体" w:eastAsia="黑体" w:cs="黑体"/>
          <w:szCs w:val="30"/>
        </w:rPr>
        <w:t>绩效评价结论</w:t>
      </w:r>
    </w:p>
    <w:p>
      <w:pPr>
        <w:spacing w:line="579" w:lineRule="exact"/>
        <w:ind w:firstLine="630" w:firstLineChars="200"/>
        <w:rPr>
          <w:rFonts w:hAnsi="仿宋"/>
          <w:szCs w:val="30"/>
        </w:rPr>
      </w:pPr>
      <w:r>
        <w:rPr>
          <w:rFonts w:hint="eastAsia" w:hAnsi="仿宋"/>
          <w:szCs w:val="30"/>
        </w:rPr>
        <w:t>昆明市晋宁区义务教育阶段课后服务专项资金项目绩效评价得分87.19分，评价等级为“良”。</w:t>
      </w:r>
    </w:p>
    <w:p>
      <w:pPr>
        <w:spacing w:line="579" w:lineRule="exact"/>
        <w:ind w:firstLine="630" w:firstLineChars="200"/>
        <w:rPr>
          <w:rFonts w:hAnsi="仿宋"/>
          <w:szCs w:val="30"/>
        </w:rPr>
      </w:pPr>
      <w:r>
        <w:rPr>
          <w:rFonts w:hint="eastAsia" w:hAnsi="仿宋"/>
          <w:szCs w:val="30"/>
        </w:rPr>
        <w:t>从总体来看，觉得2021年义务教育阶段课后服务的宣传力度较大的占比64.22%；认为学生对课后服务活动感兴趣的占比74.57%；认为学校组织教师自行开展托管，学生熟悉老师，效果更好的占比60.21%；组织开展课后服务对家长而言，可以全身心的投入工作，减轻经济负担，且有效解决了接送孩子困难的“三点半”难题；对教师来说，课后服务可以让教师更加合理的给学生布置作业，让学生有更多的休息时间，通过课后服务补贴可以提高薪资收入，不用担心学生放学回家无人保护的情况，服务期间不断地与学生交流，增进熟悉度，更好的因材施教；对学生而言，课后服务可以让学生在学校完成作业，降低学业负担，学校组织的活动可以提升学生的身体素质，培养学生的兴趣爱好；通过课后服务进一步增强教育服务能力，解除群众的后顾之忧；对于学校开展的课后服务比较支持的家长占80.65%，不支持的占比较小；认为课后服务质量和效果比较好的占比70.84%；认为开展课后服务时间，学校将时间都留给学生，不存在利用课后服务时间开展集体教学，上新课的情况占比75%；开展课后服务之前对学生及家长做过意向调查占比85.88%。</w:t>
      </w:r>
    </w:p>
    <w:p>
      <w:pPr>
        <w:numPr>
          <w:ilvl w:val="0"/>
          <w:numId w:val="1"/>
        </w:numPr>
        <w:overflowPunct w:val="0"/>
        <w:adjustRightInd w:val="0"/>
        <w:snapToGrid w:val="0"/>
        <w:spacing w:line="579" w:lineRule="exact"/>
        <w:ind w:firstLine="629"/>
        <w:rPr>
          <w:rFonts w:ascii="黑体" w:hAnsi="黑体" w:eastAsia="黑体" w:cs="黑体"/>
          <w:szCs w:val="30"/>
        </w:rPr>
      </w:pPr>
      <w:r>
        <w:rPr>
          <w:rFonts w:hint="eastAsia" w:ascii="黑体" w:hAnsi="黑体" w:eastAsia="黑体" w:cs="黑体"/>
          <w:szCs w:val="30"/>
        </w:rPr>
        <w:t>存在的主要问题</w:t>
      </w:r>
    </w:p>
    <w:p>
      <w:pPr>
        <w:spacing w:line="579" w:lineRule="exact"/>
        <w:ind w:firstLine="617" w:firstLineChars="196"/>
        <w:rPr>
          <w:rFonts w:ascii="楷体" w:hAnsi="楷体" w:eastAsia="楷体" w:cs="楷体"/>
          <w:szCs w:val="30"/>
        </w:rPr>
      </w:pPr>
      <w:bookmarkStart w:id="3" w:name="_Hlk86067150"/>
      <w:r>
        <w:rPr>
          <w:rFonts w:hint="eastAsia" w:ascii="楷体" w:hAnsi="楷体" w:eastAsia="楷体" w:cs="楷体"/>
          <w:szCs w:val="30"/>
        </w:rPr>
        <w:t>（一）专项资金预算的编制方法不够科学</w:t>
      </w:r>
    </w:p>
    <w:p>
      <w:pPr>
        <w:spacing w:line="579" w:lineRule="exact"/>
        <w:ind w:firstLine="630" w:firstLineChars="200"/>
        <w:rPr>
          <w:rFonts w:hAnsi="仿宋"/>
          <w:szCs w:val="30"/>
        </w:rPr>
      </w:pPr>
      <w:r>
        <w:rPr>
          <w:rFonts w:hint="eastAsia" w:hAnsi="仿宋"/>
          <w:szCs w:val="30"/>
        </w:rPr>
        <w:t>专项资金管理过程的第一步就是进行专项资金的预算，这也是整个过程中最关键的一步，最明显的作用就是能够有效管控和监督专项资金的整体。预算编制方法缺乏是目前财政专项资金管理过程中最为明显的问题，该过程中缺乏科学的论证和规划。不科学的预算编制方法会造成部分单位专项资金短期结余或超支，从而对财政专项资金的高效使用造成不良影响；</w:t>
      </w:r>
    </w:p>
    <w:p>
      <w:pPr>
        <w:spacing w:line="579" w:lineRule="exact"/>
        <w:ind w:firstLine="617" w:firstLineChars="196"/>
        <w:rPr>
          <w:rFonts w:ascii="楷体" w:hAnsi="楷体" w:eastAsia="楷体" w:cs="楷体"/>
          <w:szCs w:val="30"/>
        </w:rPr>
      </w:pPr>
      <w:r>
        <w:rPr>
          <w:rFonts w:hint="eastAsia" w:ascii="楷体" w:hAnsi="楷体" w:eastAsia="楷体" w:cs="楷体"/>
          <w:szCs w:val="30"/>
        </w:rPr>
        <w:t>（二）预算绩效管理主体责任落实不到位，指标未细化</w:t>
      </w:r>
    </w:p>
    <w:p>
      <w:pPr>
        <w:spacing w:line="579" w:lineRule="exact"/>
        <w:ind w:firstLine="630" w:firstLineChars="200"/>
        <w:rPr>
          <w:rFonts w:hAnsi="仿宋"/>
          <w:szCs w:val="30"/>
        </w:rPr>
      </w:pPr>
      <w:r>
        <w:rPr>
          <w:rFonts w:hint="eastAsia" w:hAnsi="仿宋"/>
          <w:szCs w:val="30"/>
        </w:rPr>
        <w:t>绩效管理工作质量有待提高，绩效指标设置不完整，未细化量化，难以衡量。如“社会效益”指标设置为“丰富学生课余生活”、“培养学生兴趣爱好”和“提升学生综合素质”，这三项指标内容均过于宽泛，未细化量化，难以考察。在编制项目资金绩效目标时要求指向明确、细化量化、合理可行、相应匹配。</w:t>
      </w:r>
    </w:p>
    <w:p>
      <w:pPr>
        <w:spacing w:line="579" w:lineRule="exact"/>
        <w:ind w:firstLine="617" w:firstLineChars="196"/>
        <w:rPr>
          <w:rFonts w:ascii="楷体" w:hAnsi="楷体" w:eastAsia="楷体" w:cs="楷体"/>
          <w:szCs w:val="30"/>
        </w:rPr>
      </w:pPr>
      <w:r>
        <w:rPr>
          <w:rFonts w:hint="eastAsia" w:ascii="楷体" w:hAnsi="楷体" w:eastAsia="楷体" w:cs="楷体"/>
          <w:szCs w:val="30"/>
        </w:rPr>
        <w:t>（三）服务质量和服务效果不显</w:t>
      </w:r>
    </w:p>
    <w:p>
      <w:pPr>
        <w:spacing w:line="579" w:lineRule="exact"/>
        <w:ind w:firstLine="630" w:firstLineChars="200"/>
        <w:rPr>
          <w:rFonts w:hAnsi="仿宋"/>
          <w:szCs w:val="30"/>
        </w:rPr>
      </w:pPr>
      <w:r>
        <w:rPr>
          <w:rFonts w:hint="eastAsia" w:hAnsi="仿宋"/>
          <w:szCs w:val="30"/>
        </w:rPr>
        <w:t>学生、教师在校时间增加，工作量增大，但是课后服务质量和学校教育教学质量提升效果不明显，单位时间增加，但是单位时间内的效率和质量没有随之增加。</w:t>
      </w:r>
    </w:p>
    <w:p>
      <w:pPr>
        <w:spacing w:line="579" w:lineRule="exact"/>
        <w:ind w:firstLine="617" w:firstLineChars="196"/>
        <w:rPr>
          <w:rFonts w:ascii="楷体" w:hAnsi="楷体" w:eastAsia="楷体" w:cs="楷体"/>
          <w:szCs w:val="30"/>
        </w:rPr>
      </w:pPr>
      <w:r>
        <w:rPr>
          <w:rFonts w:hint="eastAsia" w:ascii="楷体" w:hAnsi="楷体" w:eastAsia="楷体" w:cs="楷体"/>
          <w:szCs w:val="30"/>
        </w:rPr>
        <w:t>（四）缺乏有效的预算绩效监管机制</w:t>
      </w:r>
    </w:p>
    <w:p>
      <w:pPr>
        <w:spacing w:line="579" w:lineRule="exact"/>
        <w:ind w:firstLine="630" w:firstLineChars="200"/>
        <w:rPr>
          <w:rFonts w:hAnsi="仿宋"/>
          <w:szCs w:val="30"/>
        </w:rPr>
      </w:pPr>
      <w:r>
        <w:rPr>
          <w:rFonts w:hint="eastAsia" w:hAnsi="仿宋"/>
          <w:szCs w:val="30"/>
        </w:rPr>
        <w:t>预算绩效管理工作与预算的编制、预算执行、预算结果的评价等过程息息相关。每个过程都需要有效监管，而预算绩效运行监控手段难以全面辐射，如监控平台不够完善，把监控的侧重点放在资金使用的规范化、合规化层面上，对资金管理存在的问题采取的监控措施及纠错偏难。</w:t>
      </w:r>
    </w:p>
    <w:p>
      <w:pPr>
        <w:numPr>
          <w:ilvl w:val="0"/>
          <w:numId w:val="1"/>
        </w:numPr>
        <w:overflowPunct w:val="0"/>
        <w:adjustRightInd w:val="0"/>
        <w:snapToGrid w:val="0"/>
        <w:spacing w:line="579" w:lineRule="exact"/>
        <w:ind w:firstLine="629"/>
        <w:rPr>
          <w:rFonts w:ascii="黑体" w:hAnsi="黑体" w:eastAsia="黑体" w:cs="黑体"/>
          <w:szCs w:val="30"/>
        </w:rPr>
      </w:pPr>
      <w:r>
        <w:rPr>
          <w:rFonts w:hint="eastAsia" w:ascii="黑体" w:hAnsi="黑体" w:eastAsia="黑体" w:cs="黑体"/>
          <w:szCs w:val="30"/>
        </w:rPr>
        <w:t>建议</w:t>
      </w:r>
    </w:p>
    <w:p>
      <w:pPr>
        <w:spacing w:line="579" w:lineRule="exact"/>
        <w:ind w:firstLine="617" w:firstLineChars="196"/>
        <w:rPr>
          <w:rFonts w:ascii="楷体" w:hAnsi="楷体" w:eastAsia="楷体" w:cs="楷体"/>
          <w:szCs w:val="30"/>
        </w:rPr>
      </w:pPr>
      <w:r>
        <w:rPr>
          <w:rFonts w:hint="eastAsia" w:ascii="楷体" w:hAnsi="楷体" w:eastAsia="楷体" w:cs="楷体"/>
          <w:szCs w:val="30"/>
        </w:rPr>
        <w:t>（一）强化财政专项资金预算编制科学性</w:t>
      </w:r>
    </w:p>
    <w:p>
      <w:pPr>
        <w:spacing w:line="579" w:lineRule="exact"/>
        <w:ind w:firstLine="630" w:firstLineChars="200"/>
        <w:rPr>
          <w:rFonts w:hAnsi="仿宋"/>
          <w:szCs w:val="30"/>
        </w:rPr>
      </w:pPr>
      <w:r>
        <w:rPr>
          <w:rFonts w:hint="eastAsia" w:hAnsi="仿宋"/>
          <w:szCs w:val="30"/>
        </w:rPr>
        <w:t>强化财政专项资金预算编制的科学性，为了有效规避申报单位随意增加支出名目，浪费财政专项资金，相关管理部门可根据不同行业的项目类别分别设置相应标准的支出明细；其次是可针对专业性以及金额大的项目的收益性和操作性专门设立财政专项资金预算小组，进一步改善财政专项资金的使用效率。</w:t>
      </w:r>
    </w:p>
    <w:p>
      <w:pPr>
        <w:adjustRightInd w:val="0"/>
        <w:snapToGrid w:val="0"/>
        <w:spacing w:line="579" w:lineRule="exact"/>
        <w:ind w:firstLine="630" w:firstLineChars="200"/>
        <w:rPr>
          <w:rFonts w:hAnsi="仿宋" w:cs="仿宋"/>
          <w:szCs w:val="30"/>
        </w:rPr>
      </w:pPr>
      <w:r>
        <w:rPr>
          <w:rFonts w:hint="eastAsia" w:hAnsi="仿宋" w:cs="仿宋"/>
          <w:szCs w:val="30"/>
        </w:rPr>
        <w:t>（二）科学合理编制项目绩效目标，据实考察项目完成情况</w:t>
      </w:r>
    </w:p>
    <w:p>
      <w:pPr>
        <w:spacing w:line="579" w:lineRule="exact"/>
        <w:ind w:firstLine="630" w:firstLineChars="200"/>
        <w:rPr>
          <w:rFonts w:hAnsi="仿宋"/>
          <w:szCs w:val="30"/>
        </w:rPr>
      </w:pPr>
      <w:r>
        <w:rPr>
          <w:rFonts w:hint="eastAsia" w:hAnsi="仿宋"/>
          <w:szCs w:val="30"/>
        </w:rPr>
        <w:t>建议晋宁区教育局重视课后服务项目的绩效目标编审工作，在年初科学合理设置项目绩效目标，细化、量化年度绩效指标和各项指标目标值，将绩效管理责任层层分解，责任落实到人。在年中绩效监控阶段，根据项目实施现状和预计目标完成情况，合理适当调整部分绩效指标的目标值。在项目自评环节，加强对项目完成情况的考察，督促各项目学校积极开展服务对象满意度调查，据实完成项目自评，总结经验教训。</w:t>
      </w:r>
    </w:p>
    <w:p>
      <w:pPr>
        <w:spacing w:line="579" w:lineRule="exact"/>
        <w:ind w:firstLine="617" w:firstLineChars="196"/>
        <w:rPr>
          <w:rFonts w:ascii="楷体" w:hAnsi="楷体" w:eastAsia="楷体" w:cs="楷体"/>
          <w:szCs w:val="30"/>
        </w:rPr>
      </w:pPr>
      <w:r>
        <w:rPr>
          <w:rFonts w:hint="eastAsia" w:ascii="楷体" w:hAnsi="楷体" w:eastAsia="楷体" w:cs="楷体"/>
          <w:szCs w:val="30"/>
        </w:rPr>
        <w:t>（三）提高课后服务质量</w:t>
      </w:r>
    </w:p>
    <w:p>
      <w:pPr>
        <w:spacing w:line="579" w:lineRule="exact"/>
        <w:ind w:firstLine="630" w:firstLineChars="200"/>
        <w:rPr>
          <w:rFonts w:hAnsi="仿宋"/>
          <w:szCs w:val="30"/>
        </w:rPr>
      </w:pPr>
      <w:r>
        <w:rPr>
          <w:rFonts w:hint="eastAsia" w:hAnsi="仿宋"/>
          <w:szCs w:val="30"/>
        </w:rPr>
        <w:t>根据学校实际情况，不断完善课后服务中的教师配置、活动安排、学生管理、后勤保障、效果监测、教师考核内容，加大学校检查力度，确保不断提高课后服务质量。</w:t>
      </w:r>
    </w:p>
    <w:p>
      <w:pPr>
        <w:spacing w:line="579" w:lineRule="exact"/>
        <w:ind w:firstLine="630" w:firstLineChars="200"/>
        <w:rPr>
          <w:rFonts w:hAnsi="仿宋" w:cs="仿宋"/>
          <w:szCs w:val="30"/>
        </w:rPr>
      </w:pPr>
      <w:r>
        <w:rPr>
          <w:rFonts w:hint="eastAsia" w:ascii="楷体" w:hAnsi="楷体" w:eastAsia="楷体" w:cs="楷体"/>
          <w:szCs w:val="30"/>
        </w:rPr>
        <w:t>（四）</w:t>
      </w:r>
      <w:bookmarkEnd w:id="2"/>
      <w:bookmarkEnd w:id="3"/>
      <w:r>
        <w:rPr>
          <w:rFonts w:hint="eastAsia" w:ascii="楷体" w:hAnsi="楷体" w:eastAsia="楷体" w:cs="楷体"/>
          <w:szCs w:val="30"/>
        </w:rPr>
        <w:t>完善预算绩效监督机制，确保运行监控落实到位</w:t>
      </w:r>
    </w:p>
    <w:p>
      <w:pPr>
        <w:spacing w:line="579" w:lineRule="exact"/>
        <w:ind w:firstLine="630" w:firstLineChars="200"/>
        <w:rPr>
          <w:rFonts w:hint="eastAsia" w:ascii="方正小标宋简体" w:hAnsi="方正小标宋简体" w:eastAsia="方正小标宋简体" w:cs="方正小标宋简体"/>
          <w:spacing w:val="6"/>
          <w:kern w:val="0"/>
          <w:sz w:val="44"/>
          <w:szCs w:val="44"/>
        </w:rPr>
      </w:pPr>
      <w:r>
        <w:rPr>
          <w:rFonts w:hint="eastAsia" w:hAnsi="仿宋"/>
          <w:szCs w:val="30"/>
        </w:rPr>
        <w:t>财政部门应该将监督工作从事后向事中、事前转移，构建项目、重大政策绩效跟踪体制。完善动态监控平台功能，及时升级监控平台，从技术、内容上做到通俗易懂，让基层单位工作人员更好理解。从当前静态时点的自评，逐步实行动态监控，并且连接国库集中支付系统，保证对预算执行监督的实时性。需要对预算执行工作和绩效目标完成度进行“双监管”，有效掌握资金使用中的缺陷，在绩效执行出现偏差时，及时进行调整，并促进其有效落实，保证财政资金使用安全和高效。</w:t>
      </w:r>
    </w:p>
    <w:p>
      <w:pPr>
        <w:spacing w:line="579" w:lineRule="exact"/>
        <w:jc w:val="center"/>
        <w:rPr>
          <w:rFonts w:hint="eastAsia" w:ascii="方正小标宋简体" w:hAnsi="方正小标宋简体" w:eastAsia="方正小标宋简体" w:cs="方正小标宋简体"/>
          <w:spacing w:val="6"/>
          <w:kern w:val="0"/>
          <w:sz w:val="44"/>
          <w:szCs w:val="44"/>
        </w:rPr>
        <w:sectPr>
          <w:footerReference r:id="rId12" w:type="default"/>
          <w:footerReference r:id="rId13" w:type="even"/>
          <w:pgSz w:w="11906" w:h="16838"/>
          <w:pgMar w:top="2098" w:right="1474" w:bottom="1984" w:left="1588" w:header="851" w:footer="1474" w:gutter="0"/>
          <w:pgNumType w:fmt="upperRoman" w:start="1"/>
          <w:cols w:space="0" w:num="1"/>
          <w:docGrid w:type="linesAndChars" w:linePitch="579" w:charSpace="3247"/>
        </w:sectPr>
      </w:pPr>
    </w:p>
    <w:p>
      <w:pPr>
        <w:spacing w:line="579" w:lineRule="exact"/>
        <w:jc w:val="both"/>
        <w:rPr>
          <w:rFonts w:hint="eastAsia" w:ascii="方正小标宋简体" w:hAnsi="方正小标宋简体" w:eastAsia="方正小标宋简体" w:cs="方正小标宋简体"/>
          <w:spacing w:val="6"/>
          <w:kern w:val="0"/>
          <w:sz w:val="44"/>
          <w:szCs w:val="44"/>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方正小标宋简体" w:hAnsi="方正小标宋简体" w:eastAsia="方正小标宋简体" w:cs="方正小标宋简体"/>
          <w:spacing w:val="6"/>
          <w:kern w:val="0"/>
          <w:sz w:val="44"/>
          <w:szCs w:val="44"/>
        </w:rPr>
      </w:pPr>
      <w:r>
        <w:rPr>
          <w:rFonts w:hint="eastAsia" w:ascii="方正小标宋简体" w:hAnsi="方正小标宋简体" w:eastAsia="方正小标宋简体" w:cs="方正小标宋简体"/>
          <w:spacing w:val="6"/>
          <w:kern w:val="0"/>
          <w:sz w:val="44"/>
          <w:szCs w:val="44"/>
        </w:rPr>
        <w:t>昆明市晋宁区教育体育局2021年义务教育阶段课后服务专项资金项目</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Times New Roman" w:eastAsia="宋体"/>
          <w:kern w:val="2"/>
          <w:sz w:val="21"/>
          <w:lang w:val="en-US" w:eastAsia="zh-CN"/>
        </w:rPr>
      </w:pPr>
      <w:r>
        <w:rPr>
          <w:rFonts w:hint="eastAsia" w:ascii="方正小标宋简体" w:hAnsi="方正小标宋简体" w:eastAsia="方正小标宋简体" w:cs="方正小标宋简体"/>
          <w:spacing w:val="6"/>
          <w:kern w:val="0"/>
          <w:sz w:val="44"/>
          <w:szCs w:val="44"/>
        </w:rPr>
        <w:t>绩效</w:t>
      </w:r>
      <w:r>
        <w:rPr>
          <w:rFonts w:hint="eastAsia" w:ascii="方正小标宋简体" w:hAnsi="方正小标宋简体" w:eastAsia="方正小标宋简体" w:cs="方正小标宋简体"/>
          <w:spacing w:val="6"/>
          <w:kern w:val="0"/>
          <w:sz w:val="44"/>
          <w:szCs w:val="44"/>
          <w:lang w:val="en-US" w:eastAsia="zh-CN"/>
        </w:rPr>
        <w:t>重点</w:t>
      </w:r>
      <w:r>
        <w:rPr>
          <w:rFonts w:hint="eastAsia" w:ascii="方正小标宋简体" w:hAnsi="方正小标宋简体" w:eastAsia="方正小标宋简体" w:cs="方正小标宋简体"/>
          <w:spacing w:val="6"/>
          <w:kern w:val="0"/>
          <w:sz w:val="44"/>
          <w:szCs w:val="44"/>
        </w:rPr>
        <w:t>评价报告</w:t>
      </w:r>
      <w:bookmarkStart w:id="4" w:name="_Toc7564"/>
    </w:p>
    <w:p>
      <w:pPr>
        <w:spacing w:line="579" w:lineRule="exact"/>
        <w:ind w:firstLine="630" w:firstLineChars="200"/>
        <w:jc w:val="right"/>
        <w:rPr>
          <w:rFonts w:hint="eastAsia" w:ascii="Times New Roman" w:eastAsia="宋体"/>
          <w:kern w:val="2"/>
          <w:sz w:val="21"/>
        </w:rPr>
      </w:pPr>
      <w:r>
        <w:rPr>
          <w:rFonts w:hint="eastAsia" w:hAnsi="仿宋"/>
          <w:szCs w:val="30"/>
          <w:lang w:val="en-US" w:eastAsia="zh-CN"/>
        </w:rPr>
        <w:t>大华核字[2022]200635号</w:t>
      </w:r>
    </w:p>
    <w:p>
      <w:pPr>
        <w:spacing w:line="579" w:lineRule="exact"/>
        <w:ind w:firstLine="630" w:firstLineChars="200"/>
        <w:outlineLvl w:val="0"/>
        <w:rPr>
          <w:rFonts w:ascii="黑体" w:hAnsi="黑体" w:eastAsia="黑体" w:cs="黑体"/>
          <w:szCs w:val="30"/>
        </w:rPr>
      </w:pPr>
      <w:r>
        <w:rPr>
          <w:rFonts w:hint="eastAsia" w:ascii="黑体" w:hAnsi="黑体" w:eastAsia="黑体" w:cs="黑体"/>
          <w:szCs w:val="30"/>
        </w:rPr>
        <w:t>一、基本情况</w:t>
      </w:r>
      <w:bookmarkEnd w:id="4"/>
    </w:p>
    <w:p>
      <w:pPr>
        <w:spacing w:line="579" w:lineRule="exact"/>
        <w:ind w:firstLine="630" w:firstLineChars="200"/>
        <w:rPr>
          <w:rFonts w:ascii="楷体" w:hAnsi="楷体" w:eastAsia="楷体" w:cs="楷体"/>
          <w:szCs w:val="30"/>
        </w:rPr>
      </w:pPr>
      <w:r>
        <w:rPr>
          <w:rFonts w:hint="eastAsia" w:ascii="楷体" w:hAnsi="楷体" w:eastAsia="楷体" w:cs="楷体"/>
          <w:szCs w:val="30"/>
        </w:rPr>
        <w:t>（一）项目概况</w:t>
      </w:r>
    </w:p>
    <w:p>
      <w:pPr>
        <w:spacing w:line="579" w:lineRule="exact"/>
        <w:ind w:firstLine="630" w:firstLineChars="200"/>
        <w:rPr>
          <w:rFonts w:hAnsi="仿宋"/>
          <w:szCs w:val="30"/>
          <w:lang w:val="zh-CN"/>
        </w:rPr>
      </w:pPr>
      <w:r>
        <w:rPr>
          <w:rFonts w:hint="eastAsia" w:hAnsi="仿宋"/>
          <w:szCs w:val="30"/>
          <w:lang w:val="zh-CN"/>
        </w:rPr>
        <w:t>1.立项的背景及目的</w:t>
      </w:r>
    </w:p>
    <w:p>
      <w:pPr>
        <w:spacing w:line="579" w:lineRule="exact"/>
        <w:ind w:firstLine="630" w:firstLineChars="200"/>
        <w:rPr>
          <w:rFonts w:hint="eastAsia" w:hAnsi="仿宋"/>
          <w:szCs w:val="30"/>
        </w:rPr>
        <w:sectPr>
          <w:headerReference r:id="rId16" w:type="first"/>
          <w:footerReference r:id="rId19" w:type="first"/>
          <w:headerReference r:id="rId14" w:type="default"/>
          <w:footerReference r:id="rId17" w:type="default"/>
          <w:headerReference r:id="rId15" w:type="even"/>
          <w:footerReference r:id="rId18" w:type="even"/>
          <w:pgSz w:w="11906" w:h="16838"/>
          <w:pgMar w:top="2098" w:right="1474" w:bottom="1984" w:left="1588" w:header="1134" w:footer="1474" w:gutter="0"/>
          <w:pgNumType w:fmt="decimal" w:start="1"/>
          <w:cols w:space="0" w:num="1"/>
          <w:titlePg/>
          <w:docGrid w:type="linesAndChars" w:linePitch="579" w:charSpace="3247"/>
        </w:sectPr>
      </w:pPr>
      <w:r>
        <w:rPr>
          <w:rFonts w:hint="eastAsia" w:hAnsi="仿宋"/>
          <w:szCs w:val="30"/>
          <w:lang w:val="zh-CN"/>
        </w:rPr>
        <w:t>以习近平新时代中国特色社会主义思想为指导，全面贯彻党的教育方针，落实立德树人根本任务，强化责任担当，统筹社会资源，</w:t>
      </w:r>
      <w:r>
        <w:rPr>
          <w:rFonts w:hint="eastAsia" w:hAnsi="仿宋"/>
          <w:szCs w:val="30"/>
        </w:rPr>
        <w:t>充分利用学校优势，</w:t>
      </w:r>
      <w:r>
        <w:rPr>
          <w:rFonts w:hint="eastAsia" w:hAnsi="仿宋"/>
          <w:szCs w:val="30"/>
          <w:lang w:val="zh-CN"/>
        </w:rPr>
        <w:t>采取丰富多样的课后服务方式和科学合理的课后服务内容，</w:t>
      </w:r>
      <w:r>
        <w:rPr>
          <w:rFonts w:hint="eastAsia" w:hAnsi="仿宋"/>
          <w:szCs w:val="30"/>
        </w:rPr>
        <w:t>有效实施各种课后育人活动，满足学生多样化学习需求。为进一步贯彻落实中办、国办《关于进一步减轻义务教育阶段学生作业负担和校外培训负担的意见》精神，根据《教育部办公厅关于进一步做好义务教育课后服务工作的通知》（教基厅函〔2021〕28号），进一步做好昆明市晋宁区义务教育学校课后服务工作，根据课后服务内容，采取财政补贴、收取服务性收费或代收费等方式筹措经费。设定服务性收费或代收费的，坚持成本补偿和非营利原则，按有关省级收费政策执行。按照小学30元/月/生，初中55元/月/生的补助标准由区财政对公办学</w:t>
      </w:r>
    </w:p>
    <w:p>
      <w:pPr>
        <w:spacing w:line="579" w:lineRule="exact"/>
        <w:ind w:firstLine="630" w:firstLineChars="200"/>
        <w:rPr>
          <w:rFonts w:hint="eastAsia" w:hAnsi="仿宋"/>
          <w:szCs w:val="30"/>
        </w:rPr>
      </w:pPr>
      <w:r>
        <w:rPr>
          <w:rFonts w:hint="eastAsia" w:hAnsi="仿宋"/>
          <w:szCs w:val="30"/>
        </w:rPr>
        <w:t>校下达专项补助经费。</w:t>
      </w:r>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rPr>
          <w:rFonts w:hAnsi="仿宋"/>
          <w:szCs w:val="30"/>
          <w:lang w:val="zh-CN"/>
        </w:rPr>
      </w:pPr>
      <w:r>
        <w:rPr>
          <w:rFonts w:hint="eastAsia" w:hAnsi="仿宋"/>
          <w:szCs w:val="30"/>
          <w:lang w:val="zh-CN"/>
        </w:rPr>
        <w:t>2.项目实施情况</w:t>
      </w:r>
    </w:p>
    <w:p>
      <w:pPr>
        <w:spacing w:line="579" w:lineRule="exact"/>
        <w:ind w:firstLine="630" w:firstLineChars="200"/>
        <w:rPr>
          <w:rFonts w:hAnsi="仿宋"/>
          <w:szCs w:val="30"/>
          <w:lang w:val="zh-CN"/>
        </w:rPr>
      </w:pPr>
      <w:r>
        <w:rPr>
          <w:rFonts w:hint="eastAsia" w:hAnsi="仿宋"/>
          <w:szCs w:val="30"/>
          <w:lang w:val="zh-CN"/>
        </w:rPr>
        <w:t>2021年全区义务教育学校围绕培养学生兴趣、发展特长、开拓视野、注重实践、提升能力，根据不同学段开展丰富多样的课后服务，推行“5+2”模式，即一周五天全部开展，每天不少于2个小时（含午间托管或午自习，初中晚自习）。课后服务活动的具体如下：</w:t>
      </w:r>
    </w:p>
    <w:p>
      <w:pPr>
        <w:spacing w:line="579" w:lineRule="exact"/>
        <w:ind w:firstLine="630" w:firstLineChars="200"/>
        <w:rPr>
          <w:rFonts w:hAnsi="仿宋"/>
          <w:szCs w:val="30"/>
          <w:lang w:val="zh-CN"/>
        </w:rPr>
      </w:pPr>
      <w:r>
        <w:rPr>
          <w:rFonts w:hint="eastAsia" w:hAnsi="仿宋"/>
          <w:szCs w:val="30"/>
          <w:lang w:val="zh-CN"/>
        </w:rPr>
        <w:t>（1）提供课后学业辅导</w:t>
      </w:r>
    </w:p>
    <w:p>
      <w:pPr>
        <w:spacing w:line="579" w:lineRule="exact"/>
        <w:ind w:firstLine="630" w:firstLineChars="200"/>
        <w:rPr>
          <w:rFonts w:hAnsi="仿宋"/>
          <w:szCs w:val="30"/>
          <w:lang w:val="zh-CN"/>
        </w:rPr>
      </w:pPr>
      <w:r>
        <w:rPr>
          <w:rFonts w:hint="eastAsia" w:hAnsi="仿宋"/>
          <w:szCs w:val="30"/>
          <w:lang w:val="zh-CN"/>
        </w:rPr>
        <w:t>充分发挥学校人员和场地优势，以开展课后学业辅导为主，安排学生进行自习、做作业、自主阅读、安全教育与应急演练等活动。除高三毕业年级外，各学校不得利用课后服务时间开展集体教学，不得上新课，不得加重学生课业负担。</w:t>
      </w:r>
    </w:p>
    <w:p>
      <w:pPr>
        <w:spacing w:line="579" w:lineRule="exact"/>
        <w:ind w:firstLine="630" w:firstLineChars="200"/>
        <w:rPr>
          <w:rFonts w:hAnsi="仿宋"/>
          <w:szCs w:val="30"/>
          <w:lang w:val="zh-CN"/>
        </w:rPr>
      </w:pPr>
      <w:r>
        <w:rPr>
          <w:rFonts w:hint="eastAsia" w:hAnsi="仿宋"/>
          <w:szCs w:val="30"/>
          <w:lang w:val="zh-CN"/>
        </w:rPr>
        <w:t>（2）开展多样化兴趣活动</w:t>
      </w:r>
    </w:p>
    <w:p>
      <w:pPr>
        <w:spacing w:line="579" w:lineRule="exact"/>
        <w:ind w:firstLine="630" w:firstLineChars="200"/>
        <w:rPr>
          <w:rFonts w:hAnsi="仿宋"/>
          <w:szCs w:val="30"/>
          <w:lang w:val="zh-CN"/>
        </w:rPr>
      </w:pPr>
      <w:r>
        <w:rPr>
          <w:rFonts w:hint="eastAsia" w:hAnsi="仿宋"/>
          <w:szCs w:val="30"/>
          <w:lang w:val="zh-CN"/>
        </w:rPr>
        <w:t>各学校根据自身特点、教师特长、学生兴趣，开展多样化兴趣活动。一、</w:t>
      </w:r>
      <w:r>
        <w:fldChar w:fldCharType="begin"/>
      </w:r>
      <w:r>
        <w:instrText xml:space="preserve"> HYPERLINK "http://cs.xdf.cn/xsc/ernianji/" \t "http://cs.xdf.cn/zk/hyxx/201908/_blank" </w:instrText>
      </w:r>
      <w:r>
        <w:fldChar w:fldCharType="separate"/>
      </w:r>
      <w:r>
        <w:rPr>
          <w:rFonts w:hint="eastAsia" w:hAnsi="仿宋"/>
          <w:szCs w:val="30"/>
          <w:lang w:val="zh-CN"/>
        </w:rPr>
        <w:t>二年级</w:t>
      </w:r>
      <w:r>
        <w:rPr>
          <w:rFonts w:hint="eastAsia" w:hAnsi="仿宋"/>
          <w:szCs w:val="30"/>
          <w:lang w:val="zh-CN"/>
        </w:rPr>
        <w:fldChar w:fldCharType="end"/>
      </w:r>
      <w:r>
        <w:rPr>
          <w:rFonts w:hint="eastAsia" w:hAnsi="仿宋"/>
          <w:szCs w:val="30"/>
          <w:lang w:val="zh-CN"/>
        </w:rPr>
        <w:t>以团队活动、体艺活动、课外阅读、实践活动、手工操作类等活动为主。</w:t>
      </w:r>
      <w:r>
        <w:fldChar w:fldCharType="begin"/>
      </w:r>
      <w:r>
        <w:instrText xml:space="preserve"> HYPERLINK "http://cs.xdf.cn/xsc/sannianji/" \t "http://cs.xdf.cn/zk/hyxx/201908/_blank" </w:instrText>
      </w:r>
      <w:r>
        <w:fldChar w:fldCharType="separate"/>
      </w:r>
      <w:r>
        <w:rPr>
          <w:rFonts w:hint="eastAsia" w:hAnsi="仿宋"/>
          <w:szCs w:val="30"/>
          <w:lang w:val="zh-CN"/>
        </w:rPr>
        <w:t>三年级</w:t>
      </w:r>
      <w:r>
        <w:rPr>
          <w:rFonts w:hint="eastAsia" w:hAnsi="仿宋"/>
          <w:szCs w:val="30"/>
          <w:lang w:val="zh-CN"/>
        </w:rPr>
        <w:fldChar w:fldCharType="end"/>
      </w:r>
      <w:r>
        <w:rPr>
          <w:rFonts w:hint="eastAsia" w:hAnsi="仿宋"/>
          <w:szCs w:val="30"/>
          <w:lang w:val="zh-CN"/>
        </w:rPr>
        <w:t>以上以课后托管、作业辅导、体艺活动、课外阅读、兴趣小组、科技活动、团队活动、综合实践活动为主。初中以学科拓展、作业辅导、社团活动、科技活动、课外阅读为主。</w:t>
      </w:r>
    </w:p>
    <w:p>
      <w:pPr>
        <w:spacing w:line="579" w:lineRule="exact"/>
        <w:ind w:firstLine="630" w:firstLineChars="200"/>
        <w:rPr>
          <w:rFonts w:hAnsi="仿宋"/>
          <w:szCs w:val="30"/>
          <w:lang w:val="zh-CN"/>
        </w:rPr>
      </w:pPr>
      <w:r>
        <w:rPr>
          <w:rFonts w:hint="eastAsia" w:hAnsi="仿宋"/>
          <w:szCs w:val="30"/>
          <w:lang w:val="zh-CN"/>
        </w:rPr>
        <w:t>3.资金来源及使用情况</w:t>
      </w:r>
    </w:p>
    <w:p>
      <w:pPr>
        <w:spacing w:line="579" w:lineRule="exact"/>
        <w:ind w:firstLine="630" w:firstLineChars="200"/>
        <w:rPr>
          <w:rFonts w:hAnsi="仿宋"/>
          <w:szCs w:val="30"/>
          <w:lang w:val="zh-CN"/>
        </w:rPr>
      </w:pPr>
      <w:r>
        <w:rPr>
          <w:rFonts w:hint="eastAsia" w:hAnsi="仿宋"/>
          <w:szCs w:val="30"/>
          <w:lang w:val="zh-CN"/>
        </w:rPr>
        <w:t>为保障义务教育阶段课后服务活动的顺利实施，落实课后服务经费，将义务教育阶段课后服务经费纳入年初预算，由区级财政全额承担。2021年义务教育阶段课后服务专项经费年初预算批复200万元，年末预算追加417.5万，全年区级财政保障经费合计617.5万元，根据各义务教育学校开展课后服务的情况，全部资金已按各项目学校的学生人数下拨到学校，由学校根据师生参加课后服务活动的实际情况，考核发放补助资金，该项目资金已全额使用，无结余。</w:t>
      </w:r>
    </w:p>
    <w:p>
      <w:pPr>
        <w:spacing w:line="579" w:lineRule="exact"/>
        <w:ind w:firstLine="630" w:firstLineChars="200"/>
        <w:rPr>
          <w:rFonts w:hAnsi="仿宋"/>
          <w:szCs w:val="30"/>
          <w:lang w:val="zh-CN"/>
        </w:rPr>
      </w:pPr>
      <w:r>
        <w:rPr>
          <w:rFonts w:hint="eastAsia" w:hAnsi="仿宋"/>
          <w:szCs w:val="30"/>
          <w:lang w:val="zh-CN"/>
        </w:rPr>
        <w:t>4.组织及管理情况。</w:t>
      </w:r>
    </w:p>
    <w:p>
      <w:pPr>
        <w:spacing w:line="579" w:lineRule="exact"/>
        <w:ind w:firstLine="630" w:firstLineChars="200"/>
        <w:rPr>
          <w:rFonts w:hAnsi="仿宋"/>
          <w:szCs w:val="30"/>
          <w:lang w:val="zh-CN"/>
        </w:rPr>
      </w:pPr>
      <w:r>
        <w:rPr>
          <w:rFonts w:hint="eastAsia" w:hAnsi="仿宋"/>
          <w:szCs w:val="30"/>
          <w:lang w:val="zh-CN"/>
        </w:rPr>
        <w:t>为落实义务教育阶段课后服务的相关政策，晋宁区教育体育局成立课后服务活动领导小组，制定课后服务管理办法，指导检查各学校开展课后服务的情况，各学校根据开展课后服务的情况，统计申报资金，教育科根据各学校申报统计的情况，到校实地核查参加课后服务的学生人数及开展情况，核实无误后，按学期汇总统计所需经费，提请局务会研究决议，根据集体决议，由财务科核实下拨各项目学校应安排的课后服务活动资金。各义务教育学校收到项目资金后，根据各校的管理办法，考核发放资金。建立监督管理机制，区教育体育局、区财政局对课后服务的质量监测和经费使用情况进行监管，每学期结束时对学校课后服务工作开展和经费使用情况进行专项检查，发现问题及时纠正，确保资金使用安全规范，专款专用。</w:t>
      </w:r>
    </w:p>
    <w:p>
      <w:pPr>
        <w:spacing w:line="579" w:lineRule="exact"/>
        <w:ind w:firstLine="630" w:firstLineChars="200"/>
        <w:outlineLvl w:val="0"/>
        <w:rPr>
          <w:rFonts w:ascii="黑体" w:hAnsi="黑体" w:eastAsia="黑体" w:cs="黑体"/>
          <w:szCs w:val="30"/>
        </w:rPr>
      </w:pPr>
      <w:bookmarkStart w:id="5" w:name="_Toc3922"/>
      <w:r>
        <w:rPr>
          <w:rFonts w:hint="eastAsia" w:ascii="黑体" w:hAnsi="黑体" w:eastAsia="黑体" w:cs="黑体"/>
          <w:szCs w:val="30"/>
        </w:rPr>
        <w:t>二、绩效评价工作开展情况</w:t>
      </w:r>
      <w:bookmarkEnd w:id="5"/>
    </w:p>
    <w:p>
      <w:pPr>
        <w:spacing w:line="579" w:lineRule="exact"/>
        <w:ind w:firstLine="630" w:firstLineChars="200"/>
        <w:rPr>
          <w:rFonts w:ascii="楷体" w:hAnsi="楷体" w:eastAsia="楷体" w:cs="楷体"/>
          <w:szCs w:val="30"/>
        </w:rPr>
      </w:pPr>
      <w:bookmarkStart w:id="6" w:name="_Toc10334"/>
      <w:r>
        <w:rPr>
          <w:rFonts w:hint="eastAsia" w:ascii="楷体" w:hAnsi="楷体" w:eastAsia="楷体" w:cs="楷体"/>
          <w:szCs w:val="30"/>
        </w:rPr>
        <w:t>（一）绩效评价目的、对象和范围</w:t>
      </w:r>
      <w:bookmarkEnd w:id="6"/>
    </w:p>
    <w:p>
      <w:pPr>
        <w:spacing w:line="579" w:lineRule="exact"/>
        <w:ind w:firstLine="630" w:firstLineChars="200"/>
        <w:rPr>
          <w:rFonts w:hAnsi="仿宋"/>
          <w:szCs w:val="30"/>
          <w:lang w:val="zh-CN"/>
        </w:rPr>
      </w:pPr>
      <w:r>
        <w:rPr>
          <w:rFonts w:hint="eastAsia" w:hAnsi="仿宋"/>
          <w:szCs w:val="30"/>
          <w:lang w:val="zh-CN"/>
        </w:rPr>
        <w:t>1.绩效评价目的</w:t>
      </w:r>
    </w:p>
    <w:p>
      <w:pPr>
        <w:spacing w:line="579" w:lineRule="exact"/>
        <w:ind w:firstLine="630" w:firstLineChars="200"/>
        <w:rPr>
          <w:rFonts w:hAnsi="仿宋"/>
          <w:szCs w:val="30"/>
          <w:lang w:val="zh-CN"/>
        </w:rPr>
      </w:pPr>
      <w:r>
        <w:rPr>
          <w:rFonts w:hint="eastAsia" w:hAnsi="仿宋"/>
          <w:szCs w:val="30"/>
          <w:lang w:val="zh-CN"/>
        </w:rPr>
        <w:t>财政支出绩效评价是运用客观的指标体系，对公共资源使用效率、效益进行综合分析和评价，促进政府职能转变，提高资源配置效率，推进政府管理科学化的重要抓手。绩效评价对于公共政策执行质量、效益、能力的提高等有一定的理论意义与实践价值。本次绩效评价受昆明市晋宁区财政局的委托，对义务教育阶段课后服务专项经费项目的项目决策、项目管理、项目产出、项目效益，做出综合的评价，为政府科学决策和项目长效管理提供依据。</w:t>
      </w:r>
    </w:p>
    <w:p>
      <w:pPr>
        <w:spacing w:line="579" w:lineRule="exact"/>
        <w:ind w:firstLine="630" w:firstLineChars="200"/>
        <w:rPr>
          <w:rFonts w:hAnsi="仿宋"/>
          <w:szCs w:val="30"/>
          <w:lang w:val="zh-CN"/>
        </w:rPr>
      </w:pPr>
      <w:r>
        <w:rPr>
          <w:rFonts w:hint="eastAsia" w:hAnsi="仿宋"/>
          <w:szCs w:val="30"/>
          <w:lang w:val="zh-CN"/>
        </w:rPr>
        <w:t>通过本次绩效评价，有助于管理部门明确项目绩效目标，重视项目实施的规范性。并且总结经验教训，及时发现不足，对以后年度的计划安排和资金拨付以及工作开展，进行有益的探索和实践。</w:t>
      </w:r>
    </w:p>
    <w:p>
      <w:pPr>
        <w:spacing w:line="579" w:lineRule="exact"/>
        <w:ind w:firstLine="630" w:firstLineChars="200"/>
        <w:rPr>
          <w:rFonts w:hAnsi="仿宋"/>
          <w:szCs w:val="30"/>
          <w:lang w:val="zh-CN"/>
        </w:rPr>
      </w:pPr>
      <w:r>
        <w:rPr>
          <w:rFonts w:hint="eastAsia" w:hAnsi="仿宋"/>
          <w:szCs w:val="30"/>
          <w:lang w:val="zh-CN"/>
        </w:rPr>
        <w:t>2.绩效评价的对象和范围</w:t>
      </w:r>
    </w:p>
    <w:p>
      <w:pPr>
        <w:spacing w:line="579" w:lineRule="exact"/>
        <w:ind w:firstLine="630" w:firstLineChars="200"/>
        <w:rPr>
          <w:rFonts w:hAnsi="仿宋"/>
          <w:szCs w:val="30"/>
          <w:lang w:val="zh-CN"/>
        </w:rPr>
      </w:pPr>
      <w:r>
        <w:rPr>
          <w:rFonts w:hint="eastAsia" w:hAnsi="仿宋"/>
          <w:szCs w:val="30"/>
          <w:lang w:val="zh-CN"/>
        </w:rPr>
        <w:t>本次绩效评价对象为昆明市晋宁区义务教育阶段课后服务专项经费的预算资金，评价范围为2021年昆明市晋宁区义务教育阶段课后服务专项经费项目的建设情况、专项资金使用情况，旨在为后续决策提供参考。</w:t>
      </w:r>
    </w:p>
    <w:p>
      <w:pPr>
        <w:spacing w:line="579" w:lineRule="exact"/>
        <w:ind w:firstLine="630" w:firstLineChars="200"/>
        <w:rPr>
          <w:rFonts w:ascii="楷体" w:hAnsi="楷体" w:eastAsia="楷体" w:cs="楷体"/>
          <w:szCs w:val="30"/>
        </w:rPr>
      </w:pPr>
      <w:bookmarkStart w:id="7" w:name="_Toc83664572"/>
      <w:bookmarkStart w:id="8" w:name="_Toc32659"/>
      <w:bookmarkStart w:id="9" w:name="_Toc83886773"/>
      <w:bookmarkStart w:id="10" w:name="_Toc83892453"/>
      <w:bookmarkStart w:id="11" w:name="_Toc83888587"/>
      <w:bookmarkStart w:id="12" w:name="_Toc84243563"/>
      <w:bookmarkStart w:id="13" w:name="_Toc11677"/>
      <w:r>
        <w:rPr>
          <w:rFonts w:hint="eastAsia" w:ascii="楷体" w:hAnsi="楷体" w:eastAsia="楷体" w:cs="楷体"/>
          <w:szCs w:val="30"/>
        </w:rPr>
        <w:t>（二）绩效评价原则、评价指标体系、评价方法、评价标准和评价抽样</w:t>
      </w:r>
      <w:bookmarkEnd w:id="7"/>
      <w:bookmarkEnd w:id="8"/>
      <w:bookmarkEnd w:id="9"/>
      <w:bookmarkEnd w:id="10"/>
      <w:bookmarkEnd w:id="11"/>
      <w:bookmarkEnd w:id="12"/>
    </w:p>
    <w:p>
      <w:pPr>
        <w:spacing w:line="579" w:lineRule="exact"/>
        <w:ind w:firstLine="630" w:firstLineChars="200"/>
        <w:rPr>
          <w:rFonts w:hAnsi="仿宋"/>
          <w:szCs w:val="30"/>
          <w:lang w:val="zh-CN"/>
        </w:rPr>
      </w:pPr>
      <w:r>
        <w:rPr>
          <w:rFonts w:hint="eastAsia" w:hAnsi="仿宋"/>
          <w:szCs w:val="30"/>
          <w:lang w:val="zh-CN"/>
        </w:rPr>
        <w:t>1.绩效评价原则</w:t>
      </w:r>
    </w:p>
    <w:p>
      <w:pPr>
        <w:spacing w:line="579" w:lineRule="exact"/>
        <w:ind w:firstLine="630" w:firstLineChars="200"/>
        <w:rPr>
          <w:rFonts w:hAnsi="仿宋"/>
          <w:szCs w:val="30"/>
          <w:lang w:val="zh-CN"/>
        </w:rPr>
      </w:pPr>
      <w:r>
        <w:rPr>
          <w:rFonts w:hint="eastAsia" w:hAnsi="仿宋"/>
          <w:szCs w:val="30"/>
          <w:lang w:val="zh-CN"/>
        </w:rPr>
        <w:t>本次绩效评价遵循科学规范、公正公开、绩效相关的基本原则：</w:t>
      </w:r>
    </w:p>
    <w:p>
      <w:pPr>
        <w:spacing w:line="579" w:lineRule="exact"/>
        <w:ind w:firstLine="630" w:firstLineChars="200"/>
        <w:rPr>
          <w:rFonts w:hAnsi="仿宋"/>
          <w:szCs w:val="30"/>
          <w:lang w:val="zh-CN"/>
        </w:rPr>
      </w:pPr>
      <w:r>
        <w:rPr>
          <w:rFonts w:hint="eastAsia" w:hAnsi="仿宋"/>
          <w:szCs w:val="30"/>
          <w:lang w:val="zh-CN"/>
        </w:rPr>
        <w:t>（1）科学规范原则。绩效评价注重财政支出经济性、效率性和有效性，严格执行规定的程序，采用定量与定性分析相结合的方法。</w:t>
      </w:r>
    </w:p>
    <w:p>
      <w:pPr>
        <w:spacing w:line="579" w:lineRule="exact"/>
        <w:ind w:firstLine="630" w:firstLineChars="200"/>
        <w:rPr>
          <w:rFonts w:hAnsi="仿宋"/>
          <w:szCs w:val="30"/>
          <w:lang w:val="zh-CN"/>
        </w:rPr>
      </w:pPr>
      <w:r>
        <w:rPr>
          <w:rFonts w:hint="eastAsia" w:hAnsi="仿宋"/>
          <w:szCs w:val="30"/>
          <w:lang w:val="zh-CN"/>
        </w:rPr>
        <w:t>（2）公正公开原则。绩效评价客观公正，标准统一，资料可靠，依法公开并接受监督。</w:t>
      </w:r>
    </w:p>
    <w:p>
      <w:pPr>
        <w:spacing w:line="579" w:lineRule="exact"/>
        <w:ind w:firstLine="630" w:firstLineChars="200"/>
        <w:rPr>
          <w:rFonts w:hAnsi="仿宋"/>
          <w:szCs w:val="30"/>
          <w:lang w:val="zh-CN"/>
        </w:rPr>
      </w:pPr>
      <w:r>
        <w:rPr>
          <w:rFonts w:hint="eastAsia" w:hAnsi="仿宋"/>
          <w:szCs w:val="30"/>
          <w:lang w:val="zh-CN"/>
        </w:rPr>
        <w:t>（3）绩效相关原则。绩效评价围绕绩效目标、针对具体支出及其产出绩效进行评价，评价结果清晰反映支出和产出绩效之间的对应关系。</w:t>
      </w:r>
    </w:p>
    <w:p>
      <w:pPr>
        <w:spacing w:line="579" w:lineRule="exact"/>
        <w:ind w:firstLine="630" w:firstLineChars="200"/>
        <w:rPr>
          <w:rFonts w:hAnsi="仿宋"/>
          <w:szCs w:val="30"/>
          <w:lang w:val="zh-CN"/>
        </w:rPr>
      </w:pPr>
      <w:r>
        <w:rPr>
          <w:rFonts w:hint="eastAsia" w:hAnsi="仿宋"/>
          <w:szCs w:val="30"/>
          <w:lang w:val="zh-CN"/>
        </w:rPr>
        <w:t>2.绩效评价体系</w:t>
      </w:r>
    </w:p>
    <w:p>
      <w:pPr>
        <w:spacing w:line="579" w:lineRule="exact"/>
        <w:ind w:firstLine="630" w:firstLineChars="200"/>
        <w:rPr>
          <w:rFonts w:hAnsi="仿宋"/>
          <w:szCs w:val="30"/>
          <w:lang w:val="zh-CN"/>
        </w:rPr>
      </w:pPr>
      <w:r>
        <w:rPr>
          <w:rFonts w:hint="eastAsia" w:hAnsi="仿宋"/>
          <w:szCs w:val="30"/>
          <w:lang w:val="zh-CN"/>
        </w:rPr>
        <w:t>（1）绩效评价指标</w:t>
      </w:r>
    </w:p>
    <w:p>
      <w:pPr>
        <w:spacing w:line="579" w:lineRule="exact"/>
        <w:ind w:firstLine="630" w:firstLineChars="200"/>
        <w:jc w:val="left"/>
        <w:rPr>
          <w:rFonts w:hAnsi="仿宋"/>
          <w:szCs w:val="30"/>
          <w:lang w:val="zh-CN"/>
        </w:rPr>
      </w:pPr>
      <w:r>
        <w:rPr>
          <w:rFonts w:hint="eastAsia" w:hAnsi="仿宋"/>
          <w:szCs w:val="30"/>
          <w:lang w:val="zh-CN"/>
        </w:rPr>
        <w:t>根据项目相关性、重要性、可比性、经济性、系统性原则，结合财政支出项目绩效评价的相关要求设立相应的指标，并分配相应的权重（分值）。根据项目特点，本项目评价指标拟设置4个一级指标（决策、过程、产出、效果）；12个二级指标（项目立项、绩效目标、资金投入、资金管理、项目管理、数量指标、质量指标、时效指标、成本指标、社会效益、可持续性影响、服务对象满意度指标）；27个三级指标。</w:t>
      </w:r>
    </w:p>
    <w:p>
      <w:pPr>
        <w:adjustRightInd w:val="0"/>
        <w:spacing w:line="579" w:lineRule="exact"/>
        <w:ind w:firstLine="630" w:firstLineChars="200"/>
        <w:rPr>
          <w:rFonts w:hAnsi="仿宋" w:cs="仿宋"/>
          <w:bCs/>
          <w:szCs w:val="30"/>
        </w:rPr>
      </w:pPr>
      <w:r>
        <w:rPr>
          <w:rFonts w:hint="eastAsia" w:hAnsi="仿宋" w:cs="仿宋"/>
          <w:bCs/>
          <w:szCs w:val="30"/>
        </w:rPr>
        <w:t>具体内容详见</w:t>
      </w:r>
      <w:bookmarkStart w:id="14" w:name="_Hlk124538382"/>
      <w:r>
        <w:rPr>
          <w:rFonts w:hint="eastAsia" w:hAnsi="仿宋" w:cs="仿宋"/>
          <w:bCs/>
          <w:szCs w:val="30"/>
        </w:rPr>
        <w:t>“附件1：绩效评价指标体系及评分表”</w:t>
      </w:r>
      <w:bookmarkEnd w:id="14"/>
      <w:r>
        <w:rPr>
          <w:rFonts w:hint="eastAsia" w:hAnsi="仿宋" w:cs="仿宋"/>
          <w:bCs/>
          <w:szCs w:val="30"/>
        </w:rPr>
        <w:t>。</w:t>
      </w:r>
    </w:p>
    <w:p>
      <w:pPr>
        <w:adjustRightInd w:val="0"/>
        <w:spacing w:line="579" w:lineRule="exact"/>
        <w:ind w:firstLine="630" w:firstLineChars="200"/>
        <w:rPr>
          <w:rFonts w:hAnsi="仿宋" w:cs="仿宋"/>
          <w:bCs/>
          <w:szCs w:val="30"/>
        </w:rPr>
      </w:pPr>
      <w:r>
        <w:rPr>
          <w:rFonts w:hint="eastAsia" w:hAnsi="仿宋" w:cs="仿宋"/>
          <w:bCs/>
          <w:szCs w:val="30"/>
        </w:rPr>
        <w:t>（2）绩效评价指标分值权重</w:t>
      </w:r>
    </w:p>
    <w:p>
      <w:pPr>
        <w:adjustRightInd w:val="0"/>
        <w:spacing w:line="579" w:lineRule="exact"/>
        <w:ind w:firstLine="630" w:firstLineChars="200"/>
        <w:rPr>
          <w:rFonts w:hAnsi="仿宋" w:cs="仿宋"/>
          <w:bCs/>
          <w:szCs w:val="30"/>
        </w:rPr>
      </w:pPr>
      <w:r>
        <w:rPr>
          <w:rFonts w:hint="eastAsia" w:hAnsi="仿宋" w:cs="仿宋"/>
          <w:bCs/>
          <w:szCs w:val="30"/>
        </w:rPr>
        <w:t>根据云南省财政厅关于印发《云南省项目支出绩效评价管理办法》的通知（云财绩〔2020〕11号）要求，通过研究项目的实施背景与政策目标，分析梳理前期调研和试点获取的相关数据和资料，查看行业专家论点和相关文献，综合判断各级评价指标对实现绩效目标的关键程度，确定各评价指标的分值权重。</w:t>
      </w:r>
    </w:p>
    <w:p>
      <w:pPr>
        <w:adjustRightInd w:val="0"/>
        <w:spacing w:line="579" w:lineRule="exact"/>
        <w:ind w:firstLine="630" w:firstLineChars="200"/>
        <w:rPr>
          <w:rFonts w:hAnsi="仿宋" w:cs="仿宋"/>
          <w:bCs/>
          <w:szCs w:val="30"/>
        </w:rPr>
      </w:pPr>
      <w:r>
        <w:rPr>
          <w:rFonts w:hint="eastAsia" w:hAnsi="仿宋" w:cs="仿宋"/>
          <w:bCs/>
          <w:szCs w:val="30"/>
        </w:rPr>
        <w:t>绩效评价指标体系从决策、过程、产出、效果四个方面进行构建，“决策”分值权重20分，“过程”分值权重20分，“产出”分值权重30分，“效益”分值权重30分。</w:t>
      </w:r>
    </w:p>
    <w:p>
      <w:pPr>
        <w:adjustRightInd w:val="0"/>
        <w:spacing w:line="579" w:lineRule="exact"/>
        <w:ind w:firstLine="630" w:firstLineChars="200"/>
        <w:rPr>
          <w:rFonts w:hAnsi="仿宋" w:cs="仿宋"/>
          <w:bCs/>
          <w:szCs w:val="30"/>
        </w:rPr>
      </w:pPr>
      <w:r>
        <w:rPr>
          <w:rFonts w:hint="eastAsia" w:hAnsi="仿宋" w:cs="仿宋"/>
          <w:bCs/>
          <w:szCs w:val="30"/>
        </w:rPr>
        <w:t>本次评价采用百分制，各级指标依据其指标权重确定分值，最终得分由各级评价指标得分加总形成。</w:t>
      </w:r>
    </w:p>
    <w:p>
      <w:pPr>
        <w:adjustRightInd w:val="0"/>
        <w:spacing w:line="579" w:lineRule="exact"/>
        <w:ind w:firstLine="630" w:firstLineChars="200"/>
        <w:rPr>
          <w:rFonts w:hAnsi="仿宋" w:cs="仿宋"/>
          <w:bCs/>
          <w:szCs w:val="30"/>
        </w:rPr>
      </w:pPr>
      <w:r>
        <w:rPr>
          <w:rFonts w:hint="eastAsia" w:hAnsi="仿宋" w:cs="仿宋"/>
          <w:bCs/>
          <w:szCs w:val="30"/>
        </w:rPr>
        <w:t>（3）指标解释</w:t>
      </w:r>
    </w:p>
    <w:p>
      <w:pPr>
        <w:adjustRightInd w:val="0"/>
        <w:spacing w:line="579" w:lineRule="exact"/>
        <w:ind w:firstLine="630" w:firstLineChars="200"/>
        <w:rPr>
          <w:rFonts w:hAnsi="仿宋" w:cs="仿宋"/>
          <w:bCs/>
          <w:szCs w:val="30"/>
        </w:rPr>
      </w:pPr>
      <w:r>
        <w:rPr>
          <w:rFonts w:hint="eastAsia" w:hAnsi="仿宋" w:cs="仿宋"/>
          <w:bCs/>
          <w:szCs w:val="30"/>
        </w:rPr>
        <w:t>根据云南省财政厅关于印发《云南省项目支出绩效评价管理办法》的通知（云财绩〔2020〕11号）要求，绩效评价指标从“决策、过程、产出、效果”四个方面，对项目执行效果及各项绩效目标的实现程度进行全面绩效评价。</w:t>
      </w:r>
    </w:p>
    <w:p>
      <w:pPr>
        <w:adjustRightInd w:val="0"/>
        <w:spacing w:line="579" w:lineRule="exact"/>
        <w:ind w:firstLine="630" w:firstLineChars="200"/>
        <w:rPr>
          <w:rFonts w:hAnsi="仿宋" w:cs="仿宋"/>
          <w:bCs/>
          <w:szCs w:val="30"/>
        </w:rPr>
      </w:pPr>
      <w:r>
        <w:rPr>
          <w:rFonts w:hint="eastAsia" w:hAnsi="仿宋" w:cs="仿宋"/>
          <w:bCs/>
          <w:szCs w:val="30"/>
        </w:rPr>
        <w:t>①“决策”指标由“项目立项、绩效目标、资金投入”3个二级指标构成，同时将3个二级指标细化为8个三级指标。主要考核战略目标适应性、立项依据充分性、立项程序规范性、绩效目标合理性、绩效指标明确性、绩效评价客观性、预算编制科学性、资金分配合理性。</w:t>
      </w:r>
    </w:p>
    <w:p>
      <w:pPr>
        <w:adjustRightInd w:val="0"/>
        <w:spacing w:line="579" w:lineRule="exact"/>
        <w:ind w:firstLine="630" w:firstLineChars="200"/>
        <w:rPr>
          <w:rFonts w:hAnsi="仿宋" w:cs="仿宋"/>
          <w:bCs/>
          <w:szCs w:val="30"/>
        </w:rPr>
      </w:pPr>
      <w:r>
        <w:rPr>
          <w:rFonts w:hint="eastAsia" w:hAnsi="仿宋" w:cs="仿宋"/>
          <w:bCs/>
          <w:szCs w:val="30"/>
        </w:rPr>
        <w:t>②“过程”指标由“资金管理、项目管理”2个二级指标构成，同时将2个二级指标细化为8个三级指标。主要考核财政专项资金到位率、预算执行率、资金使用合规性、财务管理制度健全性、项目管理制度健全性、资质达标率、制度执行有效性。</w:t>
      </w:r>
    </w:p>
    <w:p>
      <w:pPr>
        <w:adjustRightInd w:val="0"/>
        <w:spacing w:line="579" w:lineRule="exact"/>
        <w:ind w:firstLine="630" w:firstLineChars="200"/>
        <w:rPr>
          <w:rFonts w:hAnsi="仿宋" w:cs="仿宋"/>
          <w:bCs/>
          <w:szCs w:val="30"/>
        </w:rPr>
      </w:pPr>
      <w:r>
        <w:rPr>
          <w:rFonts w:hint="eastAsia" w:hAnsi="仿宋" w:cs="仿宋"/>
          <w:bCs/>
          <w:szCs w:val="30"/>
        </w:rPr>
        <w:t>③“产出”指标设置了“数量指标、质量指标、时效指标、成本指标、”4个二级指标。同时将4个二级指标分解为8个三级指标，主要考核学校参与统计情况、学生参与统计情况、课后服务的内容、课后服务的形式、课后服务的效果、教育体育局资金拨付及时性、学校发放补助及时性、成本控制等。</w:t>
      </w:r>
    </w:p>
    <w:p>
      <w:pPr>
        <w:adjustRightInd w:val="0"/>
        <w:spacing w:line="579" w:lineRule="exact"/>
        <w:ind w:firstLine="630" w:firstLineChars="200"/>
        <w:rPr>
          <w:rFonts w:hAnsi="仿宋" w:cs="仿宋"/>
          <w:bCs/>
          <w:szCs w:val="30"/>
        </w:rPr>
      </w:pPr>
      <w:r>
        <w:rPr>
          <w:rFonts w:hint="eastAsia" w:hAnsi="仿宋" w:cs="仿宋"/>
          <w:bCs/>
          <w:szCs w:val="30"/>
        </w:rPr>
        <w:t>④“效果”指标由“社会效益、可持续性影响、服务对象满意度指标”3个二级指标构成，同时将3个二级指标细化为4个三级指标，主要考核减轻家长教育负担、为教育服务奠定基础、学生家长满意度、教师满意度等。</w:t>
      </w:r>
    </w:p>
    <w:p>
      <w:pPr>
        <w:adjustRightInd w:val="0"/>
        <w:spacing w:line="579" w:lineRule="exact"/>
        <w:ind w:firstLine="630" w:firstLineChars="200"/>
        <w:rPr>
          <w:rFonts w:hAnsi="仿宋" w:cs="仿宋"/>
          <w:bCs/>
          <w:szCs w:val="30"/>
        </w:rPr>
      </w:pPr>
      <w:bookmarkStart w:id="15" w:name="_Toc84242639"/>
      <w:bookmarkStart w:id="16" w:name="_Toc83888521"/>
      <w:bookmarkStart w:id="17" w:name="_Toc84242052"/>
      <w:bookmarkStart w:id="18" w:name="_Toc84243566"/>
      <w:bookmarkStart w:id="19" w:name="_Toc84241854"/>
      <w:bookmarkStart w:id="20" w:name="_Toc83892456"/>
      <w:bookmarkStart w:id="21" w:name="_Toc83886776"/>
      <w:bookmarkStart w:id="22" w:name="_Toc83721333"/>
      <w:bookmarkStart w:id="23" w:name="_Toc83664576"/>
      <w:r>
        <w:rPr>
          <w:rFonts w:hint="eastAsia" w:hAnsi="仿宋" w:cs="仿宋"/>
          <w:bCs/>
          <w:szCs w:val="30"/>
        </w:rPr>
        <w:t>3.绩效评价方法</w:t>
      </w:r>
      <w:bookmarkEnd w:id="15"/>
      <w:bookmarkEnd w:id="16"/>
      <w:bookmarkEnd w:id="17"/>
      <w:bookmarkEnd w:id="18"/>
      <w:bookmarkEnd w:id="19"/>
      <w:bookmarkEnd w:id="20"/>
      <w:bookmarkEnd w:id="21"/>
      <w:bookmarkEnd w:id="22"/>
      <w:bookmarkEnd w:id="23"/>
    </w:p>
    <w:p>
      <w:pPr>
        <w:adjustRightInd w:val="0"/>
        <w:spacing w:line="579" w:lineRule="exact"/>
        <w:ind w:firstLine="630" w:firstLineChars="200"/>
        <w:rPr>
          <w:rFonts w:hAnsi="仿宋" w:cs="仿宋"/>
          <w:bCs/>
          <w:szCs w:val="30"/>
        </w:rPr>
      </w:pPr>
      <w:r>
        <w:rPr>
          <w:rFonts w:hint="eastAsia" w:hAnsi="仿宋" w:cs="仿宋"/>
          <w:bCs/>
          <w:szCs w:val="30"/>
        </w:rPr>
        <w:t>本次绩效评价采用定量与定性相结合、审阅评价相结合，对收集的相关基础资料、各种技术经济数据，在归集、整理、分析的基础上，运用资料审阅法、实地查勘法、分析比较法、公众问卷调查法等，系统、科学的反映拟评价项目综合绩效情况。</w:t>
      </w:r>
    </w:p>
    <w:p>
      <w:pPr>
        <w:adjustRightInd w:val="0"/>
        <w:spacing w:line="579" w:lineRule="exact"/>
        <w:ind w:firstLine="630" w:firstLineChars="200"/>
        <w:rPr>
          <w:rFonts w:hAnsi="仿宋" w:cs="仿宋"/>
          <w:bCs/>
          <w:szCs w:val="30"/>
        </w:rPr>
      </w:pPr>
      <w:bookmarkStart w:id="24" w:name="_Toc84241855"/>
      <w:bookmarkStart w:id="25" w:name="_Toc83664577"/>
      <w:bookmarkStart w:id="26" w:name="_Toc84243567"/>
      <w:bookmarkStart w:id="27" w:name="_Toc83886777"/>
      <w:bookmarkStart w:id="28" w:name="_Toc84242053"/>
      <w:bookmarkStart w:id="29" w:name="_Toc83721334"/>
      <w:bookmarkStart w:id="30" w:name="_Toc84242640"/>
      <w:bookmarkStart w:id="31" w:name="_Toc83888522"/>
      <w:bookmarkStart w:id="32" w:name="_Toc83892457"/>
      <w:r>
        <w:rPr>
          <w:rFonts w:hint="eastAsia" w:hAnsi="仿宋" w:cs="仿宋"/>
          <w:bCs/>
          <w:szCs w:val="30"/>
        </w:rPr>
        <w:t>4.评价标准</w:t>
      </w:r>
      <w:bookmarkEnd w:id="24"/>
      <w:bookmarkEnd w:id="25"/>
      <w:bookmarkEnd w:id="26"/>
      <w:bookmarkEnd w:id="27"/>
      <w:bookmarkEnd w:id="28"/>
      <w:bookmarkEnd w:id="29"/>
      <w:bookmarkEnd w:id="30"/>
      <w:bookmarkEnd w:id="31"/>
      <w:bookmarkEnd w:id="32"/>
    </w:p>
    <w:p>
      <w:pPr>
        <w:adjustRightInd w:val="0"/>
        <w:spacing w:line="579" w:lineRule="exact"/>
        <w:ind w:firstLine="630" w:firstLineChars="200"/>
        <w:rPr>
          <w:rFonts w:hAnsi="仿宋" w:cs="仿宋"/>
          <w:bCs/>
          <w:szCs w:val="30"/>
        </w:rPr>
      </w:pPr>
      <w:r>
        <w:rPr>
          <w:rFonts w:hint="eastAsia" w:hAnsi="仿宋" w:cs="仿宋"/>
          <w:bCs/>
          <w:szCs w:val="30"/>
        </w:rPr>
        <w:t>本次评价采用百分制，各级指标依据其指标权重确定分值，最终得分由各级评价指标得分加总形成。根据最终得分将评价标准分为四个等级：优（得分≥90分）；良（80分≤得分＜90分）；中（60≤得分＜80分）；差（得分＜60分）。</w:t>
      </w:r>
    </w:p>
    <w:p>
      <w:pPr>
        <w:adjustRightInd w:val="0"/>
        <w:spacing w:line="579" w:lineRule="exact"/>
        <w:ind w:firstLine="630" w:firstLineChars="200"/>
        <w:rPr>
          <w:rFonts w:hAnsi="仿宋" w:cs="仿宋"/>
          <w:bCs/>
          <w:szCs w:val="30"/>
        </w:rPr>
      </w:pPr>
      <w:bookmarkStart w:id="33" w:name="_Toc83721335"/>
      <w:bookmarkStart w:id="34" w:name="_Toc83886778"/>
      <w:bookmarkStart w:id="35" w:name="_Toc84241856"/>
      <w:bookmarkStart w:id="36" w:name="_Toc84242641"/>
      <w:bookmarkStart w:id="37" w:name="_Toc84242054"/>
      <w:bookmarkStart w:id="38" w:name="_Toc83888523"/>
      <w:bookmarkStart w:id="39" w:name="_Toc84243568"/>
      <w:bookmarkStart w:id="40" w:name="_Toc83892458"/>
      <w:bookmarkStart w:id="41" w:name="_Toc83664578"/>
      <w:r>
        <w:rPr>
          <w:rFonts w:hint="eastAsia" w:hAnsi="仿宋" w:cs="仿宋"/>
          <w:bCs/>
          <w:szCs w:val="30"/>
        </w:rPr>
        <w:t>5.实地评价抽样</w:t>
      </w:r>
      <w:bookmarkEnd w:id="33"/>
      <w:bookmarkEnd w:id="34"/>
      <w:bookmarkEnd w:id="35"/>
      <w:bookmarkEnd w:id="36"/>
      <w:bookmarkEnd w:id="37"/>
      <w:bookmarkEnd w:id="38"/>
      <w:bookmarkEnd w:id="39"/>
      <w:bookmarkEnd w:id="40"/>
      <w:bookmarkEnd w:id="41"/>
    </w:p>
    <w:p>
      <w:pPr>
        <w:adjustRightInd w:val="0"/>
        <w:spacing w:line="579" w:lineRule="exact"/>
        <w:ind w:firstLine="630" w:firstLineChars="200"/>
        <w:rPr>
          <w:rFonts w:hAnsi="仿宋" w:cs="仿宋"/>
          <w:bCs/>
          <w:szCs w:val="30"/>
        </w:rPr>
      </w:pPr>
      <w:r>
        <w:rPr>
          <w:rFonts w:hint="eastAsia" w:hAnsi="仿宋" w:cs="仿宋"/>
          <w:bCs/>
          <w:szCs w:val="30"/>
        </w:rPr>
        <w:t>该项目选择春季与秋季学期分别抽查的实地评价方式，春季学期，财政补助只补助小学20所，抽取其中13所进行实地抽查，抽查覆盖率为65.00%，秋季学期，财政补助补助小学和初中共35所，抽取其中20所进行实地抽查，抽查覆盖率为66.67%，详见“附件2：学校抽查明细表”</w:t>
      </w:r>
    </w:p>
    <w:bookmarkEnd w:id="13"/>
    <w:p>
      <w:pPr>
        <w:adjustRightInd w:val="0"/>
        <w:spacing w:line="579" w:lineRule="exact"/>
        <w:ind w:firstLine="630" w:firstLineChars="200"/>
        <w:outlineLvl w:val="1"/>
        <w:rPr>
          <w:rFonts w:ascii="楷体" w:hAnsi="楷体" w:eastAsia="楷体" w:cs="楷体"/>
          <w:bCs/>
          <w:szCs w:val="30"/>
        </w:rPr>
      </w:pPr>
      <w:bookmarkStart w:id="42" w:name="_Toc84243569"/>
      <w:bookmarkStart w:id="43" w:name="_Toc2711"/>
      <w:bookmarkStart w:id="44" w:name="_Toc83888588"/>
      <w:bookmarkStart w:id="45" w:name="_Toc83892459"/>
      <w:bookmarkStart w:id="46" w:name="_Toc83664579"/>
      <w:bookmarkStart w:id="47" w:name="_Toc83886779"/>
      <w:r>
        <w:rPr>
          <w:rFonts w:hint="eastAsia" w:ascii="楷体" w:hAnsi="楷体" w:eastAsia="楷体" w:cs="楷体"/>
          <w:szCs w:val="30"/>
        </w:rPr>
        <w:t>（三）绩效评价工作过程</w:t>
      </w:r>
      <w:bookmarkEnd w:id="42"/>
      <w:bookmarkEnd w:id="43"/>
      <w:bookmarkEnd w:id="44"/>
      <w:bookmarkEnd w:id="45"/>
      <w:bookmarkEnd w:id="46"/>
      <w:bookmarkEnd w:id="47"/>
    </w:p>
    <w:p>
      <w:pPr>
        <w:adjustRightInd w:val="0"/>
        <w:spacing w:line="579" w:lineRule="exact"/>
        <w:ind w:firstLine="654" w:firstLineChars="200"/>
        <w:rPr>
          <w:rFonts w:hAnsi="仿宋" w:cs="仿宋"/>
          <w:bCs/>
          <w:spacing w:val="6"/>
          <w:kern w:val="0"/>
          <w:szCs w:val="30"/>
        </w:rPr>
      </w:pPr>
      <w:r>
        <w:rPr>
          <w:rFonts w:hint="eastAsia" w:hAnsi="仿宋" w:cs="仿宋"/>
          <w:bCs/>
          <w:spacing w:val="6"/>
          <w:kern w:val="0"/>
          <w:szCs w:val="30"/>
        </w:rPr>
        <w:t>绩效评价小组严格按照评价工作方案中确定的评价思路，通过研读项目相关文件资料、填报基础数据采集表、问卷调查、访谈等方法收集项目相关数据。具体实施过程如下：</w:t>
      </w:r>
    </w:p>
    <w:p>
      <w:pPr>
        <w:adjustRightInd w:val="0"/>
        <w:spacing w:line="579" w:lineRule="exact"/>
        <w:ind w:firstLine="654" w:firstLineChars="200"/>
        <w:rPr>
          <w:rFonts w:hAnsi="仿宋" w:cs="仿宋"/>
          <w:bCs/>
          <w:spacing w:val="6"/>
          <w:kern w:val="0"/>
          <w:szCs w:val="30"/>
        </w:rPr>
      </w:pPr>
      <w:r>
        <w:rPr>
          <w:rFonts w:hint="eastAsia" w:hAnsi="仿宋" w:cs="仿宋"/>
          <w:bCs/>
          <w:spacing w:val="6"/>
          <w:kern w:val="0"/>
          <w:szCs w:val="30"/>
        </w:rPr>
        <w:t>1.数据填报和采集。本次绩效评价数据包括定性和定量两种数据，定性数据主要通过实地考察、面对面访谈、问卷调研等社会调查的方式来采集。定量数据的采集主要通过被评价单位上报数据、服务绩效考核数据和实地复核数据相结合的方式，形成数据采集两条线，有效保证数据的真实性和可靠性。</w:t>
      </w:r>
    </w:p>
    <w:p>
      <w:pPr>
        <w:spacing w:line="579" w:lineRule="exact"/>
        <w:ind w:firstLine="654" w:firstLineChars="200"/>
        <w:jc w:val="left"/>
        <w:rPr>
          <w:rFonts w:hAnsi="仿宋" w:cs="仿宋"/>
          <w:bCs/>
          <w:spacing w:val="6"/>
          <w:kern w:val="0"/>
          <w:szCs w:val="30"/>
        </w:rPr>
      </w:pPr>
      <w:r>
        <w:rPr>
          <w:rFonts w:hint="eastAsia" w:hAnsi="仿宋" w:cs="仿宋"/>
          <w:bCs/>
          <w:spacing w:val="6"/>
          <w:kern w:val="0"/>
          <w:szCs w:val="30"/>
        </w:rPr>
        <w:t>2.社会调查。本次问卷调查向社会公众共发放11700份，有效回收11700份，有效回收率100%，其中有效问卷11700份。综合</w:t>
      </w:r>
      <w:r>
        <w:rPr>
          <w:rFonts w:hint="eastAsia" w:hAnsi="仿宋" w:cs="仿宋"/>
          <w:szCs w:val="30"/>
        </w:rPr>
        <w:t>满意度为89.59%；</w:t>
      </w:r>
      <w:r>
        <w:rPr>
          <w:rFonts w:hint="eastAsia" w:hAnsi="仿宋" w:cs="仿宋"/>
          <w:bCs/>
          <w:spacing w:val="6"/>
          <w:kern w:val="0"/>
          <w:szCs w:val="30"/>
        </w:rPr>
        <w:t>根据问卷调查结果，项目组撰写了社会调查问卷分析报告，详见“附件3：调查问卷分析汇总报告”</w:t>
      </w:r>
    </w:p>
    <w:p>
      <w:pPr>
        <w:adjustRightInd w:val="0"/>
        <w:spacing w:line="579" w:lineRule="exact"/>
        <w:ind w:firstLine="654" w:firstLineChars="200"/>
        <w:jc w:val="left"/>
        <w:rPr>
          <w:rFonts w:hAnsi="仿宋" w:cs="仿宋"/>
          <w:bCs/>
          <w:spacing w:val="6"/>
          <w:kern w:val="0"/>
          <w:szCs w:val="30"/>
        </w:rPr>
      </w:pPr>
      <w:r>
        <w:rPr>
          <w:rFonts w:hint="eastAsia" w:hAnsi="仿宋" w:cs="仿宋"/>
          <w:bCs/>
          <w:spacing w:val="6"/>
          <w:kern w:val="0"/>
          <w:szCs w:val="30"/>
        </w:rPr>
        <w:t>3.数据分析和撰写报告。项目组根据绩效评价的原理和规范，对采集的数据进行甄别、分析和评分，并提炼结论撰写报告，在规定时间内上报委托方，由委托方对报告进行评审。</w:t>
      </w:r>
    </w:p>
    <w:p>
      <w:pPr>
        <w:spacing w:line="579" w:lineRule="exact"/>
        <w:ind w:firstLine="630" w:firstLineChars="200"/>
        <w:outlineLvl w:val="0"/>
        <w:rPr>
          <w:rFonts w:ascii="黑体" w:hAnsi="黑体" w:eastAsia="黑体" w:cs="黑体"/>
          <w:szCs w:val="30"/>
        </w:rPr>
      </w:pPr>
      <w:bookmarkStart w:id="48" w:name="_Toc4246"/>
      <w:r>
        <w:rPr>
          <w:rFonts w:hint="eastAsia" w:ascii="黑体" w:hAnsi="黑体" w:eastAsia="黑体" w:cs="黑体"/>
          <w:szCs w:val="30"/>
        </w:rPr>
        <w:t>三、绩效评价结论</w:t>
      </w:r>
      <w:bookmarkEnd w:id="48"/>
    </w:p>
    <w:p>
      <w:pPr>
        <w:adjustRightInd w:val="0"/>
        <w:spacing w:line="579" w:lineRule="exact"/>
        <w:ind w:firstLine="630" w:firstLineChars="200"/>
        <w:outlineLvl w:val="1"/>
        <w:rPr>
          <w:rFonts w:hint="eastAsia" w:ascii="楷体_GB2312" w:hAnsi="楷体_GB2312" w:eastAsia="楷体_GB2312" w:cs="楷体_GB2312"/>
          <w:szCs w:val="30"/>
        </w:rPr>
      </w:pPr>
      <w:bookmarkStart w:id="49" w:name="_Toc16039"/>
      <w:r>
        <w:rPr>
          <w:rFonts w:hint="eastAsia" w:ascii="楷体_GB2312" w:hAnsi="楷体_GB2312" w:eastAsia="楷体_GB2312" w:cs="楷体_GB2312"/>
          <w:szCs w:val="30"/>
        </w:rPr>
        <w:t>（一）绩效评价综合结论</w:t>
      </w:r>
      <w:bookmarkEnd w:id="49"/>
    </w:p>
    <w:p>
      <w:pPr>
        <w:spacing w:line="579" w:lineRule="exact"/>
        <w:ind w:firstLine="630" w:firstLineChars="200"/>
        <w:jc w:val="left"/>
        <w:rPr>
          <w:rFonts w:hAnsi="仿宋" w:cs="仿宋"/>
          <w:szCs w:val="30"/>
        </w:rPr>
      </w:pPr>
      <w:bookmarkStart w:id="50" w:name="_Hlk525314439"/>
      <w:r>
        <w:rPr>
          <w:rFonts w:hint="eastAsia" w:hAnsi="仿宋" w:cs="仿宋"/>
          <w:szCs w:val="30"/>
        </w:rPr>
        <w:t>昆明市晋宁区义务教育阶段课后服务专项资金项目绩效评价得分87.19分，评价等级为“良”。一级指标具体得分情况详见下表：</w:t>
      </w:r>
    </w:p>
    <w:p>
      <w:pPr>
        <w:widowControl/>
        <w:adjustRightInd w:val="0"/>
        <w:spacing w:line="579" w:lineRule="exact"/>
        <w:jc w:val="center"/>
        <w:rPr>
          <w:rFonts w:ascii="黑体" w:hAnsi="黑体" w:eastAsia="黑体" w:cs="黑体"/>
          <w:bCs/>
          <w:sz w:val="24"/>
          <w:szCs w:val="24"/>
        </w:rPr>
      </w:pPr>
      <w:r>
        <w:rPr>
          <w:rFonts w:hint="eastAsia" w:ascii="黑体" w:hAnsi="黑体" w:eastAsia="黑体" w:cs="黑体"/>
          <w:bCs/>
          <w:sz w:val="24"/>
          <w:szCs w:val="24"/>
        </w:rPr>
        <w:t>表1：绩效评价得分情况表</w:t>
      </w:r>
    </w:p>
    <w:tbl>
      <w:tblPr>
        <w:tblStyle w:val="16"/>
        <w:tblW w:w="88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2295"/>
        <w:gridCol w:w="2295"/>
        <w:gridCol w:w="2296"/>
        <w:gridCol w:w="1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23" w:hRule="atLeast"/>
          <w:tblHeader/>
          <w:jc w:val="center"/>
        </w:trPr>
        <w:tc>
          <w:tcPr>
            <w:tcW w:w="2295" w:type="dxa"/>
            <w:tcBorders>
              <w:top w:val="single" w:color="auto" w:sz="4" w:space="0"/>
            </w:tcBorders>
            <w:vAlign w:val="center"/>
          </w:tcPr>
          <w:p>
            <w:pPr>
              <w:snapToGrid w:val="0"/>
              <w:jc w:val="center"/>
              <w:rPr>
                <w:rFonts w:hAnsi="仿宋" w:cs="仿宋"/>
                <w:b/>
                <w:bCs/>
                <w:spacing w:val="6"/>
                <w:sz w:val="21"/>
              </w:rPr>
            </w:pPr>
            <w:r>
              <w:rPr>
                <w:rFonts w:hint="eastAsia" w:hAnsi="仿宋" w:cs="仿宋"/>
                <w:b/>
                <w:bCs/>
                <w:spacing w:val="6"/>
                <w:sz w:val="21"/>
              </w:rPr>
              <w:t>一级指标</w:t>
            </w:r>
          </w:p>
        </w:tc>
        <w:tc>
          <w:tcPr>
            <w:tcW w:w="2295" w:type="dxa"/>
            <w:tcBorders>
              <w:top w:val="single" w:color="auto" w:sz="4" w:space="0"/>
            </w:tcBorders>
            <w:vAlign w:val="center"/>
          </w:tcPr>
          <w:p>
            <w:pPr>
              <w:snapToGrid w:val="0"/>
              <w:jc w:val="center"/>
              <w:rPr>
                <w:rFonts w:hAnsi="仿宋" w:cs="仿宋"/>
                <w:b/>
                <w:bCs/>
                <w:spacing w:val="6"/>
                <w:sz w:val="21"/>
              </w:rPr>
            </w:pPr>
            <w:r>
              <w:rPr>
                <w:rFonts w:hint="eastAsia" w:hAnsi="仿宋" w:cs="仿宋"/>
                <w:b/>
                <w:bCs/>
                <w:spacing w:val="6"/>
                <w:sz w:val="21"/>
              </w:rPr>
              <w:t>指标分值</w:t>
            </w:r>
          </w:p>
        </w:tc>
        <w:tc>
          <w:tcPr>
            <w:tcW w:w="2296" w:type="dxa"/>
            <w:tcBorders>
              <w:top w:val="single" w:color="auto" w:sz="4" w:space="0"/>
            </w:tcBorders>
            <w:vAlign w:val="center"/>
          </w:tcPr>
          <w:p>
            <w:pPr>
              <w:snapToGrid w:val="0"/>
              <w:jc w:val="center"/>
              <w:rPr>
                <w:rFonts w:hAnsi="仿宋" w:cs="仿宋"/>
                <w:b/>
                <w:bCs/>
                <w:spacing w:val="6"/>
                <w:sz w:val="21"/>
              </w:rPr>
            </w:pPr>
            <w:r>
              <w:rPr>
                <w:rFonts w:hint="eastAsia" w:hAnsi="仿宋" w:cs="仿宋"/>
                <w:b/>
                <w:bCs/>
                <w:spacing w:val="6"/>
                <w:sz w:val="21"/>
              </w:rPr>
              <w:t>评价得分</w:t>
            </w:r>
          </w:p>
        </w:tc>
        <w:tc>
          <w:tcPr>
            <w:tcW w:w="1958" w:type="dxa"/>
            <w:tcBorders>
              <w:top w:val="single" w:color="auto" w:sz="4" w:space="0"/>
            </w:tcBorders>
            <w:vAlign w:val="center"/>
          </w:tcPr>
          <w:p>
            <w:pPr>
              <w:snapToGrid w:val="0"/>
              <w:jc w:val="center"/>
              <w:rPr>
                <w:rFonts w:hAnsi="仿宋" w:cs="仿宋"/>
                <w:b/>
                <w:bCs/>
                <w:spacing w:val="6"/>
                <w:sz w:val="21"/>
              </w:rPr>
            </w:pPr>
            <w:r>
              <w:rPr>
                <w:rFonts w:hint="eastAsia" w:hAnsi="仿宋" w:cs="仿宋"/>
                <w:b/>
                <w:bCs/>
                <w:spacing w:val="6"/>
                <w:sz w:val="21"/>
              </w:rPr>
              <w:t>得分率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23" w:hRule="atLeast"/>
          <w:jc w:val="center"/>
        </w:trPr>
        <w:tc>
          <w:tcPr>
            <w:tcW w:w="2295" w:type="dxa"/>
            <w:vAlign w:val="center"/>
          </w:tcPr>
          <w:p>
            <w:pPr>
              <w:snapToGrid w:val="0"/>
              <w:rPr>
                <w:rFonts w:hAnsi="仿宋" w:cs="仿宋"/>
                <w:bCs/>
                <w:spacing w:val="6"/>
                <w:sz w:val="21"/>
              </w:rPr>
            </w:pPr>
            <w:r>
              <w:rPr>
                <w:rFonts w:hint="eastAsia" w:hAnsi="仿宋" w:cs="仿宋"/>
                <w:bCs/>
                <w:spacing w:val="6"/>
                <w:sz w:val="21"/>
              </w:rPr>
              <w:t>决策</w:t>
            </w:r>
          </w:p>
        </w:tc>
        <w:tc>
          <w:tcPr>
            <w:tcW w:w="2295" w:type="dxa"/>
            <w:vAlign w:val="center"/>
          </w:tcPr>
          <w:p>
            <w:pPr>
              <w:widowControl/>
              <w:jc w:val="center"/>
              <w:textAlignment w:val="center"/>
              <w:rPr>
                <w:rFonts w:hAnsi="仿宋" w:cs="仿宋"/>
                <w:bCs/>
                <w:spacing w:val="6"/>
                <w:sz w:val="21"/>
              </w:rPr>
            </w:pPr>
            <w:r>
              <w:rPr>
                <w:rFonts w:hint="eastAsia" w:hAnsi="仿宋" w:cs="仿宋"/>
                <w:color w:val="000000"/>
                <w:kern w:val="0"/>
                <w:sz w:val="21"/>
                <w:lang w:bidi="ar"/>
              </w:rPr>
              <w:t>20</w:t>
            </w:r>
          </w:p>
        </w:tc>
        <w:tc>
          <w:tcPr>
            <w:tcW w:w="2296" w:type="dxa"/>
            <w:vAlign w:val="center"/>
          </w:tcPr>
          <w:p>
            <w:pPr>
              <w:widowControl/>
              <w:jc w:val="center"/>
              <w:textAlignment w:val="center"/>
              <w:rPr>
                <w:rFonts w:hAnsi="仿宋" w:cs="仿宋"/>
                <w:bCs/>
                <w:spacing w:val="6"/>
                <w:sz w:val="21"/>
              </w:rPr>
            </w:pPr>
            <w:r>
              <w:rPr>
                <w:rFonts w:hint="eastAsia" w:hAnsi="仿宋" w:cs="仿宋"/>
                <w:color w:val="000000"/>
                <w:kern w:val="0"/>
                <w:sz w:val="21"/>
                <w:lang w:bidi="ar"/>
              </w:rPr>
              <w:t>17</w:t>
            </w:r>
          </w:p>
        </w:tc>
        <w:tc>
          <w:tcPr>
            <w:tcW w:w="1958" w:type="dxa"/>
            <w:vAlign w:val="center"/>
          </w:tcPr>
          <w:p>
            <w:pPr>
              <w:widowControl/>
              <w:jc w:val="center"/>
              <w:textAlignment w:val="center"/>
              <w:rPr>
                <w:rFonts w:hAnsi="仿宋" w:cs="仿宋"/>
                <w:bCs/>
                <w:spacing w:val="6"/>
                <w:sz w:val="21"/>
              </w:rPr>
            </w:pPr>
            <w:r>
              <w:rPr>
                <w:rFonts w:hint="eastAsia" w:hAnsi="仿宋" w:cs="仿宋"/>
                <w:color w:val="000000"/>
                <w:kern w:val="0"/>
                <w:sz w:val="21"/>
                <w:lang w:bidi="ar"/>
              </w:rPr>
              <w:t>85.00%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23" w:hRule="atLeast"/>
          <w:jc w:val="center"/>
        </w:trPr>
        <w:tc>
          <w:tcPr>
            <w:tcW w:w="2295" w:type="dxa"/>
            <w:vAlign w:val="center"/>
          </w:tcPr>
          <w:p>
            <w:pPr>
              <w:snapToGrid w:val="0"/>
              <w:rPr>
                <w:rFonts w:hAnsi="仿宋" w:cs="仿宋"/>
                <w:bCs/>
                <w:spacing w:val="6"/>
                <w:sz w:val="21"/>
              </w:rPr>
            </w:pPr>
            <w:r>
              <w:rPr>
                <w:rFonts w:hint="eastAsia" w:hAnsi="仿宋" w:cs="仿宋"/>
                <w:bCs/>
                <w:spacing w:val="6"/>
                <w:sz w:val="21"/>
              </w:rPr>
              <w:t>过程</w:t>
            </w:r>
          </w:p>
        </w:tc>
        <w:tc>
          <w:tcPr>
            <w:tcW w:w="2295" w:type="dxa"/>
            <w:vAlign w:val="center"/>
          </w:tcPr>
          <w:p>
            <w:pPr>
              <w:widowControl/>
              <w:jc w:val="center"/>
              <w:textAlignment w:val="center"/>
              <w:rPr>
                <w:rFonts w:hAnsi="仿宋" w:cs="仿宋"/>
                <w:bCs/>
                <w:spacing w:val="6"/>
                <w:sz w:val="21"/>
              </w:rPr>
            </w:pPr>
            <w:r>
              <w:rPr>
                <w:rFonts w:hint="eastAsia" w:hAnsi="仿宋" w:cs="仿宋"/>
                <w:color w:val="000000"/>
                <w:kern w:val="0"/>
                <w:sz w:val="21"/>
                <w:lang w:bidi="ar"/>
              </w:rPr>
              <w:t>20</w:t>
            </w:r>
          </w:p>
        </w:tc>
        <w:tc>
          <w:tcPr>
            <w:tcW w:w="2296" w:type="dxa"/>
            <w:vAlign w:val="center"/>
          </w:tcPr>
          <w:p>
            <w:pPr>
              <w:widowControl/>
              <w:jc w:val="center"/>
              <w:textAlignment w:val="center"/>
              <w:rPr>
                <w:rFonts w:hAnsi="仿宋" w:cs="仿宋"/>
                <w:bCs/>
                <w:spacing w:val="6"/>
                <w:sz w:val="21"/>
              </w:rPr>
            </w:pPr>
            <w:r>
              <w:rPr>
                <w:rFonts w:hint="eastAsia" w:hAnsi="仿宋" w:cs="仿宋"/>
                <w:color w:val="000000"/>
                <w:kern w:val="0"/>
                <w:sz w:val="21"/>
                <w:lang w:bidi="ar"/>
              </w:rPr>
              <w:t>20</w:t>
            </w:r>
          </w:p>
        </w:tc>
        <w:tc>
          <w:tcPr>
            <w:tcW w:w="1958" w:type="dxa"/>
            <w:vAlign w:val="center"/>
          </w:tcPr>
          <w:p>
            <w:pPr>
              <w:widowControl/>
              <w:jc w:val="center"/>
              <w:textAlignment w:val="center"/>
              <w:rPr>
                <w:rFonts w:hAnsi="仿宋" w:cs="仿宋"/>
                <w:bCs/>
                <w:spacing w:val="6"/>
                <w:sz w:val="21"/>
              </w:rPr>
            </w:pPr>
            <w:r>
              <w:rPr>
                <w:rFonts w:hint="eastAsia" w:hAnsi="仿宋" w:cs="仿宋"/>
                <w:color w:val="000000"/>
                <w:kern w:val="0"/>
                <w:sz w:val="21"/>
                <w:lang w:bidi="ar"/>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23" w:hRule="atLeast"/>
          <w:jc w:val="center"/>
        </w:trPr>
        <w:tc>
          <w:tcPr>
            <w:tcW w:w="2295" w:type="dxa"/>
            <w:vAlign w:val="center"/>
          </w:tcPr>
          <w:p>
            <w:pPr>
              <w:snapToGrid w:val="0"/>
              <w:rPr>
                <w:rFonts w:hAnsi="仿宋" w:cs="仿宋"/>
                <w:bCs/>
                <w:spacing w:val="6"/>
                <w:sz w:val="21"/>
              </w:rPr>
            </w:pPr>
            <w:r>
              <w:rPr>
                <w:rFonts w:hint="eastAsia" w:hAnsi="仿宋" w:cs="仿宋"/>
                <w:bCs/>
                <w:spacing w:val="6"/>
                <w:sz w:val="21"/>
              </w:rPr>
              <w:t>产出</w:t>
            </w:r>
          </w:p>
        </w:tc>
        <w:tc>
          <w:tcPr>
            <w:tcW w:w="2295" w:type="dxa"/>
            <w:vAlign w:val="center"/>
          </w:tcPr>
          <w:p>
            <w:pPr>
              <w:widowControl/>
              <w:jc w:val="center"/>
              <w:textAlignment w:val="center"/>
              <w:rPr>
                <w:rFonts w:hAnsi="仿宋" w:cs="仿宋"/>
                <w:bCs/>
                <w:spacing w:val="6"/>
                <w:sz w:val="21"/>
              </w:rPr>
            </w:pPr>
            <w:r>
              <w:rPr>
                <w:rFonts w:hint="eastAsia" w:hAnsi="仿宋" w:cs="仿宋"/>
                <w:color w:val="000000"/>
                <w:kern w:val="0"/>
                <w:sz w:val="21"/>
                <w:lang w:bidi="ar"/>
              </w:rPr>
              <w:t>30</w:t>
            </w:r>
          </w:p>
        </w:tc>
        <w:tc>
          <w:tcPr>
            <w:tcW w:w="2296" w:type="dxa"/>
            <w:vAlign w:val="center"/>
          </w:tcPr>
          <w:p>
            <w:pPr>
              <w:widowControl/>
              <w:jc w:val="center"/>
              <w:textAlignment w:val="center"/>
              <w:rPr>
                <w:rFonts w:hAnsi="仿宋" w:cs="仿宋"/>
                <w:bCs/>
                <w:spacing w:val="6"/>
                <w:sz w:val="21"/>
              </w:rPr>
            </w:pPr>
            <w:r>
              <w:rPr>
                <w:rFonts w:hint="eastAsia" w:hAnsi="仿宋" w:cs="仿宋"/>
                <w:color w:val="000000"/>
                <w:kern w:val="0"/>
                <w:sz w:val="21"/>
                <w:lang w:bidi="ar"/>
              </w:rPr>
              <w:t>29.38</w:t>
            </w:r>
          </w:p>
        </w:tc>
        <w:tc>
          <w:tcPr>
            <w:tcW w:w="1958" w:type="dxa"/>
            <w:vAlign w:val="center"/>
          </w:tcPr>
          <w:p>
            <w:pPr>
              <w:widowControl/>
              <w:jc w:val="center"/>
              <w:textAlignment w:val="center"/>
              <w:rPr>
                <w:rFonts w:hAnsi="仿宋" w:cs="仿宋"/>
                <w:bCs/>
                <w:spacing w:val="6"/>
                <w:sz w:val="21"/>
              </w:rPr>
            </w:pPr>
            <w:r>
              <w:rPr>
                <w:rFonts w:hint="eastAsia" w:hAnsi="仿宋" w:cs="仿宋"/>
                <w:color w:val="000000"/>
                <w:kern w:val="0"/>
                <w:sz w:val="21"/>
                <w:lang w:bidi="ar"/>
              </w:rPr>
              <w:t>97.93%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23" w:hRule="atLeast"/>
          <w:jc w:val="center"/>
        </w:trPr>
        <w:tc>
          <w:tcPr>
            <w:tcW w:w="2295" w:type="dxa"/>
            <w:vAlign w:val="center"/>
          </w:tcPr>
          <w:p>
            <w:pPr>
              <w:snapToGrid w:val="0"/>
              <w:rPr>
                <w:rFonts w:hAnsi="仿宋" w:cs="仿宋"/>
                <w:bCs/>
                <w:spacing w:val="6"/>
                <w:sz w:val="21"/>
              </w:rPr>
            </w:pPr>
            <w:r>
              <w:rPr>
                <w:rFonts w:hint="eastAsia" w:hAnsi="仿宋" w:cs="仿宋"/>
                <w:bCs/>
                <w:spacing w:val="6"/>
                <w:sz w:val="21"/>
              </w:rPr>
              <w:t>效果</w:t>
            </w:r>
          </w:p>
        </w:tc>
        <w:tc>
          <w:tcPr>
            <w:tcW w:w="2295" w:type="dxa"/>
            <w:vAlign w:val="center"/>
          </w:tcPr>
          <w:p>
            <w:pPr>
              <w:widowControl/>
              <w:jc w:val="center"/>
              <w:textAlignment w:val="center"/>
              <w:rPr>
                <w:rFonts w:hAnsi="仿宋" w:cs="仿宋"/>
                <w:bCs/>
                <w:spacing w:val="6"/>
                <w:sz w:val="21"/>
              </w:rPr>
            </w:pPr>
            <w:r>
              <w:rPr>
                <w:rFonts w:hint="eastAsia" w:hAnsi="仿宋" w:cs="仿宋"/>
                <w:color w:val="000000"/>
                <w:kern w:val="0"/>
                <w:sz w:val="21"/>
                <w:lang w:bidi="ar"/>
              </w:rPr>
              <w:t>30</w:t>
            </w:r>
          </w:p>
        </w:tc>
        <w:tc>
          <w:tcPr>
            <w:tcW w:w="2296" w:type="dxa"/>
            <w:vAlign w:val="center"/>
          </w:tcPr>
          <w:p>
            <w:pPr>
              <w:widowControl/>
              <w:jc w:val="center"/>
              <w:textAlignment w:val="center"/>
              <w:rPr>
                <w:rFonts w:hAnsi="仿宋" w:cs="仿宋"/>
                <w:bCs/>
                <w:spacing w:val="6"/>
                <w:sz w:val="21"/>
              </w:rPr>
            </w:pPr>
            <w:r>
              <w:rPr>
                <w:rFonts w:hint="eastAsia" w:hAnsi="仿宋" w:cs="仿宋"/>
                <w:color w:val="000000"/>
                <w:kern w:val="0"/>
                <w:sz w:val="21"/>
                <w:lang w:bidi="ar"/>
              </w:rPr>
              <w:t>20.81</w:t>
            </w:r>
          </w:p>
        </w:tc>
        <w:tc>
          <w:tcPr>
            <w:tcW w:w="1958" w:type="dxa"/>
            <w:vAlign w:val="center"/>
          </w:tcPr>
          <w:p>
            <w:pPr>
              <w:widowControl/>
              <w:jc w:val="center"/>
              <w:textAlignment w:val="center"/>
              <w:rPr>
                <w:rFonts w:hAnsi="仿宋" w:cs="仿宋"/>
                <w:bCs/>
                <w:spacing w:val="6"/>
                <w:sz w:val="21"/>
              </w:rPr>
            </w:pPr>
            <w:r>
              <w:rPr>
                <w:rFonts w:hint="eastAsia" w:hAnsi="仿宋" w:cs="仿宋"/>
                <w:color w:val="000000"/>
                <w:kern w:val="0"/>
                <w:sz w:val="21"/>
                <w:lang w:bidi="ar"/>
              </w:rPr>
              <w:t>69.37%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23" w:hRule="atLeast"/>
          <w:jc w:val="center"/>
        </w:trPr>
        <w:tc>
          <w:tcPr>
            <w:tcW w:w="2295" w:type="dxa"/>
            <w:vAlign w:val="center"/>
          </w:tcPr>
          <w:p>
            <w:pPr>
              <w:snapToGrid w:val="0"/>
              <w:jc w:val="center"/>
              <w:rPr>
                <w:rFonts w:hAnsi="仿宋" w:cs="仿宋"/>
                <w:b/>
                <w:bCs/>
                <w:spacing w:val="6"/>
                <w:sz w:val="21"/>
              </w:rPr>
            </w:pPr>
            <w:r>
              <w:rPr>
                <w:rFonts w:hint="eastAsia" w:hAnsi="仿宋" w:cs="仿宋"/>
                <w:b/>
                <w:bCs/>
                <w:spacing w:val="6"/>
                <w:sz w:val="21"/>
              </w:rPr>
              <w:t>合 计</w:t>
            </w:r>
          </w:p>
        </w:tc>
        <w:tc>
          <w:tcPr>
            <w:tcW w:w="2295" w:type="dxa"/>
            <w:vAlign w:val="center"/>
          </w:tcPr>
          <w:p>
            <w:pPr>
              <w:widowControl/>
              <w:jc w:val="center"/>
              <w:textAlignment w:val="center"/>
              <w:rPr>
                <w:rFonts w:hAnsi="仿宋" w:cs="仿宋"/>
                <w:b/>
                <w:bCs/>
                <w:spacing w:val="6"/>
                <w:sz w:val="21"/>
              </w:rPr>
            </w:pPr>
            <w:r>
              <w:rPr>
                <w:rFonts w:hint="eastAsia" w:hAnsi="仿宋" w:cs="仿宋"/>
                <w:b/>
                <w:bCs/>
                <w:color w:val="000000"/>
                <w:kern w:val="0"/>
                <w:sz w:val="21"/>
                <w:lang w:bidi="ar"/>
              </w:rPr>
              <w:t>100</w:t>
            </w:r>
          </w:p>
        </w:tc>
        <w:tc>
          <w:tcPr>
            <w:tcW w:w="2296" w:type="dxa"/>
            <w:vAlign w:val="center"/>
          </w:tcPr>
          <w:p>
            <w:pPr>
              <w:widowControl/>
              <w:jc w:val="center"/>
              <w:textAlignment w:val="center"/>
              <w:rPr>
                <w:rFonts w:hAnsi="仿宋" w:cs="仿宋"/>
                <w:b/>
                <w:bCs/>
                <w:color w:val="000000"/>
                <w:kern w:val="0"/>
                <w:sz w:val="21"/>
                <w:lang w:bidi="ar"/>
              </w:rPr>
            </w:pPr>
            <w:r>
              <w:rPr>
                <w:rFonts w:hint="eastAsia" w:hAnsi="仿宋" w:cs="仿宋"/>
                <w:b/>
                <w:bCs/>
                <w:color w:val="000000"/>
                <w:kern w:val="0"/>
                <w:sz w:val="21"/>
                <w:lang w:bidi="ar"/>
              </w:rPr>
              <w:t>87.19</w:t>
            </w:r>
          </w:p>
        </w:tc>
        <w:tc>
          <w:tcPr>
            <w:tcW w:w="1958" w:type="dxa"/>
            <w:vAlign w:val="center"/>
          </w:tcPr>
          <w:p>
            <w:pPr>
              <w:widowControl/>
              <w:jc w:val="center"/>
              <w:textAlignment w:val="center"/>
              <w:rPr>
                <w:rFonts w:hAnsi="仿宋" w:cs="仿宋"/>
                <w:b/>
                <w:bCs/>
                <w:color w:val="000000"/>
                <w:kern w:val="0"/>
                <w:sz w:val="21"/>
                <w:lang w:bidi="ar"/>
              </w:rPr>
            </w:pPr>
            <w:r>
              <w:rPr>
                <w:rFonts w:hint="eastAsia" w:hAnsi="仿宋" w:cs="仿宋"/>
                <w:b/>
                <w:bCs/>
                <w:color w:val="000000"/>
                <w:kern w:val="0"/>
                <w:sz w:val="21"/>
                <w:lang w:bidi="ar"/>
              </w:rPr>
              <w:t>87.19%</w:t>
            </w:r>
          </w:p>
        </w:tc>
      </w:tr>
    </w:tbl>
    <w:p>
      <w:pPr>
        <w:spacing w:line="579" w:lineRule="exact"/>
        <w:ind w:firstLine="630" w:firstLineChars="200"/>
        <w:jc w:val="left"/>
        <w:rPr>
          <w:rFonts w:hAnsi="仿宋" w:cs="仿宋"/>
          <w:szCs w:val="30"/>
        </w:rPr>
      </w:pPr>
      <w:r>
        <w:rPr>
          <w:rFonts w:hint="eastAsia" w:hAnsi="仿宋" w:cs="仿宋"/>
          <w:szCs w:val="30"/>
        </w:rPr>
        <w:t>项目决策方面，战略目标与国家政策、政府发展规划吻合，立项依据充分，绩效目标合理，按规定设立绩效目标，且与实际工作内容相匹配，但绩效指标不够明确，未将绩效目标划分为具体的绩效指标，预算编制金额与项目规模不匹配，2021年义务教育阶段课后服务专项经费年初预算批复200万元，年末预算追加417.5万，全年区级财政保障经费合计617.5万元。</w:t>
      </w:r>
    </w:p>
    <w:p>
      <w:pPr>
        <w:spacing w:line="579" w:lineRule="exact"/>
        <w:ind w:firstLine="630" w:firstLineChars="200"/>
        <w:jc w:val="left"/>
        <w:rPr>
          <w:rFonts w:hAnsi="仿宋" w:cs="仿宋"/>
          <w:szCs w:val="30"/>
        </w:rPr>
      </w:pPr>
      <w:r>
        <w:rPr>
          <w:rFonts w:hint="eastAsia" w:hAnsi="仿宋" w:cs="仿宋"/>
          <w:szCs w:val="30"/>
        </w:rPr>
        <w:t>在项目管理方面，第一，项目支出预算执行率较高，预算调整及时规范，该项目资金已全额使用，无结余，资金使用规范，具有完整的审批流程和手续，不存在截留、挤占、挪用、虚列支出等情况；第二，部门财务管理制度健全，能够得到有效执行，且为学生提供课后服务的任课教师和社会教育机构的资质均符合上级教育部门的规定。</w:t>
      </w:r>
    </w:p>
    <w:bookmarkEnd w:id="50"/>
    <w:p>
      <w:pPr>
        <w:adjustRightInd w:val="0"/>
        <w:spacing w:line="579" w:lineRule="exact"/>
        <w:ind w:firstLine="630" w:firstLineChars="200"/>
        <w:outlineLvl w:val="1"/>
        <w:rPr>
          <w:rFonts w:hint="eastAsia" w:ascii="楷体_GB2312" w:hAnsi="楷体_GB2312" w:eastAsia="楷体_GB2312" w:cs="楷体_GB2312"/>
          <w:szCs w:val="30"/>
        </w:rPr>
      </w:pPr>
      <w:bookmarkStart w:id="51" w:name="_Toc5306"/>
      <w:r>
        <w:rPr>
          <w:rFonts w:hint="eastAsia" w:ascii="楷体_GB2312" w:hAnsi="楷体_GB2312" w:eastAsia="楷体_GB2312" w:cs="楷体_GB2312"/>
          <w:szCs w:val="30"/>
        </w:rPr>
        <w:t>（二）绩效目标实现情况</w:t>
      </w:r>
      <w:bookmarkEnd w:id="51"/>
    </w:p>
    <w:p>
      <w:pPr>
        <w:spacing w:line="579" w:lineRule="exact"/>
        <w:ind w:firstLine="630" w:firstLineChars="200"/>
        <w:jc w:val="left"/>
        <w:rPr>
          <w:rFonts w:hint="eastAsia" w:ascii="仿宋_GB2312" w:hAnsi="仿宋_GB2312" w:eastAsia="仿宋_GB2312" w:cs="仿宋_GB2312"/>
          <w:szCs w:val="30"/>
        </w:rPr>
      </w:pPr>
      <w:bookmarkStart w:id="52" w:name="_Hlk525314457"/>
      <w:r>
        <w:rPr>
          <w:rFonts w:hint="eastAsia" w:ascii="仿宋_GB2312" w:hAnsi="仿宋_GB2312" w:eastAsia="仿宋_GB2312" w:cs="仿宋_GB2312"/>
          <w:szCs w:val="30"/>
        </w:rPr>
        <w:t>根据评价情况，昆明市晋宁区义务教育阶段课后服务专项经费项目部分绩效目标未全部实现，7项具体绩效指标有3项实现预期目标,完成比例为42.86%；1项指标部分未完成预期目标，未实现比例为14.29%，3项指标未完成预期目标，未实现比例为42.86%。各指标完成情况详见下表：</w:t>
      </w:r>
    </w:p>
    <w:p>
      <w:pPr>
        <w:widowControl/>
        <w:adjustRightInd w:val="0"/>
        <w:spacing w:line="579" w:lineRule="exact"/>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表2：绩效目标完成情况表</w:t>
      </w:r>
    </w:p>
    <w:bookmarkEnd w:id="52"/>
    <w:tbl>
      <w:tblPr>
        <w:tblStyle w:val="16"/>
        <w:tblW w:w="8958" w:type="dxa"/>
        <w:tblInd w:w="0" w:type="dxa"/>
        <w:tblLayout w:type="fixed"/>
        <w:tblCellMar>
          <w:top w:w="57" w:type="dxa"/>
          <w:left w:w="57" w:type="dxa"/>
          <w:bottom w:w="57" w:type="dxa"/>
          <w:right w:w="57" w:type="dxa"/>
        </w:tblCellMar>
      </w:tblPr>
      <w:tblGrid>
        <w:gridCol w:w="769"/>
        <w:gridCol w:w="583"/>
        <w:gridCol w:w="1924"/>
        <w:gridCol w:w="705"/>
        <w:gridCol w:w="870"/>
        <w:gridCol w:w="1095"/>
        <w:gridCol w:w="3012"/>
      </w:tblGrid>
      <w:tr>
        <w:tblPrEx>
          <w:tblLayout w:type="fixed"/>
          <w:tblCellMar>
            <w:top w:w="57" w:type="dxa"/>
            <w:left w:w="57" w:type="dxa"/>
            <w:bottom w:w="57" w:type="dxa"/>
            <w:right w:w="57" w:type="dxa"/>
          </w:tblCellMar>
        </w:tblPrEx>
        <w:trPr>
          <w:trHeight w:val="272" w:hRule="atLeast"/>
          <w:tblHeader/>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color w:val="000000"/>
                <w:kern w:val="0"/>
                <w:sz w:val="21"/>
                <w:lang w:bidi="ar"/>
              </w:rPr>
            </w:pPr>
            <w:r>
              <w:rPr>
                <w:rFonts w:hint="eastAsia" w:ascii="仿宋_GB2312" w:hAnsi="仿宋_GB2312" w:eastAsia="仿宋_GB2312" w:cs="仿宋_GB2312"/>
                <w:b/>
                <w:bCs/>
                <w:color w:val="000000"/>
                <w:kern w:val="0"/>
                <w:sz w:val="21"/>
                <w:lang w:bidi="ar"/>
              </w:rPr>
              <w:t>一级指标</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color w:val="000000"/>
                <w:kern w:val="0"/>
                <w:sz w:val="21"/>
                <w:lang w:bidi="ar"/>
              </w:rPr>
            </w:pPr>
            <w:r>
              <w:rPr>
                <w:rFonts w:hint="eastAsia" w:ascii="仿宋_GB2312" w:hAnsi="仿宋_GB2312" w:eastAsia="仿宋_GB2312" w:cs="仿宋_GB2312"/>
                <w:b/>
                <w:bCs/>
                <w:color w:val="000000"/>
                <w:kern w:val="0"/>
                <w:sz w:val="21"/>
                <w:lang w:bidi="ar"/>
              </w:rPr>
              <w:t>二级指标</w:t>
            </w:r>
          </w:p>
        </w:tc>
        <w:tc>
          <w:tcPr>
            <w:tcW w:w="1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color w:val="000000"/>
                <w:kern w:val="0"/>
                <w:sz w:val="21"/>
                <w:lang w:bidi="ar"/>
              </w:rPr>
            </w:pPr>
            <w:r>
              <w:rPr>
                <w:rFonts w:hint="eastAsia" w:ascii="仿宋_GB2312" w:hAnsi="仿宋_GB2312" w:eastAsia="仿宋_GB2312" w:cs="仿宋_GB2312"/>
                <w:b/>
                <w:bCs/>
                <w:color w:val="000000"/>
                <w:kern w:val="0"/>
                <w:sz w:val="21"/>
                <w:lang w:bidi="ar"/>
              </w:rPr>
              <w:t>三级指标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color w:val="000000"/>
                <w:kern w:val="0"/>
                <w:sz w:val="21"/>
                <w:lang w:bidi="ar"/>
              </w:rPr>
            </w:pPr>
            <w:r>
              <w:rPr>
                <w:rFonts w:hint="eastAsia" w:ascii="仿宋_GB2312" w:hAnsi="仿宋_GB2312" w:eastAsia="仿宋_GB2312" w:cs="仿宋_GB2312"/>
                <w:b/>
                <w:bCs/>
                <w:color w:val="000000"/>
                <w:kern w:val="0"/>
                <w:sz w:val="21"/>
                <w:lang w:bidi="ar"/>
              </w:rPr>
              <w:t>指标性质</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color w:val="000000"/>
                <w:kern w:val="0"/>
                <w:sz w:val="21"/>
                <w:lang w:bidi="ar"/>
              </w:rPr>
            </w:pPr>
            <w:r>
              <w:rPr>
                <w:rFonts w:hint="eastAsia" w:ascii="仿宋_GB2312" w:hAnsi="仿宋_GB2312" w:eastAsia="仿宋_GB2312" w:cs="仿宋_GB2312"/>
                <w:b/>
                <w:bCs/>
                <w:color w:val="000000"/>
                <w:kern w:val="0"/>
                <w:sz w:val="21"/>
                <w:lang w:bidi="ar"/>
              </w:rPr>
              <w:t>指标值</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color w:val="000000"/>
                <w:kern w:val="0"/>
                <w:sz w:val="21"/>
                <w:lang w:bidi="ar"/>
              </w:rPr>
            </w:pPr>
            <w:r>
              <w:rPr>
                <w:rFonts w:hint="eastAsia" w:ascii="仿宋_GB2312" w:hAnsi="仿宋_GB2312" w:eastAsia="仿宋_GB2312" w:cs="仿宋_GB2312"/>
                <w:b/>
                <w:bCs/>
                <w:color w:val="000000"/>
                <w:kern w:val="0"/>
                <w:sz w:val="21"/>
                <w:lang w:bidi="ar"/>
              </w:rPr>
              <w:t>实现情况</w:t>
            </w:r>
          </w:p>
        </w:tc>
        <w:tc>
          <w:tcPr>
            <w:tcW w:w="3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color w:val="000000"/>
                <w:kern w:val="0"/>
                <w:sz w:val="21"/>
                <w:lang w:bidi="ar"/>
              </w:rPr>
            </w:pPr>
            <w:r>
              <w:rPr>
                <w:rFonts w:hint="eastAsia" w:ascii="仿宋_GB2312" w:hAnsi="仿宋_GB2312" w:eastAsia="仿宋_GB2312" w:cs="仿宋_GB2312"/>
                <w:b/>
                <w:bCs/>
                <w:color w:val="000000"/>
                <w:kern w:val="0"/>
                <w:sz w:val="21"/>
                <w:lang w:bidi="ar"/>
              </w:rPr>
              <w:t>完成情况说明</w:t>
            </w:r>
          </w:p>
        </w:tc>
      </w:tr>
      <w:tr>
        <w:tblPrEx>
          <w:tblLayout w:type="fixed"/>
          <w:tblCellMar>
            <w:top w:w="57" w:type="dxa"/>
            <w:left w:w="57" w:type="dxa"/>
            <w:bottom w:w="57" w:type="dxa"/>
            <w:right w:w="57" w:type="dxa"/>
          </w:tblCellMar>
        </w:tblPrEx>
        <w:trPr>
          <w:trHeight w:val="480" w:hRule="atLeast"/>
        </w:trPr>
        <w:tc>
          <w:tcPr>
            <w:tcW w:w="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产出指标</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数量指标</w:t>
            </w:r>
          </w:p>
        </w:tc>
        <w:tc>
          <w:tcPr>
            <w:tcW w:w="1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2021年区级应安排学生总人数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&gt;=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20834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完成</w:t>
            </w:r>
          </w:p>
        </w:tc>
        <w:tc>
          <w:tcPr>
            <w:tcW w:w="3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2021年安排学生人数如下：春季安排学生人数19681</w:t>
            </w:r>
            <w:r>
              <w:rPr>
                <w:rFonts w:hint="eastAsia" w:ascii="仿宋_GB2312" w:hAnsi="仿宋_GB2312" w:eastAsia="仿宋_GB2312" w:cs="仿宋_GB2312"/>
                <w:color w:val="000000"/>
                <w:kern w:val="0"/>
                <w:sz w:val="21"/>
                <w:lang w:val="en-US" w:eastAsia="zh-CN" w:bidi="ar"/>
              </w:rPr>
              <w:t>人</w:t>
            </w:r>
            <w:r>
              <w:rPr>
                <w:rFonts w:hint="eastAsia" w:ascii="仿宋_GB2312" w:hAnsi="仿宋_GB2312" w:eastAsia="仿宋_GB2312" w:cs="仿宋_GB2312"/>
                <w:color w:val="000000"/>
                <w:kern w:val="0"/>
                <w:sz w:val="21"/>
                <w:lang w:bidi="ar"/>
              </w:rPr>
              <w:t>，春季安排学生人数26625</w:t>
            </w:r>
            <w:r>
              <w:rPr>
                <w:rFonts w:hint="eastAsia" w:ascii="仿宋_GB2312" w:hAnsi="仿宋_GB2312" w:eastAsia="仿宋_GB2312" w:cs="仿宋_GB2312"/>
                <w:color w:val="000000"/>
                <w:kern w:val="0"/>
                <w:sz w:val="21"/>
                <w:lang w:val="en-US" w:eastAsia="zh-CN" w:bidi="ar"/>
              </w:rPr>
              <w:t>人</w:t>
            </w:r>
            <w:r>
              <w:rPr>
                <w:rFonts w:hint="eastAsia" w:ascii="仿宋_GB2312" w:hAnsi="仿宋_GB2312" w:eastAsia="仿宋_GB2312" w:cs="仿宋_GB2312"/>
                <w:color w:val="000000"/>
                <w:kern w:val="0"/>
                <w:sz w:val="21"/>
                <w:lang w:bidi="ar"/>
              </w:rPr>
              <w:t>；</w:t>
            </w:r>
          </w:p>
        </w:tc>
      </w:tr>
      <w:tr>
        <w:tblPrEx>
          <w:tblLayout w:type="fixed"/>
          <w:tblCellMar>
            <w:top w:w="57" w:type="dxa"/>
            <w:left w:w="57" w:type="dxa"/>
            <w:bottom w:w="57" w:type="dxa"/>
            <w:right w:w="57" w:type="dxa"/>
          </w:tblCellMar>
        </w:tblPrEx>
        <w:trPr>
          <w:trHeight w:val="1680" w:hRule="atLeast"/>
        </w:trPr>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质量指标</w:t>
            </w:r>
          </w:p>
        </w:tc>
        <w:tc>
          <w:tcPr>
            <w:tcW w:w="1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2021年补助范围占在校学生数比例</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部分未完成</w:t>
            </w:r>
          </w:p>
        </w:tc>
        <w:tc>
          <w:tcPr>
            <w:tcW w:w="30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春季学期只有小学参与，全区公办小学共有19794名小学生，参与课后服务共有学生19681名，学生参与率99.43%</w:t>
            </w:r>
            <w:r>
              <w:rPr>
                <w:rFonts w:hint="eastAsia" w:ascii="仿宋_GB2312" w:hAnsi="仿宋_GB2312" w:eastAsia="仿宋_GB2312" w:cs="仿宋_GB2312"/>
                <w:color w:val="000000"/>
                <w:kern w:val="0"/>
                <w:sz w:val="21"/>
                <w:lang w:val="en-US" w:eastAsia="zh-CN" w:bidi="ar"/>
              </w:rPr>
              <w:t>;</w:t>
            </w:r>
            <w:r>
              <w:rPr>
                <w:rFonts w:hint="eastAsia" w:ascii="仿宋_GB2312" w:hAnsi="仿宋_GB2312" w:eastAsia="仿宋_GB2312" w:cs="仿宋_GB2312"/>
                <w:color w:val="000000"/>
                <w:kern w:val="0"/>
                <w:sz w:val="21"/>
                <w:lang w:bidi="ar"/>
              </w:rPr>
              <w:t>秋季学期有初中和小学，小学共有小学生19794人，参与课后服务项目的小学生19794人，参与率100.00%，初中共有中学生6831人，参与课后服务项目的中学生6831人，参与率100%</w:t>
            </w:r>
          </w:p>
        </w:tc>
      </w:tr>
      <w:tr>
        <w:tblPrEx>
          <w:tblLayout w:type="fixed"/>
          <w:tblCellMar>
            <w:top w:w="57" w:type="dxa"/>
            <w:left w:w="57" w:type="dxa"/>
            <w:bottom w:w="57" w:type="dxa"/>
            <w:right w:w="57" w:type="dxa"/>
          </w:tblCellMar>
        </w:tblPrEx>
        <w:trPr>
          <w:trHeight w:val="732" w:hRule="atLeast"/>
        </w:trPr>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时效指标</w:t>
            </w:r>
          </w:p>
        </w:tc>
        <w:tc>
          <w:tcPr>
            <w:tcW w:w="1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2021年补助资金当年到位率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完成</w:t>
            </w:r>
          </w:p>
        </w:tc>
        <w:tc>
          <w:tcPr>
            <w:tcW w:w="3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2021年补助资金均以下拨</w:t>
            </w:r>
          </w:p>
        </w:tc>
      </w:tr>
      <w:tr>
        <w:tblPrEx>
          <w:tblLayout w:type="fixed"/>
          <w:tblCellMar>
            <w:top w:w="57" w:type="dxa"/>
            <w:left w:w="57" w:type="dxa"/>
            <w:bottom w:w="57" w:type="dxa"/>
            <w:right w:w="57" w:type="dxa"/>
          </w:tblCellMar>
        </w:tblPrEx>
        <w:trPr>
          <w:trHeight w:val="720" w:hRule="atLeast"/>
        </w:trPr>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成本指标</w:t>
            </w:r>
          </w:p>
        </w:tc>
        <w:tc>
          <w:tcPr>
            <w:tcW w:w="1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2021年小学开展课后服务补助</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&gt;=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7500240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未完成</w:t>
            </w:r>
          </w:p>
        </w:tc>
        <w:tc>
          <w:tcPr>
            <w:tcW w:w="3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2021年义务教育阶段课后服务专项经费年初预算批复200万元，年末预算追加417.5万，全年区级财政保障经费合计617.5万元。</w:t>
            </w:r>
          </w:p>
        </w:tc>
      </w:tr>
      <w:tr>
        <w:tblPrEx>
          <w:tblLayout w:type="fixed"/>
          <w:tblCellMar>
            <w:top w:w="57" w:type="dxa"/>
            <w:left w:w="57" w:type="dxa"/>
            <w:bottom w:w="57" w:type="dxa"/>
            <w:right w:w="57" w:type="dxa"/>
          </w:tblCellMar>
        </w:tblPrEx>
        <w:trPr>
          <w:trHeight w:val="960" w:hRule="atLeast"/>
        </w:trPr>
        <w:tc>
          <w:tcPr>
            <w:tcW w:w="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效益指标</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社会效益指标</w:t>
            </w:r>
          </w:p>
        </w:tc>
        <w:tc>
          <w:tcPr>
            <w:tcW w:w="1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彻底解决“三点半”问题，增强家长的获得感、安全感和幸福感，同时促进学生全面健康成长</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未完成</w:t>
            </w:r>
          </w:p>
        </w:tc>
        <w:tc>
          <w:tcPr>
            <w:tcW w:w="3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通过问卷调查发现，认为课后服务可以让家长全身心的投入工作的占比80.59%，给家长减轻经济负担的占比61.11%,开展课后服务解决了“三点半”难题的占比60.65%，提升家长的幸福感的占比 43.32%。</w:t>
            </w:r>
          </w:p>
        </w:tc>
      </w:tr>
      <w:tr>
        <w:tblPrEx>
          <w:tblLayout w:type="fixed"/>
          <w:tblCellMar>
            <w:top w:w="57" w:type="dxa"/>
            <w:left w:w="57" w:type="dxa"/>
            <w:bottom w:w="57" w:type="dxa"/>
            <w:right w:w="57" w:type="dxa"/>
          </w:tblCellMar>
        </w:tblPrEx>
        <w:trPr>
          <w:trHeight w:val="4154" w:hRule="atLeast"/>
        </w:trPr>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可持续影响指标</w:t>
            </w:r>
          </w:p>
        </w:tc>
        <w:tc>
          <w:tcPr>
            <w:tcW w:w="1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全面贯彻党的教育方针，落实立德树人根本任务，强化责任担当，统筹社会资源，发挥小学场地条件和管理服务的优势，采取丰富多样的课后服务方式，科学合理安排课后服务内容，建立弹性离校制度，帮助家长解决无法按时接送孩子的难题。</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完成</w:t>
            </w:r>
          </w:p>
        </w:tc>
        <w:tc>
          <w:tcPr>
            <w:tcW w:w="3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全面贯彻党的教育方针，落实立德树人根本任务，强化责任担当，统筹社会资源，发挥小学场地条件和管理服务的优势，采取丰富多样的课后服务方式，科学合理安排课后服务内容，建立弹性离校制度，帮助家长解决无法按时接送孩子的难题。</w:t>
            </w:r>
          </w:p>
        </w:tc>
      </w:tr>
      <w:tr>
        <w:tblPrEx>
          <w:tblLayout w:type="fixed"/>
          <w:tblCellMar>
            <w:top w:w="57" w:type="dxa"/>
            <w:left w:w="57" w:type="dxa"/>
            <w:bottom w:w="57" w:type="dxa"/>
            <w:right w:w="57" w:type="dxa"/>
          </w:tblCellMar>
        </w:tblPrEx>
        <w:trPr>
          <w:trHeight w:val="720"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满意度指标</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服务对象满意度指标</w:t>
            </w:r>
          </w:p>
        </w:tc>
        <w:tc>
          <w:tcPr>
            <w:tcW w:w="1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家长、社会满意度</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&gt;=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95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未完成</w:t>
            </w:r>
          </w:p>
        </w:tc>
        <w:tc>
          <w:tcPr>
            <w:tcW w:w="3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0"/>
                <w:sz w:val="21"/>
                <w:lang w:bidi="ar"/>
              </w:rPr>
            </w:pPr>
            <w:r>
              <w:rPr>
                <w:rFonts w:hint="eastAsia" w:ascii="仿宋_GB2312" w:hAnsi="仿宋_GB2312" w:eastAsia="仿宋_GB2312" w:cs="仿宋_GB2312"/>
                <w:color w:val="000000"/>
                <w:kern w:val="0"/>
                <w:sz w:val="21"/>
                <w:lang w:bidi="ar"/>
              </w:rPr>
              <w:t>综合满意度89.59%</w:t>
            </w:r>
          </w:p>
        </w:tc>
      </w:tr>
    </w:tbl>
    <w:p>
      <w:pPr>
        <w:spacing w:line="579" w:lineRule="exact"/>
        <w:ind w:firstLine="630" w:firstLineChars="200"/>
        <w:outlineLvl w:val="0"/>
        <w:rPr>
          <w:rFonts w:ascii="黑体" w:hAnsi="黑体" w:eastAsia="黑体" w:cs="黑体"/>
          <w:szCs w:val="30"/>
        </w:rPr>
      </w:pPr>
      <w:bookmarkStart w:id="53" w:name="_Toc20570"/>
      <w:r>
        <w:rPr>
          <w:rFonts w:hint="eastAsia" w:ascii="黑体" w:hAnsi="黑体" w:eastAsia="黑体" w:cs="黑体"/>
          <w:szCs w:val="30"/>
        </w:rPr>
        <w:t>四、绩效评价指标分析</w:t>
      </w:r>
      <w:bookmarkEnd w:id="53"/>
    </w:p>
    <w:p>
      <w:pPr>
        <w:adjustRightInd w:val="0"/>
        <w:spacing w:line="579" w:lineRule="exact"/>
        <w:ind w:firstLine="630" w:firstLineChars="200"/>
        <w:outlineLvl w:val="1"/>
        <w:rPr>
          <w:rFonts w:hint="eastAsia" w:ascii="楷体_GB2312" w:hAnsi="楷体_GB2312" w:eastAsia="楷体_GB2312" w:cs="楷体_GB2312"/>
          <w:szCs w:val="30"/>
        </w:rPr>
      </w:pPr>
      <w:bookmarkStart w:id="54" w:name="_Toc2017"/>
      <w:bookmarkStart w:id="55" w:name="_Toc518317811"/>
      <w:bookmarkStart w:id="56" w:name="_Toc517260975"/>
      <w:r>
        <w:rPr>
          <w:rFonts w:hint="eastAsia" w:ascii="楷体_GB2312" w:hAnsi="楷体_GB2312" w:eastAsia="楷体_GB2312" w:cs="楷体_GB2312"/>
          <w:szCs w:val="30"/>
        </w:rPr>
        <w:t>（一）项目决策情况</w:t>
      </w:r>
      <w:bookmarkEnd w:id="54"/>
      <w:bookmarkEnd w:id="55"/>
      <w:bookmarkEnd w:id="56"/>
    </w:p>
    <w:p>
      <w:pPr>
        <w:spacing w:line="579" w:lineRule="exact"/>
        <w:ind w:firstLine="630" w:firstLineChars="200"/>
        <w:jc w:val="left"/>
        <w:rPr>
          <w:rFonts w:hint="eastAsia" w:ascii="仿宋_GB2312" w:hAnsi="仿宋_GB2312" w:eastAsia="仿宋_GB2312" w:cs="仿宋_GB2312"/>
          <w:szCs w:val="30"/>
        </w:rPr>
      </w:pPr>
      <w:r>
        <w:rPr>
          <w:rFonts w:hint="eastAsia" w:ascii="仿宋_GB2312" w:hAnsi="仿宋_GB2312" w:eastAsia="仿宋_GB2312" w:cs="仿宋_GB2312"/>
          <w:szCs w:val="30"/>
        </w:rPr>
        <w:t>项目决策类指标，包括项目立项、绩效目标、资金投入三个方面的内容，由8个三级指标构成。该项指标评价满分20分，实际得分18分，得分率90.00%，具体分析如下：</w:t>
      </w:r>
    </w:p>
    <w:p>
      <w:pPr>
        <w:spacing w:line="579" w:lineRule="exact"/>
        <w:ind w:firstLine="630" w:firstLineChars="200"/>
        <w:jc w:val="left"/>
        <w:rPr>
          <w:rFonts w:hint="eastAsia" w:ascii="仿宋_GB2312" w:hAnsi="仿宋_GB2312" w:eastAsia="仿宋_GB2312" w:cs="仿宋_GB2312"/>
          <w:szCs w:val="30"/>
        </w:rPr>
      </w:pPr>
      <w:r>
        <w:rPr>
          <w:rFonts w:hint="eastAsia" w:ascii="仿宋_GB2312" w:hAnsi="仿宋_GB2312" w:eastAsia="仿宋_GB2312" w:cs="仿宋_GB2312"/>
          <w:szCs w:val="30"/>
        </w:rPr>
        <w:t>1、项目立项方面</w:t>
      </w:r>
    </w:p>
    <w:p>
      <w:pPr>
        <w:spacing w:line="579" w:lineRule="exact"/>
        <w:ind w:firstLine="630" w:firstLineChars="200"/>
        <w:jc w:val="left"/>
        <w:rPr>
          <w:rFonts w:hAnsi="仿宋" w:cs="仿宋"/>
          <w:szCs w:val="30"/>
        </w:rPr>
      </w:pPr>
      <w:r>
        <w:rPr>
          <w:rFonts w:hint="eastAsia" w:ascii="仿宋_GB2312" w:hAnsi="仿宋_GB2312" w:eastAsia="仿宋_GB2312" w:cs="仿宋_GB2312"/>
          <w:szCs w:val="30"/>
        </w:rPr>
        <w:t>该部分主要考察项目立项是否有充分的依据，符合国家、省、市相关规定，以及项目的申请、设立过程是否符合相关要求。各指标的业绩值和绩效分值详见表4-1：</w:t>
      </w:r>
    </w:p>
    <w:p>
      <w:pPr>
        <w:widowControl/>
        <w:adjustRightInd w:val="0"/>
        <w:spacing w:line="579" w:lineRule="exact"/>
        <w:jc w:val="center"/>
        <w:rPr>
          <w:rFonts w:ascii="黑体" w:hAnsi="黑体" w:eastAsia="黑体" w:cs="黑体"/>
          <w:bCs/>
          <w:sz w:val="24"/>
          <w:szCs w:val="24"/>
        </w:rPr>
      </w:pPr>
      <w:r>
        <w:rPr>
          <w:rFonts w:hint="eastAsia" w:ascii="黑体" w:hAnsi="黑体" w:eastAsia="黑体" w:cs="黑体"/>
          <w:bCs/>
          <w:sz w:val="24"/>
          <w:szCs w:val="24"/>
        </w:rPr>
        <w:t>表4-1：“项目立项”指标评价分析及绩效得分情况</w:t>
      </w:r>
    </w:p>
    <w:tbl>
      <w:tblPr>
        <w:tblStyle w:val="16"/>
        <w:tblW w:w="88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4873"/>
        <w:gridCol w:w="1598"/>
        <w:gridCol w:w="1153"/>
        <w:gridCol w:w="1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20" w:hRule="atLeast"/>
          <w:tblHeader/>
          <w:jc w:val="center"/>
        </w:trPr>
        <w:tc>
          <w:tcPr>
            <w:tcW w:w="4873" w:type="dxa"/>
            <w:vAlign w:val="center"/>
          </w:tcPr>
          <w:p>
            <w:pPr>
              <w:tabs>
                <w:tab w:val="left" w:pos="1276"/>
              </w:tabs>
              <w:adjustRightInd w:val="0"/>
              <w:jc w:val="center"/>
              <w:rPr>
                <w:rFonts w:hAnsi="仿宋" w:cs="仿宋"/>
                <w:b/>
                <w:sz w:val="21"/>
              </w:rPr>
            </w:pPr>
            <w:r>
              <w:rPr>
                <w:rFonts w:hint="eastAsia" w:hAnsi="仿宋" w:cs="仿宋"/>
                <w:b/>
                <w:sz w:val="21"/>
              </w:rPr>
              <w:t>指标名称</w:t>
            </w:r>
          </w:p>
        </w:tc>
        <w:tc>
          <w:tcPr>
            <w:tcW w:w="1598" w:type="dxa"/>
            <w:vAlign w:val="center"/>
          </w:tcPr>
          <w:p>
            <w:pPr>
              <w:tabs>
                <w:tab w:val="left" w:pos="1276"/>
              </w:tabs>
              <w:adjustRightInd w:val="0"/>
              <w:jc w:val="center"/>
              <w:rPr>
                <w:rFonts w:hAnsi="仿宋" w:cs="仿宋"/>
                <w:b/>
                <w:sz w:val="21"/>
              </w:rPr>
            </w:pPr>
            <w:r>
              <w:rPr>
                <w:rFonts w:hint="eastAsia" w:hAnsi="仿宋" w:cs="仿宋"/>
                <w:b/>
                <w:sz w:val="21"/>
              </w:rPr>
              <w:t>指标权重</w:t>
            </w:r>
          </w:p>
        </w:tc>
        <w:tc>
          <w:tcPr>
            <w:tcW w:w="1153" w:type="dxa"/>
            <w:vAlign w:val="center"/>
          </w:tcPr>
          <w:p>
            <w:pPr>
              <w:tabs>
                <w:tab w:val="left" w:pos="1276"/>
              </w:tabs>
              <w:adjustRightInd w:val="0"/>
              <w:jc w:val="center"/>
              <w:rPr>
                <w:rFonts w:hAnsi="仿宋" w:cs="仿宋"/>
                <w:b/>
                <w:sz w:val="21"/>
              </w:rPr>
            </w:pPr>
            <w:r>
              <w:rPr>
                <w:rFonts w:hint="eastAsia" w:hAnsi="仿宋" w:cs="仿宋"/>
                <w:b/>
                <w:sz w:val="21"/>
              </w:rPr>
              <w:t>业绩值</w:t>
            </w:r>
          </w:p>
        </w:tc>
        <w:tc>
          <w:tcPr>
            <w:tcW w:w="1220" w:type="dxa"/>
            <w:vAlign w:val="center"/>
          </w:tcPr>
          <w:p>
            <w:pPr>
              <w:tabs>
                <w:tab w:val="left" w:pos="1276"/>
              </w:tabs>
              <w:adjustRightInd w:val="0"/>
              <w:jc w:val="center"/>
              <w:rPr>
                <w:rFonts w:hAnsi="仿宋" w:cs="仿宋"/>
                <w:b/>
                <w:sz w:val="21"/>
              </w:rPr>
            </w:pPr>
            <w:r>
              <w:rPr>
                <w:rFonts w:hint="eastAsia" w:hAnsi="仿宋" w:cs="仿宋"/>
                <w:b/>
                <w:sz w:val="21"/>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20" w:hRule="atLeast"/>
          <w:jc w:val="center"/>
        </w:trPr>
        <w:tc>
          <w:tcPr>
            <w:tcW w:w="4873" w:type="dxa"/>
            <w:vAlign w:val="center"/>
          </w:tcPr>
          <w:p>
            <w:pPr>
              <w:tabs>
                <w:tab w:val="left" w:pos="1276"/>
              </w:tabs>
              <w:adjustRightInd w:val="0"/>
              <w:rPr>
                <w:rFonts w:hAnsi="仿宋" w:cs="仿宋"/>
                <w:bCs/>
                <w:sz w:val="21"/>
              </w:rPr>
            </w:pPr>
            <w:r>
              <w:rPr>
                <w:rFonts w:hint="eastAsia" w:hAnsi="仿宋" w:cs="仿宋"/>
                <w:bCs/>
                <w:sz w:val="21"/>
              </w:rPr>
              <w:t>战略目标适应性</w:t>
            </w:r>
          </w:p>
        </w:tc>
        <w:tc>
          <w:tcPr>
            <w:tcW w:w="1598" w:type="dxa"/>
            <w:vAlign w:val="center"/>
          </w:tcPr>
          <w:p>
            <w:pPr>
              <w:tabs>
                <w:tab w:val="left" w:pos="1276"/>
              </w:tabs>
              <w:adjustRightInd w:val="0"/>
              <w:jc w:val="center"/>
              <w:rPr>
                <w:rFonts w:hAnsi="仿宋" w:cs="仿宋"/>
                <w:bCs/>
                <w:sz w:val="21"/>
              </w:rPr>
            </w:pPr>
            <w:r>
              <w:rPr>
                <w:rFonts w:hint="eastAsia" w:hAnsi="仿宋" w:cs="仿宋"/>
                <w:bCs/>
                <w:sz w:val="21"/>
              </w:rPr>
              <w:t>3</w:t>
            </w:r>
          </w:p>
        </w:tc>
        <w:tc>
          <w:tcPr>
            <w:tcW w:w="1153" w:type="dxa"/>
            <w:vAlign w:val="center"/>
          </w:tcPr>
          <w:p>
            <w:pPr>
              <w:tabs>
                <w:tab w:val="left" w:pos="1276"/>
              </w:tabs>
              <w:adjustRightInd w:val="0"/>
              <w:jc w:val="center"/>
              <w:rPr>
                <w:rFonts w:hAnsi="仿宋" w:cs="仿宋"/>
                <w:bCs/>
                <w:sz w:val="21"/>
              </w:rPr>
            </w:pPr>
            <w:r>
              <w:rPr>
                <w:rFonts w:hint="eastAsia" w:hAnsi="仿宋" w:cs="仿宋"/>
                <w:bCs/>
                <w:sz w:val="21"/>
              </w:rPr>
              <w:t>100.00%</w:t>
            </w:r>
          </w:p>
        </w:tc>
        <w:tc>
          <w:tcPr>
            <w:tcW w:w="1220" w:type="dxa"/>
            <w:vAlign w:val="center"/>
          </w:tcPr>
          <w:p>
            <w:pPr>
              <w:tabs>
                <w:tab w:val="left" w:pos="1276"/>
              </w:tabs>
              <w:adjustRightInd w:val="0"/>
              <w:jc w:val="center"/>
              <w:rPr>
                <w:rFonts w:hAnsi="仿宋" w:cs="仿宋"/>
                <w:bCs/>
                <w:sz w:val="21"/>
              </w:rPr>
            </w:pPr>
            <w:r>
              <w:rPr>
                <w:rFonts w:hint="eastAsia" w:hAnsi="仿宋" w:cs="仿宋"/>
                <w:bCs/>
                <w:sz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20" w:hRule="atLeast"/>
          <w:jc w:val="center"/>
        </w:trPr>
        <w:tc>
          <w:tcPr>
            <w:tcW w:w="4873" w:type="dxa"/>
            <w:vAlign w:val="center"/>
          </w:tcPr>
          <w:p>
            <w:pPr>
              <w:tabs>
                <w:tab w:val="left" w:pos="1276"/>
              </w:tabs>
              <w:adjustRightInd w:val="0"/>
              <w:rPr>
                <w:rFonts w:hAnsi="仿宋" w:cs="仿宋"/>
                <w:bCs/>
                <w:sz w:val="21"/>
              </w:rPr>
            </w:pPr>
            <w:r>
              <w:rPr>
                <w:rFonts w:hint="eastAsia" w:hAnsi="仿宋" w:cs="仿宋"/>
                <w:bCs/>
                <w:sz w:val="21"/>
              </w:rPr>
              <w:t>立项依据充分性</w:t>
            </w:r>
          </w:p>
        </w:tc>
        <w:tc>
          <w:tcPr>
            <w:tcW w:w="1598" w:type="dxa"/>
            <w:vAlign w:val="center"/>
          </w:tcPr>
          <w:p>
            <w:pPr>
              <w:tabs>
                <w:tab w:val="left" w:pos="1276"/>
              </w:tabs>
              <w:adjustRightInd w:val="0"/>
              <w:jc w:val="center"/>
              <w:rPr>
                <w:rFonts w:hAnsi="仿宋" w:cs="仿宋"/>
                <w:bCs/>
                <w:sz w:val="21"/>
              </w:rPr>
            </w:pPr>
            <w:r>
              <w:rPr>
                <w:rFonts w:hint="eastAsia" w:hAnsi="仿宋" w:cs="仿宋"/>
                <w:bCs/>
                <w:sz w:val="21"/>
              </w:rPr>
              <w:t>2</w:t>
            </w:r>
          </w:p>
        </w:tc>
        <w:tc>
          <w:tcPr>
            <w:tcW w:w="1153" w:type="dxa"/>
            <w:vAlign w:val="center"/>
          </w:tcPr>
          <w:p>
            <w:pPr>
              <w:tabs>
                <w:tab w:val="left" w:pos="1276"/>
              </w:tabs>
              <w:adjustRightInd w:val="0"/>
              <w:jc w:val="center"/>
              <w:rPr>
                <w:rFonts w:hAnsi="仿宋" w:cs="仿宋"/>
                <w:bCs/>
                <w:sz w:val="21"/>
              </w:rPr>
            </w:pPr>
            <w:r>
              <w:rPr>
                <w:rFonts w:hint="eastAsia" w:hAnsi="仿宋" w:cs="仿宋"/>
                <w:bCs/>
                <w:sz w:val="21"/>
              </w:rPr>
              <w:t>100.00%</w:t>
            </w:r>
          </w:p>
        </w:tc>
        <w:tc>
          <w:tcPr>
            <w:tcW w:w="1220" w:type="dxa"/>
            <w:vAlign w:val="center"/>
          </w:tcPr>
          <w:p>
            <w:pPr>
              <w:tabs>
                <w:tab w:val="left" w:pos="1276"/>
              </w:tabs>
              <w:adjustRightInd w:val="0"/>
              <w:jc w:val="center"/>
              <w:rPr>
                <w:rFonts w:hAnsi="仿宋" w:cs="仿宋"/>
                <w:bCs/>
                <w:sz w:val="21"/>
              </w:rPr>
            </w:pPr>
            <w:r>
              <w:rPr>
                <w:rFonts w:hint="eastAsia" w:hAnsi="仿宋" w:cs="仿宋"/>
                <w:bCs/>
                <w:sz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20" w:hRule="atLeast"/>
          <w:jc w:val="center"/>
        </w:trPr>
        <w:tc>
          <w:tcPr>
            <w:tcW w:w="4873" w:type="dxa"/>
            <w:vAlign w:val="center"/>
          </w:tcPr>
          <w:p>
            <w:pPr>
              <w:tabs>
                <w:tab w:val="left" w:pos="1276"/>
              </w:tabs>
              <w:adjustRightInd w:val="0"/>
              <w:rPr>
                <w:rFonts w:hAnsi="仿宋" w:cs="仿宋"/>
                <w:bCs/>
                <w:sz w:val="21"/>
              </w:rPr>
            </w:pPr>
            <w:r>
              <w:rPr>
                <w:rFonts w:hint="eastAsia" w:hAnsi="仿宋" w:cs="仿宋"/>
                <w:bCs/>
                <w:sz w:val="21"/>
              </w:rPr>
              <w:t>项目立项规范性</w:t>
            </w:r>
          </w:p>
        </w:tc>
        <w:tc>
          <w:tcPr>
            <w:tcW w:w="1598" w:type="dxa"/>
            <w:vAlign w:val="center"/>
          </w:tcPr>
          <w:p>
            <w:pPr>
              <w:tabs>
                <w:tab w:val="left" w:pos="1276"/>
              </w:tabs>
              <w:adjustRightInd w:val="0"/>
              <w:jc w:val="center"/>
              <w:rPr>
                <w:rFonts w:hAnsi="仿宋" w:cs="仿宋"/>
                <w:bCs/>
                <w:sz w:val="21"/>
              </w:rPr>
            </w:pPr>
            <w:r>
              <w:rPr>
                <w:rFonts w:hint="eastAsia" w:hAnsi="仿宋" w:cs="仿宋"/>
                <w:bCs/>
                <w:sz w:val="21"/>
              </w:rPr>
              <w:t>2</w:t>
            </w:r>
          </w:p>
        </w:tc>
        <w:tc>
          <w:tcPr>
            <w:tcW w:w="1153" w:type="dxa"/>
            <w:vAlign w:val="center"/>
          </w:tcPr>
          <w:p>
            <w:pPr>
              <w:tabs>
                <w:tab w:val="left" w:pos="1276"/>
              </w:tabs>
              <w:adjustRightInd w:val="0"/>
              <w:jc w:val="center"/>
              <w:rPr>
                <w:rFonts w:hAnsi="仿宋" w:cs="仿宋"/>
                <w:bCs/>
                <w:sz w:val="21"/>
              </w:rPr>
            </w:pPr>
            <w:r>
              <w:rPr>
                <w:rFonts w:hint="eastAsia" w:hAnsi="仿宋" w:cs="仿宋"/>
                <w:bCs/>
                <w:sz w:val="21"/>
              </w:rPr>
              <w:t>100.00%</w:t>
            </w:r>
          </w:p>
        </w:tc>
        <w:tc>
          <w:tcPr>
            <w:tcW w:w="1220" w:type="dxa"/>
            <w:vAlign w:val="center"/>
          </w:tcPr>
          <w:p>
            <w:pPr>
              <w:tabs>
                <w:tab w:val="left" w:pos="1276"/>
              </w:tabs>
              <w:adjustRightInd w:val="0"/>
              <w:jc w:val="center"/>
              <w:rPr>
                <w:rFonts w:hAnsi="仿宋" w:cs="仿宋"/>
                <w:bCs/>
                <w:sz w:val="21"/>
              </w:rPr>
            </w:pPr>
            <w:r>
              <w:rPr>
                <w:rFonts w:hint="eastAsia" w:hAnsi="仿宋" w:cs="仿宋"/>
                <w:bCs/>
                <w:sz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20" w:hRule="atLeast"/>
          <w:jc w:val="center"/>
        </w:trPr>
        <w:tc>
          <w:tcPr>
            <w:tcW w:w="4873" w:type="dxa"/>
            <w:vAlign w:val="center"/>
          </w:tcPr>
          <w:p>
            <w:pPr>
              <w:tabs>
                <w:tab w:val="left" w:pos="1276"/>
              </w:tabs>
              <w:adjustRightInd w:val="0"/>
              <w:jc w:val="center"/>
              <w:rPr>
                <w:rFonts w:hAnsi="仿宋" w:cs="仿宋"/>
                <w:bCs/>
                <w:sz w:val="21"/>
              </w:rPr>
            </w:pPr>
            <w:r>
              <w:rPr>
                <w:rFonts w:hint="eastAsia" w:hAnsi="仿宋" w:cs="仿宋"/>
                <w:bCs/>
                <w:sz w:val="21"/>
              </w:rPr>
              <w:t>小  计</w:t>
            </w:r>
          </w:p>
        </w:tc>
        <w:tc>
          <w:tcPr>
            <w:tcW w:w="1598" w:type="dxa"/>
            <w:vAlign w:val="center"/>
          </w:tcPr>
          <w:p>
            <w:pPr>
              <w:tabs>
                <w:tab w:val="left" w:pos="1276"/>
              </w:tabs>
              <w:adjustRightInd w:val="0"/>
              <w:jc w:val="center"/>
              <w:rPr>
                <w:rFonts w:hAnsi="仿宋" w:cs="仿宋"/>
                <w:bCs/>
                <w:sz w:val="21"/>
              </w:rPr>
            </w:pPr>
            <w:r>
              <w:rPr>
                <w:rFonts w:hint="eastAsia" w:hAnsi="仿宋" w:cs="仿宋"/>
                <w:bCs/>
                <w:sz w:val="21"/>
              </w:rPr>
              <w:t>7</w:t>
            </w:r>
          </w:p>
        </w:tc>
        <w:tc>
          <w:tcPr>
            <w:tcW w:w="1153" w:type="dxa"/>
            <w:vAlign w:val="center"/>
          </w:tcPr>
          <w:p>
            <w:pPr>
              <w:tabs>
                <w:tab w:val="left" w:pos="1276"/>
              </w:tabs>
              <w:adjustRightInd w:val="0"/>
              <w:jc w:val="center"/>
              <w:rPr>
                <w:rFonts w:hAnsi="仿宋" w:cs="仿宋"/>
                <w:bCs/>
                <w:sz w:val="21"/>
              </w:rPr>
            </w:pPr>
            <w:r>
              <w:rPr>
                <w:rFonts w:hint="eastAsia" w:hAnsi="仿宋" w:cs="仿宋"/>
                <w:bCs/>
                <w:sz w:val="21"/>
              </w:rPr>
              <w:t>100.00%</w:t>
            </w:r>
          </w:p>
        </w:tc>
        <w:tc>
          <w:tcPr>
            <w:tcW w:w="1220" w:type="dxa"/>
            <w:vAlign w:val="center"/>
          </w:tcPr>
          <w:p>
            <w:pPr>
              <w:tabs>
                <w:tab w:val="left" w:pos="1276"/>
              </w:tabs>
              <w:adjustRightInd w:val="0"/>
              <w:jc w:val="center"/>
              <w:rPr>
                <w:rFonts w:hAnsi="仿宋" w:cs="仿宋"/>
                <w:bCs/>
                <w:sz w:val="21"/>
              </w:rPr>
            </w:pPr>
            <w:r>
              <w:rPr>
                <w:rFonts w:hint="eastAsia" w:hAnsi="仿宋" w:cs="仿宋"/>
                <w:bCs/>
                <w:sz w:val="21"/>
              </w:rPr>
              <w:t>7</w:t>
            </w:r>
          </w:p>
        </w:tc>
      </w:tr>
    </w:tbl>
    <w:p>
      <w:pPr>
        <w:spacing w:line="579" w:lineRule="exact"/>
        <w:ind w:firstLine="630" w:firstLineChars="200"/>
        <w:jc w:val="left"/>
        <w:rPr>
          <w:rFonts w:hint="eastAsia" w:ascii="仿宋_GB2312" w:hAnsi="仿宋_GB2312" w:eastAsia="仿宋_GB2312" w:cs="仿宋_GB2312"/>
          <w:szCs w:val="30"/>
        </w:rPr>
      </w:pPr>
      <w:r>
        <w:rPr>
          <w:rFonts w:hint="eastAsia" w:ascii="仿宋_GB2312" w:hAnsi="仿宋_GB2312" w:eastAsia="仿宋_GB2312" w:cs="仿宋_GB2312"/>
          <w:szCs w:val="30"/>
        </w:rPr>
        <w:t>项目是根据《教育部办公厅关于做好中小学生课后服务工作的指导意见》、《教育部等九部门关于印发中小学生减负措施的通知》和《昆明市教育体育局昆明市财政局关于推进昆明市小学生课后服务的工作意见》设立本项目。项目立项符合国家法律法规、国民经济发展规划和相关政策和政策要求，本项目与学校职责范围相符，属于学校履职所需，按照规定的程序申请设立，审批文件、材料符合相关要求。</w:t>
      </w:r>
    </w:p>
    <w:p>
      <w:pPr>
        <w:spacing w:line="579" w:lineRule="exact"/>
        <w:ind w:firstLine="630" w:firstLineChars="200"/>
        <w:jc w:val="left"/>
        <w:rPr>
          <w:rFonts w:hint="eastAsia" w:ascii="仿宋_GB2312" w:hAnsi="仿宋_GB2312" w:eastAsia="仿宋_GB2312" w:cs="仿宋_GB2312"/>
          <w:szCs w:val="30"/>
        </w:rPr>
      </w:pPr>
      <w:r>
        <w:rPr>
          <w:rFonts w:hint="eastAsia" w:ascii="仿宋_GB2312" w:hAnsi="仿宋_GB2312" w:eastAsia="仿宋_GB2312" w:cs="仿宋_GB2312"/>
          <w:szCs w:val="30"/>
        </w:rPr>
        <w:t>该项指标满分为7分，根据评分标准得7分。</w:t>
      </w:r>
    </w:p>
    <w:p>
      <w:pPr>
        <w:spacing w:line="579" w:lineRule="exact"/>
        <w:ind w:firstLine="630" w:firstLineChars="200"/>
        <w:jc w:val="left"/>
        <w:rPr>
          <w:rFonts w:hint="eastAsia" w:ascii="仿宋_GB2312" w:hAnsi="仿宋_GB2312" w:eastAsia="仿宋_GB2312" w:cs="仿宋_GB2312"/>
          <w:szCs w:val="30"/>
        </w:rPr>
      </w:pPr>
      <w:r>
        <w:rPr>
          <w:rFonts w:hint="eastAsia" w:ascii="仿宋_GB2312" w:hAnsi="仿宋_GB2312" w:eastAsia="仿宋_GB2312" w:cs="仿宋_GB2312"/>
          <w:szCs w:val="30"/>
        </w:rPr>
        <w:t>2、绩效目标方面</w:t>
      </w:r>
    </w:p>
    <w:p>
      <w:pPr>
        <w:spacing w:line="579" w:lineRule="exact"/>
        <w:ind w:firstLine="630" w:firstLineChars="200"/>
        <w:jc w:val="left"/>
        <w:rPr>
          <w:rFonts w:hint="eastAsia" w:ascii="仿宋_GB2312" w:hAnsi="仿宋_GB2312" w:eastAsia="仿宋_GB2312" w:cs="仿宋_GB2312"/>
          <w:szCs w:val="30"/>
        </w:rPr>
      </w:pPr>
      <w:r>
        <w:rPr>
          <w:rFonts w:hint="eastAsia" w:ascii="仿宋_GB2312" w:hAnsi="仿宋_GB2312" w:eastAsia="仿宋_GB2312" w:cs="仿宋_GB2312"/>
          <w:szCs w:val="30"/>
        </w:rPr>
        <w:t>该部分主要考察所设定的项目绩效目标是否依据充分、完整且与预算相匹配，细化分解的绩效目标是否与绩效目标相适应。各指标的业绩值和绩效分值详见表4-2：</w:t>
      </w:r>
    </w:p>
    <w:p>
      <w:pPr>
        <w:widowControl/>
        <w:adjustRightInd w:val="0"/>
        <w:spacing w:line="579" w:lineRule="exact"/>
        <w:jc w:val="center"/>
        <w:rPr>
          <w:rFonts w:ascii="黑体" w:hAnsi="黑体" w:eastAsia="黑体" w:cs="黑体"/>
          <w:bCs/>
          <w:sz w:val="24"/>
          <w:szCs w:val="24"/>
        </w:rPr>
      </w:pPr>
      <w:r>
        <w:rPr>
          <w:rFonts w:hint="eastAsia" w:ascii="黑体" w:hAnsi="黑体" w:eastAsia="黑体" w:cs="黑体"/>
          <w:bCs/>
          <w:sz w:val="24"/>
          <w:szCs w:val="24"/>
        </w:rPr>
        <w:t>表4-2：“绩效目标”指标评价分析及绩效得分情况</w:t>
      </w:r>
    </w:p>
    <w:tbl>
      <w:tblPr>
        <w:tblStyle w:val="16"/>
        <w:tblW w:w="88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4878"/>
        <w:gridCol w:w="1597"/>
        <w:gridCol w:w="1151"/>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blHeader/>
          <w:jc w:val="center"/>
        </w:trPr>
        <w:tc>
          <w:tcPr>
            <w:tcW w:w="4878" w:type="dxa"/>
          </w:tcPr>
          <w:p>
            <w:pPr>
              <w:widowControl/>
              <w:adjustRightInd w:val="0"/>
              <w:jc w:val="center"/>
              <w:rPr>
                <w:rFonts w:hAnsi="仿宋" w:cs="仿宋"/>
                <w:b/>
                <w:kern w:val="0"/>
                <w:sz w:val="21"/>
              </w:rPr>
            </w:pPr>
            <w:r>
              <w:rPr>
                <w:rFonts w:hint="eastAsia" w:hAnsi="仿宋" w:cs="仿宋"/>
                <w:b/>
                <w:kern w:val="0"/>
                <w:sz w:val="21"/>
              </w:rPr>
              <w:t>指标名称</w:t>
            </w:r>
          </w:p>
        </w:tc>
        <w:tc>
          <w:tcPr>
            <w:tcW w:w="1597" w:type="dxa"/>
          </w:tcPr>
          <w:p>
            <w:pPr>
              <w:widowControl/>
              <w:adjustRightInd w:val="0"/>
              <w:jc w:val="center"/>
              <w:rPr>
                <w:rFonts w:hAnsi="仿宋" w:cs="仿宋"/>
                <w:b/>
                <w:kern w:val="0"/>
                <w:sz w:val="21"/>
              </w:rPr>
            </w:pPr>
            <w:r>
              <w:rPr>
                <w:rFonts w:hint="eastAsia" w:hAnsi="仿宋" w:cs="仿宋"/>
                <w:b/>
                <w:kern w:val="0"/>
                <w:sz w:val="21"/>
              </w:rPr>
              <w:t>指标权重</w:t>
            </w:r>
          </w:p>
        </w:tc>
        <w:tc>
          <w:tcPr>
            <w:tcW w:w="1151" w:type="dxa"/>
          </w:tcPr>
          <w:p>
            <w:pPr>
              <w:widowControl/>
              <w:adjustRightInd w:val="0"/>
              <w:jc w:val="center"/>
              <w:rPr>
                <w:rFonts w:hAnsi="仿宋" w:cs="仿宋"/>
                <w:b/>
                <w:kern w:val="0"/>
                <w:sz w:val="21"/>
              </w:rPr>
            </w:pPr>
            <w:r>
              <w:rPr>
                <w:rFonts w:hint="eastAsia" w:hAnsi="仿宋" w:cs="仿宋"/>
                <w:b/>
                <w:kern w:val="0"/>
                <w:sz w:val="21"/>
              </w:rPr>
              <w:t>业绩值</w:t>
            </w:r>
          </w:p>
        </w:tc>
        <w:tc>
          <w:tcPr>
            <w:tcW w:w="1218" w:type="dxa"/>
          </w:tcPr>
          <w:p>
            <w:pPr>
              <w:widowControl/>
              <w:adjustRightInd w:val="0"/>
              <w:jc w:val="center"/>
              <w:rPr>
                <w:rFonts w:hAnsi="仿宋" w:cs="仿宋"/>
                <w:b/>
                <w:kern w:val="0"/>
                <w:sz w:val="21"/>
              </w:rPr>
            </w:pPr>
            <w:r>
              <w:rPr>
                <w:rFonts w:hint="eastAsia" w:hAnsi="仿宋" w:cs="仿宋"/>
                <w:b/>
                <w:kern w:val="0"/>
                <w:sz w:val="21"/>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4878" w:type="dxa"/>
          </w:tcPr>
          <w:p>
            <w:pPr>
              <w:widowControl/>
              <w:adjustRightInd w:val="0"/>
              <w:jc w:val="left"/>
              <w:rPr>
                <w:rFonts w:hAnsi="仿宋" w:cs="仿宋"/>
                <w:bCs/>
                <w:kern w:val="0"/>
                <w:sz w:val="21"/>
              </w:rPr>
            </w:pPr>
            <w:r>
              <w:rPr>
                <w:rFonts w:hint="eastAsia" w:hAnsi="仿宋" w:cs="仿宋"/>
                <w:bCs/>
                <w:kern w:val="0"/>
                <w:sz w:val="21"/>
              </w:rPr>
              <w:t>绩效目标设定的合理性</w:t>
            </w:r>
          </w:p>
        </w:tc>
        <w:tc>
          <w:tcPr>
            <w:tcW w:w="1597" w:type="dxa"/>
          </w:tcPr>
          <w:p>
            <w:pPr>
              <w:widowControl/>
              <w:jc w:val="center"/>
              <w:textAlignment w:val="top"/>
              <w:rPr>
                <w:rFonts w:hAnsi="仿宋" w:cs="仿宋"/>
                <w:bCs/>
                <w:kern w:val="0"/>
                <w:sz w:val="21"/>
              </w:rPr>
            </w:pPr>
            <w:r>
              <w:rPr>
                <w:rFonts w:hint="eastAsia" w:hAnsi="仿宋" w:cs="仿宋"/>
                <w:color w:val="000000"/>
                <w:kern w:val="0"/>
                <w:sz w:val="21"/>
                <w:lang w:bidi="ar"/>
              </w:rPr>
              <w:t>3</w:t>
            </w:r>
          </w:p>
        </w:tc>
        <w:tc>
          <w:tcPr>
            <w:tcW w:w="1151" w:type="dxa"/>
          </w:tcPr>
          <w:p>
            <w:pPr>
              <w:widowControl/>
              <w:jc w:val="center"/>
              <w:textAlignment w:val="top"/>
              <w:rPr>
                <w:rFonts w:hAnsi="仿宋" w:cs="仿宋"/>
                <w:bCs/>
                <w:kern w:val="0"/>
                <w:sz w:val="21"/>
              </w:rPr>
            </w:pPr>
            <w:r>
              <w:rPr>
                <w:rFonts w:hint="eastAsia" w:hAnsi="仿宋" w:cs="仿宋"/>
                <w:color w:val="000000"/>
                <w:kern w:val="0"/>
                <w:sz w:val="21"/>
                <w:lang w:bidi="ar"/>
              </w:rPr>
              <w:t>100.00%</w:t>
            </w:r>
          </w:p>
        </w:tc>
        <w:tc>
          <w:tcPr>
            <w:tcW w:w="1218" w:type="dxa"/>
          </w:tcPr>
          <w:p>
            <w:pPr>
              <w:widowControl/>
              <w:jc w:val="center"/>
              <w:textAlignment w:val="top"/>
              <w:rPr>
                <w:rFonts w:hAnsi="仿宋" w:cs="仿宋"/>
                <w:color w:val="000000"/>
                <w:kern w:val="0"/>
                <w:sz w:val="21"/>
                <w:lang w:bidi="ar"/>
              </w:rPr>
            </w:pPr>
            <w:r>
              <w:rPr>
                <w:rFonts w:hint="eastAsia" w:hAnsi="仿宋" w:cs="仿宋"/>
                <w:color w:val="000000"/>
                <w:kern w:val="0"/>
                <w:sz w:val="21"/>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4878" w:type="dxa"/>
          </w:tcPr>
          <w:p>
            <w:pPr>
              <w:widowControl/>
              <w:adjustRightInd w:val="0"/>
              <w:jc w:val="left"/>
              <w:rPr>
                <w:rFonts w:hAnsi="仿宋" w:cs="仿宋"/>
                <w:bCs/>
                <w:kern w:val="0"/>
                <w:sz w:val="21"/>
              </w:rPr>
            </w:pPr>
            <w:r>
              <w:rPr>
                <w:rFonts w:hint="eastAsia" w:hAnsi="仿宋" w:cs="仿宋"/>
                <w:bCs/>
                <w:kern w:val="0"/>
                <w:sz w:val="21"/>
              </w:rPr>
              <w:t>绩效指标设定的明确性</w:t>
            </w:r>
          </w:p>
        </w:tc>
        <w:tc>
          <w:tcPr>
            <w:tcW w:w="1597" w:type="dxa"/>
          </w:tcPr>
          <w:p>
            <w:pPr>
              <w:widowControl/>
              <w:jc w:val="center"/>
              <w:textAlignment w:val="top"/>
              <w:rPr>
                <w:rFonts w:hAnsi="仿宋" w:cs="仿宋"/>
                <w:bCs/>
                <w:kern w:val="0"/>
                <w:sz w:val="21"/>
              </w:rPr>
            </w:pPr>
            <w:r>
              <w:rPr>
                <w:rFonts w:hint="eastAsia" w:hAnsi="仿宋" w:cs="仿宋"/>
                <w:color w:val="000000"/>
                <w:kern w:val="0"/>
                <w:sz w:val="21"/>
                <w:lang w:bidi="ar"/>
              </w:rPr>
              <w:t>3</w:t>
            </w:r>
          </w:p>
        </w:tc>
        <w:tc>
          <w:tcPr>
            <w:tcW w:w="1151" w:type="dxa"/>
          </w:tcPr>
          <w:p>
            <w:pPr>
              <w:widowControl/>
              <w:jc w:val="center"/>
              <w:textAlignment w:val="top"/>
              <w:rPr>
                <w:rFonts w:hAnsi="仿宋" w:cs="仿宋"/>
                <w:bCs/>
                <w:kern w:val="0"/>
                <w:sz w:val="21"/>
              </w:rPr>
            </w:pPr>
            <w:r>
              <w:rPr>
                <w:rFonts w:hint="eastAsia" w:hAnsi="仿宋" w:cs="仿宋"/>
                <w:color w:val="000000"/>
                <w:kern w:val="0"/>
                <w:sz w:val="21"/>
                <w:lang w:bidi="ar"/>
              </w:rPr>
              <w:t>33.33%</w:t>
            </w:r>
          </w:p>
        </w:tc>
        <w:tc>
          <w:tcPr>
            <w:tcW w:w="1218" w:type="dxa"/>
          </w:tcPr>
          <w:p>
            <w:pPr>
              <w:widowControl/>
              <w:jc w:val="center"/>
              <w:textAlignment w:val="top"/>
              <w:rPr>
                <w:rFonts w:hAnsi="仿宋" w:cs="仿宋"/>
                <w:color w:val="000000"/>
                <w:kern w:val="0"/>
                <w:sz w:val="21"/>
                <w:lang w:bidi="ar"/>
              </w:rPr>
            </w:pPr>
            <w:r>
              <w:rPr>
                <w:rFonts w:hint="eastAsia" w:hAnsi="仿宋" w:cs="仿宋"/>
                <w:color w:val="000000"/>
                <w:kern w:val="0"/>
                <w:sz w:val="21"/>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4878" w:type="dxa"/>
          </w:tcPr>
          <w:p>
            <w:pPr>
              <w:widowControl/>
              <w:tabs>
                <w:tab w:val="left" w:pos="1037"/>
              </w:tabs>
              <w:adjustRightInd w:val="0"/>
              <w:jc w:val="left"/>
              <w:rPr>
                <w:rFonts w:hAnsi="仿宋" w:cs="仿宋"/>
                <w:bCs/>
                <w:kern w:val="0"/>
                <w:sz w:val="21"/>
              </w:rPr>
            </w:pPr>
            <w:r>
              <w:rPr>
                <w:rFonts w:hint="eastAsia" w:hAnsi="仿宋" w:cs="仿宋"/>
                <w:bCs/>
                <w:kern w:val="0"/>
                <w:sz w:val="21"/>
              </w:rPr>
              <w:t>绩效评价客观性</w:t>
            </w:r>
          </w:p>
        </w:tc>
        <w:tc>
          <w:tcPr>
            <w:tcW w:w="1597" w:type="dxa"/>
          </w:tcPr>
          <w:p>
            <w:pPr>
              <w:widowControl/>
              <w:jc w:val="center"/>
              <w:textAlignment w:val="top"/>
              <w:rPr>
                <w:rFonts w:hAnsi="仿宋" w:cs="仿宋"/>
                <w:bCs/>
                <w:kern w:val="0"/>
                <w:sz w:val="21"/>
              </w:rPr>
            </w:pPr>
            <w:r>
              <w:rPr>
                <w:rFonts w:hint="eastAsia" w:hAnsi="仿宋" w:cs="仿宋"/>
                <w:color w:val="000000"/>
                <w:kern w:val="0"/>
                <w:sz w:val="21"/>
                <w:lang w:bidi="ar"/>
              </w:rPr>
              <w:t>2</w:t>
            </w:r>
          </w:p>
        </w:tc>
        <w:tc>
          <w:tcPr>
            <w:tcW w:w="1151" w:type="dxa"/>
          </w:tcPr>
          <w:p>
            <w:pPr>
              <w:widowControl/>
              <w:jc w:val="center"/>
              <w:textAlignment w:val="top"/>
              <w:rPr>
                <w:rFonts w:hAnsi="仿宋" w:cs="仿宋"/>
                <w:bCs/>
                <w:kern w:val="0"/>
                <w:sz w:val="21"/>
              </w:rPr>
            </w:pPr>
            <w:r>
              <w:rPr>
                <w:rFonts w:hint="eastAsia" w:hAnsi="仿宋" w:cs="仿宋"/>
                <w:color w:val="000000"/>
                <w:kern w:val="0"/>
                <w:sz w:val="21"/>
                <w:lang w:bidi="ar"/>
              </w:rPr>
              <w:t>100.00%</w:t>
            </w:r>
          </w:p>
        </w:tc>
        <w:tc>
          <w:tcPr>
            <w:tcW w:w="1218" w:type="dxa"/>
          </w:tcPr>
          <w:p>
            <w:pPr>
              <w:widowControl/>
              <w:jc w:val="center"/>
              <w:textAlignment w:val="top"/>
              <w:rPr>
                <w:rFonts w:hAnsi="仿宋" w:cs="仿宋"/>
                <w:color w:val="000000"/>
                <w:kern w:val="0"/>
                <w:sz w:val="21"/>
                <w:lang w:bidi="ar"/>
              </w:rPr>
            </w:pPr>
            <w:r>
              <w:rPr>
                <w:rFonts w:hint="eastAsia" w:hAnsi="仿宋" w:cs="仿宋"/>
                <w:color w:val="000000"/>
                <w:kern w:val="0"/>
                <w:sz w:val="21"/>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4878" w:type="dxa"/>
          </w:tcPr>
          <w:p>
            <w:pPr>
              <w:widowControl/>
              <w:adjustRightInd w:val="0"/>
              <w:jc w:val="center"/>
              <w:rPr>
                <w:rFonts w:hAnsi="仿宋" w:cs="仿宋"/>
                <w:bCs/>
                <w:kern w:val="0"/>
                <w:sz w:val="21"/>
              </w:rPr>
            </w:pPr>
            <w:r>
              <w:rPr>
                <w:rFonts w:hint="eastAsia" w:hAnsi="仿宋" w:cs="仿宋"/>
                <w:bCs/>
                <w:kern w:val="0"/>
                <w:sz w:val="21"/>
              </w:rPr>
              <w:t>小  计</w:t>
            </w:r>
          </w:p>
        </w:tc>
        <w:tc>
          <w:tcPr>
            <w:tcW w:w="1597" w:type="dxa"/>
          </w:tcPr>
          <w:p>
            <w:pPr>
              <w:widowControl/>
              <w:jc w:val="center"/>
              <w:textAlignment w:val="top"/>
              <w:rPr>
                <w:rFonts w:hAnsi="仿宋" w:cs="仿宋"/>
                <w:bCs/>
                <w:kern w:val="0"/>
                <w:sz w:val="21"/>
              </w:rPr>
            </w:pPr>
            <w:r>
              <w:rPr>
                <w:rFonts w:hint="eastAsia" w:hAnsi="仿宋" w:cs="仿宋"/>
                <w:bCs/>
                <w:color w:val="000000"/>
                <w:kern w:val="0"/>
                <w:sz w:val="21"/>
                <w:lang w:bidi="ar"/>
              </w:rPr>
              <w:t>8</w:t>
            </w:r>
          </w:p>
        </w:tc>
        <w:tc>
          <w:tcPr>
            <w:tcW w:w="1151" w:type="dxa"/>
          </w:tcPr>
          <w:p>
            <w:pPr>
              <w:widowControl/>
              <w:jc w:val="center"/>
              <w:textAlignment w:val="top"/>
              <w:rPr>
                <w:rFonts w:hAnsi="仿宋" w:cs="仿宋"/>
                <w:bCs/>
                <w:kern w:val="0"/>
                <w:sz w:val="21"/>
              </w:rPr>
            </w:pPr>
            <w:r>
              <w:rPr>
                <w:rFonts w:hint="eastAsia" w:hAnsi="仿宋" w:cs="仿宋"/>
                <w:bCs/>
                <w:color w:val="000000"/>
                <w:kern w:val="0"/>
                <w:sz w:val="21"/>
                <w:lang w:bidi="ar"/>
              </w:rPr>
              <w:t>75.00%</w:t>
            </w:r>
          </w:p>
        </w:tc>
        <w:tc>
          <w:tcPr>
            <w:tcW w:w="1218" w:type="dxa"/>
          </w:tcPr>
          <w:p>
            <w:pPr>
              <w:widowControl/>
              <w:jc w:val="center"/>
              <w:textAlignment w:val="top"/>
              <w:rPr>
                <w:rFonts w:hAnsi="仿宋" w:cs="仿宋"/>
                <w:bCs/>
                <w:color w:val="000000"/>
                <w:kern w:val="0"/>
                <w:sz w:val="21"/>
                <w:lang w:bidi="ar"/>
              </w:rPr>
            </w:pPr>
            <w:r>
              <w:rPr>
                <w:rFonts w:hint="eastAsia" w:hAnsi="仿宋" w:cs="仿宋"/>
                <w:bCs/>
                <w:color w:val="000000"/>
                <w:kern w:val="0"/>
                <w:sz w:val="21"/>
                <w:lang w:bidi="ar"/>
              </w:rPr>
              <w:t>6</w:t>
            </w:r>
          </w:p>
        </w:tc>
      </w:tr>
    </w:tbl>
    <w:p>
      <w:pPr>
        <w:spacing w:line="579" w:lineRule="exact"/>
        <w:ind w:firstLine="630" w:firstLineChars="200"/>
        <w:jc w:val="left"/>
        <w:rPr>
          <w:rFonts w:hint="eastAsia" w:ascii="仿宋_GB2312" w:hAnsi="仿宋_GB2312" w:eastAsia="仿宋_GB2312" w:cs="仿宋_GB2312"/>
          <w:szCs w:val="30"/>
        </w:rPr>
      </w:pPr>
      <w:r>
        <w:rPr>
          <w:rFonts w:hint="eastAsia" w:ascii="仿宋_GB2312" w:hAnsi="仿宋_GB2312" w:eastAsia="仿宋_GB2312" w:cs="仿宋_GB2312"/>
          <w:szCs w:val="30"/>
        </w:rPr>
        <w:t>昆明市晋宁区在2021年度教育体育局项目预算中对项目绩效目标进行了申报，并获得了昆明市晋宁区财政局批复。绩效目标共设置了3项绩效指标，一是绩效目标合理性，课后服务项目按规定设立了绩效目标，且与实际工作内容匹配；二是绩效指标明确性，绩效指标的划分不够清晰明确，未将绩效目标划分为具体的绩效指标；三是绩效评价客观性，教育体育局根据实际情况对项目进行自评，自评结果客观、真实，反映项目绩效目标完成情况；</w:t>
      </w:r>
    </w:p>
    <w:p>
      <w:pPr>
        <w:spacing w:line="579" w:lineRule="exact"/>
        <w:ind w:firstLine="630" w:firstLineChars="200"/>
        <w:jc w:val="left"/>
        <w:rPr>
          <w:rFonts w:hint="eastAsia" w:ascii="仿宋_GB2312" w:hAnsi="仿宋_GB2312" w:eastAsia="仿宋_GB2312" w:cs="仿宋_GB2312"/>
          <w:szCs w:val="30"/>
        </w:rPr>
      </w:pPr>
      <w:r>
        <w:rPr>
          <w:rFonts w:hint="eastAsia" w:ascii="仿宋_GB2312" w:hAnsi="仿宋_GB2312" w:eastAsia="仿宋_GB2312" w:cs="仿宋_GB2312"/>
          <w:szCs w:val="30"/>
        </w:rPr>
        <w:t>该项指标满分为8分，根据评分标准得6分。</w:t>
      </w:r>
    </w:p>
    <w:p>
      <w:pPr>
        <w:spacing w:line="579" w:lineRule="exact"/>
        <w:ind w:firstLine="630" w:firstLineChars="200"/>
        <w:jc w:val="left"/>
        <w:rPr>
          <w:rFonts w:hint="eastAsia" w:ascii="仿宋_GB2312" w:hAnsi="仿宋_GB2312" w:eastAsia="仿宋_GB2312" w:cs="仿宋_GB2312"/>
          <w:szCs w:val="30"/>
        </w:rPr>
      </w:pPr>
      <w:r>
        <w:rPr>
          <w:rFonts w:hint="eastAsia" w:ascii="仿宋_GB2312" w:hAnsi="仿宋_GB2312" w:eastAsia="仿宋_GB2312" w:cs="仿宋_GB2312"/>
          <w:szCs w:val="30"/>
        </w:rPr>
        <w:t>3、资金投入方面</w:t>
      </w:r>
    </w:p>
    <w:p>
      <w:pPr>
        <w:spacing w:line="579" w:lineRule="exact"/>
        <w:ind w:firstLine="630" w:firstLineChars="200"/>
        <w:jc w:val="left"/>
        <w:rPr>
          <w:rFonts w:hint="eastAsia" w:ascii="仿宋_GB2312" w:hAnsi="仿宋_GB2312" w:eastAsia="仿宋_GB2312" w:cs="仿宋_GB2312"/>
          <w:szCs w:val="30"/>
        </w:rPr>
      </w:pPr>
      <w:r>
        <w:rPr>
          <w:rFonts w:hint="eastAsia" w:ascii="仿宋_GB2312" w:hAnsi="仿宋_GB2312" w:eastAsia="仿宋_GB2312" w:cs="仿宋_GB2312"/>
          <w:szCs w:val="30"/>
        </w:rPr>
        <w:t>该部分主要考察项目资金投入的预算编制及资金分配是否合理。各指标的业绩值和绩效分值详见表4-3：</w:t>
      </w:r>
    </w:p>
    <w:p>
      <w:pPr>
        <w:spacing w:line="579" w:lineRule="exact"/>
        <w:ind w:firstLine="510" w:firstLineChars="200"/>
        <w:jc w:val="center"/>
        <w:rPr>
          <w:rFonts w:hAnsi="仿宋" w:cs="仿宋"/>
          <w:szCs w:val="30"/>
        </w:rPr>
      </w:pPr>
      <w:r>
        <w:rPr>
          <w:rFonts w:hint="eastAsia" w:ascii="黑体" w:hAnsi="黑体" w:eastAsia="黑体" w:cs="黑体"/>
          <w:bCs/>
          <w:sz w:val="24"/>
          <w:szCs w:val="24"/>
        </w:rPr>
        <w:t>表4-3：“资金投入”指标评价分析及绩效得分情况</w:t>
      </w:r>
    </w:p>
    <w:tbl>
      <w:tblPr>
        <w:tblStyle w:val="16"/>
        <w:tblW w:w="88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4878"/>
        <w:gridCol w:w="1597"/>
        <w:gridCol w:w="1151"/>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blHeader/>
          <w:jc w:val="center"/>
        </w:trPr>
        <w:tc>
          <w:tcPr>
            <w:tcW w:w="4878" w:type="dxa"/>
          </w:tcPr>
          <w:p>
            <w:pPr>
              <w:widowControl/>
              <w:adjustRightInd w:val="0"/>
              <w:jc w:val="center"/>
              <w:rPr>
                <w:rFonts w:hAnsi="仿宋" w:cs="仿宋"/>
                <w:b/>
                <w:kern w:val="0"/>
                <w:sz w:val="21"/>
              </w:rPr>
            </w:pPr>
            <w:r>
              <w:rPr>
                <w:rFonts w:hint="eastAsia" w:hAnsi="仿宋" w:cs="仿宋"/>
                <w:b/>
                <w:kern w:val="0"/>
                <w:sz w:val="21"/>
              </w:rPr>
              <w:t>指标名称</w:t>
            </w:r>
          </w:p>
        </w:tc>
        <w:tc>
          <w:tcPr>
            <w:tcW w:w="1597" w:type="dxa"/>
          </w:tcPr>
          <w:p>
            <w:pPr>
              <w:widowControl/>
              <w:adjustRightInd w:val="0"/>
              <w:jc w:val="center"/>
              <w:rPr>
                <w:rFonts w:hAnsi="仿宋" w:cs="仿宋"/>
                <w:b/>
                <w:kern w:val="0"/>
                <w:sz w:val="21"/>
              </w:rPr>
            </w:pPr>
            <w:r>
              <w:rPr>
                <w:rFonts w:hint="eastAsia" w:hAnsi="仿宋" w:cs="仿宋"/>
                <w:b/>
                <w:kern w:val="0"/>
                <w:sz w:val="21"/>
              </w:rPr>
              <w:t>指标权重</w:t>
            </w:r>
          </w:p>
        </w:tc>
        <w:tc>
          <w:tcPr>
            <w:tcW w:w="1151" w:type="dxa"/>
          </w:tcPr>
          <w:p>
            <w:pPr>
              <w:widowControl/>
              <w:adjustRightInd w:val="0"/>
              <w:jc w:val="center"/>
              <w:rPr>
                <w:rFonts w:hAnsi="仿宋" w:cs="仿宋"/>
                <w:b/>
                <w:kern w:val="0"/>
                <w:sz w:val="21"/>
              </w:rPr>
            </w:pPr>
            <w:r>
              <w:rPr>
                <w:rFonts w:hint="eastAsia" w:hAnsi="仿宋" w:cs="仿宋"/>
                <w:b/>
                <w:kern w:val="0"/>
                <w:sz w:val="21"/>
              </w:rPr>
              <w:t>业绩值</w:t>
            </w:r>
          </w:p>
        </w:tc>
        <w:tc>
          <w:tcPr>
            <w:tcW w:w="1218" w:type="dxa"/>
          </w:tcPr>
          <w:p>
            <w:pPr>
              <w:widowControl/>
              <w:adjustRightInd w:val="0"/>
              <w:jc w:val="center"/>
              <w:rPr>
                <w:rFonts w:hAnsi="仿宋" w:cs="仿宋"/>
                <w:b/>
                <w:kern w:val="0"/>
                <w:sz w:val="21"/>
              </w:rPr>
            </w:pPr>
            <w:r>
              <w:rPr>
                <w:rFonts w:hint="eastAsia" w:hAnsi="仿宋" w:cs="仿宋"/>
                <w:b/>
                <w:kern w:val="0"/>
                <w:sz w:val="21"/>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4878" w:type="dxa"/>
          </w:tcPr>
          <w:p>
            <w:pPr>
              <w:widowControl/>
              <w:adjustRightInd w:val="0"/>
              <w:jc w:val="left"/>
              <w:rPr>
                <w:rFonts w:hAnsi="仿宋" w:cs="仿宋"/>
                <w:bCs/>
                <w:kern w:val="0"/>
                <w:sz w:val="21"/>
              </w:rPr>
            </w:pPr>
            <w:r>
              <w:rPr>
                <w:rFonts w:hint="eastAsia" w:hAnsi="仿宋" w:cs="仿宋"/>
                <w:bCs/>
                <w:kern w:val="0"/>
                <w:sz w:val="21"/>
              </w:rPr>
              <w:t>预算编制科学性</w:t>
            </w:r>
          </w:p>
        </w:tc>
        <w:tc>
          <w:tcPr>
            <w:tcW w:w="1597" w:type="dxa"/>
          </w:tcPr>
          <w:p>
            <w:pPr>
              <w:widowControl/>
              <w:adjustRightInd w:val="0"/>
              <w:jc w:val="center"/>
              <w:rPr>
                <w:rFonts w:hAnsi="仿宋" w:cs="仿宋"/>
                <w:bCs/>
                <w:kern w:val="0"/>
                <w:sz w:val="21"/>
              </w:rPr>
            </w:pPr>
            <w:r>
              <w:rPr>
                <w:rFonts w:hint="eastAsia" w:hAnsi="仿宋" w:cs="仿宋"/>
                <w:bCs/>
                <w:kern w:val="0"/>
                <w:sz w:val="21"/>
              </w:rPr>
              <w:t>3</w:t>
            </w:r>
          </w:p>
        </w:tc>
        <w:tc>
          <w:tcPr>
            <w:tcW w:w="1151" w:type="dxa"/>
          </w:tcPr>
          <w:p>
            <w:pPr>
              <w:widowControl/>
              <w:adjustRightInd w:val="0"/>
              <w:jc w:val="center"/>
              <w:rPr>
                <w:rFonts w:hAnsi="仿宋" w:cs="仿宋"/>
                <w:bCs/>
                <w:kern w:val="0"/>
                <w:sz w:val="21"/>
              </w:rPr>
            </w:pPr>
            <w:r>
              <w:rPr>
                <w:rFonts w:hint="eastAsia" w:hAnsi="仿宋" w:cs="仿宋"/>
                <w:bCs/>
                <w:kern w:val="0"/>
                <w:sz w:val="21"/>
              </w:rPr>
              <w:t>66.67%</w:t>
            </w:r>
          </w:p>
        </w:tc>
        <w:tc>
          <w:tcPr>
            <w:tcW w:w="1218" w:type="dxa"/>
          </w:tcPr>
          <w:p>
            <w:pPr>
              <w:widowControl/>
              <w:adjustRightInd w:val="0"/>
              <w:jc w:val="center"/>
              <w:rPr>
                <w:rFonts w:hAnsi="仿宋" w:cs="仿宋"/>
                <w:bCs/>
                <w:kern w:val="0"/>
                <w:sz w:val="21"/>
              </w:rPr>
            </w:pPr>
            <w:r>
              <w:rPr>
                <w:rFonts w:hint="eastAsia" w:hAnsi="仿宋" w:cs="仿宋"/>
                <w:bCs/>
                <w:kern w:val="0"/>
                <w:sz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4878" w:type="dxa"/>
          </w:tcPr>
          <w:p>
            <w:pPr>
              <w:widowControl/>
              <w:adjustRightInd w:val="0"/>
              <w:jc w:val="left"/>
              <w:rPr>
                <w:rFonts w:hAnsi="仿宋" w:cs="仿宋"/>
                <w:bCs/>
                <w:kern w:val="0"/>
                <w:sz w:val="21"/>
              </w:rPr>
            </w:pPr>
            <w:r>
              <w:rPr>
                <w:rFonts w:hint="eastAsia" w:hAnsi="仿宋" w:cs="仿宋"/>
                <w:bCs/>
                <w:kern w:val="0"/>
                <w:sz w:val="21"/>
              </w:rPr>
              <w:t>资金分配的合理性</w:t>
            </w:r>
          </w:p>
        </w:tc>
        <w:tc>
          <w:tcPr>
            <w:tcW w:w="1597" w:type="dxa"/>
          </w:tcPr>
          <w:p>
            <w:pPr>
              <w:widowControl/>
              <w:adjustRightInd w:val="0"/>
              <w:jc w:val="center"/>
              <w:rPr>
                <w:rFonts w:hAnsi="仿宋" w:cs="仿宋"/>
                <w:bCs/>
                <w:kern w:val="0"/>
                <w:sz w:val="21"/>
              </w:rPr>
            </w:pPr>
            <w:r>
              <w:rPr>
                <w:rFonts w:hint="eastAsia" w:hAnsi="仿宋" w:cs="仿宋"/>
                <w:bCs/>
                <w:kern w:val="0"/>
                <w:sz w:val="21"/>
              </w:rPr>
              <w:t>2</w:t>
            </w:r>
          </w:p>
        </w:tc>
        <w:tc>
          <w:tcPr>
            <w:tcW w:w="1151" w:type="dxa"/>
          </w:tcPr>
          <w:p>
            <w:pPr>
              <w:widowControl/>
              <w:adjustRightInd w:val="0"/>
              <w:jc w:val="center"/>
              <w:rPr>
                <w:rFonts w:hAnsi="仿宋" w:cs="仿宋"/>
                <w:bCs/>
                <w:kern w:val="0"/>
                <w:sz w:val="21"/>
              </w:rPr>
            </w:pPr>
            <w:r>
              <w:rPr>
                <w:rFonts w:hint="eastAsia" w:hAnsi="仿宋" w:cs="仿宋"/>
                <w:bCs/>
                <w:kern w:val="0"/>
                <w:sz w:val="21"/>
              </w:rPr>
              <w:t>100.00%</w:t>
            </w:r>
          </w:p>
        </w:tc>
        <w:tc>
          <w:tcPr>
            <w:tcW w:w="1218" w:type="dxa"/>
          </w:tcPr>
          <w:p>
            <w:pPr>
              <w:widowControl/>
              <w:adjustRightInd w:val="0"/>
              <w:jc w:val="center"/>
              <w:rPr>
                <w:rFonts w:hAnsi="仿宋" w:cs="仿宋"/>
                <w:bCs/>
                <w:kern w:val="0"/>
                <w:sz w:val="21"/>
              </w:rPr>
            </w:pPr>
            <w:r>
              <w:rPr>
                <w:rFonts w:hint="eastAsia" w:hAnsi="仿宋" w:cs="仿宋"/>
                <w:bCs/>
                <w:kern w:val="0"/>
                <w:sz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4878" w:type="dxa"/>
          </w:tcPr>
          <w:p>
            <w:pPr>
              <w:widowControl/>
              <w:adjustRightInd w:val="0"/>
              <w:jc w:val="center"/>
              <w:rPr>
                <w:rFonts w:hAnsi="仿宋" w:cs="仿宋"/>
                <w:bCs/>
                <w:kern w:val="0"/>
                <w:sz w:val="21"/>
              </w:rPr>
            </w:pPr>
            <w:r>
              <w:rPr>
                <w:rFonts w:hint="eastAsia" w:hAnsi="仿宋" w:cs="仿宋"/>
                <w:bCs/>
                <w:kern w:val="0"/>
                <w:sz w:val="21"/>
              </w:rPr>
              <w:t>小  计</w:t>
            </w:r>
          </w:p>
        </w:tc>
        <w:tc>
          <w:tcPr>
            <w:tcW w:w="1597" w:type="dxa"/>
          </w:tcPr>
          <w:p>
            <w:pPr>
              <w:widowControl/>
              <w:adjustRightInd w:val="0"/>
              <w:jc w:val="center"/>
              <w:rPr>
                <w:rFonts w:hAnsi="仿宋" w:cs="仿宋"/>
                <w:bCs/>
                <w:kern w:val="0"/>
                <w:sz w:val="21"/>
              </w:rPr>
            </w:pPr>
            <w:r>
              <w:rPr>
                <w:rFonts w:hint="eastAsia" w:hAnsi="仿宋" w:cs="仿宋"/>
                <w:bCs/>
                <w:kern w:val="0"/>
                <w:sz w:val="21"/>
              </w:rPr>
              <w:t>5</w:t>
            </w:r>
          </w:p>
        </w:tc>
        <w:tc>
          <w:tcPr>
            <w:tcW w:w="1151" w:type="dxa"/>
          </w:tcPr>
          <w:p>
            <w:pPr>
              <w:widowControl/>
              <w:adjustRightInd w:val="0"/>
              <w:jc w:val="center"/>
              <w:rPr>
                <w:rFonts w:hAnsi="仿宋" w:cs="仿宋"/>
                <w:bCs/>
                <w:kern w:val="0"/>
                <w:sz w:val="21"/>
              </w:rPr>
            </w:pPr>
            <w:r>
              <w:rPr>
                <w:rFonts w:hint="eastAsia" w:hAnsi="仿宋" w:cs="仿宋"/>
                <w:bCs/>
                <w:kern w:val="0"/>
                <w:sz w:val="21"/>
              </w:rPr>
              <w:t>80.00%</w:t>
            </w:r>
          </w:p>
        </w:tc>
        <w:tc>
          <w:tcPr>
            <w:tcW w:w="1218" w:type="dxa"/>
          </w:tcPr>
          <w:p>
            <w:pPr>
              <w:widowControl/>
              <w:adjustRightInd w:val="0"/>
              <w:jc w:val="center"/>
              <w:rPr>
                <w:rFonts w:hAnsi="仿宋" w:cs="仿宋"/>
                <w:bCs/>
                <w:kern w:val="0"/>
                <w:sz w:val="21"/>
              </w:rPr>
            </w:pPr>
            <w:r>
              <w:rPr>
                <w:rFonts w:hint="eastAsia" w:hAnsi="仿宋" w:cs="仿宋"/>
                <w:bCs/>
                <w:kern w:val="0"/>
                <w:sz w:val="21"/>
              </w:rPr>
              <w:t>4</w:t>
            </w:r>
          </w:p>
        </w:tc>
      </w:tr>
    </w:tbl>
    <w:p>
      <w:pPr>
        <w:widowControl/>
        <w:adjustRightInd w:val="0"/>
        <w:spacing w:line="579" w:lineRule="exact"/>
        <w:ind w:firstLine="63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为保障义务教育阶段课后服务活动的顺利实施，落实课后服务经费，将义务教育阶段课后服务经费纳入年初预算，由区级财政全额承担。2021年义务教育阶段课后服务专项经费年初预算批复200万元，年末预算追加417.5万，全年区级财政保障经费合计617.5万元，项目预算编制不够科学合理，与实际成本不匹配，资金分配按照个项目学校人数及相应标准进行分配，小学生30元/月/生,中学生55元/月/生，资金分配合理。</w:t>
      </w:r>
    </w:p>
    <w:p>
      <w:pPr>
        <w:widowControl/>
        <w:adjustRightInd w:val="0"/>
        <w:spacing w:line="579" w:lineRule="exact"/>
        <w:ind w:firstLine="63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该项指标满分为5分，根据评分标准得4分。</w:t>
      </w:r>
    </w:p>
    <w:p>
      <w:pPr>
        <w:adjustRightInd w:val="0"/>
        <w:spacing w:line="579" w:lineRule="exact"/>
        <w:ind w:firstLine="630" w:firstLineChars="200"/>
        <w:outlineLvl w:val="1"/>
        <w:rPr>
          <w:rFonts w:hint="eastAsia" w:ascii="楷体_GB2312" w:hAnsi="楷体_GB2312" w:eastAsia="楷体_GB2312" w:cs="楷体_GB2312"/>
          <w:szCs w:val="30"/>
        </w:rPr>
      </w:pPr>
      <w:bookmarkStart w:id="57" w:name="_Toc518317812"/>
      <w:bookmarkStart w:id="58" w:name="_Toc30277"/>
      <w:bookmarkStart w:id="59" w:name="_Toc517260976"/>
      <w:r>
        <w:rPr>
          <w:rFonts w:hint="eastAsia" w:ascii="楷体_GB2312" w:hAnsi="楷体_GB2312" w:eastAsia="楷体_GB2312" w:cs="楷体_GB2312"/>
          <w:szCs w:val="30"/>
        </w:rPr>
        <w:t>（二）项目过程情况</w:t>
      </w:r>
      <w:bookmarkEnd w:id="57"/>
      <w:bookmarkEnd w:id="58"/>
      <w:bookmarkEnd w:id="59"/>
    </w:p>
    <w:p>
      <w:pPr>
        <w:widowControl/>
        <w:adjustRightInd w:val="0"/>
        <w:spacing w:line="579" w:lineRule="exact"/>
        <w:ind w:firstLine="63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项目过程类指标，包括项目管理和资金管理两方面的内容，由7个三级指标构成。该指标评价满分20分，实际得分20分，得分率100%。</w:t>
      </w:r>
    </w:p>
    <w:p>
      <w:pPr>
        <w:adjustRightInd w:val="0"/>
        <w:spacing w:line="579" w:lineRule="exact"/>
        <w:ind w:firstLine="654" w:firstLineChars="200"/>
        <w:rPr>
          <w:rFonts w:hint="eastAsia" w:ascii="仿宋_GB2312" w:hAnsi="仿宋_GB2312" w:eastAsia="仿宋_GB2312" w:cs="仿宋_GB2312"/>
          <w:bCs/>
          <w:spacing w:val="6"/>
          <w:szCs w:val="30"/>
        </w:rPr>
      </w:pPr>
      <w:r>
        <w:rPr>
          <w:rFonts w:hint="eastAsia" w:ascii="仿宋_GB2312" w:hAnsi="仿宋_GB2312" w:eastAsia="仿宋_GB2312" w:cs="仿宋_GB2312"/>
          <w:bCs/>
          <w:spacing w:val="6"/>
          <w:szCs w:val="30"/>
        </w:rPr>
        <w:t>1.项目管理方面</w:t>
      </w:r>
    </w:p>
    <w:p>
      <w:pPr>
        <w:adjustRightInd w:val="0"/>
        <w:spacing w:line="579" w:lineRule="exact"/>
        <w:ind w:firstLine="630" w:firstLineChars="200"/>
        <w:rPr>
          <w:rFonts w:hint="eastAsia" w:ascii="仿宋_GB2312" w:hAnsi="仿宋_GB2312" w:eastAsia="仿宋_GB2312" w:cs="仿宋_GB2312"/>
          <w:bCs/>
          <w:spacing w:val="6"/>
          <w:szCs w:val="30"/>
        </w:rPr>
      </w:pPr>
      <w:r>
        <w:rPr>
          <w:rFonts w:hint="eastAsia" w:ascii="仿宋_GB2312" w:hAnsi="仿宋_GB2312" w:eastAsia="仿宋_GB2312" w:cs="仿宋_GB2312"/>
          <w:szCs w:val="30"/>
        </w:rPr>
        <w:t>该部分主要考察项目实施单位财务管理制度与项目管理制度是否健全，课后服务教师资质是否达标，项目实施单位管理制度执行情况。各指标分值和得分情况详见表4-4</w:t>
      </w:r>
      <w:r>
        <w:rPr>
          <w:rFonts w:hint="eastAsia" w:ascii="仿宋_GB2312" w:hAnsi="仿宋_GB2312" w:eastAsia="仿宋_GB2312" w:cs="仿宋_GB2312"/>
          <w:bCs/>
          <w:spacing w:val="6"/>
          <w:szCs w:val="30"/>
        </w:rPr>
        <w:t>：</w:t>
      </w:r>
    </w:p>
    <w:p>
      <w:pPr>
        <w:spacing w:line="579" w:lineRule="exact"/>
        <w:ind w:firstLine="510" w:firstLineChars="200"/>
        <w:jc w:val="center"/>
        <w:rPr>
          <w:rFonts w:ascii="黑体" w:hAnsi="黑体" w:eastAsia="黑体" w:cs="黑体"/>
          <w:bCs/>
          <w:sz w:val="24"/>
          <w:szCs w:val="24"/>
        </w:rPr>
      </w:pPr>
      <w:r>
        <w:rPr>
          <w:rFonts w:hint="eastAsia" w:ascii="黑体" w:hAnsi="黑体" w:eastAsia="黑体" w:cs="黑体"/>
          <w:bCs/>
          <w:sz w:val="24"/>
          <w:szCs w:val="24"/>
        </w:rPr>
        <w:t>表4-4：“项目管理”指标评价分析及绩效得分情况</w:t>
      </w:r>
    </w:p>
    <w:tbl>
      <w:tblPr>
        <w:tblStyle w:val="16"/>
        <w:tblW w:w="88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4878"/>
        <w:gridCol w:w="1597"/>
        <w:gridCol w:w="1151"/>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blHeader/>
          <w:jc w:val="center"/>
        </w:trPr>
        <w:tc>
          <w:tcPr>
            <w:tcW w:w="4878" w:type="dxa"/>
            <w:shd w:val="clear" w:color="auto" w:fill="auto"/>
          </w:tcPr>
          <w:p>
            <w:pPr>
              <w:widowControl/>
              <w:adjustRightInd w:val="0"/>
              <w:jc w:val="center"/>
              <w:rPr>
                <w:rFonts w:hAnsi="仿宋" w:cs="仿宋"/>
                <w:b/>
                <w:kern w:val="0"/>
                <w:sz w:val="21"/>
              </w:rPr>
            </w:pPr>
            <w:r>
              <w:rPr>
                <w:rFonts w:hint="eastAsia" w:hAnsi="仿宋" w:cs="仿宋"/>
                <w:b/>
                <w:kern w:val="0"/>
                <w:sz w:val="21"/>
              </w:rPr>
              <w:t>指标名称</w:t>
            </w:r>
          </w:p>
        </w:tc>
        <w:tc>
          <w:tcPr>
            <w:tcW w:w="1597" w:type="dxa"/>
            <w:shd w:val="clear" w:color="auto" w:fill="auto"/>
          </w:tcPr>
          <w:p>
            <w:pPr>
              <w:widowControl/>
              <w:adjustRightInd w:val="0"/>
              <w:jc w:val="center"/>
              <w:rPr>
                <w:rFonts w:hAnsi="仿宋" w:cs="仿宋"/>
                <w:b/>
                <w:kern w:val="0"/>
                <w:sz w:val="21"/>
              </w:rPr>
            </w:pPr>
            <w:r>
              <w:rPr>
                <w:rFonts w:hint="eastAsia" w:hAnsi="仿宋" w:cs="仿宋"/>
                <w:b/>
                <w:kern w:val="0"/>
                <w:sz w:val="21"/>
              </w:rPr>
              <w:t>指标权重</w:t>
            </w:r>
          </w:p>
        </w:tc>
        <w:tc>
          <w:tcPr>
            <w:tcW w:w="1151" w:type="dxa"/>
            <w:shd w:val="clear" w:color="auto" w:fill="auto"/>
          </w:tcPr>
          <w:p>
            <w:pPr>
              <w:widowControl/>
              <w:adjustRightInd w:val="0"/>
              <w:jc w:val="center"/>
              <w:rPr>
                <w:rFonts w:hAnsi="仿宋" w:cs="仿宋"/>
                <w:b/>
                <w:kern w:val="0"/>
                <w:sz w:val="21"/>
              </w:rPr>
            </w:pPr>
            <w:r>
              <w:rPr>
                <w:rFonts w:hint="eastAsia" w:hAnsi="仿宋" w:cs="仿宋"/>
                <w:b/>
                <w:kern w:val="0"/>
                <w:sz w:val="21"/>
              </w:rPr>
              <w:t>业绩值</w:t>
            </w:r>
          </w:p>
        </w:tc>
        <w:tc>
          <w:tcPr>
            <w:tcW w:w="1218" w:type="dxa"/>
            <w:shd w:val="clear" w:color="auto" w:fill="auto"/>
          </w:tcPr>
          <w:p>
            <w:pPr>
              <w:widowControl/>
              <w:adjustRightInd w:val="0"/>
              <w:jc w:val="center"/>
              <w:rPr>
                <w:rFonts w:hAnsi="仿宋" w:cs="仿宋"/>
                <w:b/>
                <w:kern w:val="0"/>
                <w:sz w:val="21"/>
              </w:rPr>
            </w:pPr>
            <w:r>
              <w:rPr>
                <w:rFonts w:hint="eastAsia" w:hAnsi="仿宋" w:cs="仿宋"/>
                <w:b/>
                <w:kern w:val="0"/>
                <w:sz w:val="21"/>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4878" w:type="dxa"/>
            <w:shd w:val="clear" w:color="auto" w:fill="auto"/>
            <w:vAlign w:val="center"/>
          </w:tcPr>
          <w:p>
            <w:pPr>
              <w:widowControl/>
              <w:adjustRightInd w:val="0"/>
              <w:jc w:val="left"/>
              <w:rPr>
                <w:rFonts w:hAnsi="仿宋" w:cs="仿宋"/>
                <w:bCs/>
                <w:kern w:val="0"/>
                <w:sz w:val="21"/>
              </w:rPr>
            </w:pPr>
            <w:r>
              <w:rPr>
                <w:rFonts w:hint="eastAsia" w:hAnsi="仿宋" w:cs="仿宋"/>
                <w:sz w:val="21"/>
              </w:rPr>
              <w:t>财务管理制度健全性</w:t>
            </w:r>
          </w:p>
        </w:tc>
        <w:tc>
          <w:tcPr>
            <w:tcW w:w="1597" w:type="dxa"/>
            <w:shd w:val="clear" w:color="auto" w:fill="auto"/>
            <w:vAlign w:val="center"/>
          </w:tcPr>
          <w:p>
            <w:pPr>
              <w:widowControl/>
              <w:jc w:val="center"/>
              <w:textAlignment w:val="center"/>
              <w:rPr>
                <w:rFonts w:hAnsi="仿宋" w:cs="仿宋"/>
                <w:bCs/>
                <w:kern w:val="0"/>
                <w:sz w:val="21"/>
              </w:rPr>
            </w:pPr>
            <w:r>
              <w:rPr>
                <w:rFonts w:hint="eastAsia" w:hAnsi="仿宋" w:cs="仿宋"/>
                <w:color w:val="000000"/>
                <w:kern w:val="0"/>
                <w:sz w:val="21"/>
                <w:lang w:bidi="ar"/>
              </w:rPr>
              <w:t>3</w:t>
            </w:r>
          </w:p>
        </w:tc>
        <w:tc>
          <w:tcPr>
            <w:tcW w:w="1151" w:type="dxa"/>
            <w:shd w:val="clear" w:color="auto" w:fill="auto"/>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100.00%</w:t>
            </w:r>
          </w:p>
        </w:tc>
        <w:tc>
          <w:tcPr>
            <w:tcW w:w="1218" w:type="dxa"/>
            <w:shd w:val="clear" w:color="auto" w:fill="auto"/>
            <w:vAlign w:val="center"/>
          </w:tcPr>
          <w:p>
            <w:pPr>
              <w:widowControl/>
              <w:jc w:val="center"/>
              <w:textAlignment w:val="center"/>
              <w:rPr>
                <w:rFonts w:hAnsi="仿宋" w:cs="仿宋"/>
                <w:bCs/>
                <w:kern w:val="0"/>
                <w:sz w:val="21"/>
              </w:rPr>
            </w:pPr>
            <w:r>
              <w:rPr>
                <w:rFonts w:hint="eastAsia" w:hAnsi="仿宋" w:cs="仿宋"/>
                <w:color w:val="000000"/>
                <w:kern w:val="0"/>
                <w:sz w:val="21"/>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4878" w:type="dxa"/>
            <w:shd w:val="clear" w:color="auto" w:fill="auto"/>
            <w:vAlign w:val="center"/>
          </w:tcPr>
          <w:p>
            <w:pPr>
              <w:widowControl/>
              <w:adjustRightInd w:val="0"/>
              <w:jc w:val="left"/>
              <w:rPr>
                <w:rFonts w:hAnsi="仿宋" w:cs="仿宋"/>
                <w:bCs/>
                <w:kern w:val="0"/>
                <w:sz w:val="21"/>
              </w:rPr>
            </w:pPr>
            <w:r>
              <w:rPr>
                <w:rFonts w:hint="eastAsia" w:hAnsi="仿宋" w:cs="仿宋"/>
                <w:sz w:val="21"/>
              </w:rPr>
              <w:t>项目管理制度健全性</w:t>
            </w:r>
          </w:p>
        </w:tc>
        <w:tc>
          <w:tcPr>
            <w:tcW w:w="1597" w:type="dxa"/>
            <w:shd w:val="clear" w:color="auto" w:fill="auto"/>
            <w:vAlign w:val="center"/>
          </w:tcPr>
          <w:p>
            <w:pPr>
              <w:widowControl/>
              <w:jc w:val="center"/>
              <w:textAlignment w:val="center"/>
              <w:rPr>
                <w:rFonts w:hAnsi="仿宋" w:cs="仿宋"/>
                <w:bCs/>
                <w:kern w:val="0"/>
                <w:sz w:val="21"/>
              </w:rPr>
            </w:pPr>
            <w:r>
              <w:rPr>
                <w:rFonts w:hint="eastAsia" w:hAnsi="仿宋" w:cs="仿宋"/>
                <w:color w:val="000000"/>
                <w:kern w:val="0"/>
                <w:sz w:val="21"/>
                <w:lang w:bidi="ar"/>
              </w:rPr>
              <w:t>2</w:t>
            </w:r>
          </w:p>
        </w:tc>
        <w:tc>
          <w:tcPr>
            <w:tcW w:w="1151" w:type="dxa"/>
            <w:shd w:val="clear" w:color="auto" w:fill="auto"/>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100.00%</w:t>
            </w:r>
          </w:p>
        </w:tc>
        <w:tc>
          <w:tcPr>
            <w:tcW w:w="1218" w:type="dxa"/>
            <w:shd w:val="clear" w:color="auto" w:fill="auto"/>
            <w:vAlign w:val="center"/>
          </w:tcPr>
          <w:p>
            <w:pPr>
              <w:widowControl/>
              <w:jc w:val="center"/>
              <w:textAlignment w:val="center"/>
              <w:rPr>
                <w:rFonts w:hAnsi="仿宋" w:cs="仿宋"/>
                <w:bCs/>
                <w:kern w:val="0"/>
                <w:sz w:val="21"/>
              </w:rPr>
            </w:pPr>
            <w:r>
              <w:rPr>
                <w:rFonts w:hint="eastAsia" w:hAnsi="仿宋" w:cs="仿宋"/>
                <w:color w:val="000000"/>
                <w:kern w:val="0"/>
                <w:sz w:val="21"/>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4878" w:type="dxa"/>
            <w:shd w:val="clear" w:color="auto" w:fill="auto"/>
            <w:vAlign w:val="center"/>
          </w:tcPr>
          <w:p>
            <w:pPr>
              <w:widowControl/>
              <w:adjustRightInd w:val="0"/>
              <w:jc w:val="left"/>
              <w:rPr>
                <w:rFonts w:hAnsi="仿宋" w:cs="仿宋"/>
                <w:bCs/>
                <w:kern w:val="0"/>
                <w:sz w:val="21"/>
              </w:rPr>
            </w:pPr>
            <w:r>
              <w:rPr>
                <w:rFonts w:hint="eastAsia" w:hAnsi="仿宋" w:cs="仿宋"/>
                <w:sz w:val="21"/>
              </w:rPr>
              <w:t>资质达标率</w:t>
            </w:r>
          </w:p>
        </w:tc>
        <w:tc>
          <w:tcPr>
            <w:tcW w:w="1597" w:type="dxa"/>
            <w:shd w:val="clear" w:color="auto" w:fill="auto"/>
            <w:vAlign w:val="center"/>
          </w:tcPr>
          <w:p>
            <w:pPr>
              <w:widowControl/>
              <w:jc w:val="center"/>
              <w:textAlignment w:val="center"/>
              <w:rPr>
                <w:rFonts w:hAnsi="仿宋" w:cs="仿宋"/>
                <w:bCs/>
                <w:kern w:val="0"/>
                <w:sz w:val="21"/>
              </w:rPr>
            </w:pPr>
            <w:r>
              <w:rPr>
                <w:rFonts w:hint="eastAsia" w:hAnsi="仿宋" w:cs="仿宋"/>
                <w:color w:val="000000"/>
                <w:kern w:val="0"/>
                <w:sz w:val="21"/>
                <w:lang w:bidi="ar"/>
              </w:rPr>
              <w:t>3</w:t>
            </w:r>
          </w:p>
        </w:tc>
        <w:tc>
          <w:tcPr>
            <w:tcW w:w="1151" w:type="dxa"/>
            <w:shd w:val="clear" w:color="auto" w:fill="auto"/>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100.00%</w:t>
            </w:r>
          </w:p>
        </w:tc>
        <w:tc>
          <w:tcPr>
            <w:tcW w:w="1218" w:type="dxa"/>
            <w:shd w:val="clear" w:color="auto" w:fill="auto"/>
            <w:vAlign w:val="center"/>
          </w:tcPr>
          <w:p>
            <w:pPr>
              <w:widowControl/>
              <w:jc w:val="center"/>
              <w:textAlignment w:val="center"/>
              <w:rPr>
                <w:rFonts w:hAnsi="仿宋" w:cs="仿宋"/>
                <w:bCs/>
                <w:kern w:val="0"/>
                <w:sz w:val="21"/>
              </w:rPr>
            </w:pPr>
            <w:r>
              <w:rPr>
                <w:rFonts w:hint="eastAsia" w:hAnsi="仿宋" w:cs="仿宋"/>
                <w:color w:val="000000"/>
                <w:kern w:val="0"/>
                <w:sz w:val="21"/>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4878" w:type="dxa"/>
            <w:shd w:val="clear" w:color="auto" w:fill="auto"/>
            <w:vAlign w:val="center"/>
          </w:tcPr>
          <w:p>
            <w:pPr>
              <w:widowControl/>
              <w:adjustRightInd w:val="0"/>
              <w:jc w:val="left"/>
              <w:rPr>
                <w:rFonts w:hAnsi="仿宋" w:cs="仿宋"/>
                <w:bCs/>
                <w:kern w:val="0"/>
                <w:sz w:val="21"/>
              </w:rPr>
            </w:pPr>
            <w:r>
              <w:rPr>
                <w:rFonts w:hint="eastAsia" w:hAnsi="仿宋" w:cs="仿宋"/>
                <w:sz w:val="21"/>
              </w:rPr>
              <w:t>制度执行有效性</w:t>
            </w:r>
          </w:p>
        </w:tc>
        <w:tc>
          <w:tcPr>
            <w:tcW w:w="1597" w:type="dxa"/>
            <w:shd w:val="clear" w:color="auto" w:fill="auto"/>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2</w:t>
            </w:r>
          </w:p>
        </w:tc>
        <w:tc>
          <w:tcPr>
            <w:tcW w:w="1151" w:type="dxa"/>
            <w:shd w:val="clear" w:color="auto" w:fill="auto"/>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100.00%</w:t>
            </w:r>
          </w:p>
        </w:tc>
        <w:tc>
          <w:tcPr>
            <w:tcW w:w="1218" w:type="dxa"/>
            <w:shd w:val="clear" w:color="auto" w:fill="auto"/>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4878" w:type="dxa"/>
            <w:shd w:val="clear" w:color="auto" w:fill="auto"/>
          </w:tcPr>
          <w:p>
            <w:pPr>
              <w:widowControl/>
              <w:adjustRightInd w:val="0"/>
              <w:jc w:val="center"/>
              <w:rPr>
                <w:rFonts w:hAnsi="仿宋" w:cs="仿宋"/>
                <w:bCs/>
                <w:kern w:val="0"/>
                <w:sz w:val="21"/>
              </w:rPr>
            </w:pPr>
            <w:r>
              <w:rPr>
                <w:rFonts w:hint="eastAsia" w:hAnsi="仿宋" w:cs="仿宋"/>
                <w:bCs/>
                <w:kern w:val="0"/>
                <w:sz w:val="21"/>
              </w:rPr>
              <w:t>小  计</w:t>
            </w:r>
          </w:p>
        </w:tc>
        <w:tc>
          <w:tcPr>
            <w:tcW w:w="1597" w:type="dxa"/>
            <w:shd w:val="clear" w:color="auto" w:fill="auto"/>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10</w:t>
            </w:r>
          </w:p>
        </w:tc>
        <w:tc>
          <w:tcPr>
            <w:tcW w:w="1151" w:type="dxa"/>
            <w:shd w:val="clear" w:color="auto" w:fill="auto"/>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100.00%</w:t>
            </w:r>
          </w:p>
        </w:tc>
        <w:tc>
          <w:tcPr>
            <w:tcW w:w="1218" w:type="dxa"/>
            <w:shd w:val="clear" w:color="auto" w:fill="auto"/>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10</w:t>
            </w:r>
          </w:p>
        </w:tc>
      </w:tr>
    </w:tbl>
    <w:p>
      <w:pPr>
        <w:adjustRightInd w:val="0"/>
        <w:spacing w:line="579" w:lineRule="exact"/>
        <w:ind w:firstLine="63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（1）财务管理制度健全性</w:t>
      </w:r>
    </w:p>
    <w:p>
      <w:pPr>
        <w:adjustRightInd w:val="0"/>
        <w:spacing w:line="579" w:lineRule="exact"/>
        <w:ind w:firstLine="63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在实地评价过程中，晋宁区参与课后服务的各项目学校，为进一步规范课后服务的经费管理，根据《晋宁区小学生课后服务实施方案》、《昆明市晋宁区小学生课后服务考核细则》等文件精神，为激发参加课后服务教师工作的积极性，推动课后服务工作高质量、高效率，确保课后服务经费使用规范，各校结合实际制定专项资金的使用制度。</w:t>
      </w:r>
    </w:p>
    <w:p>
      <w:pPr>
        <w:adjustRightInd w:val="0"/>
        <w:spacing w:line="579" w:lineRule="exact"/>
        <w:ind w:firstLine="63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该项指标满分为3分，根据评分标准得3分。</w:t>
      </w:r>
    </w:p>
    <w:p>
      <w:pPr>
        <w:adjustRightInd w:val="0"/>
        <w:spacing w:line="579" w:lineRule="exact"/>
        <w:ind w:firstLine="63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（2）项目管理制度健全性</w:t>
      </w:r>
    </w:p>
    <w:p>
      <w:pPr>
        <w:adjustRightInd w:val="0"/>
        <w:spacing w:line="579" w:lineRule="exact"/>
        <w:ind w:firstLine="63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在实地评价过程中，各校为响应昆明市晋宁区教育体育局对“义务教育阶段课后服务项目”下发的《晋宁区小学生课后服务实施细则》、《教育部办公厅关于进一步做好义务教育课后服务工作的通知》等文件，均积极制定课后服务细则、课后服务实施方案。</w:t>
      </w:r>
    </w:p>
    <w:p>
      <w:pPr>
        <w:adjustRightInd w:val="0"/>
        <w:spacing w:line="579" w:lineRule="exact"/>
        <w:ind w:firstLine="63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该项指标满分为2分，根据评分标准得2分。</w:t>
      </w:r>
    </w:p>
    <w:p>
      <w:pPr>
        <w:adjustRightInd w:val="0"/>
        <w:spacing w:line="579" w:lineRule="exact"/>
        <w:ind w:firstLine="63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（3）资质达标率</w:t>
      </w:r>
    </w:p>
    <w:p>
      <w:pPr>
        <w:adjustRightInd w:val="0"/>
        <w:spacing w:line="579" w:lineRule="exact"/>
        <w:ind w:firstLine="63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在评价过程中，绩效评价小组走访各项目学校实地查看参与义务教育阶段课后服务项目的本校教师和外聘教师资质情况，以及参与课后服务项目的第三方社会教育机构，其经过严格的遴选制度，或取得投标中标资格，机构资质，相关介绍、资质证明，服务合同等档案已存档，均符合上级教育部门的相关规定。</w:t>
      </w:r>
    </w:p>
    <w:p>
      <w:pPr>
        <w:adjustRightInd w:val="0"/>
        <w:spacing w:line="579" w:lineRule="exact"/>
        <w:ind w:firstLine="63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该项指标满分为3分，根据评分标准得3分。</w:t>
      </w:r>
    </w:p>
    <w:p>
      <w:pPr>
        <w:adjustRightInd w:val="0"/>
        <w:spacing w:line="579" w:lineRule="exact"/>
        <w:ind w:firstLine="63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（4）制度执行有效性</w:t>
      </w:r>
    </w:p>
    <w:p>
      <w:pPr>
        <w:adjustRightInd w:val="0"/>
        <w:spacing w:line="579" w:lineRule="exact"/>
        <w:ind w:firstLine="63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在实地评价过程中，区教育体育局按照《昆明市教育体育局 昆明市财政局关于推进昆明市小学生课后服务的工作意见》、《昆明市晋宁区义务教育阶段学校课后服务实施方案》的内容对“义务教育阶段课后服务”项目进行管理，并未发现制度执行不到位的情况。</w:t>
      </w:r>
    </w:p>
    <w:p>
      <w:pPr>
        <w:adjustRightInd w:val="0"/>
        <w:spacing w:line="579" w:lineRule="exact"/>
        <w:ind w:firstLine="63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该项指标满分为2分，根据评分标准得2分。</w:t>
      </w:r>
    </w:p>
    <w:p>
      <w:pPr>
        <w:adjustRightInd w:val="0"/>
        <w:spacing w:line="579" w:lineRule="exact"/>
        <w:ind w:firstLine="63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1.资金管理方面</w:t>
      </w:r>
    </w:p>
    <w:p>
      <w:pPr>
        <w:adjustRightInd w:val="0"/>
        <w:spacing w:line="579" w:lineRule="exact"/>
        <w:ind w:firstLine="63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该部分主要考察项目资金使用情况，项目资金拨付程序是否完整，会计核算是否合规。各指标分值和得分情况详见表4-5：</w:t>
      </w:r>
    </w:p>
    <w:p>
      <w:pPr>
        <w:widowControl/>
        <w:adjustRightInd w:val="0"/>
        <w:spacing w:line="579" w:lineRule="exact"/>
        <w:jc w:val="center"/>
        <w:rPr>
          <w:rFonts w:ascii="楷体" w:hAnsi="楷体" w:eastAsia="楷体" w:cs="楷体"/>
          <w:bCs/>
          <w:szCs w:val="30"/>
        </w:rPr>
      </w:pPr>
      <w:r>
        <w:rPr>
          <w:rFonts w:hint="eastAsia" w:ascii="黑体" w:hAnsi="黑体" w:eastAsia="黑体" w:cs="黑体"/>
          <w:bCs/>
          <w:sz w:val="24"/>
          <w:szCs w:val="24"/>
        </w:rPr>
        <w:t>表4-5：“资金管理”指标评价分析及绩效得分情况</w:t>
      </w:r>
    </w:p>
    <w:tbl>
      <w:tblPr>
        <w:tblStyle w:val="16"/>
        <w:tblW w:w="88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4878"/>
        <w:gridCol w:w="1597"/>
        <w:gridCol w:w="1151"/>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blHeader/>
          <w:jc w:val="center"/>
        </w:trPr>
        <w:tc>
          <w:tcPr>
            <w:tcW w:w="4878" w:type="dxa"/>
            <w:vAlign w:val="center"/>
          </w:tcPr>
          <w:p>
            <w:pPr>
              <w:widowControl/>
              <w:adjustRightInd w:val="0"/>
              <w:jc w:val="center"/>
              <w:rPr>
                <w:rFonts w:hAnsi="仿宋" w:cs="仿宋"/>
                <w:b/>
                <w:kern w:val="0"/>
                <w:sz w:val="21"/>
              </w:rPr>
            </w:pPr>
            <w:r>
              <w:rPr>
                <w:rFonts w:hint="eastAsia" w:hAnsi="仿宋" w:cs="仿宋"/>
                <w:b/>
                <w:kern w:val="0"/>
                <w:sz w:val="21"/>
              </w:rPr>
              <w:t>指标名称</w:t>
            </w:r>
          </w:p>
        </w:tc>
        <w:tc>
          <w:tcPr>
            <w:tcW w:w="1597" w:type="dxa"/>
            <w:vAlign w:val="center"/>
          </w:tcPr>
          <w:p>
            <w:pPr>
              <w:widowControl/>
              <w:adjustRightInd w:val="0"/>
              <w:jc w:val="center"/>
              <w:rPr>
                <w:rFonts w:hAnsi="仿宋" w:cs="仿宋"/>
                <w:b/>
                <w:kern w:val="0"/>
                <w:sz w:val="21"/>
              </w:rPr>
            </w:pPr>
            <w:r>
              <w:rPr>
                <w:rFonts w:hint="eastAsia" w:hAnsi="仿宋" w:cs="仿宋"/>
                <w:b/>
                <w:kern w:val="0"/>
                <w:sz w:val="21"/>
              </w:rPr>
              <w:t>指标权重</w:t>
            </w:r>
          </w:p>
        </w:tc>
        <w:tc>
          <w:tcPr>
            <w:tcW w:w="1151" w:type="dxa"/>
            <w:vAlign w:val="center"/>
          </w:tcPr>
          <w:p>
            <w:pPr>
              <w:widowControl/>
              <w:adjustRightInd w:val="0"/>
              <w:jc w:val="center"/>
              <w:rPr>
                <w:rFonts w:hAnsi="仿宋" w:cs="仿宋"/>
                <w:b/>
                <w:kern w:val="0"/>
                <w:sz w:val="21"/>
              </w:rPr>
            </w:pPr>
            <w:r>
              <w:rPr>
                <w:rFonts w:hint="eastAsia" w:hAnsi="仿宋" w:cs="仿宋"/>
                <w:b/>
                <w:kern w:val="0"/>
                <w:sz w:val="21"/>
              </w:rPr>
              <w:t>业绩值</w:t>
            </w:r>
          </w:p>
        </w:tc>
        <w:tc>
          <w:tcPr>
            <w:tcW w:w="1218" w:type="dxa"/>
            <w:vAlign w:val="center"/>
          </w:tcPr>
          <w:p>
            <w:pPr>
              <w:widowControl/>
              <w:adjustRightInd w:val="0"/>
              <w:jc w:val="center"/>
              <w:rPr>
                <w:rFonts w:hAnsi="仿宋" w:cs="仿宋"/>
                <w:b/>
                <w:kern w:val="0"/>
                <w:sz w:val="21"/>
              </w:rPr>
            </w:pPr>
            <w:r>
              <w:rPr>
                <w:rFonts w:hint="eastAsia" w:hAnsi="仿宋" w:cs="仿宋"/>
                <w:b/>
                <w:kern w:val="0"/>
                <w:sz w:val="21"/>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4878" w:type="dxa"/>
            <w:vAlign w:val="center"/>
          </w:tcPr>
          <w:p>
            <w:pPr>
              <w:widowControl/>
              <w:adjustRightInd w:val="0"/>
              <w:jc w:val="left"/>
              <w:rPr>
                <w:rFonts w:hAnsi="仿宋" w:cs="仿宋"/>
                <w:bCs/>
                <w:kern w:val="0"/>
                <w:sz w:val="21"/>
              </w:rPr>
            </w:pPr>
            <w:r>
              <w:rPr>
                <w:rFonts w:hint="eastAsia" w:hAnsi="仿宋" w:cs="仿宋"/>
                <w:bCs/>
                <w:kern w:val="0"/>
                <w:sz w:val="21"/>
              </w:rPr>
              <w:t>资金到位率</w:t>
            </w:r>
          </w:p>
        </w:tc>
        <w:tc>
          <w:tcPr>
            <w:tcW w:w="1597" w:type="dxa"/>
            <w:vAlign w:val="center"/>
          </w:tcPr>
          <w:p>
            <w:pPr>
              <w:widowControl/>
              <w:adjustRightInd w:val="0"/>
              <w:jc w:val="center"/>
              <w:rPr>
                <w:rFonts w:hAnsi="仿宋" w:cs="仿宋"/>
                <w:bCs/>
                <w:kern w:val="0"/>
                <w:sz w:val="21"/>
              </w:rPr>
            </w:pPr>
            <w:r>
              <w:rPr>
                <w:rFonts w:hint="eastAsia" w:hAnsi="仿宋" w:cs="仿宋"/>
                <w:bCs/>
                <w:kern w:val="0"/>
                <w:sz w:val="21"/>
              </w:rPr>
              <w:t>4</w:t>
            </w:r>
          </w:p>
        </w:tc>
        <w:tc>
          <w:tcPr>
            <w:tcW w:w="1151" w:type="dxa"/>
            <w:vAlign w:val="center"/>
          </w:tcPr>
          <w:p>
            <w:pPr>
              <w:widowControl/>
              <w:adjustRightInd w:val="0"/>
              <w:jc w:val="center"/>
              <w:rPr>
                <w:rFonts w:hAnsi="仿宋" w:cs="仿宋"/>
                <w:bCs/>
                <w:kern w:val="0"/>
                <w:sz w:val="21"/>
              </w:rPr>
            </w:pPr>
            <w:r>
              <w:rPr>
                <w:rFonts w:hint="eastAsia" w:hAnsi="仿宋" w:cs="仿宋"/>
                <w:bCs/>
                <w:kern w:val="0"/>
                <w:sz w:val="21"/>
              </w:rPr>
              <w:t>100.00%</w:t>
            </w:r>
          </w:p>
        </w:tc>
        <w:tc>
          <w:tcPr>
            <w:tcW w:w="1218" w:type="dxa"/>
            <w:vAlign w:val="center"/>
          </w:tcPr>
          <w:p>
            <w:pPr>
              <w:widowControl/>
              <w:adjustRightInd w:val="0"/>
              <w:jc w:val="center"/>
              <w:rPr>
                <w:rFonts w:hAnsi="仿宋" w:cs="仿宋"/>
                <w:bCs/>
                <w:kern w:val="0"/>
                <w:sz w:val="21"/>
              </w:rPr>
            </w:pPr>
            <w:r>
              <w:rPr>
                <w:rFonts w:hint="eastAsia" w:hAnsi="仿宋" w:cs="仿宋"/>
                <w:bCs/>
                <w:kern w:val="0"/>
                <w:sz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4878" w:type="dxa"/>
            <w:vAlign w:val="center"/>
          </w:tcPr>
          <w:p>
            <w:pPr>
              <w:widowControl/>
              <w:adjustRightInd w:val="0"/>
              <w:jc w:val="left"/>
              <w:rPr>
                <w:rFonts w:hAnsi="仿宋" w:cs="仿宋"/>
                <w:bCs/>
                <w:kern w:val="0"/>
                <w:sz w:val="21"/>
              </w:rPr>
            </w:pPr>
            <w:r>
              <w:rPr>
                <w:rFonts w:hint="eastAsia" w:hAnsi="仿宋" w:cs="仿宋"/>
                <w:bCs/>
                <w:kern w:val="0"/>
                <w:sz w:val="21"/>
              </w:rPr>
              <w:t>预算执行率</w:t>
            </w:r>
          </w:p>
        </w:tc>
        <w:tc>
          <w:tcPr>
            <w:tcW w:w="1597" w:type="dxa"/>
            <w:vAlign w:val="center"/>
          </w:tcPr>
          <w:p>
            <w:pPr>
              <w:widowControl/>
              <w:adjustRightInd w:val="0"/>
              <w:jc w:val="center"/>
              <w:rPr>
                <w:rFonts w:hAnsi="仿宋" w:cs="仿宋"/>
                <w:bCs/>
                <w:kern w:val="0"/>
                <w:sz w:val="21"/>
              </w:rPr>
            </w:pPr>
            <w:r>
              <w:rPr>
                <w:rFonts w:hint="eastAsia" w:hAnsi="仿宋" w:cs="仿宋"/>
                <w:bCs/>
                <w:kern w:val="0"/>
                <w:sz w:val="21"/>
              </w:rPr>
              <w:t>2</w:t>
            </w:r>
          </w:p>
        </w:tc>
        <w:tc>
          <w:tcPr>
            <w:tcW w:w="1151" w:type="dxa"/>
            <w:vAlign w:val="center"/>
          </w:tcPr>
          <w:p>
            <w:pPr>
              <w:widowControl/>
              <w:adjustRightInd w:val="0"/>
              <w:jc w:val="center"/>
              <w:rPr>
                <w:rFonts w:hAnsi="仿宋" w:cs="仿宋"/>
                <w:bCs/>
                <w:kern w:val="0"/>
                <w:sz w:val="21"/>
              </w:rPr>
            </w:pPr>
            <w:r>
              <w:rPr>
                <w:rFonts w:hint="eastAsia" w:hAnsi="仿宋" w:cs="仿宋"/>
                <w:bCs/>
                <w:kern w:val="0"/>
                <w:sz w:val="21"/>
              </w:rPr>
              <w:t>100.00%</w:t>
            </w:r>
          </w:p>
        </w:tc>
        <w:tc>
          <w:tcPr>
            <w:tcW w:w="1218" w:type="dxa"/>
            <w:vAlign w:val="center"/>
          </w:tcPr>
          <w:p>
            <w:pPr>
              <w:widowControl/>
              <w:adjustRightInd w:val="0"/>
              <w:jc w:val="center"/>
              <w:rPr>
                <w:rFonts w:hAnsi="仿宋" w:cs="仿宋"/>
                <w:bCs/>
                <w:kern w:val="0"/>
                <w:sz w:val="21"/>
              </w:rPr>
            </w:pPr>
            <w:r>
              <w:rPr>
                <w:rFonts w:hint="eastAsia" w:hAnsi="仿宋" w:cs="仿宋"/>
                <w:bCs/>
                <w:kern w:val="0"/>
                <w:sz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4878" w:type="dxa"/>
            <w:vAlign w:val="center"/>
          </w:tcPr>
          <w:p>
            <w:pPr>
              <w:widowControl/>
              <w:adjustRightInd w:val="0"/>
              <w:jc w:val="left"/>
              <w:rPr>
                <w:rFonts w:hAnsi="仿宋" w:cs="仿宋"/>
                <w:bCs/>
                <w:kern w:val="0"/>
                <w:sz w:val="21"/>
              </w:rPr>
            </w:pPr>
            <w:r>
              <w:rPr>
                <w:rFonts w:hint="eastAsia" w:hAnsi="仿宋" w:cs="仿宋"/>
                <w:bCs/>
                <w:kern w:val="0"/>
                <w:sz w:val="21"/>
              </w:rPr>
              <w:t>资金使用合规性</w:t>
            </w:r>
          </w:p>
        </w:tc>
        <w:tc>
          <w:tcPr>
            <w:tcW w:w="1597" w:type="dxa"/>
            <w:vAlign w:val="center"/>
          </w:tcPr>
          <w:p>
            <w:pPr>
              <w:widowControl/>
              <w:adjustRightInd w:val="0"/>
              <w:jc w:val="center"/>
              <w:rPr>
                <w:rFonts w:hAnsi="仿宋" w:cs="仿宋"/>
                <w:bCs/>
                <w:kern w:val="0"/>
                <w:sz w:val="21"/>
              </w:rPr>
            </w:pPr>
            <w:r>
              <w:rPr>
                <w:rFonts w:hint="eastAsia" w:hAnsi="仿宋" w:cs="仿宋"/>
                <w:bCs/>
                <w:kern w:val="0"/>
                <w:sz w:val="21"/>
              </w:rPr>
              <w:t>4</w:t>
            </w:r>
          </w:p>
        </w:tc>
        <w:tc>
          <w:tcPr>
            <w:tcW w:w="1151" w:type="dxa"/>
            <w:vAlign w:val="center"/>
          </w:tcPr>
          <w:p>
            <w:pPr>
              <w:widowControl/>
              <w:adjustRightInd w:val="0"/>
              <w:jc w:val="center"/>
              <w:rPr>
                <w:rFonts w:hAnsi="仿宋" w:cs="仿宋"/>
                <w:bCs/>
                <w:kern w:val="0"/>
                <w:sz w:val="21"/>
              </w:rPr>
            </w:pPr>
            <w:r>
              <w:rPr>
                <w:rFonts w:hint="eastAsia" w:hAnsi="仿宋" w:cs="仿宋"/>
                <w:bCs/>
                <w:kern w:val="0"/>
                <w:sz w:val="21"/>
              </w:rPr>
              <w:t>100.00%</w:t>
            </w:r>
          </w:p>
        </w:tc>
        <w:tc>
          <w:tcPr>
            <w:tcW w:w="1218" w:type="dxa"/>
            <w:vAlign w:val="center"/>
          </w:tcPr>
          <w:p>
            <w:pPr>
              <w:widowControl/>
              <w:adjustRightInd w:val="0"/>
              <w:jc w:val="center"/>
              <w:rPr>
                <w:rFonts w:hAnsi="仿宋" w:cs="仿宋"/>
                <w:bCs/>
                <w:kern w:val="0"/>
                <w:sz w:val="21"/>
              </w:rPr>
            </w:pPr>
            <w:r>
              <w:rPr>
                <w:rFonts w:hint="eastAsia" w:hAnsi="仿宋" w:cs="仿宋"/>
                <w:bCs/>
                <w:kern w:val="0"/>
                <w:sz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4878" w:type="dxa"/>
            <w:vAlign w:val="center"/>
          </w:tcPr>
          <w:p>
            <w:pPr>
              <w:widowControl/>
              <w:adjustRightInd w:val="0"/>
              <w:jc w:val="center"/>
              <w:rPr>
                <w:rFonts w:hAnsi="仿宋" w:cs="仿宋"/>
                <w:bCs/>
                <w:kern w:val="0"/>
                <w:sz w:val="21"/>
              </w:rPr>
            </w:pPr>
            <w:r>
              <w:rPr>
                <w:rFonts w:hint="eastAsia" w:hAnsi="仿宋" w:cs="仿宋"/>
                <w:bCs/>
                <w:kern w:val="0"/>
                <w:sz w:val="21"/>
              </w:rPr>
              <w:t>小  计</w:t>
            </w:r>
          </w:p>
        </w:tc>
        <w:tc>
          <w:tcPr>
            <w:tcW w:w="1597" w:type="dxa"/>
            <w:vAlign w:val="center"/>
          </w:tcPr>
          <w:p>
            <w:pPr>
              <w:widowControl/>
              <w:adjustRightInd w:val="0"/>
              <w:jc w:val="center"/>
              <w:rPr>
                <w:rFonts w:hAnsi="仿宋" w:cs="仿宋"/>
                <w:bCs/>
                <w:kern w:val="0"/>
                <w:sz w:val="21"/>
              </w:rPr>
            </w:pPr>
            <w:r>
              <w:rPr>
                <w:rFonts w:hint="eastAsia" w:hAnsi="仿宋" w:cs="仿宋"/>
                <w:bCs/>
                <w:kern w:val="0"/>
                <w:sz w:val="21"/>
              </w:rPr>
              <w:t>10</w:t>
            </w:r>
          </w:p>
        </w:tc>
        <w:tc>
          <w:tcPr>
            <w:tcW w:w="1151" w:type="dxa"/>
            <w:vAlign w:val="center"/>
          </w:tcPr>
          <w:p>
            <w:pPr>
              <w:widowControl/>
              <w:adjustRightInd w:val="0"/>
              <w:jc w:val="center"/>
              <w:rPr>
                <w:rFonts w:hAnsi="仿宋" w:cs="仿宋"/>
                <w:bCs/>
                <w:kern w:val="0"/>
                <w:sz w:val="21"/>
              </w:rPr>
            </w:pPr>
            <w:r>
              <w:rPr>
                <w:rFonts w:hint="eastAsia" w:hAnsi="仿宋" w:cs="仿宋"/>
                <w:bCs/>
                <w:kern w:val="0"/>
                <w:sz w:val="21"/>
              </w:rPr>
              <w:t>100.00%</w:t>
            </w:r>
          </w:p>
        </w:tc>
        <w:tc>
          <w:tcPr>
            <w:tcW w:w="1218" w:type="dxa"/>
            <w:vAlign w:val="center"/>
          </w:tcPr>
          <w:p>
            <w:pPr>
              <w:widowControl/>
              <w:adjustRightInd w:val="0"/>
              <w:jc w:val="center"/>
              <w:rPr>
                <w:rFonts w:hAnsi="仿宋" w:cs="仿宋"/>
                <w:bCs/>
                <w:kern w:val="0"/>
                <w:sz w:val="21"/>
              </w:rPr>
            </w:pPr>
            <w:r>
              <w:rPr>
                <w:rFonts w:hint="eastAsia" w:hAnsi="仿宋" w:cs="仿宋"/>
                <w:bCs/>
                <w:kern w:val="0"/>
                <w:sz w:val="21"/>
              </w:rPr>
              <w:t>10</w:t>
            </w:r>
          </w:p>
        </w:tc>
      </w:tr>
    </w:tbl>
    <w:p>
      <w:pPr>
        <w:adjustRightInd w:val="0"/>
        <w:spacing w:line="579" w:lineRule="exact"/>
        <w:ind w:firstLine="630" w:firstLineChars="200"/>
        <w:rPr>
          <w:rFonts w:hAnsi="仿宋" w:cs="仿宋"/>
          <w:szCs w:val="30"/>
        </w:rPr>
      </w:pPr>
      <w:r>
        <w:rPr>
          <w:rFonts w:hint="eastAsia" w:hAnsi="仿宋" w:cs="仿宋"/>
          <w:szCs w:val="30"/>
        </w:rPr>
        <w:t>（1）资金到位率</w:t>
      </w:r>
    </w:p>
    <w:p>
      <w:pPr>
        <w:adjustRightInd w:val="0"/>
        <w:spacing w:line="579" w:lineRule="exact"/>
        <w:ind w:firstLine="630" w:firstLineChars="200"/>
        <w:rPr>
          <w:rFonts w:hAnsi="仿宋" w:cs="仿宋"/>
          <w:szCs w:val="30"/>
        </w:rPr>
      </w:pPr>
      <w:r>
        <w:rPr>
          <w:rFonts w:hint="eastAsia" w:hAnsi="仿宋" w:cs="仿宋"/>
          <w:szCs w:val="30"/>
        </w:rPr>
        <w:t>根据预算批复，项目应到位资金617.50万元，实际到位资金617.50万元，资金到位率为100.00%。</w:t>
      </w:r>
    </w:p>
    <w:p>
      <w:pPr>
        <w:adjustRightInd w:val="0"/>
        <w:spacing w:line="579" w:lineRule="exact"/>
        <w:ind w:firstLine="630" w:firstLineChars="200"/>
        <w:rPr>
          <w:rFonts w:hAnsi="仿宋" w:cs="仿宋"/>
          <w:szCs w:val="30"/>
        </w:rPr>
      </w:pPr>
      <w:r>
        <w:rPr>
          <w:rFonts w:hint="eastAsia" w:hAnsi="仿宋" w:cs="仿宋"/>
          <w:szCs w:val="30"/>
        </w:rPr>
        <w:t>该项指标满分为4分，根据评分标准得4分。</w:t>
      </w:r>
    </w:p>
    <w:p>
      <w:pPr>
        <w:adjustRightInd w:val="0"/>
        <w:spacing w:line="579" w:lineRule="exact"/>
        <w:ind w:firstLine="630" w:firstLineChars="200"/>
        <w:rPr>
          <w:rFonts w:hAnsi="仿宋" w:cs="仿宋"/>
          <w:szCs w:val="30"/>
        </w:rPr>
      </w:pPr>
      <w:r>
        <w:rPr>
          <w:rFonts w:hint="eastAsia" w:hAnsi="仿宋" w:cs="仿宋"/>
          <w:szCs w:val="30"/>
        </w:rPr>
        <w:t>（2）预算执行率</w:t>
      </w:r>
    </w:p>
    <w:p>
      <w:pPr>
        <w:adjustRightInd w:val="0"/>
        <w:spacing w:line="579" w:lineRule="exact"/>
        <w:ind w:firstLine="630" w:firstLineChars="200"/>
        <w:rPr>
          <w:rFonts w:hAnsi="仿宋" w:cs="仿宋"/>
          <w:szCs w:val="30"/>
        </w:rPr>
      </w:pPr>
      <w:r>
        <w:rPr>
          <w:rFonts w:hint="eastAsia" w:hAnsi="仿宋" w:cs="仿宋"/>
          <w:szCs w:val="30"/>
        </w:rPr>
        <w:t>截至2021年12月31日，实际使用资金617.50万元，无资金结余，预算执行率为100.00%。</w:t>
      </w:r>
    </w:p>
    <w:p>
      <w:pPr>
        <w:adjustRightInd w:val="0"/>
        <w:spacing w:line="579" w:lineRule="exact"/>
        <w:ind w:firstLine="630" w:firstLineChars="200"/>
        <w:rPr>
          <w:rFonts w:hAnsi="仿宋" w:cs="仿宋"/>
          <w:szCs w:val="30"/>
        </w:rPr>
      </w:pPr>
      <w:r>
        <w:rPr>
          <w:rFonts w:hint="eastAsia" w:hAnsi="仿宋" w:cs="仿宋"/>
          <w:szCs w:val="30"/>
        </w:rPr>
        <w:t>该项指标满分为2分，根据评分标准得2分。</w:t>
      </w:r>
    </w:p>
    <w:p>
      <w:pPr>
        <w:adjustRightInd w:val="0"/>
        <w:spacing w:line="579" w:lineRule="exact"/>
        <w:ind w:firstLine="630" w:firstLineChars="200"/>
        <w:rPr>
          <w:rFonts w:hAnsi="仿宋" w:cs="仿宋"/>
          <w:szCs w:val="30"/>
        </w:rPr>
      </w:pPr>
      <w:r>
        <w:rPr>
          <w:rFonts w:hint="eastAsia" w:hAnsi="仿宋" w:cs="仿宋"/>
          <w:szCs w:val="30"/>
        </w:rPr>
        <w:t>（3）资金使用合规性</w:t>
      </w:r>
    </w:p>
    <w:p>
      <w:pPr>
        <w:adjustRightInd w:val="0"/>
        <w:spacing w:line="579" w:lineRule="exact"/>
        <w:ind w:firstLine="630" w:firstLineChars="200"/>
        <w:rPr>
          <w:rFonts w:hAnsi="仿宋" w:cs="仿宋"/>
          <w:szCs w:val="30"/>
        </w:rPr>
      </w:pPr>
      <w:r>
        <w:rPr>
          <w:rFonts w:hint="eastAsia" w:hAnsi="仿宋" w:cs="仿宋"/>
          <w:szCs w:val="30"/>
        </w:rPr>
        <w:t>根据实地评价，区教育体育局的资金拨付有完整的审批程序和手续，未发现未按批复用途使用资金的情况，资金使用符合国家财经法规和财务管理制度规定以及有关专项资金管理办法的规定。未发现存在截留、挤占、挪用、虚列支出等情况。</w:t>
      </w:r>
    </w:p>
    <w:p>
      <w:pPr>
        <w:adjustRightInd w:val="0"/>
        <w:spacing w:line="579" w:lineRule="exact"/>
        <w:ind w:firstLine="630" w:firstLineChars="200"/>
        <w:rPr>
          <w:rFonts w:hAnsi="仿宋" w:cs="仿宋"/>
          <w:szCs w:val="30"/>
        </w:rPr>
      </w:pPr>
      <w:r>
        <w:rPr>
          <w:rFonts w:hint="eastAsia" w:hAnsi="仿宋" w:cs="仿宋"/>
          <w:szCs w:val="30"/>
        </w:rPr>
        <w:t>该项指</w:t>
      </w:r>
      <w:bookmarkStart w:id="76" w:name="_GoBack"/>
      <w:bookmarkEnd w:id="76"/>
      <w:r>
        <w:rPr>
          <w:rFonts w:hint="eastAsia" w:hAnsi="仿宋" w:cs="仿宋"/>
          <w:szCs w:val="30"/>
        </w:rPr>
        <w:t>标满分为4分，根据评分标准得4分。</w:t>
      </w:r>
    </w:p>
    <w:p>
      <w:pPr>
        <w:adjustRightInd w:val="0"/>
        <w:spacing w:line="579" w:lineRule="exact"/>
        <w:ind w:firstLine="630" w:firstLineChars="200"/>
        <w:outlineLvl w:val="1"/>
        <w:rPr>
          <w:rFonts w:ascii="楷体" w:hAnsi="楷体" w:eastAsia="楷体" w:cs="楷体"/>
          <w:szCs w:val="30"/>
        </w:rPr>
      </w:pPr>
      <w:bookmarkStart w:id="60" w:name="_Toc518317813"/>
      <w:bookmarkStart w:id="61" w:name="_Toc517260977"/>
      <w:bookmarkStart w:id="62" w:name="_Toc12187"/>
      <w:r>
        <w:rPr>
          <w:rFonts w:hint="eastAsia" w:ascii="楷体" w:hAnsi="楷体" w:eastAsia="楷体" w:cs="楷体"/>
          <w:szCs w:val="30"/>
        </w:rPr>
        <w:t>（三）项目产出情况</w:t>
      </w:r>
      <w:bookmarkEnd w:id="60"/>
      <w:bookmarkEnd w:id="61"/>
      <w:bookmarkEnd w:id="62"/>
    </w:p>
    <w:p>
      <w:pPr>
        <w:adjustRightInd w:val="0"/>
        <w:spacing w:line="579" w:lineRule="exact"/>
        <w:ind w:firstLine="630" w:firstLineChars="200"/>
        <w:rPr>
          <w:rFonts w:hAnsi="仿宋" w:cs="仿宋"/>
          <w:szCs w:val="30"/>
        </w:rPr>
      </w:pPr>
      <w:r>
        <w:rPr>
          <w:rFonts w:hint="eastAsia" w:hAnsi="仿宋" w:cs="仿宋"/>
          <w:szCs w:val="30"/>
        </w:rPr>
        <w:t>项目产出类指标，包括产出数量、产出质量、产出时效和成本指标四个方面的内容，由8个三级指标构成。指标得分满分30分，实际得分28.5分，得分率95.00%。</w:t>
      </w:r>
    </w:p>
    <w:p>
      <w:pPr>
        <w:adjustRightInd w:val="0"/>
        <w:spacing w:line="579" w:lineRule="exact"/>
        <w:ind w:firstLine="630" w:firstLineChars="200"/>
        <w:rPr>
          <w:rFonts w:hAnsi="仿宋" w:cs="仿宋"/>
          <w:szCs w:val="30"/>
        </w:rPr>
      </w:pPr>
      <w:r>
        <w:rPr>
          <w:rFonts w:hint="eastAsia" w:hAnsi="仿宋" w:cs="仿宋"/>
          <w:szCs w:val="30"/>
        </w:rPr>
        <w:t>1、产出数量</w:t>
      </w:r>
    </w:p>
    <w:p>
      <w:pPr>
        <w:adjustRightInd w:val="0"/>
        <w:spacing w:line="579" w:lineRule="exact"/>
        <w:ind w:firstLine="630" w:firstLineChars="200"/>
        <w:rPr>
          <w:rFonts w:hAnsi="仿宋" w:cs="仿宋"/>
          <w:szCs w:val="30"/>
        </w:rPr>
      </w:pPr>
      <w:r>
        <w:rPr>
          <w:rFonts w:hint="eastAsia" w:hAnsi="仿宋" w:cs="仿宋"/>
          <w:szCs w:val="30"/>
        </w:rPr>
        <w:t>该部分主要考察项目产出数量的目标完成情况。各指标分值和得分情况详见表4-6：</w:t>
      </w:r>
    </w:p>
    <w:p>
      <w:pPr>
        <w:widowControl/>
        <w:adjustRightInd w:val="0"/>
        <w:spacing w:line="579" w:lineRule="exact"/>
        <w:jc w:val="center"/>
        <w:rPr>
          <w:rFonts w:ascii="楷体" w:hAnsi="楷体" w:eastAsia="楷体" w:cs="楷体"/>
          <w:bCs/>
          <w:szCs w:val="30"/>
        </w:rPr>
      </w:pPr>
      <w:r>
        <w:rPr>
          <w:rFonts w:hint="eastAsia" w:ascii="黑体" w:hAnsi="黑体" w:eastAsia="黑体" w:cs="黑体"/>
          <w:bCs/>
          <w:sz w:val="24"/>
          <w:szCs w:val="24"/>
        </w:rPr>
        <w:t>表4-6：“产出数量”指标评价分析及绩效得分情况</w:t>
      </w:r>
    </w:p>
    <w:tbl>
      <w:tblPr>
        <w:tblStyle w:val="16"/>
        <w:tblW w:w="88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5202"/>
        <w:gridCol w:w="1224"/>
        <w:gridCol w:w="1224"/>
        <w:gridCol w:w="1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blHeader/>
          <w:jc w:val="center"/>
        </w:trPr>
        <w:tc>
          <w:tcPr>
            <w:tcW w:w="5202" w:type="dxa"/>
          </w:tcPr>
          <w:p>
            <w:pPr>
              <w:widowControl/>
              <w:adjustRightInd w:val="0"/>
              <w:jc w:val="center"/>
              <w:rPr>
                <w:rFonts w:hAnsi="仿宋" w:cs="仿宋"/>
                <w:b/>
                <w:kern w:val="0"/>
                <w:sz w:val="21"/>
              </w:rPr>
            </w:pPr>
            <w:r>
              <w:rPr>
                <w:rFonts w:hint="eastAsia" w:hAnsi="仿宋" w:cs="仿宋"/>
                <w:b/>
                <w:kern w:val="0"/>
                <w:sz w:val="21"/>
              </w:rPr>
              <w:t>指标名称</w:t>
            </w:r>
          </w:p>
        </w:tc>
        <w:tc>
          <w:tcPr>
            <w:tcW w:w="1224" w:type="dxa"/>
          </w:tcPr>
          <w:p>
            <w:pPr>
              <w:widowControl/>
              <w:adjustRightInd w:val="0"/>
              <w:jc w:val="center"/>
              <w:rPr>
                <w:rFonts w:hAnsi="仿宋" w:cs="仿宋"/>
                <w:b/>
                <w:kern w:val="0"/>
                <w:sz w:val="21"/>
              </w:rPr>
            </w:pPr>
            <w:r>
              <w:rPr>
                <w:rFonts w:hint="eastAsia" w:hAnsi="仿宋" w:cs="仿宋"/>
                <w:b/>
                <w:kern w:val="0"/>
                <w:sz w:val="21"/>
              </w:rPr>
              <w:t>指标权重</w:t>
            </w:r>
          </w:p>
        </w:tc>
        <w:tc>
          <w:tcPr>
            <w:tcW w:w="1224" w:type="dxa"/>
          </w:tcPr>
          <w:p>
            <w:pPr>
              <w:widowControl/>
              <w:adjustRightInd w:val="0"/>
              <w:jc w:val="center"/>
              <w:rPr>
                <w:rFonts w:hAnsi="仿宋" w:cs="仿宋"/>
                <w:b/>
                <w:kern w:val="0"/>
                <w:sz w:val="21"/>
              </w:rPr>
            </w:pPr>
            <w:r>
              <w:rPr>
                <w:rFonts w:hint="eastAsia" w:hAnsi="仿宋" w:cs="仿宋"/>
                <w:b/>
                <w:kern w:val="0"/>
                <w:sz w:val="21"/>
              </w:rPr>
              <w:t>业绩值</w:t>
            </w:r>
          </w:p>
        </w:tc>
        <w:tc>
          <w:tcPr>
            <w:tcW w:w="1194" w:type="dxa"/>
          </w:tcPr>
          <w:p>
            <w:pPr>
              <w:widowControl/>
              <w:adjustRightInd w:val="0"/>
              <w:jc w:val="center"/>
              <w:rPr>
                <w:rFonts w:hAnsi="仿宋" w:cs="仿宋"/>
                <w:b/>
                <w:kern w:val="0"/>
                <w:sz w:val="21"/>
              </w:rPr>
            </w:pPr>
            <w:r>
              <w:rPr>
                <w:rFonts w:hint="eastAsia" w:hAnsi="仿宋" w:cs="仿宋"/>
                <w:b/>
                <w:kern w:val="0"/>
                <w:sz w:val="21"/>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vAlign w:val="center"/>
          </w:tcPr>
          <w:p>
            <w:pPr>
              <w:widowControl/>
              <w:jc w:val="left"/>
              <w:textAlignment w:val="center"/>
              <w:rPr>
                <w:rFonts w:hAnsi="仿宋" w:cs="仿宋"/>
                <w:bCs/>
                <w:kern w:val="0"/>
                <w:sz w:val="21"/>
              </w:rPr>
            </w:pPr>
            <w:r>
              <w:rPr>
                <w:rFonts w:hint="eastAsia" w:hAnsi="仿宋" w:cs="仿宋"/>
                <w:color w:val="000000"/>
                <w:kern w:val="0"/>
                <w:sz w:val="21"/>
                <w:lang w:bidi="ar"/>
              </w:rPr>
              <w:t>学校参与情况</w:t>
            </w:r>
          </w:p>
        </w:tc>
        <w:tc>
          <w:tcPr>
            <w:tcW w:w="1224" w:type="dxa"/>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4</w:t>
            </w:r>
          </w:p>
        </w:tc>
        <w:tc>
          <w:tcPr>
            <w:tcW w:w="1224" w:type="dxa"/>
            <w:vAlign w:val="center"/>
          </w:tcPr>
          <w:p>
            <w:pPr>
              <w:widowControl/>
              <w:jc w:val="center"/>
              <w:textAlignment w:val="center"/>
              <w:rPr>
                <w:rFonts w:hAnsi="仿宋" w:cs="仿宋"/>
                <w:bCs/>
                <w:kern w:val="0"/>
                <w:sz w:val="21"/>
              </w:rPr>
            </w:pPr>
            <w:r>
              <w:rPr>
                <w:rFonts w:hint="eastAsia" w:hAnsi="仿宋" w:cs="仿宋"/>
                <w:color w:val="000000"/>
                <w:kern w:val="0"/>
                <w:sz w:val="21"/>
                <w:lang w:bidi="ar"/>
              </w:rPr>
              <w:t>100.00%</w:t>
            </w:r>
          </w:p>
        </w:tc>
        <w:tc>
          <w:tcPr>
            <w:tcW w:w="1194" w:type="dxa"/>
            <w:vAlign w:val="center"/>
          </w:tcPr>
          <w:p>
            <w:pPr>
              <w:widowControl/>
              <w:jc w:val="center"/>
              <w:textAlignment w:val="center"/>
              <w:rPr>
                <w:rFonts w:hAnsi="仿宋" w:cs="仿宋"/>
                <w:bCs/>
                <w:kern w:val="0"/>
                <w:sz w:val="21"/>
              </w:rPr>
            </w:pPr>
            <w:r>
              <w:rPr>
                <w:rFonts w:hint="eastAsia" w:hAnsi="仿宋" w:cs="仿宋"/>
                <w:color w:val="000000"/>
                <w:kern w:val="0"/>
                <w:sz w:val="21"/>
                <w:lang w:bidi="ar"/>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vAlign w:val="center"/>
          </w:tcPr>
          <w:p>
            <w:pPr>
              <w:widowControl/>
              <w:jc w:val="left"/>
              <w:textAlignment w:val="center"/>
              <w:rPr>
                <w:rFonts w:hAnsi="仿宋" w:cs="仿宋"/>
                <w:bCs/>
                <w:kern w:val="0"/>
                <w:sz w:val="21"/>
              </w:rPr>
            </w:pPr>
            <w:r>
              <w:rPr>
                <w:rFonts w:hint="eastAsia" w:hAnsi="仿宋" w:cs="仿宋"/>
                <w:color w:val="000000"/>
                <w:kern w:val="0"/>
                <w:sz w:val="21"/>
                <w:lang w:bidi="ar"/>
              </w:rPr>
              <w:t>学生参与情况</w:t>
            </w:r>
          </w:p>
        </w:tc>
        <w:tc>
          <w:tcPr>
            <w:tcW w:w="1224" w:type="dxa"/>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4</w:t>
            </w:r>
          </w:p>
        </w:tc>
        <w:tc>
          <w:tcPr>
            <w:tcW w:w="1224" w:type="dxa"/>
            <w:vAlign w:val="center"/>
          </w:tcPr>
          <w:p>
            <w:pPr>
              <w:widowControl/>
              <w:jc w:val="center"/>
              <w:textAlignment w:val="center"/>
              <w:rPr>
                <w:rFonts w:hAnsi="仿宋" w:cs="仿宋"/>
                <w:bCs/>
                <w:kern w:val="0"/>
                <w:sz w:val="21"/>
              </w:rPr>
            </w:pPr>
            <w:r>
              <w:rPr>
                <w:rFonts w:hint="eastAsia" w:hAnsi="仿宋" w:cs="仿宋"/>
                <w:color w:val="000000"/>
                <w:kern w:val="0"/>
                <w:sz w:val="21"/>
                <w:lang w:bidi="ar"/>
              </w:rPr>
              <w:t>99.50%</w:t>
            </w:r>
          </w:p>
        </w:tc>
        <w:tc>
          <w:tcPr>
            <w:tcW w:w="1194" w:type="dxa"/>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tcPr>
          <w:p>
            <w:pPr>
              <w:widowControl/>
              <w:adjustRightInd w:val="0"/>
              <w:jc w:val="center"/>
              <w:rPr>
                <w:rFonts w:hAnsi="仿宋" w:cs="仿宋"/>
                <w:bCs/>
                <w:kern w:val="0"/>
                <w:sz w:val="21"/>
              </w:rPr>
            </w:pPr>
            <w:r>
              <w:rPr>
                <w:rFonts w:hint="eastAsia" w:hAnsi="仿宋" w:cs="仿宋"/>
                <w:bCs/>
                <w:kern w:val="0"/>
                <w:sz w:val="21"/>
              </w:rPr>
              <w:t>小  计</w:t>
            </w:r>
          </w:p>
        </w:tc>
        <w:tc>
          <w:tcPr>
            <w:tcW w:w="1224" w:type="dxa"/>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8</w:t>
            </w:r>
          </w:p>
        </w:tc>
        <w:tc>
          <w:tcPr>
            <w:tcW w:w="1224" w:type="dxa"/>
            <w:vAlign w:val="center"/>
          </w:tcPr>
          <w:p>
            <w:pPr>
              <w:widowControl/>
              <w:jc w:val="center"/>
              <w:textAlignment w:val="center"/>
              <w:rPr>
                <w:rFonts w:hAnsi="仿宋" w:cs="仿宋"/>
                <w:color w:val="000000"/>
                <w:sz w:val="21"/>
              </w:rPr>
            </w:pPr>
            <w:r>
              <w:rPr>
                <w:rFonts w:hint="eastAsia" w:hAnsi="仿宋" w:cs="仿宋"/>
                <w:color w:val="000000"/>
                <w:kern w:val="0"/>
                <w:sz w:val="21"/>
                <w:lang w:bidi="ar"/>
              </w:rPr>
              <w:t>99.75%</w:t>
            </w:r>
          </w:p>
        </w:tc>
        <w:tc>
          <w:tcPr>
            <w:tcW w:w="1194" w:type="dxa"/>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7.98</w:t>
            </w:r>
          </w:p>
        </w:tc>
      </w:tr>
    </w:tbl>
    <w:p>
      <w:pPr>
        <w:adjustRightInd w:val="0"/>
        <w:spacing w:line="579" w:lineRule="exact"/>
        <w:ind w:firstLine="630" w:firstLineChars="200"/>
        <w:rPr>
          <w:rFonts w:hAnsi="仿宋" w:cs="仿宋"/>
          <w:szCs w:val="30"/>
        </w:rPr>
      </w:pPr>
      <w:r>
        <w:rPr>
          <w:rFonts w:hint="eastAsia" w:hAnsi="仿宋" w:cs="仿宋"/>
          <w:szCs w:val="30"/>
        </w:rPr>
        <w:t>（1）学校参与情况</w:t>
      </w:r>
    </w:p>
    <w:p>
      <w:pPr>
        <w:adjustRightInd w:val="0"/>
        <w:spacing w:line="579" w:lineRule="exact"/>
        <w:ind w:firstLine="630" w:firstLineChars="200"/>
        <w:rPr>
          <w:rFonts w:hAnsi="仿宋" w:cs="仿宋"/>
          <w:szCs w:val="30"/>
        </w:rPr>
      </w:pPr>
      <w:r>
        <w:rPr>
          <w:rFonts w:hint="eastAsia" w:hAnsi="仿宋" w:cs="仿宋"/>
          <w:szCs w:val="30"/>
        </w:rPr>
        <w:t>根据区教育体育局提供的2021年参与课后服务的学生数和教师数统计表与晋宁区2021年春季学期小学生课后服务资金明细表，经实地评价，2021年春季学期，全区共有义务教育</w:t>
      </w:r>
      <w:r>
        <w:rPr>
          <w:rFonts w:hint="eastAsia" w:ascii="楷体" w:hAnsi="楷体" w:eastAsia="楷体" w:cs="楷体"/>
          <w:bCs/>
          <w:spacing w:val="6"/>
          <w:szCs w:val="30"/>
        </w:rPr>
        <w:t>阶段学</w:t>
      </w:r>
      <w:r>
        <w:rPr>
          <w:rFonts w:hint="eastAsia" w:hAnsi="仿宋" w:cs="仿宋"/>
          <w:szCs w:val="30"/>
        </w:rPr>
        <w:t>校36所开展课后服务（含校点），其中，小学25所（含校点6所）、初中9所（公办8所、民办1所）、九年一贯制学校2所（公办1所、民办1所），民办学校不保障。财政补助只补助小学，且费用只拨付至19所中心校和1所九年一贯制学校（昆阳九年一贯制学校），拨付学校为20所，学校参与率100.00%；2021年秋季学期，全区共有义务教育阶段学校36所开展课后服务，其中一所民办学校不保障，学校参与率100.00%。</w:t>
      </w:r>
    </w:p>
    <w:p>
      <w:pPr>
        <w:adjustRightInd w:val="0"/>
        <w:spacing w:line="579" w:lineRule="exact"/>
        <w:ind w:firstLine="630" w:firstLineChars="200"/>
        <w:rPr>
          <w:rFonts w:hAnsi="仿宋" w:cs="仿宋"/>
          <w:szCs w:val="30"/>
        </w:rPr>
      </w:pPr>
      <w:r>
        <w:rPr>
          <w:rFonts w:hint="eastAsia" w:hAnsi="仿宋" w:cs="仿宋"/>
          <w:szCs w:val="30"/>
        </w:rPr>
        <w:t>该项指标满分为4分，根据评分标准得4分。</w:t>
      </w:r>
    </w:p>
    <w:p>
      <w:pPr>
        <w:adjustRightInd w:val="0"/>
        <w:spacing w:line="579" w:lineRule="exact"/>
        <w:ind w:firstLine="630" w:firstLineChars="200"/>
        <w:rPr>
          <w:rFonts w:hAnsi="仿宋" w:cs="仿宋"/>
          <w:szCs w:val="30"/>
        </w:rPr>
      </w:pPr>
      <w:r>
        <w:rPr>
          <w:rFonts w:hint="eastAsia" w:hAnsi="仿宋" w:cs="仿宋"/>
          <w:szCs w:val="30"/>
        </w:rPr>
        <w:t>（2）学生参与情况</w:t>
      </w:r>
    </w:p>
    <w:p>
      <w:pPr>
        <w:adjustRightInd w:val="0"/>
        <w:spacing w:line="579" w:lineRule="exact"/>
        <w:ind w:firstLine="630" w:firstLineChars="200"/>
        <w:rPr>
          <w:rFonts w:hAnsi="仿宋" w:cs="仿宋"/>
          <w:szCs w:val="30"/>
        </w:rPr>
      </w:pPr>
      <w:r>
        <w:rPr>
          <w:rFonts w:hint="eastAsia" w:hAnsi="仿宋" w:cs="仿宋"/>
          <w:szCs w:val="30"/>
        </w:rPr>
        <w:t>根据区教育体育局的数据，2021年春季学期只有小学参与义务教育阶段课后服务项目，全区公办小学共有19794名小学生，参与课后服务共有学生19681名，学生参与率99.43%；2021年秋季学期，全区共有义务教育阶段学校36所开展课后服务（含校点），其中小学含校点26所，初中10所，小学共有小学生19794人，参与课后服务项目的小学生19794人，参与率100.00%，初中共有中学生6831人，参与课后服务项目的中学生6831人，参与率100.00%。</w:t>
      </w:r>
    </w:p>
    <w:p>
      <w:pPr>
        <w:adjustRightInd w:val="0"/>
        <w:spacing w:line="579" w:lineRule="exact"/>
        <w:ind w:firstLine="630" w:firstLineChars="200"/>
        <w:rPr>
          <w:rFonts w:hAnsi="仿宋" w:cs="仿宋"/>
          <w:szCs w:val="30"/>
        </w:rPr>
      </w:pPr>
      <w:r>
        <w:rPr>
          <w:rFonts w:hint="eastAsia" w:hAnsi="仿宋" w:cs="仿宋"/>
          <w:szCs w:val="30"/>
        </w:rPr>
        <w:t>该项指标满分为4分，根据评分标准得3.98分。</w:t>
      </w:r>
    </w:p>
    <w:p>
      <w:pPr>
        <w:adjustRightInd w:val="0"/>
        <w:spacing w:line="579" w:lineRule="exact"/>
        <w:ind w:firstLine="630" w:firstLineChars="200"/>
        <w:rPr>
          <w:rFonts w:hAnsi="仿宋" w:cs="仿宋"/>
          <w:szCs w:val="30"/>
        </w:rPr>
      </w:pPr>
      <w:r>
        <w:rPr>
          <w:rFonts w:hint="eastAsia" w:hAnsi="仿宋" w:cs="仿宋"/>
          <w:szCs w:val="30"/>
        </w:rPr>
        <w:t>2、产出质量</w:t>
      </w:r>
    </w:p>
    <w:p>
      <w:pPr>
        <w:adjustRightInd w:val="0"/>
        <w:spacing w:line="579" w:lineRule="exact"/>
        <w:ind w:firstLine="630" w:firstLineChars="200"/>
        <w:rPr>
          <w:rFonts w:hAnsi="仿宋" w:cs="仿宋"/>
          <w:szCs w:val="30"/>
        </w:rPr>
      </w:pPr>
      <w:r>
        <w:rPr>
          <w:rFonts w:hint="eastAsia" w:hAnsi="仿宋" w:cs="仿宋"/>
          <w:szCs w:val="30"/>
        </w:rPr>
        <w:t>反映的是项目产出质量情况，主要是考察项目课后服务的内容、课后服务的形式、课后服务的效果和绩效分值如下表所示：</w:t>
      </w:r>
    </w:p>
    <w:p>
      <w:pPr>
        <w:widowControl/>
        <w:adjustRightInd w:val="0"/>
        <w:spacing w:line="579" w:lineRule="exact"/>
        <w:jc w:val="center"/>
        <w:rPr>
          <w:rFonts w:ascii="楷体" w:hAnsi="楷体" w:eastAsia="楷体" w:cs="楷体"/>
          <w:bCs/>
          <w:szCs w:val="30"/>
        </w:rPr>
      </w:pPr>
      <w:r>
        <w:rPr>
          <w:rFonts w:hint="eastAsia" w:ascii="黑体" w:hAnsi="黑体" w:eastAsia="黑体" w:cs="黑体"/>
          <w:bCs/>
          <w:sz w:val="24"/>
          <w:szCs w:val="24"/>
        </w:rPr>
        <w:t>表4-7：“产出质量”指标评价分析及绩效得分情况</w:t>
      </w:r>
    </w:p>
    <w:tbl>
      <w:tblPr>
        <w:tblStyle w:val="16"/>
        <w:tblW w:w="88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5202"/>
        <w:gridCol w:w="1224"/>
        <w:gridCol w:w="1224"/>
        <w:gridCol w:w="1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blHeader/>
          <w:jc w:val="center"/>
        </w:trPr>
        <w:tc>
          <w:tcPr>
            <w:tcW w:w="5202" w:type="dxa"/>
          </w:tcPr>
          <w:p>
            <w:pPr>
              <w:widowControl/>
              <w:adjustRightInd w:val="0"/>
              <w:jc w:val="center"/>
              <w:rPr>
                <w:rFonts w:hAnsi="仿宋" w:cs="仿宋"/>
                <w:b/>
                <w:kern w:val="0"/>
                <w:sz w:val="21"/>
              </w:rPr>
            </w:pPr>
            <w:r>
              <w:rPr>
                <w:rFonts w:hint="eastAsia" w:hAnsi="仿宋" w:cs="仿宋"/>
                <w:b/>
                <w:kern w:val="0"/>
                <w:sz w:val="21"/>
              </w:rPr>
              <w:t>指标名称</w:t>
            </w:r>
          </w:p>
        </w:tc>
        <w:tc>
          <w:tcPr>
            <w:tcW w:w="1224" w:type="dxa"/>
          </w:tcPr>
          <w:p>
            <w:pPr>
              <w:widowControl/>
              <w:adjustRightInd w:val="0"/>
              <w:jc w:val="center"/>
              <w:rPr>
                <w:rFonts w:hAnsi="仿宋" w:cs="仿宋"/>
                <w:b/>
                <w:kern w:val="0"/>
                <w:sz w:val="21"/>
              </w:rPr>
            </w:pPr>
            <w:r>
              <w:rPr>
                <w:rFonts w:hint="eastAsia" w:hAnsi="仿宋" w:cs="仿宋"/>
                <w:b/>
                <w:kern w:val="0"/>
                <w:sz w:val="21"/>
              </w:rPr>
              <w:t>指标权重</w:t>
            </w:r>
          </w:p>
        </w:tc>
        <w:tc>
          <w:tcPr>
            <w:tcW w:w="1224" w:type="dxa"/>
          </w:tcPr>
          <w:p>
            <w:pPr>
              <w:widowControl/>
              <w:adjustRightInd w:val="0"/>
              <w:jc w:val="center"/>
              <w:rPr>
                <w:rFonts w:hAnsi="仿宋" w:cs="仿宋"/>
                <w:b/>
                <w:kern w:val="0"/>
                <w:sz w:val="21"/>
              </w:rPr>
            </w:pPr>
            <w:r>
              <w:rPr>
                <w:rFonts w:hint="eastAsia" w:hAnsi="仿宋" w:cs="仿宋"/>
                <w:b/>
                <w:kern w:val="0"/>
                <w:sz w:val="21"/>
              </w:rPr>
              <w:t>业绩值</w:t>
            </w:r>
          </w:p>
        </w:tc>
        <w:tc>
          <w:tcPr>
            <w:tcW w:w="1194" w:type="dxa"/>
          </w:tcPr>
          <w:p>
            <w:pPr>
              <w:widowControl/>
              <w:adjustRightInd w:val="0"/>
              <w:jc w:val="center"/>
              <w:rPr>
                <w:rFonts w:hAnsi="仿宋" w:cs="仿宋"/>
                <w:b/>
                <w:kern w:val="0"/>
                <w:sz w:val="21"/>
              </w:rPr>
            </w:pPr>
            <w:r>
              <w:rPr>
                <w:rFonts w:hint="eastAsia" w:hAnsi="仿宋" w:cs="仿宋"/>
                <w:b/>
                <w:kern w:val="0"/>
                <w:sz w:val="21"/>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vAlign w:val="center"/>
          </w:tcPr>
          <w:p>
            <w:pPr>
              <w:widowControl/>
              <w:jc w:val="left"/>
              <w:textAlignment w:val="center"/>
              <w:rPr>
                <w:rFonts w:hAnsi="仿宋" w:cs="仿宋"/>
                <w:bCs/>
                <w:kern w:val="0"/>
                <w:sz w:val="21"/>
              </w:rPr>
            </w:pPr>
            <w:r>
              <w:rPr>
                <w:rFonts w:hint="eastAsia" w:hAnsi="仿宋" w:cs="仿宋"/>
                <w:color w:val="000000"/>
                <w:kern w:val="0"/>
                <w:sz w:val="21"/>
                <w:lang w:bidi="ar"/>
              </w:rPr>
              <w:t>课后服务的内容</w:t>
            </w:r>
          </w:p>
        </w:tc>
        <w:tc>
          <w:tcPr>
            <w:tcW w:w="1224" w:type="dxa"/>
          </w:tcPr>
          <w:p>
            <w:pPr>
              <w:widowControl/>
              <w:adjustRightInd w:val="0"/>
              <w:jc w:val="center"/>
              <w:rPr>
                <w:rFonts w:hAnsi="仿宋" w:cs="仿宋"/>
                <w:bCs/>
                <w:kern w:val="0"/>
                <w:sz w:val="21"/>
              </w:rPr>
            </w:pPr>
            <w:r>
              <w:rPr>
                <w:rFonts w:hint="eastAsia" w:hAnsi="仿宋" w:cs="仿宋"/>
                <w:bCs/>
                <w:kern w:val="0"/>
                <w:sz w:val="21"/>
              </w:rPr>
              <w:t>3</w:t>
            </w:r>
          </w:p>
        </w:tc>
        <w:tc>
          <w:tcPr>
            <w:tcW w:w="1224" w:type="dxa"/>
          </w:tcPr>
          <w:p>
            <w:pPr>
              <w:widowControl/>
              <w:adjustRightInd w:val="0"/>
              <w:jc w:val="center"/>
              <w:rPr>
                <w:rFonts w:hAnsi="仿宋" w:cs="仿宋"/>
                <w:bCs/>
                <w:kern w:val="0"/>
                <w:sz w:val="21"/>
              </w:rPr>
            </w:pPr>
            <w:r>
              <w:rPr>
                <w:rFonts w:hint="eastAsia" w:hAnsi="仿宋" w:cs="仿宋"/>
                <w:bCs/>
                <w:kern w:val="0"/>
                <w:sz w:val="21"/>
              </w:rPr>
              <w:t>100.00%</w:t>
            </w:r>
          </w:p>
        </w:tc>
        <w:tc>
          <w:tcPr>
            <w:tcW w:w="1194" w:type="dxa"/>
          </w:tcPr>
          <w:p>
            <w:pPr>
              <w:widowControl/>
              <w:adjustRightInd w:val="0"/>
              <w:jc w:val="center"/>
              <w:rPr>
                <w:rFonts w:hAnsi="仿宋" w:cs="仿宋"/>
                <w:bCs/>
                <w:kern w:val="0"/>
                <w:sz w:val="21"/>
              </w:rPr>
            </w:pPr>
            <w:r>
              <w:rPr>
                <w:rFonts w:hint="eastAsia" w:hAnsi="仿宋" w:cs="仿宋"/>
                <w:bCs/>
                <w:kern w:val="0"/>
                <w:sz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vAlign w:val="center"/>
          </w:tcPr>
          <w:p>
            <w:pPr>
              <w:widowControl/>
              <w:jc w:val="left"/>
              <w:textAlignment w:val="center"/>
              <w:rPr>
                <w:rFonts w:hAnsi="仿宋" w:cs="仿宋"/>
                <w:bCs/>
                <w:kern w:val="0"/>
                <w:sz w:val="21"/>
              </w:rPr>
            </w:pPr>
            <w:r>
              <w:rPr>
                <w:rFonts w:hint="eastAsia" w:hAnsi="仿宋" w:cs="仿宋"/>
                <w:color w:val="000000"/>
                <w:kern w:val="0"/>
                <w:sz w:val="21"/>
                <w:lang w:bidi="ar"/>
              </w:rPr>
              <w:t>课后服务的形式</w:t>
            </w:r>
          </w:p>
        </w:tc>
        <w:tc>
          <w:tcPr>
            <w:tcW w:w="1224" w:type="dxa"/>
          </w:tcPr>
          <w:p>
            <w:pPr>
              <w:widowControl/>
              <w:adjustRightInd w:val="0"/>
              <w:jc w:val="center"/>
              <w:rPr>
                <w:rFonts w:hAnsi="仿宋" w:cs="仿宋"/>
                <w:bCs/>
                <w:kern w:val="0"/>
                <w:sz w:val="21"/>
              </w:rPr>
            </w:pPr>
            <w:r>
              <w:rPr>
                <w:rFonts w:hint="eastAsia" w:hAnsi="仿宋" w:cs="仿宋"/>
                <w:bCs/>
                <w:kern w:val="0"/>
                <w:sz w:val="21"/>
              </w:rPr>
              <w:t>3</w:t>
            </w:r>
          </w:p>
        </w:tc>
        <w:tc>
          <w:tcPr>
            <w:tcW w:w="1224" w:type="dxa"/>
          </w:tcPr>
          <w:p>
            <w:pPr>
              <w:widowControl/>
              <w:adjustRightInd w:val="0"/>
              <w:jc w:val="center"/>
              <w:rPr>
                <w:rFonts w:hAnsi="仿宋" w:cs="仿宋"/>
                <w:bCs/>
                <w:kern w:val="0"/>
                <w:sz w:val="21"/>
              </w:rPr>
            </w:pPr>
            <w:r>
              <w:rPr>
                <w:rFonts w:hint="eastAsia" w:hAnsi="仿宋" w:cs="仿宋"/>
                <w:bCs/>
                <w:kern w:val="0"/>
                <w:sz w:val="21"/>
              </w:rPr>
              <w:t>100.00%</w:t>
            </w:r>
          </w:p>
        </w:tc>
        <w:tc>
          <w:tcPr>
            <w:tcW w:w="1194" w:type="dxa"/>
          </w:tcPr>
          <w:p>
            <w:pPr>
              <w:widowControl/>
              <w:adjustRightInd w:val="0"/>
              <w:jc w:val="center"/>
              <w:rPr>
                <w:rFonts w:hAnsi="仿宋" w:cs="仿宋"/>
                <w:bCs/>
                <w:kern w:val="0"/>
                <w:sz w:val="21"/>
              </w:rPr>
            </w:pPr>
            <w:r>
              <w:rPr>
                <w:rFonts w:hint="eastAsia" w:hAnsi="仿宋" w:cs="仿宋"/>
                <w:bCs/>
                <w:kern w:val="0"/>
                <w:sz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vAlign w:val="center"/>
          </w:tcPr>
          <w:p>
            <w:pPr>
              <w:widowControl/>
              <w:jc w:val="left"/>
              <w:textAlignment w:val="center"/>
              <w:rPr>
                <w:rFonts w:hAnsi="仿宋" w:cs="仿宋"/>
                <w:bCs/>
                <w:kern w:val="0"/>
                <w:sz w:val="21"/>
              </w:rPr>
            </w:pPr>
            <w:r>
              <w:rPr>
                <w:rFonts w:hint="eastAsia" w:hAnsi="仿宋" w:cs="仿宋"/>
                <w:color w:val="000000"/>
                <w:kern w:val="0"/>
                <w:sz w:val="21"/>
                <w:lang w:bidi="ar"/>
              </w:rPr>
              <w:t>课后服务的效果</w:t>
            </w:r>
          </w:p>
        </w:tc>
        <w:tc>
          <w:tcPr>
            <w:tcW w:w="1224" w:type="dxa"/>
          </w:tcPr>
          <w:p>
            <w:pPr>
              <w:widowControl/>
              <w:adjustRightInd w:val="0"/>
              <w:jc w:val="center"/>
              <w:rPr>
                <w:rFonts w:hAnsi="仿宋" w:cs="仿宋"/>
                <w:bCs/>
                <w:kern w:val="0"/>
                <w:sz w:val="21"/>
              </w:rPr>
            </w:pPr>
            <w:r>
              <w:rPr>
                <w:rFonts w:hint="eastAsia" w:hAnsi="仿宋" w:cs="仿宋"/>
                <w:bCs/>
                <w:kern w:val="0"/>
                <w:sz w:val="21"/>
              </w:rPr>
              <w:t>3</w:t>
            </w:r>
          </w:p>
        </w:tc>
        <w:tc>
          <w:tcPr>
            <w:tcW w:w="1224" w:type="dxa"/>
          </w:tcPr>
          <w:p>
            <w:pPr>
              <w:widowControl/>
              <w:adjustRightInd w:val="0"/>
              <w:jc w:val="center"/>
              <w:rPr>
                <w:rFonts w:hAnsi="仿宋" w:cs="仿宋"/>
                <w:bCs/>
                <w:kern w:val="0"/>
                <w:sz w:val="21"/>
              </w:rPr>
            </w:pPr>
            <w:r>
              <w:rPr>
                <w:rFonts w:hint="eastAsia" w:hAnsi="仿宋" w:cs="仿宋"/>
                <w:bCs/>
                <w:kern w:val="0"/>
                <w:sz w:val="21"/>
              </w:rPr>
              <w:t>100.00%</w:t>
            </w:r>
          </w:p>
        </w:tc>
        <w:tc>
          <w:tcPr>
            <w:tcW w:w="1194" w:type="dxa"/>
          </w:tcPr>
          <w:p>
            <w:pPr>
              <w:widowControl/>
              <w:adjustRightInd w:val="0"/>
              <w:jc w:val="center"/>
              <w:rPr>
                <w:rFonts w:hAnsi="仿宋" w:cs="仿宋"/>
                <w:bCs/>
                <w:kern w:val="0"/>
                <w:sz w:val="21"/>
              </w:rPr>
            </w:pPr>
            <w:r>
              <w:rPr>
                <w:rFonts w:hint="eastAsia" w:hAnsi="仿宋" w:cs="仿宋"/>
                <w:bCs/>
                <w:kern w:val="0"/>
                <w:sz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tcPr>
          <w:p>
            <w:pPr>
              <w:widowControl/>
              <w:adjustRightInd w:val="0"/>
              <w:jc w:val="center"/>
              <w:rPr>
                <w:rFonts w:hAnsi="仿宋" w:cs="仿宋"/>
                <w:bCs/>
                <w:kern w:val="0"/>
                <w:sz w:val="21"/>
              </w:rPr>
            </w:pPr>
            <w:r>
              <w:rPr>
                <w:rFonts w:hint="eastAsia" w:hAnsi="仿宋" w:cs="仿宋"/>
                <w:bCs/>
                <w:kern w:val="0"/>
                <w:sz w:val="21"/>
              </w:rPr>
              <w:t>小  计</w:t>
            </w:r>
          </w:p>
        </w:tc>
        <w:tc>
          <w:tcPr>
            <w:tcW w:w="1224" w:type="dxa"/>
          </w:tcPr>
          <w:p>
            <w:pPr>
              <w:widowControl/>
              <w:adjustRightInd w:val="0"/>
              <w:jc w:val="center"/>
              <w:rPr>
                <w:rFonts w:hAnsi="仿宋" w:cs="仿宋"/>
                <w:bCs/>
                <w:kern w:val="0"/>
                <w:sz w:val="21"/>
              </w:rPr>
            </w:pPr>
            <w:r>
              <w:rPr>
                <w:rFonts w:hint="eastAsia" w:hAnsi="仿宋" w:cs="仿宋"/>
                <w:bCs/>
                <w:kern w:val="0"/>
                <w:sz w:val="21"/>
              </w:rPr>
              <w:t>9</w:t>
            </w:r>
          </w:p>
        </w:tc>
        <w:tc>
          <w:tcPr>
            <w:tcW w:w="1224" w:type="dxa"/>
          </w:tcPr>
          <w:p>
            <w:pPr>
              <w:widowControl/>
              <w:adjustRightInd w:val="0"/>
              <w:jc w:val="center"/>
              <w:rPr>
                <w:rFonts w:hAnsi="仿宋" w:cs="仿宋"/>
                <w:bCs/>
                <w:kern w:val="0"/>
                <w:sz w:val="21"/>
              </w:rPr>
            </w:pPr>
            <w:r>
              <w:rPr>
                <w:rFonts w:hint="eastAsia" w:hAnsi="仿宋" w:cs="仿宋"/>
                <w:bCs/>
                <w:kern w:val="0"/>
                <w:sz w:val="21"/>
              </w:rPr>
              <w:t>100.00%</w:t>
            </w:r>
          </w:p>
        </w:tc>
        <w:tc>
          <w:tcPr>
            <w:tcW w:w="1194" w:type="dxa"/>
          </w:tcPr>
          <w:p>
            <w:pPr>
              <w:widowControl/>
              <w:adjustRightInd w:val="0"/>
              <w:jc w:val="center"/>
              <w:rPr>
                <w:rFonts w:hAnsi="仿宋" w:cs="仿宋"/>
                <w:bCs/>
                <w:kern w:val="0"/>
                <w:sz w:val="21"/>
              </w:rPr>
            </w:pPr>
            <w:r>
              <w:rPr>
                <w:rFonts w:hint="eastAsia" w:hAnsi="仿宋" w:cs="仿宋"/>
                <w:bCs/>
                <w:kern w:val="0"/>
                <w:sz w:val="21"/>
              </w:rPr>
              <w:t>9</w:t>
            </w:r>
          </w:p>
        </w:tc>
      </w:tr>
    </w:tbl>
    <w:p>
      <w:pPr>
        <w:adjustRightInd w:val="0"/>
        <w:spacing w:line="579" w:lineRule="exact"/>
        <w:ind w:firstLine="630" w:firstLineChars="200"/>
        <w:rPr>
          <w:rFonts w:hAnsi="仿宋" w:cs="仿宋"/>
          <w:szCs w:val="30"/>
        </w:rPr>
      </w:pPr>
      <w:r>
        <w:rPr>
          <w:rFonts w:hint="eastAsia" w:hAnsi="仿宋" w:cs="仿宋"/>
          <w:szCs w:val="30"/>
        </w:rPr>
        <w:t>（1）课后服务的内容</w:t>
      </w:r>
    </w:p>
    <w:p>
      <w:pPr>
        <w:adjustRightInd w:val="0"/>
        <w:spacing w:line="579" w:lineRule="exact"/>
        <w:ind w:firstLine="630" w:firstLineChars="200"/>
        <w:rPr>
          <w:rFonts w:hAnsi="仿宋" w:cs="仿宋"/>
          <w:szCs w:val="30"/>
        </w:rPr>
      </w:pPr>
      <w:r>
        <w:rPr>
          <w:rFonts w:hint="eastAsia" w:hAnsi="仿宋" w:cs="仿宋"/>
          <w:szCs w:val="30"/>
        </w:rPr>
        <w:t>经实际评价，晋宁区各项目学校开展的课后服务的内容以课业辅导加兴趣课程为主，例如：夕阳民族小学对课后服务内容的制定："周一：阅读活动（包括阅读、心得体会、朗诵、图书管理知识学习等）</w:t>
      </w:r>
    </w:p>
    <w:p>
      <w:pPr>
        <w:adjustRightInd w:val="0"/>
        <w:spacing w:line="579" w:lineRule="exact"/>
        <w:ind w:firstLine="630" w:firstLineChars="200"/>
        <w:rPr>
          <w:rFonts w:hAnsi="仿宋" w:cs="仿宋"/>
          <w:szCs w:val="30"/>
        </w:rPr>
      </w:pPr>
      <w:r>
        <w:rPr>
          <w:rFonts w:hint="eastAsia" w:hAnsi="仿宋" w:cs="仿宋"/>
          <w:szCs w:val="30"/>
        </w:rPr>
        <w:t>周二：书写活动（铅笔、钢笔、毛笔）</w:t>
      </w:r>
    </w:p>
    <w:p>
      <w:pPr>
        <w:adjustRightInd w:val="0"/>
        <w:spacing w:line="579" w:lineRule="exact"/>
        <w:ind w:firstLine="630" w:firstLineChars="200"/>
        <w:rPr>
          <w:rFonts w:hAnsi="仿宋" w:cs="仿宋"/>
          <w:szCs w:val="30"/>
        </w:rPr>
      </w:pPr>
      <w:r>
        <w:rPr>
          <w:rFonts w:hint="eastAsia" w:hAnsi="仿宋" w:cs="仿宋"/>
          <w:szCs w:val="30"/>
        </w:rPr>
        <w:t>周三：艺术活动（包括音乐、舞蹈、美术、手工等）</w:t>
      </w:r>
    </w:p>
    <w:p>
      <w:pPr>
        <w:adjustRightInd w:val="0"/>
        <w:spacing w:line="579" w:lineRule="exact"/>
        <w:ind w:firstLine="630" w:firstLineChars="200"/>
        <w:rPr>
          <w:rFonts w:hAnsi="仿宋" w:cs="仿宋"/>
          <w:szCs w:val="30"/>
        </w:rPr>
      </w:pPr>
      <w:r>
        <w:rPr>
          <w:rFonts w:hint="eastAsia" w:hAnsi="仿宋" w:cs="仿宋"/>
          <w:szCs w:val="30"/>
        </w:rPr>
        <w:t>周四：地方特色活动（包括恐龙文化、梯田农耕文化等）</w:t>
      </w:r>
    </w:p>
    <w:p>
      <w:pPr>
        <w:adjustRightInd w:val="0"/>
        <w:spacing w:line="579" w:lineRule="exact"/>
        <w:ind w:firstLine="630" w:firstLineChars="200"/>
        <w:rPr>
          <w:rFonts w:hAnsi="仿宋" w:cs="仿宋"/>
          <w:szCs w:val="30"/>
        </w:rPr>
      </w:pPr>
      <w:r>
        <w:rPr>
          <w:rFonts w:hint="eastAsia" w:hAnsi="仿宋" w:cs="仿宋"/>
          <w:szCs w:val="30"/>
        </w:rPr>
        <w:t>周五：体育活动（包括球类、棋类、田径、劳动等）"</w:t>
      </w:r>
    </w:p>
    <w:p>
      <w:pPr>
        <w:adjustRightInd w:val="0"/>
        <w:spacing w:line="579" w:lineRule="exact"/>
        <w:ind w:firstLine="630" w:firstLineChars="200"/>
        <w:rPr>
          <w:rFonts w:hAnsi="仿宋" w:cs="仿宋"/>
          <w:szCs w:val="30"/>
        </w:rPr>
      </w:pPr>
      <w:r>
        <w:rPr>
          <w:rFonts w:hint="eastAsia" w:hAnsi="仿宋" w:cs="仿宋"/>
          <w:szCs w:val="30"/>
        </w:rPr>
        <w:t>经问卷调查，觉得学生对课后服务的活动内容感兴趣的占比74.57%，认为学生在课后服务的活动过程中没什么活力的占比22.47%，认为学生不太喜欢课后服务活动的占比1.86%，认为学生不喜欢课后服务活动的占比1.09%，学生对课后服务的内容综合满意度为88.61%。</w:t>
      </w:r>
    </w:p>
    <w:p>
      <w:pPr>
        <w:adjustRightInd w:val="0"/>
        <w:spacing w:line="579" w:lineRule="exact"/>
        <w:ind w:firstLine="630" w:firstLineChars="200"/>
        <w:rPr>
          <w:rFonts w:hAnsi="仿宋" w:cs="仿宋"/>
          <w:szCs w:val="30"/>
        </w:rPr>
      </w:pPr>
      <w:r>
        <w:rPr>
          <w:rFonts w:hint="eastAsia" w:hAnsi="仿宋" w:cs="仿宋"/>
          <w:szCs w:val="30"/>
        </w:rPr>
        <w:t>该项指标满分为3分，根据评分标准得3分。</w:t>
      </w:r>
    </w:p>
    <w:p>
      <w:pPr>
        <w:adjustRightInd w:val="0"/>
        <w:spacing w:line="579" w:lineRule="exact"/>
        <w:ind w:firstLine="630" w:firstLineChars="200"/>
        <w:rPr>
          <w:rFonts w:hAnsi="仿宋" w:cs="仿宋"/>
          <w:szCs w:val="30"/>
        </w:rPr>
      </w:pPr>
      <w:r>
        <w:rPr>
          <w:rFonts w:hint="eastAsia" w:hAnsi="仿宋" w:cs="仿宋"/>
          <w:szCs w:val="30"/>
        </w:rPr>
        <w:t>（2）课后服务的形式</w:t>
      </w:r>
    </w:p>
    <w:p>
      <w:pPr>
        <w:adjustRightInd w:val="0"/>
        <w:spacing w:line="579" w:lineRule="exact"/>
        <w:ind w:firstLine="630" w:firstLineChars="200"/>
        <w:rPr>
          <w:rFonts w:hAnsi="仿宋" w:cs="仿宋"/>
          <w:szCs w:val="30"/>
        </w:rPr>
      </w:pPr>
      <w:r>
        <w:rPr>
          <w:rFonts w:hint="eastAsia" w:hAnsi="仿宋" w:cs="仿宋"/>
          <w:szCs w:val="30"/>
        </w:rPr>
        <w:t>晋宁区各项目学校开展的课后服务的形式以班级活动与校级活动相结合，以班级为单位，固定服务教师、活动地点，集体参加活动。经问卷调查，认为学校组织教师自行开展托管效果更好的占比60.21%，认为联合公益组织开展课后服务效果更好的占比16.36%，认为学校自行开展托管、联合公益组织开展课后服务同时开展效果更好的占比19.68%，认为效果都不怎么好的占比3.75%，综合满意度为86.23%。。</w:t>
      </w:r>
    </w:p>
    <w:p>
      <w:pPr>
        <w:adjustRightInd w:val="0"/>
        <w:spacing w:line="579" w:lineRule="exact"/>
        <w:ind w:firstLine="630" w:firstLineChars="200"/>
        <w:rPr>
          <w:rFonts w:hAnsi="仿宋" w:cs="仿宋"/>
          <w:szCs w:val="30"/>
        </w:rPr>
      </w:pPr>
      <w:r>
        <w:rPr>
          <w:rFonts w:hint="eastAsia" w:hAnsi="仿宋" w:cs="仿宋"/>
          <w:szCs w:val="30"/>
        </w:rPr>
        <w:t>该项指标满分为3分，根据评分标准得3分。</w:t>
      </w:r>
    </w:p>
    <w:p>
      <w:pPr>
        <w:adjustRightInd w:val="0"/>
        <w:spacing w:line="579" w:lineRule="exact"/>
        <w:ind w:firstLine="630" w:firstLineChars="200"/>
        <w:rPr>
          <w:rFonts w:hAnsi="仿宋" w:cs="仿宋"/>
          <w:szCs w:val="30"/>
        </w:rPr>
      </w:pPr>
      <w:r>
        <w:rPr>
          <w:rFonts w:hint="eastAsia" w:hAnsi="仿宋" w:cs="仿宋"/>
          <w:szCs w:val="30"/>
        </w:rPr>
        <w:t>（3）课后服务的效果</w:t>
      </w:r>
    </w:p>
    <w:p>
      <w:pPr>
        <w:adjustRightInd w:val="0"/>
        <w:spacing w:line="579" w:lineRule="exact"/>
        <w:ind w:firstLine="630" w:firstLineChars="200"/>
        <w:rPr>
          <w:rFonts w:hAnsi="仿宋" w:cs="仿宋"/>
          <w:szCs w:val="30"/>
        </w:rPr>
      </w:pPr>
      <w:r>
        <w:rPr>
          <w:rFonts w:hint="eastAsia" w:hAnsi="仿宋" w:cs="仿宋"/>
          <w:szCs w:val="30"/>
        </w:rPr>
        <w:t>根据问卷调查结果，认为课后服务的质量和服务效果非常好的占比70.84%，认为服务质量和效果一般的占比26.79%，认为服务质量和效果不太好的占比1.47%，认为服务质量和效果比较差的占比0.91%，对于课后服务的质量和效果综合满意度为87.36%。</w:t>
      </w:r>
    </w:p>
    <w:p>
      <w:pPr>
        <w:adjustRightInd w:val="0"/>
        <w:spacing w:line="579" w:lineRule="exact"/>
        <w:ind w:firstLine="630" w:firstLineChars="200"/>
        <w:rPr>
          <w:rFonts w:hAnsi="仿宋" w:cs="仿宋"/>
          <w:szCs w:val="30"/>
        </w:rPr>
      </w:pPr>
      <w:r>
        <w:rPr>
          <w:rFonts w:hint="eastAsia" w:hAnsi="仿宋" w:cs="仿宋"/>
          <w:szCs w:val="30"/>
        </w:rPr>
        <w:t>该项指标满分为3分，根据评分标准得3分。</w:t>
      </w:r>
    </w:p>
    <w:p>
      <w:pPr>
        <w:adjustRightInd w:val="0"/>
        <w:spacing w:line="579" w:lineRule="exact"/>
        <w:ind w:firstLine="630" w:firstLineChars="200"/>
        <w:rPr>
          <w:rFonts w:hAnsi="仿宋" w:cs="仿宋"/>
          <w:szCs w:val="30"/>
        </w:rPr>
      </w:pPr>
      <w:r>
        <w:rPr>
          <w:rFonts w:hint="eastAsia" w:hAnsi="仿宋" w:cs="仿宋"/>
          <w:szCs w:val="30"/>
        </w:rPr>
        <w:t>3、产出时效</w:t>
      </w:r>
    </w:p>
    <w:p>
      <w:pPr>
        <w:adjustRightInd w:val="0"/>
        <w:spacing w:line="579" w:lineRule="exact"/>
        <w:ind w:firstLine="630" w:firstLineChars="200"/>
        <w:rPr>
          <w:rFonts w:hAnsi="仿宋" w:cs="仿宋"/>
          <w:szCs w:val="30"/>
        </w:rPr>
      </w:pPr>
      <w:r>
        <w:rPr>
          <w:rFonts w:hint="eastAsia" w:hAnsi="仿宋" w:cs="仿宋"/>
          <w:szCs w:val="30"/>
        </w:rPr>
        <w:t>反映的是项目产出时效，主要是考察教育体育局向学校拨付资金的及时性以及学校发放补助的及时性。各分项指标的业绩值和绩效分值如下表所示：</w:t>
      </w:r>
    </w:p>
    <w:p>
      <w:pPr>
        <w:widowControl/>
        <w:adjustRightInd w:val="0"/>
        <w:spacing w:line="579" w:lineRule="exact"/>
        <w:jc w:val="center"/>
        <w:rPr>
          <w:rFonts w:ascii="黑体" w:hAnsi="黑体" w:eastAsia="黑体" w:cs="黑体"/>
          <w:bCs/>
          <w:sz w:val="24"/>
          <w:szCs w:val="24"/>
        </w:rPr>
      </w:pPr>
      <w:r>
        <w:rPr>
          <w:rFonts w:hint="eastAsia" w:ascii="黑体" w:hAnsi="黑体" w:eastAsia="黑体" w:cs="黑体"/>
          <w:bCs/>
          <w:sz w:val="24"/>
          <w:szCs w:val="24"/>
        </w:rPr>
        <w:t>表4-8：“产出时效”指标评价分析及绩效得分情况</w:t>
      </w:r>
    </w:p>
    <w:tbl>
      <w:tblPr>
        <w:tblStyle w:val="16"/>
        <w:tblW w:w="88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5202"/>
        <w:gridCol w:w="1224"/>
        <w:gridCol w:w="1224"/>
        <w:gridCol w:w="1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blHeader/>
          <w:jc w:val="center"/>
        </w:trPr>
        <w:tc>
          <w:tcPr>
            <w:tcW w:w="5202" w:type="dxa"/>
          </w:tcPr>
          <w:p>
            <w:pPr>
              <w:widowControl/>
              <w:adjustRightInd w:val="0"/>
              <w:jc w:val="center"/>
              <w:rPr>
                <w:rFonts w:hAnsi="仿宋" w:cs="仿宋"/>
                <w:b/>
                <w:kern w:val="0"/>
                <w:sz w:val="21"/>
              </w:rPr>
            </w:pPr>
            <w:r>
              <w:rPr>
                <w:rFonts w:hint="eastAsia" w:hAnsi="仿宋" w:cs="仿宋"/>
                <w:b/>
                <w:kern w:val="0"/>
                <w:sz w:val="21"/>
              </w:rPr>
              <w:t>指标名称</w:t>
            </w:r>
          </w:p>
        </w:tc>
        <w:tc>
          <w:tcPr>
            <w:tcW w:w="1224" w:type="dxa"/>
          </w:tcPr>
          <w:p>
            <w:pPr>
              <w:widowControl/>
              <w:adjustRightInd w:val="0"/>
              <w:jc w:val="center"/>
              <w:rPr>
                <w:rFonts w:hAnsi="仿宋" w:cs="仿宋"/>
                <w:b/>
                <w:kern w:val="0"/>
                <w:sz w:val="21"/>
              </w:rPr>
            </w:pPr>
            <w:r>
              <w:rPr>
                <w:rFonts w:hint="eastAsia" w:hAnsi="仿宋" w:cs="仿宋"/>
                <w:b/>
                <w:kern w:val="0"/>
                <w:sz w:val="21"/>
              </w:rPr>
              <w:t>指标权重</w:t>
            </w:r>
          </w:p>
        </w:tc>
        <w:tc>
          <w:tcPr>
            <w:tcW w:w="1224" w:type="dxa"/>
          </w:tcPr>
          <w:p>
            <w:pPr>
              <w:widowControl/>
              <w:adjustRightInd w:val="0"/>
              <w:jc w:val="center"/>
              <w:rPr>
                <w:rFonts w:hAnsi="仿宋" w:cs="仿宋"/>
                <w:b/>
                <w:kern w:val="0"/>
                <w:sz w:val="21"/>
              </w:rPr>
            </w:pPr>
            <w:r>
              <w:rPr>
                <w:rFonts w:hint="eastAsia" w:hAnsi="仿宋" w:cs="仿宋"/>
                <w:b/>
                <w:kern w:val="0"/>
                <w:sz w:val="21"/>
              </w:rPr>
              <w:t>业绩值</w:t>
            </w:r>
          </w:p>
        </w:tc>
        <w:tc>
          <w:tcPr>
            <w:tcW w:w="1194" w:type="dxa"/>
          </w:tcPr>
          <w:p>
            <w:pPr>
              <w:widowControl/>
              <w:adjustRightInd w:val="0"/>
              <w:jc w:val="center"/>
              <w:rPr>
                <w:rFonts w:hAnsi="仿宋" w:cs="仿宋"/>
                <w:b/>
                <w:kern w:val="0"/>
                <w:sz w:val="21"/>
              </w:rPr>
            </w:pPr>
            <w:r>
              <w:rPr>
                <w:rFonts w:hint="eastAsia" w:hAnsi="仿宋" w:cs="仿宋"/>
                <w:b/>
                <w:kern w:val="0"/>
                <w:sz w:val="21"/>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vAlign w:val="center"/>
          </w:tcPr>
          <w:p>
            <w:pPr>
              <w:widowControl/>
              <w:jc w:val="left"/>
              <w:textAlignment w:val="center"/>
              <w:rPr>
                <w:rFonts w:hAnsi="仿宋" w:cs="仿宋"/>
                <w:bCs/>
                <w:kern w:val="0"/>
                <w:sz w:val="21"/>
              </w:rPr>
            </w:pPr>
            <w:r>
              <w:rPr>
                <w:rFonts w:hint="eastAsia" w:hAnsi="仿宋" w:cs="仿宋"/>
                <w:color w:val="000000"/>
                <w:kern w:val="0"/>
                <w:sz w:val="21"/>
                <w:lang w:bidi="ar"/>
              </w:rPr>
              <w:t>教育体育局资金拨付及时性</w:t>
            </w:r>
          </w:p>
        </w:tc>
        <w:tc>
          <w:tcPr>
            <w:tcW w:w="1224" w:type="dxa"/>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4</w:t>
            </w:r>
          </w:p>
        </w:tc>
        <w:tc>
          <w:tcPr>
            <w:tcW w:w="1224" w:type="dxa"/>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100.00%</w:t>
            </w:r>
          </w:p>
        </w:tc>
        <w:tc>
          <w:tcPr>
            <w:tcW w:w="1194" w:type="dxa"/>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vAlign w:val="center"/>
          </w:tcPr>
          <w:p>
            <w:pPr>
              <w:widowControl/>
              <w:jc w:val="left"/>
              <w:textAlignment w:val="center"/>
              <w:rPr>
                <w:rFonts w:hAnsi="仿宋" w:cs="仿宋"/>
                <w:bCs/>
                <w:kern w:val="0"/>
                <w:sz w:val="21"/>
              </w:rPr>
            </w:pPr>
            <w:r>
              <w:rPr>
                <w:rFonts w:hint="eastAsia" w:hAnsi="仿宋" w:cs="仿宋"/>
                <w:color w:val="000000"/>
                <w:kern w:val="0"/>
                <w:sz w:val="21"/>
                <w:lang w:bidi="ar"/>
              </w:rPr>
              <w:t>学校发放补助及时性</w:t>
            </w:r>
          </w:p>
        </w:tc>
        <w:tc>
          <w:tcPr>
            <w:tcW w:w="1224" w:type="dxa"/>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4</w:t>
            </w:r>
          </w:p>
        </w:tc>
        <w:tc>
          <w:tcPr>
            <w:tcW w:w="1224" w:type="dxa"/>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100.00%</w:t>
            </w:r>
          </w:p>
        </w:tc>
        <w:tc>
          <w:tcPr>
            <w:tcW w:w="1194" w:type="dxa"/>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tcPr>
          <w:p>
            <w:pPr>
              <w:widowControl/>
              <w:adjustRightInd w:val="0"/>
              <w:jc w:val="center"/>
              <w:rPr>
                <w:rFonts w:hAnsi="仿宋" w:cs="仿宋"/>
                <w:bCs/>
                <w:kern w:val="0"/>
                <w:sz w:val="21"/>
              </w:rPr>
            </w:pPr>
            <w:r>
              <w:rPr>
                <w:rFonts w:hint="eastAsia" w:hAnsi="仿宋" w:cs="仿宋"/>
                <w:bCs/>
                <w:kern w:val="0"/>
                <w:sz w:val="21"/>
              </w:rPr>
              <w:t>小  计</w:t>
            </w:r>
          </w:p>
        </w:tc>
        <w:tc>
          <w:tcPr>
            <w:tcW w:w="1224" w:type="dxa"/>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8</w:t>
            </w:r>
          </w:p>
        </w:tc>
        <w:tc>
          <w:tcPr>
            <w:tcW w:w="1224" w:type="dxa"/>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100.00%</w:t>
            </w:r>
          </w:p>
        </w:tc>
        <w:tc>
          <w:tcPr>
            <w:tcW w:w="1194" w:type="dxa"/>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8</w:t>
            </w:r>
          </w:p>
        </w:tc>
      </w:tr>
    </w:tbl>
    <w:p>
      <w:pPr>
        <w:adjustRightInd w:val="0"/>
        <w:spacing w:line="579" w:lineRule="exact"/>
        <w:ind w:firstLine="630" w:firstLineChars="200"/>
        <w:rPr>
          <w:rFonts w:hAnsi="仿宋" w:cs="仿宋"/>
          <w:szCs w:val="30"/>
        </w:rPr>
      </w:pPr>
      <w:r>
        <w:rPr>
          <w:rFonts w:hint="eastAsia" w:hAnsi="仿宋" w:cs="仿宋"/>
          <w:szCs w:val="30"/>
        </w:rPr>
        <w:t>2021年区财政局共划拨617.5万元，作为晋宁区“义务教育阶段课后服务”专项资金，其中年初预算批复200万元，年末预算追加417.5万，全年区级财政保障经费合计617.5万元，全部资金已按各项目学校的学生人数下拨到学校，由学校根据师生参加课后服务活动的实际情况，考核发放补助资金。该项目资金617.5万元已全额拨付并使用，无结余。</w:t>
      </w:r>
    </w:p>
    <w:p>
      <w:pPr>
        <w:adjustRightInd w:val="0"/>
        <w:spacing w:line="579" w:lineRule="exact"/>
        <w:ind w:firstLine="630" w:firstLineChars="200"/>
        <w:rPr>
          <w:rFonts w:hAnsi="仿宋" w:cs="仿宋"/>
          <w:szCs w:val="30"/>
        </w:rPr>
      </w:pPr>
      <w:r>
        <w:rPr>
          <w:rFonts w:hint="eastAsia" w:hAnsi="仿宋" w:cs="仿宋"/>
          <w:szCs w:val="30"/>
        </w:rPr>
        <w:t>该项指标满分为8分，根据评分标准得8分。</w:t>
      </w:r>
    </w:p>
    <w:p>
      <w:pPr>
        <w:adjustRightInd w:val="0"/>
        <w:spacing w:line="579" w:lineRule="exact"/>
        <w:ind w:firstLine="630" w:firstLineChars="200"/>
        <w:rPr>
          <w:rFonts w:hAnsi="仿宋" w:cs="仿宋"/>
          <w:szCs w:val="30"/>
        </w:rPr>
      </w:pPr>
      <w:r>
        <w:rPr>
          <w:rFonts w:hint="eastAsia" w:hAnsi="仿宋" w:cs="仿宋"/>
          <w:szCs w:val="30"/>
        </w:rPr>
        <w:t>4、成本指标</w:t>
      </w:r>
    </w:p>
    <w:p>
      <w:pPr>
        <w:adjustRightInd w:val="0"/>
        <w:spacing w:line="579" w:lineRule="exact"/>
        <w:ind w:firstLine="630" w:firstLineChars="200"/>
        <w:rPr>
          <w:rFonts w:hAnsi="仿宋" w:cs="仿宋"/>
          <w:szCs w:val="30"/>
        </w:rPr>
      </w:pPr>
      <w:r>
        <w:rPr>
          <w:rFonts w:hint="eastAsia" w:hAnsi="仿宋" w:cs="仿宋"/>
          <w:szCs w:val="30"/>
        </w:rPr>
        <w:t>反映的是项目产出成本指标，主要是考察单位对工作经费的实际控制程度，各分项指标的业绩值和绩效分值如下表所示：</w:t>
      </w:r>
    </w:p>
    <w:p>
      <w:pPr>
        <w:widowControl/>
        <w:adjustRightInd w:val="0"/>
        <w:spacing w:line="579" w:lineRule="exact"/>
        <w:jc w:val="center"/>
        <w:rPr>
          <w:rFonts w:ascii="黑体" w:hAnsi="黑体" w:eastAsia="黑体" w:cs="黑体"/>
          <w:bCs/>
          <w:sz w:val="24"/>
          <w:szCs w:val="24"/>
        </w:rPr>
      </w:pPr>
      <w:r>
        <w:rPr>
          <w:rFonts w:hint="eastAsia" w:ascii="黑体" w:hAnsi="黑体" w:eastAsia="黑体" w:cs="黑体"/>
          <w:bCs/>
          <w:sz w:val="24"/>
          <w:szCs w:val="24"/>
        </w:rPr>
        <w:t>表4-9：“成本指标”指标评价分析及绩效得分情况</w:t>
      </w:r>
    </w:p>
    <w:tbl>
      <w:tblPr>
        <w:tblStyle w:val="16"/>
        <w:tblW w:w="88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5202"/>
        <w:gridCol w:w="1224"/>
        <w:gridCol w:w="1224"/>
        <w:gridCol w:w="1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blHeader/>
          <w:jc w:val="center"/>
        </w:trPr>
        <w:tc>
          <w:tcPr>
            <w:tcW w:w="5202" w:type="dxa"/>
          </w:tcPr>
          <w:p>
            <w:pPr>
              <w:widowControl/>
              <w:adjustRightInd w:val="0"/>
              <w:jc w:val="center"/>
              <w:rPr>
                <w:rFonts w:hAnsi="仿宋" w:cs="仿宋"/>
                <w:b/>
                <w:kern w:val="0"/>
                <w:sz w:val="21"/>
              </w:rPr>
            </w:pPr>
            <w:r>
              <w:rPr>
                <w:rFonts w:hint="eastAsia" w:hAnsi="仿宋" w:cs="仿宋"/>
                <w:b/>
                <w:kern w:val="0"/>
                <w:sz w:val="21"/>
              </w:rPr>
              <w:t>指标名称</w:t>
            </w:r>
          </w:p>
        </w:tc>
        <w:tc>
          <w:tcPr>
            <w:tcW w:w="1224" w:type="dxa"/>
          </w:tcPr>
          <w:p>
            <w:pPr>
              <w:widowControl/>
              <w:adjustRightInd w:val="0"/>
              <w:jc w:val="center"/>
              <w:rPr>
                <w:rFonts w:hAnsi="仿宋" w:cs="仿宋"/>
                <w:b/>
                <w:kern w:val="0"/>
                <w:sz w:val="21"/>
              </w:rPr>
            </w:pPr>
            <w:r>
              <w:rPr>
                <w:rFonts w:hint="eastAsia" w:hAnsi="仿宋" w:cs="仿宋"/>
                <w:b/>
                <w:kern w:val="0"/>
                <w:sz w:val="21"/>
              </w:rPr>
              <w:t>指标权重</w:t>
            </w:r>
          </w:p>
        </w:tc>
        <w:tc>
          <w:tcPr>
            <w:tcW w:w="1224" w:type="dxa"/>
          </w:tcPr>
          <w:p>
            <w:pPr>
              <w:widowControl/>
              <w:adjustRightInd w:val="0"/>
              <w:jc w:val="center"/>
              <w:rPr>
                <w:rFonts w:hAnsi="仿宋" w:cs="仿宋"/>
                <w:b/>
                <w:kern w:val="0"/>
                <w:sz w:val="21"/>
              </w:rPr>
            </w:pPr>
            <w:r>
              <w:rPr>
                <w:rFonts w:hint="eastAsia" w:hAnsi="仿宋" w:cs="仿宋"/>
                <w:b/>
                <w:kern w:val="0"/>
                <w:sz w:val="21"/>
              </w:rPr>
              <w:t>业绩值</w:t>
            </w:r>
          </w:p>
        </w:tc>
        <w:tc>
          <w:tcPr>
            <w:tcW w:w="1194" w:type="dxa"/>
          </w:tcPr>
          <w:p>
            <w:pPr>
              <w:widowControl/>
              <w:adjustRightInd w:val="0"/>
              <w:jc w:val="center"/>
              <w:rPr>
                <w:rFonts w:hAnsi="仿宋" w:cs="仿宋"/>
                <w:b/>
                <w:kern w:val="0"/>
                <w:sz w:val="21"/>
              </w:rPr>
            </w:pPr>
            <w:r>
              <w:rPr>
                <w:rFonts w:hint="eastAsia" w:hAnsi="仿宋" w:cs="仿宋"/>
                <w:b/>
                <w:kern w:val="0"/>
                <w:sz w:val="21"/>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tcPr>
          <w:p>
            <w:pPr>
              <w:widowControl/>
              <w:adjustRightInd w:val="0"/>
              <w:jc w:val="left"/>
              <w:rPr>
                <w:rFonts w:hAnsi="仿宋" w:cs="仿宋"/>
                <w:bCs/>
                <w:kern w:val="0"/>
                <w:sz w:val="21"/>
              </w:rPr>
            </w:pPr>
            <w:r>
              <w:rPr>
                <w:rFonts w:hint="eastAsia" w:hAnsi="仿宋" w:cs="仿宋"/>
                <w:bCs/>
                <w:kern w:val="0"/>
                <w:sz w:val="21"/>
              </w:rPr>
              <w:t>成本控制率</w:t>
            </w:r>
          </w:p>
        </w:tc>
        <w:tc>
          <w:tcPr>
            <w:tcW w:w="1224" w:type="dxa"/>
          </w:tcPr>
          <w:p>
            <w:pPr>
              <w:widowControl/>
              <w:adjustRightInd w:val="0"/>
              <w:jc w:val="center"/>
              <w:rPr>
                <w:rFonts w:hAnsi="仿宋" w:cs="仿宋"/>
                <w:bCs/>
                <w:kern w:val="0"/>
                <w:sz w:val="21"/>
              </w:rPr>
            </w:pPr>
            <w:r>
              <w:rPr>
                <w:rFonts w:hint="eastAsia" w:hAnsi="仿宋" w:cs="仿宋"/>
                <w:bCs/>
                <w:kern w:val="0"/>
                <w:sz w:val="21"/>
              </w:rPr>
              <w:t>5</w:t>
            </w:r>
          </w:p>
        </w:tc>
        <w:tc>
          <w:tcPr>
            <w:tcW w:w="1224" w:type="dxa"/>
          </w:tcPr>
          <w:p>
            <w:pPr>
              <w:widowControl/>
              <w:adjustRightInd w:val="0"/>
              <w:jc w:val="center"/>
              <w:rPr>
                <w:rFonts w:hAnsi="仿宋" w:cs="仿宋"/>
                <w:bCs/>
                <w:kern w:val="0"/>
                <w:sz w:val="21"/>
              </w:rPr>
            </w:pPr>
            <w:r>
              <w:rPr>
                <w:rFonts w:hint="eastAsia" w:hAnsi="仿宋" w:cs="仿宋"/>
                <w:bCs/>
                <w:kern w:val="0"/>
                <w:sz w:val="21"/>
              </w:rPr>
              <w:t>88.00%</w:t>
            </w:r>
          </w:p>
        </w:tc>
        <w:tc>
          <w:tcPr>
            <w:tcW w:w="1194" w:type="dxa"/>
          </w:tcPr>
          <w:p>
            <w:pPr>
              <w:widowControl/>
              <w:adjustRightInd w:val="0"/>
              <w:jc w:val="center"/>
              <w:rPr>
                <w:rFonts w:hAnsi="仿宋" w:cs="仿宋"/>
                <w:bCs/>
                <w:kern w:val="0"/>
                <w:sz w:val="21"/>
              </w:rPr>
            </w:pPr>
            <w:r>
              <w:rPr>
                <w:rFonts w:hint="eastAsia" w:hAnsi="仿宋" w:cs="仿宋"/>
                <w:bCs/>
                <w:kern w:val="0"/>
                <w:sz w:val="21"/>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tcPr>
          <w:p>
            <w:pPr>
              <w:widowControl/>
              <w:adjustRightInd w:val="0"/>
              <w:jc w:val="center"/>
              <w:rPr>
                <w:rFonts w:hAnsi="仿宋" w:cs="仿宋"/>
                <w:bCs/>
                <w:kern w:val="0"/>
                <w:sz w:val="21"/>
              </w:rPr>
            </w:pPr>
            <w:r>
              <w:rPr>
                <w:rFonts w:hint="eastAsia" w:hAnsi="仿宋" w:cs="仿宋"/>
                <w:bCs/>
                <w:kern w:val="0"/>
                <w:sz w:val="21"/>
              </w:rPr>
              <w:t>小  计</w:t>
            </w:r>
          </w:p>
        </w:tc>
        <w:tc>
          <w:tcPr>
            <w:tcW w:w="1224" w:type="dxa"/>
          </w:tcPr>
          <w:p>
            <w:pPr>
              <w:widowControl/>
              <w:adjustRightInd w:val="0"/>
              <w:jc w:val="center"/>
              <w:rPr>
                <w:rFonts w:hAnsi="仿宋" w:cs="仿宋"/>
                <w:bCs/>
                <w:kern w:val="0"/>
                <w:sz w:val="21"/>
              </w:rPr>
            </w:pPr>
            <w:r>
              <w:rPr>
                <w:rFonts w:hint="eastAsia" w:hAnsi="仿宋" w:cs="仿宋"/>
                <w:bCs/>
                <w:kern w:val="0"/>
                <w:sz w:val="21"/>
              </w:rPr>
              <w:t>5</w:t>
            </w:r>
          </w:p>
        </w:tc>
        <w:tc>
          <w:tcPr>
            <w:tcW w:w="1224" w:type="dxa"/>
          </w:tcPr>
          <w:p>
            <w:pPr>
              <w:widowControl/>
              <w:adjustRightInd w:val="0"/>
              <w:jc w:val="center"/>
              <w:rPr>
                <w:rFonts w:hAnsi="仿宋" w:cs="仿宋"/>
                <w:bCs/>
                <w:kern w:val="0"/>
                <w:sz w:val="21"/>
              </w:rPr>
            </w:pPr>
            <w:r>
              <w:rPr>
                <w:rFonts w:hint="eastAsia" w:hAnsi="仿宋" w:cs="仿宋"/>
                <w:bCs/>
                <w:kern w:val="0"/>
                <w:sz w:val="21"/>
              </w:rPr>
              <w:t>88.00%</w:t>
            </w:r>
          </w:p>
        </w:tc>
        <w:tc>
          <w:tcPr>
            <w:tcW w:w="1194" w:type="dxa"/>
          </w:tcPr>
          <w:p>
            <w:pPr>
              <w:widowControl/>
              <w:adjustRightInd w:val="0"/>
              <w:jc w:val="center"/>
              <w:rPr>
                <w:rFonts w:hAnsi="仿宋" w:cs="仿宋"/>
                <w:bCs/>
                <w:kern w:val="0"/>
                <w:sz w:val="21"/>
              </w:rPr>
            </w:pPr>
            <w:r>
              <w:rPr>
                <w:rFonts w:hint="eastAsia" w:hAnsi="仿宋" w:cs="仿宋"/>
                <w:bCs/>
                <w:kern w:val="0"/>
                <w:sz w:val="21"/>
              </w:rPr>
              <w:t>4.4</w:t>
            </w:r>
          </w:p>
        </w:tc>
      </w:tr>
    </w:tbl>
    <w:p>
      <w:pPr>
        <w:adjustRightInd w:val="0"/>
        <w:spacing w:line="579" w:lineRule="exact"/>
        <w:ind w:firstLine="630" w:firstLineChars="200"/>
        <w:rPr>
          <w:rFonts w:hAnsi="仿宋" w:cs="仿宋"/>
          <w:szCs w:val="30"/>
        </w:rPr>
      </w:pPr>
      <w:r>
        <w:rPr>
          <w:rFonts w:hint="eastAsia" w:hAnsi="仿宋" w:cs="仿宋"/>
          <w:szCs w:val="30"/>
        </w:rPr>
        <w:t>2021年义务教育阶段课后服务专项经费年初预算批复200万元，春季学期全区公办小学共有19681名小学生，共使用资金236.172万元，年末预算追加417.5万，全年区级财政保障经费合计617.5万元。</w:t>
      </w:r>
    </w:p>
    <w:p>
      <w:pPr>
        <w:adjustRightInd w:val="0"/>
        <w:spacing w:line="579" w:lineRule="exact"/>
        <w:ind w:firstLine="630" w:firstLineChars="200"/>
        <w:rPr>
          <w:rFonts w:ascii="楷体" w:hAnsi="楷体" w:eastAsia="楷体" w:cs="楷体"/>
          <w:bCs/>
          <w:spacing w:val="6"/>
          <w:szCs w:val="30"/>
        </w:rPr>
      </w:pPr>
      <w:r>
        <w:rPr>
          <w:rFonts w:hint="eastAsia" w:hAnsi="仿宋" w:cs="仿宋"/>
          <w:szCs w:val="30"/>
        </w:rPr>
        <w:t>该项指标满分为5分，根据评分标准得4.4分。</w:t>
      </w:r>
    </w:p>
    <w:p>
      <w:pPr>
        <w:adjustRightInd w:val="0"/>
        <w:spacing w:line="579" w:lineRule="exact"/>
        <w:ind w:firstLine="630" w:firstLineChars="200"/>
        <w:outlineLvl w:val="1"/>
        <w:rPr>
          <w:rFonts w:ascii="楷体" w:hAnsi="楷体" w:eastAsia="楷体" w:cs="楷体"/>
          <w:szCs w:val="30"/>
        </w:rPr>
      </w:pPr>
      <w:bookmarkStart w:id="63" w:name="_Toc518317814"/>
      <w:bookmarkStart w:id="64" w:name="_Toc27589"/>
      <w:bookmarkStart w:id="65" w:name="_Toc517260978"/>
      <w:r>
        <w:rPr>
          <w:rFonts w:hint="eastAsia" w:ascii="楷体" w:hAnsi="楷体" w:eastAsia="楷体" w:cs="楷体"/>
          <w:szCs w:val="30"/>
        </w:rPr>
        <w:t>（四）项目效益情况</w:t>
      </w:r>
      <w:bookmarkEnd w:id="63"/>
      <w:bookmarkEnd w:id="64"/>
      <w:bookmarkEnd w:id="65"/>
    </w:p>
    <w:p>
      <w:pPr>
        <w:adjustRightInd w:val="0"/>
        <w:spacing w:line="579" w:lineRule="exact"/>
        <w:ind w:firstLine="624"/>
        <w:rPr>
          <w:rFonts w:ascii="楷体" w:hAnsi="楷体" w:eastAsia="楷体" w:cs="楷体"/>
          <w:bCs/>
          <w:spacing w:val="6"/>
          <w:szCs w:val="30"/>
        </w:rPr>
      </w:pPr>
      <w:r>
        <w:rPr>
          <w:rFonts w:hint="eastAsia" w:hAnsi="仿宋" w:cs="仿宋"/>
          <w:szCs w:val="30"/>
        </w:rPr>
        <w:t>项目效益类指标，包括社会效益、可持续影响和服务对象满意度三个方面的内容，由4个三级指标构成。指标得分满分30分，实际得分16.81分，得分率56.03%。该部分主要考察项目社会效益、可持续影响和服务对象满意度等方面的实现情况。各指标分值和得分情况详见表4-10：</w:t>
      </w:r>
    </w:p>
    <w:p>
      <w:pPr>
        <w:widowControl/>
        <w:adjustRightInd w:val="0"/>
        <w:spacing w:line="579" w:lineRule="exact"/>
        <w:jc w:val="center"/>
        <w:rPr>
          <w:rFonts w:ascii="楷体" w:hAnsi="楷体" w:eastAsia="楷体" w:cs="楷体"/>
          <w:bCs/>
          <w:szCs w:val="30"/>
        </w:rPr>
      </w:pPr>
      <w:r>
        <w:rPr>
          <w:rFonts w:hint="eastAsia" w:ascii="黑体" w:hAnsi="黑体" w:eastAsia="黑体" w:cs="黑体"/>
          <w:bCs/>
          <w:sz w:val="24"/>
          <w:szCs w:val="24"/>
        </w:rPr>
        <w:t>表4-10：“项目效益”指标评价分析及绩效得分情况</w:t>
      </w:r>
    </w:p>
    <w:tbl>
      <w:tblPr>
        <w:tblStyle w:val="16"/>
        <w:tblW w:w="88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5202"/>
        <w:gridCol w:w="1224"/>
        <w:gridCol w:w="1224"/>
        <w:gridCol w:w="1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blHeader/>
          <w:jc w:val="center"/>
        </w:trPr>
        <w:tc>
          <w:tcPr>
            <w:tcW w:w="5202" w:type="dxa"/>
          </w:tcPr>
          <w:p>
            <w:pPr>
              <w:widowControl/>
              <w:adjustRightInd w:val="0"/>
              <w:jc w:val="center"/>
              <w:rPr>
                <w:rFonts w:hAnsi="仿宋" w:cs="仿宋"/>
                <w:b/>
                <w:kern w:val="0"/>
                <w:sz w:val="21"/>
              </w:rPr>
            </w:pPr>
            <w:r>
              <w:rPr>
                <w:rFonts w:hint="eastAsia" w:hAnsi="仿宋" w:cs="仿宋"/>
                <w:b/>
                <w:kern w:val="0"/>
                <w:sz w:val="21"/>
              </w:rPr>
              <w:t>指标名称</w:t>
            </w:r>
          </w:p>
        </w:tc>
        <w:tc>
          <w:tcPr>
            <w:tcW w:w="1224" w:type="dxa"/>
          </w:tcPr>
          <w:p>
            <w:pPr>
              <w:widowControl/>
              <w:adjustRightInd w:val="0"/>
              <w:jc w:val="center"/>
              <w:rPr>
                <w:rFonts w:hAnsi="仿宋" w:cs="仿宋"/>
                <w:b/>
                <w:kern w:val="0"/>
                <w:sz w:val="21"/>
              </w:rPr>
            </w:pPr>
            <w:r>
              <w:rPr>
                <w:rFonts w:hint="eastAsia" w:hAnsi="仿宋" w:cs="仿宋"/>
                <w:b/>
                <w:kern w:val="0"/>
                <w:sz w:val="21"/>
              </w:rPr>
              <w:t>指标权重</w:t>
            </w:r>
          </w:p>
        </w:tc>
        <w:tc>
          <w:tcPr>
            <w:tcW w:w="1224" w:type="dxa"/>
          </w:tcPr>
          <w:p>
            <w:pPr>
              <w:widowControl/>
              <w:adjustRightInd w:val="0"/>
              <w:jc w:val="center"/>
              <w:rPr>
                <w:rFonts w:hAnsi="仿宋" w:cs="仿宋"/>
                <w:b/>
                <w:kern w:val="0"/>
                <w:sz w:val="21"/>
              </w:rPr>
            </w:pPr>
            <w:r>
              <w:rPr>
                <w:rFonts w:hint="eastAsia" w:hAnsi="仿宋" w:cs="仿宋"/>
                <w:b/>
                <w:kern w:val="0"/>
                <w:sz w:val="21"/>
              </w:rPr>
              <w:t>业绩值</w:t>
            </w:r>
          </w:p>
        </w:tc>
        <w:tc>
          <w:tcPr>
            <w:tcW w:w="1194" w:type="dxa"/>
          </w:tcPr>
          <w:p>
            <w:pPr>
              <w:widowControl/>
              <w:adjustRightInd w:val="0"/>
              <w:jc w:val="center"/>
              <w:rPr>
                <w:rFonts w:hAnsi="仿宋" w:cs="仿宋"/>
                <w:b/>
                <w:kern w:val="0"/>
                <w:sz w:val="21"/>
              </w:rPr>
            </w:pPr>
            <w:r>
              <w:rPr>
                <w:rFonts w:hint="eastAsia" w:hAnsi="仿宋" w:cs="仿宋"/>
                <w:b/>
                <w:kern w:val="0"/>
                <w:sz w:val="21"/>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vAlign w:val="center"/>
          </w:tcPr>
          <w:p>
            <w:pPr>
              <w:widowControl/>
              <w:adjustRightInd w:val="0"/>
              <w:jc w:val="left"/>
              <w:rPr>
                <w:rFonts w:hAnsi="仿宋" w:cs="仿宋"/>
                <w:bCs/>
                <w:sz w:val="21"/>
              </w:rPr>
            </w:pPr>
            <w:r>
              <w:rPr>
                <w:rFonts w:hint="eastAsia" w:hAnsi="仿宋" w:cs="仿宋"/>
                <w:bCs/>
                <w:sz w:val="21"/>
              </w:rPr>
              <w:t>1.社会效益</w:t>
            </w:r>
          </w:p>
        </w:tc>
        <w:tc>
          <w:tcPr>
            <w:tcW w:w="1224" w:type="dxa"/>
            <w:vAlign w:val="center"/>
          </w:tcPr>
          <w:p>
            <w:pPr>
              <w:widowControl/>
              <w:adjustRightInd w:val="0"/>
              <w:jc w:val="center"/>
              <w:rPr>
                <w:rFonts w:hAnsi="仿宋" w:cs="仿宋"/>
                <w:bCs/>
                <w:kern w:val="0"/>
                <w:sz w:val="21"/>
              </w:rPr>
            </w:pPr>
          </w:p>
        </w:tc>
        <w:tc>
          <w:tcPr>
            <w:tcW w:w="1224" w:type="dxa"/>
            <w:vAlign w:val="center"/>
          </w:tcPr>
          <w:p>
            <w:pPr>
              <w:widowControl/>
              <w:adjustRightInd w:val="0"/>
              <w:jc w:val="center"/>
              <w:rPr>
                <w:rFonts w:hAnsi="仿宋" w:cs="仿宋"/>
                <w:bCs/>
                <w:kern w:val="0"/>
                <w:sz w:val="21"/>
              </w:rPr>
            </w:pPr>
          </w:p>
        </w:tc>
        <w:tc>
          <w:tcPr>
            <w:tcW w:w="1194" w:type="dxa"/>
            <w:vAlign w:val="center"/>
          </w:tcPr>
          <w:p>
            <w:pPr>
              <w:widowControl/>
              <w:adjustRightInd w:val="0"/>
              <w:jc w:val="center"/>
              <w:rPr>
                <w:rFonts w:hAnsi="仿宋" w:cs="仿宋"/>
                <w:bCs/>
                <w:kern w:val="0"/>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vAlign w:val="center"/>
          </w:tcPr>
          <w:p>
            <w:pPr>
              <w:widowControl/>
              <w:jc w:val="center"/>
              <w:textAlignment w:val="center"/>
              <w:rPr>
                <w:rFonts w:hAnsi="仿宋" w:cs="仿宋"/>
                <w:bCs/>
                <w:kern w:val="0"/>
                <w:sz w:val="21"/>
              </w:rPr>
            </w:pPr>
            <w:r>
              <w:rPr>
                <w:rFonts w:hint="eastAsia" w:hAnsi="仿宋" w:cs="仿宋"/>
                <w:color w:val="000000"/>
                <w:kern w:val="0"/>
                <w:sz w:val="21"/>
                <w:lang w:bidi="ar"/>
              </w:rPr>
              <w:t>减轻家长教育负担</w:t>
            </w:r>
          </w:p>
        </w:tc>
        <w:tc>
          <w:tcPr>
            <w:tcW w:w="1224" w:type="dxa"/>
          </w:tcPr>
          <w:p>
            <w:pPr>
              <w:widowControl/>
              <w:jc w:val="center"/>
              <w:textAlignment w:val="top"/>
              <w:rPr>
                <w:rFonts w:hAnsi="仿宋" w:cs="仿宋"/>
                <w:bCs/>
                <w:kern w:val="0"/>
                <w:sz w:val="21"/>
              </w:rPr>
            </w:pPr>
            <w:r>
              <w:rPr>
                <w:rFonts w:hint="eastAsia" w:hAnsi="仿宋" w:cs="仿宋"/>
                <w:color w:val="000000"/>
                <w:kern w:val="0"/>
                <w:sz w:val="21"/>
                <w:lang w:bidi="ar"/>
              </w:rPr>
              <w:t>10</w:t>
            </w:r>
          </w:p>
        </w:tc>
        <w:tc>
          <w:tcPr>
            <w:tcW w:w="1224" w:type="dxa"/>
            <w:vAlign w:val="center"/>
          </w:tcPr>
          <w:p>
            <w:pPr>
              <w:widowControl/>
              <w:jc w:val="center"/>
              <w:textAlignment w:val="center"/>
              <w:rPr>
                <w:rFonts w:hAnsi="仿宋" w:cs="仿宋"/>
                <w:bCs/>
                <w:kern w:val="0"/>
                <w:sz w:val="21"/>
              </w:rPr>
            </w:pPr>
            <w:r>
              <w:rPr>
                <w:rFonts w:hint="eastAsia" w:hAnsi="仿宋" w:cs="仿宋"/>
                <w:color w:val="000000"/>
                <w:kern w:val="0"/>
                <w:sz w:val="21"/>
                <w:lang w:bidi="ar"/>
              </w:rPr>
              <w:t>60.90%</w:t>
            </w:r>
          </w:p>
        </w:tc>
        <w:tc>
          <w:tcPr>
            <w:tcW w:w="1194" w:type="dxa"/>
            <w:vAlign w:val="center"/>
          </w:tcPr>
          <w:p>
            <w:pPr>
              <w:widowControl/>
              <w:jc w:val="center"/>
              <w:textAlignment w:val="center"/>
              <w:rPr>
                <w:rFonts w:hAnsi="仿宋" w:cs="仿宋"/>
                <w:bCs/>
                <w:kern w:val="0"/>
                <w:sz w:val="21"/>
              </w:rPr>
            </w:pPr>
            <w:r>
              <w:rPr>
                <w:rFonts w:hint="eastAsia" w:hAnsi="仿宋" w:cs="仿宋"/>
                <w:color w:val="000000"/>
                <w:kern w:val="0"/>
                <w:sz w:val="21"/>
                <w:lang w:bidi="ar"/>
              </w:rPr>
              <w:t>6.09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vAlign w:val="center"/>
          </w:tcPr>
          <w:p>
            <w:pPr>
              <w:widowControl/>
              <w:adjustRightInd w:val="0"/>
              <w:jc w:val="left"/>
              <w:rPr>
                <w:rFonts w:hAnsi="仿宋" w:cs="仿宋"/>
                <w:bCs/>
                <w:sz w:val="21"/>
              </w:rPr>
            </w:pPr>
            <w:r>
              <w:rPr>
                <w:rFonts w:hint="eastAsia" w:hAnsi="仿宋" w:cs="仿宋"/>
                <w:bCs/>
                <w:sz w:val="21"/>
              </w:rPr>
              <w:t>2.可持续影响</w:t>
            </w:r>
          </w:p>
        </w:tc>
        <w:tc>
          <w:tcPr>
            <w:tcW w:w="1224" w:type="dxa"/>
            <w:vAlign w:val="bottom"/>
          </w:tcPr>
          <w:p>
            <w:pPr>
              <w:jc w:val="center"/>
              <w:rPr>
                <w:rFonts w:hAnsi="仿宋" w:cs="仿宋"/>
                <w:bCs/>
                <w:kern w:val="0"/>
                <w:sz w:val="21"/>
              </w:rPr>
            </w:pPr>
          </w:p>
        </w:tc>
        <w:tc>
          <w:tcPr>
            <w:tcW w:w="1224" w:type="dxa"/>
            <w:vAlign w:val="bottom"/>
          </w:tcPr>
          <w:p>
            <w:pPr>
              <w:jc w:val="center"/>
              <w:rPr>
                <w:rFonts w:hAnsi="仿宋" w:cs="仿宋"/>
                <w:bCs/>
                <w:kern w:val="0"/>
                <w:sz w:val="21"/>
              </w:rPr>
            </w:pPr>
          </w:p>
        </w:tc>
        <w:tc>
          <w:tcPr>
            <w:tcW w:w="1194" w:type="dxa"/>
            <w:vAlign w:val="bottom"/>
          </w:tcPr>
          <w:p>
            <w:pPr>
              <w:jc w:val="center"/>
              <w:rPr>
                <w:rFonts w:hAnsi="仿宋" w:cs="仿宋"/>
                <w:bCs/>
                <w:kern w:val="0"/>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vAlign w:val="center"/>
          </w:tcPr>
          <w:p>
            <w:pPr>
              <w:widowControl/>
              <w:jc w:val="center"/>
              <w:textAlignment w:val="center"/>
              <w:rPr>
                <w:rFonts w:hAnsi="仿宋" w:cs="仿宋"/>
                <w:bCs/>
                <w:kern w:val="0"/>
                <w:sz w:val="21"/>
              </w:rPr>
            </w:pPr>
            <w:r>
              <w:rPr>
                <w:rFonts w:hint="eastAsia" w:hAnsi="仿宋" w:cs="仿宋"/>
                <w:color w:val="000000"/>
                <w:kern w:val="0"/>
                <w:sz w:val="21"/>
                <w:lang w:bidi="ar"/>
              </w:rPr>
              <w:t>为教育服务奠定基础</w:t>
            </w:r>
          </w:p>
        </w:tc>
        <w:tc>
          <w:tcPr>
            <w:tcW w:w="1224" w:type="dxa"/>
            <w:vAlign w:val="bottom"/>
          </w:tcPr>
          <w:p>
            <w:pPr>
              <w:widowControl/>
              <w:jc w:val="center"/>
              <w:textAlignment w:val="bottom"/>
              <w:rPr>
                <w:rFonts w:hAnsi="仿宋" w:cs="仿宋"/>
                <w:bCs/>
                <w:kern w:val="0"/>
                <w:sz w:val="21"/>
              </w:rPr>
            </w:pPr>
            <w:r>
              <w:rPr>
                <w:rFonts w:hint="eastAsia" w:hAnsi="仿宋" w:cs="仿宋"/>
                <w:color w:val="000000"/>
                <w:kern w:val="0"/>
                <w:sz w:val="21"/>
                <w:lang w:bidi="ar"/>
              </w:rPr>
              <w:t>10</w:t>
            </w:r>
          </w:p>
        </w:tc>
        <w:tc>
          <w:tcPr>
            <w:tcW w:w="1224" w:type="dxa"/>
            <w:vAlign w:val="center"/>
          </w:tcPr>
          <w:p>
            <w:pPr>
              <w:widowControl/>
              <w:jc w:val="center"/>
              <w:textAlignment w:val="center"/>
              <w:rPr>
                <w:rFonts w:hAnsi="仿宋" w:cs="仿宋"/>
                <w:bCs/>
                <w:kern w:val="0"/>
                <w:sz w:val="21"/>
              </w:rPr>
            </w:pPr>
            <w:r>
              <w:rPr>
                <w:rFonts w:hint="eastAsia" w:hAnsi="仿宋" w:cs="仿宋"/>
                <w:color w:val="000000"/>
                <w:kern w:val="0"/>
                <w:sz w:val="21"/>
                <w:lang w:bidi="ar"/>
              </w:rPr>
              <w:t>67.20%</w:t>
            </w:r>
          </w:p>
        </w:tc>
        <w:tc>
          <w:tcPr>
            <w:tcW w:w="1194" w:type="dxa"/>
            <w:vAlign w:val="center"/>
          </w:tcPr>
          <w:p>
            <w:pPr>
              <w:widowControl/>
              <w:jc w:val="center"/>
              <w:textAlignment w:val="center"/>
              <w:rPr>
                <w:rFonts w:hAnsi="仿宋" w:cs="仿宋"/>
                <w:bCs/>
                <w:kern w:val="0"/>
                <w:sz w:val="21"/>
              </w:rPr>
            </w:pPr>
            <w:r>
              <w:rPr>
                <w:rFonts w:hint="eastAsia" w:hAnsi="仿宋" w:cs="仿宋"/>
                <w:color w:val="000000"/>
                <w:kern w:val="0"/>
                <w:sz w:val="21"/>
                <w:lang w:bidi="ar"/>
              </w:rPr>
              <w:t>6.72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vAlign w:val="center"/>
          </w:tcPr>
          <w:p>
            <w:pPr>
              <w:widowControl/>
              <w:adjustRightInd w:val="0"/>
              <w:jc w:val="left"/>
              <w:rPr>
                <w:rFonts w:hAnsi="仿宋" w:cs="仿宋"/>
                <w:bCs/>
                <w:kern w:val="0"/>
                <w:sz w:val="21"/>
              </w:rPr>
            </w:pPr>
            <w:r>
              <w:rPr>
                <w:rFonts w:hint="eastAsia" w:hAnsi="仿宋" w:cs="仿宋"/>
                <w:bCs/>
                <w:kern w:val="0"/>
                <w:sz w:val="21"/>
              </w:rPr>
              <w:t>3.服务对象满意度</w:t>
            </w:r>
          </w:p>
        </w:tc>
        <w:tc>
          <w:tcPr>
            <w:tcW w:w="1224" w:type="dxa"/>
            <w:vAlign w:val="bottom"/>
          </w:tcPr>
          <w:p>
            <w:pPr>
              <w:jc w:val="center"/>
              <w:rPr>
                <w:rFonts w:hAnsi="仿宋" w:cs="仿宋"/>
                <w:bCs/>
                <w:kern w:val="0"/>
                <w:sz w:val="21"/>
              </w:rPr>
            </w:pPr>
          </w:p>
        </w:tc>
        <w:tc>
          <w:tcPr>
            <w:tcW w:w="1224" w:type="dxa"/>
          </w:tcPr>
          <w:p>
            <w:pPr>
              <w:jc w:val="center"/>
              <w:rPr>
                <w:rFonts w:hAnsi="仿宋" w:cs="仿宋"/>
                <w:bCs/>
                <w:kern w:val="0"/>
                <w:sz w:val="21"/>
              </w:rPr>
            </w:pPr>
          </w:p>
        </w:tc>
        <w:tc>
          <w:tcPr>
            <w:tcW w:w="1194" w:type="dxa"/>
            <w:vAlign w:val="bottom"/>
          </w:tcPr>
          <w:p>
            <w:pPr>
              <w:jc w:val="center"/>
              <w:rPr>
                <w:rFonts w:hAnsi="仿宋" w:cs="仿宋"/>
                <w:bCs/>
                <w:kern w:val="0"/>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vAlign w:val="center"/>
          </w:tcPr>
          <w:p>
            <w:pPr>
              <w:widowControl/>
              <w:jc w:val="center"/>
              <w:textAlignment w:val="center"/>
              <w:rPr>
                <w:rFonts w:hAnsi="仿宋" w:cs="仿宋"/>
                <w:bCs/>
                <w:kern w:val="0"/>
                <w:sz w:val="21"/>
              </w:rPr>
            </w:pPr>
            <w:r>
              <w:rPr>
                <w:rFonts w:hint="eastAsia" w:hAnsi="仿宋" w:cs="仿宋"/>
                <w:color w:val="000000"/>
                <w:kern w:val="0"/>
                <w:sz w:val="21"/>
                <w:lang w:bidi="ar"/>
              </w:rPr>
              <w:t>学生家长满意度</w:t>
            </w:r>
          </w:p>
        </w:tc>
        <w:tc>
          <w:tcPr>
            <w:tcW w:w="1224" w:type="dxa"/>
            <w:vAlign w:val="bottom"/>
          </w:tcPr>
          <w:p>
            <w:pPr>
              <w:widowControl/>
              <w:jc w:val="center"/>
              <w:textAlignment w:val="bottom"/>
              <w:rPr>
                <w:rFonts w:hAnsi="仿宋" w:cs="仿宋"/>
                <w:bCs/>
                <w:kern w:val="0"/>
                <w:sz w:val="21"/>
              </w:rPr>
            </w:pPr>
            <w:r>
              <w:rPr>
                <w:rFonts w:hint="eastAsia" w:hAnsi="仿宋" w:cs="仿宋"/>
                <w:color w:val="000000"/>
                <w:kern w:val="0"/>
                <w:sz w:val="21"/>
                <w:lang w:bidi="ar"/>
              </w:rPr>
              <w:t>5</w:t>
            </w:r>
          </w:p>
        </w:tc>
        <w:tc>
          <w:tcPr>
            <w:tcW w:w="1224" w:type="dxa"/>
            <w:vAlign w:val="center"/>
          </w:tcPr>
          <w:p>
            <w:pPr>
              <w:widowControl/>
              <w:jc w:val="center"/>
              <w:textAlignment w:val="center"/>
              <w:rPr>
                <w:rFonts w:hAnsi="仿宋" w:cs="仿宋"/>
                <w:bCs/>
                <w:color w:val="FF0000"/>
                <w:kern w:val="0"/>
                <w:sz w:val="21"/>
              </w:rPr>
            </w:pPr>
            <w:r>
              <w:rPr>
                <w:rFonts w:hint="eastAsia" w:hAnsi="仿宋" w:cs="仿宋"/>
                <w:color w:val="000000"/>
                <w:kern w:val="0"/>
                <w:sz w:val="21"/>
                <w:lang w:bidi="ar"/>
              </w:rPr>
              <w:t>80.00%</w:t>
            </w:r>
          </w:p>
        </w:tc>
        <w:tc>
          <w:tcPr>
            <w:tcW w:w="1194" w:type="dxa"/>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vAlign w:val="center"/>
          </w:tcPr>
          <w:p>
            <w:pPr>
              <w:widowControl/>
              <w:jc w:val="center"/>
              <w:textAlignment w:val="center"/>
              <w:rPr>
                <w:rFonts w:hAnsi="仿宋" w:cs="仿宋"/>
                <w:bCs/>
                <w:kern w:val="0"/>
                <w:sz w:val="21"/>
              </w:rPr>
            </w:pPr>
            <w:r>
              <w:rPr>
                <w:rFonts w:hint="eastAsia" w:hAnsi="仿宋" w:cs="仿宋"/>
                <w:color w:val="000000"/>
                <w:kern w:val="0"/>
                <w:sz w:val="21"/>
                <w:lang w:bidi="ar"/>
              </w:rPr>
              <w:t>教师满意度</w:t>
            </w:r>
          </w:p>
        </w:tc>
        <w:tc>
          <w:tcPr>
            <w:tcW w:w="1224" w:type="dxa"/>
            <w:vAlign w:val="bottom"/>
          </w:tcPr>
          <w:p>
            <w:pPr>
              <w:widowControl/>
              <w:jc w:val="center"/>
              <w:textAlignment w:val="bottom"/>
              <w:rPr>
                <w:rFonts w:hAnsi="仿宋" w:cs="仿宋"/>
                <w:bCs/>
                <w:kern w:val="0"/>
                <w:sz w:val="21"/>
              </w:rPr>
            </w:pPr>
            <w:r>
              <w:rPr>
                <w:rFonts w:hint="eastAsia" w:hAnsi="仿宋" w:cs="仿宋"/>
                <w:color w:val="000000"/>
                <w:kern w:val="0"/>
                <w:sz w:val="21"/>
                <w:lang w:bidi="ar"/>
              </w:rPr>
              <w:t>5</w:t>
            </w:r>
          </w:p>
        </w:tc>
        <w:tc>
          <w:tcPr>
            <w:tcW w:w="1224" w:type="dxa"/>
            <w:vAlign w:val="center"/>
          </w:tcPr>
          <w:p>
            <w:pPr>
              <w:widowControl/>
              <w:jc w:val="center"/>
              <w:textAlignment w:val="center"/>
              <w:rPr>
                <w:rFonts w:hAnsi="仿宋" w:cs="仿宋"/>
                <w:bCs/>
                <w:color w:val="FF0000"/>
                <w:kern w:val="0"/>
                <w:sz w:val="21"/>
              </w:rPr>
            </w:pPr>
            <w:r>
              <w:rPr>
                <w:rFonts w:hint="eastAsia" w:hAnsi="仿宋" w:cs="仿宋"/>
                <w:color w:val="000000"/>
                <w:kern w:val="0"/>
                <w:sz w:val="21"/>
                <w:lang w:bidi="ar"/>
              </w:rPr>
              <w:t>80.00%</w:t>
            </w:r>
          </w:p>
        </w:tc>
        <w:tc>
          <w:tcPr>
            <w:tcW w:w="1194" w:type="dxa"/>
            <w:vAlign w:val="center"/>
          </w:tcPr>
          <w:p>
            <w:pPr>
              <w:widowControl/>
              <w:jc w:val="center"/>
              <w:textAlignment w:val="center"/>
              <w:rPr>
                <w:rFonts w:hAnsi="仿宋" w:cs="仿宋"/>
                <w:color w:val="000000"/>
                <w:kern w:val="0"/>
                <w:sz w:val="21"/>
                <w:lang w:bidi="ar"/>
              </w:rPr>
            </w:pPr>
            <w:r>
              <w:rPr>
                <w:rFonts w:hint="eastAsia" w:hAnsi="仿宋" w:cs="仿宋"/>
                <w:color w:val="000000"/>
                <w:kern w:val="0"/>
                <w:sz w:val="21"/>
                <w:lang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jc w:val="center"/>
        </w:trPr>
        <w:tc>
          <w:tcPr>
            <w:tcW w:w="5202" w:type="dxa"/>
          </w:tcPr>
          <w:p>
            <w:pPr>
              <w:widowControl/>
              <w:adjustRightInd w:val="0"/>
              <w:jc w:val="center"/>
              <w:rPr>
                <w:rFonts w:hAnsi="仿宋" w:cs="仿宋"/>
                <w:bCs/>
                <w:kern w:val="0"/>
                <w:sz w:val="21"/>
              </w:rPr>
            </w:pPr>
            <w:r>
              <w:rPr>
                <w:rFonts w:hint="eastAsia" w:hAnsi="仿宋" w:cs="仿宋"/>
                <w:bCs/>
                <w:kern w:val="0"/>
                <w:sz w:val="21"/>
              </w:rPr>
              <w:t>小  计</w:t>
            </w:r>
          </w:p>
        </w:tc>
        <w:tc>
          <w:tcPr>
            <w:tcW w:w="1224" w:type="dxa"/>
          </w:tcPr>
          <w:p>
            <w:pPr>
              <w:widowControl/>
              <w:jc w:val="center"/>
              <w:textAlignment w:val="top"/>
              <w:rPr>
                <w:rFonts w:hAnsi="仿宋" w:cs="仿宋"/>
                <w:bCs/>
                <w:kern w:val="0"/>
                <w:sz w:val="21"/>
              </w:rPr>
            </w:pPr>
            <w:r>
              <w:rPr>
                <w:rFonts w:hint="eastAsia" w:hAnsi="仿宋" w:cs="仿宋"/>
                <w:color w:val="000000"/>
                <w:kern w:val="0"/>
                <w:sz w:val="21"/>
                <w:lang w:bidi="ar"/>
              </w:rPr>
              <w:t>30</w:t>
            </w:r>
          </w:p>
        </w:tc>
        <w:tc>
          <w:tcPr>
            <w:tcW w:w="1224" w:type="dxa"/>
            <w:vAlign w:val="center"/>
          </w:tcPr>
          <w:p>
            <w:pPr>
              <w:widowControl/>
              <w:jc w:val="center"/>
              <w:textAlignment w:val="center"/>
              <w:rPr>
                <w:rFonts w:hAnsi="仿宋" w:cs="仿宋"/>
                <w:bCs/>
                <w:kern w:val="0"/>
                <w:sz w:val="21"/>
              </w:rPr>
            </w:pPr>
            <w:r>
              <w:rPr>
                <w:rFonts w:hint="eastAsia" w:hAnsi="仿宋" w:cs="仿宋"/>
                <w:color w:val="000000"/>
                <w:kern w:val="0"/>
                <w:sz w:val="21"/>
                <w:lang w:bidi="ar"/>
              </w:rPr>
              <w:t>69.37%</w:t>
            </w:r>
          </w:p>
        </w:tc>
        <w:tc>
          <w:tcPr>
            <w:tcW w:w="1194" w:type="dxa"/>
            <w:vAlign w:val="center"/>
          </w:tcPr>
          <w:p>
            <w:pPr>
              <w:widowControl/>
              <w:jc w:val="center"/>
              <w:textAlignment w:val="center"/>
              <w:rPr>
                <w:rFonts w:hAnsi="仿宋" w:cs="仿宋"/>
                <w:bCs/>
                <w:kern w:val="0"/>
                <w:sz w:val="21"/>
              </w:rPr>
            </w:pPr>
            <w:r>
              <w:rPr>
                <w:rFonts w:hint="eastAsia" w:hAnsi="仿宋" w:cs="仿宋"/>
                <w:color w:val="000000"/>
                <w:kern w:val="0"/>
                <w:sz w:val="21"/>
                <w:lang w:bidi="ar"/>
              </w:rPr>
              <w:t>20.81</w:t>
            </w:r>
          </w:p>
        </w:tc>
      </w:tr>
    </w:tbl>
    <w:p>
      <w:pPr>
        <w:adjustRightInd w:val="0"/>
        <w:spacing w:line="579" w:lineRule="exact"/>
        <w:ind w:firstLine="624"/>
        <w:rPr>
          <w:rFonts w:hAnsi="仿宋" w:cs="仿宋"/>
          <w:szCs w:val="30"/>
        </w:rPr>
      </w:pPr>
      <w:r>
        <w:rPr>
          <w:rFonts w:hint="eastAsia" w:hAnsi="仿宋" w:cs="仿宋"/>
          <w:szCs w:val="30"/>
        </w:rPr>
        <w:t>1.社会效益</w:t>
      </w:r>
    </w:p>
    <w:p>
      <w:pPr>
        <w:adjustRightInd w:val="0"/>
        <w:spacing w:line="579" w:lineRule="exact"/>
        <w:ind w:firstLine="624"/>
        <w:rPr>
          <w:rFonts w:hAnsi="仿宋" w:cs="仿宋"/>
          <w:szCs w:val="30"/>
          <w:lang w:val="zh-CN"/>
        </w:rPr>
      </w:pPr>
      <w:r>
        <w:rPr>
          <w:rFonts w:hint="eastAsia" w:hAnsi="仿宋" w:cs="仿宋"/>
          <w:szCs w:val="30"/>
          <w:lang w:val="zh-CN"/>
        </w:rPr>
        <w:t>昆明市晋宁区各校采取丰富多样的课后服务方式和科学合理的课后服务内容，建立弹性离校制度，帮助家长解决无法按时接管孩子的困难，减轻家长辅导孩子功课的负担，切实解决“三点半”难题。</w:t>
      </w:r>
      <w:bookmarkStart w:id="66" w:name="_Hlk124539927"/>
      <w:r>
        <w:rPr>
          <w:rFonts w:hint="eastAsia" w:hAnsi="仿宋" w:cs="仿宋"/>
          <w:szCs w:val="30"/>
        </w:rPr>
        <w:t>经对受益群体（学生家长及相关人群）问卷调查结果</w:t>
      </w:r>
      <w:r>
        <w:rPr>
          <w:rFonts w:hint="eastAsia" w:hAnsi="仿宋" w:cs="仿宋"/>
          <w:szCs w:val="30"/>
          <w:lang w:val="zh-CN"/>
        </w:rPr>
        <w:t>显示：</w:t>
      </w:r>
      <w:bookmarkEnd w:id="66"/>
      <w:r>
        <w:rPr>
          <w:rFonts w:hint="eastAsia" w:hAnsi="仿宋" w:cs="仿宋"/>
          <w:szCs w:val="30"/>
          <w:lang w:val="zh-CN"/>
        </w:rPr>
        <w:t>①课后延时服务项目减轻家长辅导功课负担，满意度为61.11%；②认为课后延时服务项目缓解家长接送困难，满意度为60.65%。</w:t>
      </w:r>
    </w:p>
    <w:p>
      <w:pPr>
        <w:adjustRightInd w:val="0"/>
        <w:spacing w:line="579" w:lineRule="exact"/>
        <w:ind w:firstLine="624"/>
        <w:rPr>
          <w:rFonts w:hAnsi="仿宋" w:cs="仿宋"/>
          <w:szCs w:val="30"/>
        </w:rPr>
      </w:pPr>
      <w:r>
        <w:rPr>
          <w:rFonts w:hint="eastAsia" w:hAnsi="仿宋" w:cs="仿宋"/>
          <w:szCs w:val="30"/>
        </w:rPr>
        <w:t>该项指标满分为10分，根据评分标准得6.09分。</w:t>
      </w:r>
    </w:p>
    <w:p>
      <w:pPr>
        <w:adjustRightInd w:val="0"/>
        <w:spacing w:line="579" w:lineRule="exact"/>
        <w:ind w:firstLine="624"/>
        <w:rPr>
          <w:rFonts w:hAnsi="仿宋" w:cs="仿宋"/>
          <w:szCs w:val="30"/>
        </w:rPr>
      </w:pPr>
      <w:r>
        <w:rPr>
          <w:rFonts w:hint="eastAsia" w:hAnsi="仿宋" w:cs="仿宋"/>
          <w:szCs w:val="30"/>
        </w:rPr>
        <w:t>2.可持续影响</w:t>
      </w:r>
    </w:p>
    <w:p>
      <w:pPr>
        <w:adjustRightInd w:val="0"/>
        <w:spacing w:line="579" w:lineRule="exact"/>
        <w:ind w:firstLine="624"/>
        <w:rPr>
          <w:rFonts w:hAnsi="仿宋" w:cs="仿宋"/>
          <w:szCs w:val="30"/>
        </w:rPr>
      </w:pPr>
      <w:r>
        <w:rPr>
          <w:rFonts w:hint="eastAsia" w:hAnsi="仿宋" w:cs="仿宋"/>
          <w:szCs w:val="30"/>
        </w:rPr>
        <w:t>进一步增强教育服务能力，解除群众后顾之忧、保障学生健康安全，使区内广大家庭和居民具有更多获得感和幸福感。经对受益群体（学生家长及相关人群）问卷调查结果显示：①能进一步增强教育服务能力的认可度为90.11%；②解除群众的后顾之忧认可度为53.17%；③保障学生的健康安全认可度为62.36%；④使广大家庭和居民感到更多获得感和幸福感的认可度为53.98%。</w:t>
      </w:r>
    </w:p>
    <w:p>
      <w:pPr>
        <w:adjustRightInd w:val="0"/>
        <w:spacing w:line="579" w:lineRule="exact"/>
        <w:ind w:firstLine="624"/>
        <w:rPr>
          <w:rFonts w:hAnsi="仿宋" w:cs="仿宋"/>
          <w:szCs w:val="30"/>
        </w:rPr>
      </w:pPr>
      <w:r>
        <w:rPr>
          <w:rFonts w:hint="eastAsia" w:hAnsi="仿宋" w:cs="仿宋"/>
          <w:szCs w:val="30"/>
        </w:rPr>
        <w:t>该项指标满分为10分，根据评分标准得6.72分。</w:t>
      </w:r>
    </w:p>
    <w:p>
      <w:pPr>
        <w:adjustRightInd w:val="0"/>
        <w:spacing w:line="579" w:lineRule="exact"/>
        <w:ind w:firstLine="624"/>
        <w:rPr>
          <w:rFonts w:hAnsi="仿宋" w:cs="仿宋"/>
          <w:szCs w:val="30"/>
        </w:rPr>
      </w:pPr>
      <w:r>
        <w:rPr>
          <w:rFonts w:hint="eastAsia" w:hAnsi="仿宋" w:cs="仿宋"/>
          <w:szCs w:val="30"/>
        </w:rPr>
        <w:t>3.社会公众满意度。</w:t>
      </w:r>
    </w:p>
    <w:p>
      <w:pPr>
        <w:adjustRightInd w:val="0"/>
        <w:spacing w:line="579" w:lineRule="exact"/>
        <w:ind w:firstLine="624"/>
        <w:rPr>
          <w:rFonts w:hAnsi="仿宋" w:cs="仿宋"/>
          <w:szCs w:val="30"/>
        </w:rPr>
      </w:pPr>
      <w:r>
        <w:rPr>
          <w:rFonts w:hint="eastAsia" w:hAnsi="仿宋" w:cs="仿宋"/>
          <w:szCs w:val="30"/>
        </w:rPr>
        <w:t>通过发放调查问卷，了解社会公众的满意程度，本次绩效评价共发放问卷11700份，收回有效问卷11700份，其中对家长而言，认为开展课后服务可以让家长全身心的投入工作的占比80.59%，认为开展课后服务给家长减轻经济负担的占比61.11%,认为开展课后服务解决了“三点半”难题的占比60.65%，认为开展课后服务提升家长的幸福感的占比43.32%，对教师而言，认为课后服务有助于教师更加合理的给学生布置作业的占比80.68%，认为课后服务提高教师收入的占比9.35%，认为不用担心学生放学回家无人保护的情况的占比60.25%，认为可以加深教师对学生的熟悉度，因人而异教学的占比71.90%。</w:t>
      </w:r>
    </w:p>
    <w:p>
      <w:pPr>
        <w:adjustRightInd w:val="0"/>
        <w:spacing w:line="579" w:lineRule="exact"/>
        <w:ind w:firstLine="624"/>
        <w:rPr>
          <w:rFonts w:hAnsi="仿宋" w:cs="仿宋"/>
          <w:szCs w:val="30"/>
        </w:rPr>
      </w:pPr>
      <w:r>
        <w:rPr>
          <w:rFonts w:hint="eastAsia" w:hAnsi="仿宋" w:cs="仿宋"/>
          <w:szCs w:val="30"/>
        </w:rPr>
        <w:t>该项指标满分为10分，根据评分标准得8分。</w:t>
      </w:r>
    </w:p>
    <w:p>
      <w:pPr>
        <w:spacing w:line="579" w:lineRule="exact"/>
        <w:ind w:firstLine="630" w:firstLineChars="200"/>
        <w:outlineLvl w:val="0"/>
        <w:rPr>
          <w:rFonts w:ascii="黑体" w:hAnsi="黑体" w:eastAsia="黑体" w:cs="黑体"/>
          <w:szCs w:val="30"/>
        </w:rPr>
      </w:pPr>
      <w:bookmarkStart w:id="67" w:name="_Toc23990"/>
      <w:bookmarkStart w:id="68" w:name="_Hlk528850248"/>
      <w:r>
        <w:rPr>
          <w:rFonts w:hint="eastAsia" w:ascii="黑体" w:hAnsi="黑体" w:eastAsia="黑体" w:cs="黑体"/>
          <w:szCs w:val="30"/>
        </w:rPr>
        <w:t>五、存在问题及原因分析</w:t>
      </w:r>
      <w:bookmarkEnd w:id="67"/>
    </w:p>
    <w:bookmarkEnd w:id="68"/>
    <w:p>
      <w:pPr>
        <w:adjustRightInd w:val="0"/>
        <w:spacing w:line="579" w:lineRule="exact"/>
        <w:ind w:firstLine="630" w:firstLineChars="200"/>
        <w:outlineLvl w:val="1"/>
        <w:rPr>
          <w:rFonts w:ascii="楷体" w:hAnsi="楷体" w:eastAsia="楷体" w:cs="楷体"/>
          <w:szCs w:val="30"/>
        </w:rPr>
      </w:pPr>
      <w:bookmarkStart w:id="69" w:name="_Hlk528850280"/>
      <w:r>
        <w:rPr>
          <w:rFonts w:hint="eastAsia" w:ascii="楷体" w:hAnsi="楷体" w:eastAsia="楷体" w:cs="楷体"/>
          <w:szCs w:val="30"/>
        </w:rPr>
        <w:t>（一）专项资金预算的编制方法不够科学</w:t>
      </w:r>
    </w:p>
    <w:p>
      <w:pPr>
        <w:spacing w:line="579" w:lineRule="exact"/>
        <w:ind w:firstLine="617" w:firstLineChars="196"/>
        <w:rPr>
          <w:rFonts w:hAnsi="仿宋" w:cs="仿宋"/>
          <w:szCs w:val="30"/>
        </w:rPr>
      </w:pPr>
      <w:r>
        <w:rPr>
          <w:rFonts w:hint="eastAsia" w:hAnsi="仿宋" w:cs="仿宋"/>
          <w:szCs w:val="30"/>
        </w:rPr>
        <w:t>专项资金管理过程的第一步就是进行专项资金的预算，这也是整个过程中最关键的一步，最明显的作用就是能够有效管控和监督专项资金的整体。预算编制方法缺乏是目前财政专项资金管理过程中最为明显的问题，该过程中缺乏科学的论证和规划。不科学的预算编制方法会造成部分单位专项资金短期结余或超支</w:t>
      </w:r>
      <w:r>
        <w:rPr>
          <w:rFonts w:hint="eastAsia" w:ascii="黑体" w:hAnsi="黑体" w:eastAsia="黑体" w:cs="黑体"/>
          <w:color w:val="000000"/>
          <w:szCs w:val="30"/>
        </w:rPr>
        <w:t>，</w:t>
      </w:r>
      <w:r>
        <w:rPr>
          <w:rFonts w:hint="eastAsia" w:hAnsi="仿宋" w:cs="仿宋"/>
          <w:szCs w:val="30"/>
        </w:rPr>
        <w:t>从而对财政专项资金的高效使用造成不良影响；</w:t>
      </w:r>
    </w:p>
    <w:p>
      <w:pPr>
        <w:spacing w:line="579" w:lineRule="exact"/>
        <w:ind w:firstLine="617" w:firstLineChars="196"/>
        <w:rPr>
          <w:rFonts w:ascii="楷体" w:hAnsi="楷体" w:eastAsia="楷体" w:cs="楷体"/>
          <w:szCs w:val="30"/>
        </w:rPr>
      </w:pPr>
      <w:r>
        <w:rPr>
          <w:rFonts w:hint="eastAsia" w:ascii="楷体" w:hAnsi="楷体" w:eastAsia="楷体" w:cs="楷体"/>
          <w:szCs w:val="30"/>
        </w:rPr>
        <w:t>（二）预算绩效管理主体责任落实不到位，指标未细化</w:t>
      </w:r>
    </w:p>
    <w:p>
      <w:pPr>
        <w:spacing w:line="579" w:lineRule="exact"/>
        <w:ind w:firstLine="630" w:firstLineChars="200"/>
        <w:rPr>
          <w:rFonts w:hAnsi="仿宋"/>
          <w:szCs w:val="30"/>
        </w:rPr>
      </w:pPr>
      <w:r>
        <w:rPr>
          <w:rFonts w:hint="eastAsia" w:hAnsi="仿宋"/>
          <w:szCs w:val="30"/>
        </w:rPr>
        <w:t>绩效管理工作质量有待提高，绩效指标设置不完整，未细化量化，难以衡量。如“社会效益”指标设置为“丰富学生课余生活”、“培养学生兴趣爱好”和“提升学生综合素质”，这三项指标内容均过于宽泛，未细化量化，难以考察。在编制项目资金绩效目标时要求指向明确、细化量化、合理可行、相应匹配。</w:t>
      </w:r>
    </w:p>
    <w:p>
      <w:pPr>
        <w:adjustRightInd w:val="0"/>
        <w:spacing w:line="579" w:lineRule="exact"/>
        <w:ind w:firstLine="630" w:firstLineChars="200"/>
        <w:outlineLvl w:val="1"/>
        <w:rPr>
          <w:rFonts w:ascii="楷体" w:hAnsi="楷体" w:eastAsia="楷体" w:cs="楷体"/>
          <w:szCs w:val="30"/>
        </w:rPr>
      </w:pPr>
      <w:r>
        <w:rPr>
          <w:rFonts w:hint="eastAsia" w:ascii="楷体" w:hAnsi="楷体" w:eastAsia="楷体" w:cs="楷体"/>
          <w:szCs w:val="30"/>
        </w:rPr>
        <w:t>（三）服务质量和服务效果不显</w:t>
      </w:r>
    </w:p>
    <w:p>
      <w:pPr>
        <w:spacing w:line="579" w:lineRule="exact"/>
        <w:ind w:firstLine="630" w:firstLineChars="200"/>
        <w:rPr>
          <w:rFonts w:hAnsi="仿宋"/>
          <w:szCs w:val="30"/>
        </w:rPr>
      </w:pPr>
      <w:r>
        <w:rPr>
          <w:rFonts w:hint="eastAsia" w:hAnsi="仿宋"/>
          <w:szCs w:val="30"/>
        </w:rPr>
        <w:t>学生、教师在校时间增加，工作量增大，但是课后服务质量和学校教育教学质量提升效果不明显，单位时间增加，但是单位时间内的效率和质量没有随之增加。</w:t>
      </w:r>
    </w:p>
    <w:p>
      <w:pPr>
        <w:adjustRightInd w:val="0"/>
        <w:spacing w:line="579" w:lineRule="exact"/>
        <w:ind w:firstLine="630" w:firstLineChars="200"/>
        <w:outlineLvl w:val="1"/>
        <w:rPr>
          <w:rFonts w:ascii="楷体" w:hAnsi="楷体" w:eastAsia="楷体" w:cs="楷体"/>
          <w:szCs w:val="30"/>
        </w:rPr>
      </w:pPr>
      <w:r>
        <w:rPr>
          <w:rFonts w:hint="eastAsia" w:ascii="楷体" w:hAnsi="楷体" w:eastAsia="楷体" w:cs="楷体"/>
          <w:szCs w:val="30"/>
        </w:rPr>
        <w:t>（四）缺乏有效的预算绩效监管机制</w:t>
      </w:r>
    </w:p>
    <w:p>
      <w:pPr>
        <w:spacing w:line="579" w:lineRule="exact"/>
        <w:ind w:firstLine="630" w:firstLineChars="200"/>
        <w:rPr>
          <w:rFonts w:hAnsi="仿宋"/>
          <w:szCs w:val="30"/>
        </w:rPr>
      </w:pPr>
      <w:r>
        <w:rPr>
          <w:rFonts w:hint="eastAsia" w:hAnsi="仿宋"/>
          <w:szCs w:val="30"/>
        </w:rPr>
        <w:t>预算绩效管理工作与预算的编制、预算执行、预算结果的评价等过程息息相关。每个过程都需要有效监管，而预算绩效运行监控手段难以全面辐射，如监控平台不够完善，把监控的侧重点放在资金使用的规范化、合规化层面上，对资金管理存在的问题采取的监控措施及纠错偏难。</w:t>
      </w:r>
    </w:p>
    <w:p>
      <w:pPr>
        <w:spacing w:line="579" w:lineRule="exact"/>
        <w:ind w:firstLine="630" w:firstLineChars="200"/>
        <w:outlineLvl w:val="0"/>
        <w:rPr>
          <w:rFonts w:ascii="黑体" w:hAnsi="黑体" w:eastAsia="黑体" w:cs="黑体"/>
          <w:szCs w:val="30"/>
        </w:rPr>
      </w:pPr>
      <w:bookmarkStart w:id="70" w:name="_Toc14277"/>
      <w:r>
        <w:rPr>
          <w:rFonts w:hint="eastAsia" w:ascii="黑体" w:hAnsi="黑体" w:eastAsia="黑体" w:cs="黑体"/>
          <w:szCs w:val="30"/>
        </w:rPr>
        <w:t>六、建议</w:t>
      </w:r>
      <w:bookmarkEnd w:id="70"/>
    </w:p>
    <w:bookmarkEnd w:id="69"/>
    <w:p>
      <w:pPr>
        <w:adjustRightInd w:val="0"/>
        <w:spacing w:line="579" w:lineRule="exact"/>
        <w:ind w:firstLine="630" w:firstLineChars="200"/>
        <w:outlineLvl w:val="1"/>
        <w:rPr>
          <w:rFonts w:ascii="楷体" w:hAnsi="楷体" w:eastAsia="楷体" w:cs="楷体"/>
          <w:szCs w:val="30"/>
        </w:rPr>
      </w:pPr>
      <w:r>
        <w:rPr>
          <w:rFonts w:hint="eastAsia" w:ascii="楷体" w:hAnsi="楷体" w:eastAsia="楷体" w:cs="楷体"/>
          <w:szCs w:val="30"/>
        </w:rPr>
        <w:t>（一）强化财政专项资金预算编制科学性</w:t>
      </w:r>
    </w:p>
    <w:p>
      <w:pPr>
        <w:adjustRightInd w:val="0"/>
        <w:snapToGrid w:val="0"/>
        <w:spacing w:line="579" w:lineRule="exact"/>
        <w:ind w:firstLine="630" w:firstLineChars="200"/>
        <w:rPr>
          <w:rFonts w:ascii="黑体" w:hAnsi="黑体" w:eastAsia="黑体" w:cs="黑体"/>
          <w:szCs w:val="30"/>
        </w:rPr>
      </w:pPr>
      <w:r>
        <w:rPr>
          <w:rFonts w:hint="eastAsia" w:hAnsi="仿宋"/>
          <w:szCs w:val="30"/>
        </w:rPr>
        <w:t>强化财政专项资金预算编制的科学性，为了有效规避申报单位随意增加支出名目，浪费财政专项资金，相关管理部门可根据不同行业的项目类别分别设置相应标准的支出明细；其次是可针对专业性以及金额大的项目的收益性和操作性专门设立财政专项资金预算小组，进一步改善财政专项资金的使用效率。</w:t>
      </w:r>
    </w:p>
    <w:p>
      <w:pPr>
        <w:adjustRightInd w:val="0"/>
        <w:spacing w:line="579" w:lineRule="exact"/>
        <w:ind w:firstLine="630" w:firstLineChars="200"/>
        <w:outlineLvl w:val="1"/>
        <w:rPr>
          <w:rFonts w:ascii="楷体" w:hAnsi="楷体" w:eastAsia="楷体" w:cs="楷体"/>
          <w:szCs w:val="30"/>
        </w:rPr>
      </w:pPr>
      <w:r>
        <w:rPr>
          <w:rFonts w:hint="eastAsia" w:ascii="楷体" w:hAnsi="楷体" w:eastAsia="楷体" w:cs="楷体"/>
          <w:szCs w:val="30"/>
        </w:rPr>
        <w:t>（二）科学合理编制项目绩效目标，据实考察项目完成情况</w:t>
      </w:r>
    </w:p>
    <w:p>
      <w:pPr>
        <w:adjustRightInd w:val="0"/>
        <w:snapToGrid w:val="0"/>
        <w:spacing w:line="579" w:lineRule="exact"/>
        <w:ind w:firstLine="630" w:firstLineChars="200"/>
        <w:rPr>
          <w:rFonts w:hAnsi="仿宋"/>
          <w:szCs w:val="30"/>
        </w:rPr>
      </w:pPr>
      <w:r>
        <w:rPr>
          <w:rFonts w:hint="eastAsia" w:hAnsi="仿宋"/>
          <w:szCs w:val="30"/>
        </w:rPr>
        <w:t>建议晋宁区教育局重视课后服务项目的绩效目标编审工作，在年初科学合理设置项目绩效目标，细化、量化年度绩效指标和各项指标目标值，将绩效管理责任层层分解，责任落实到人。在年中绩效监控阶段，根据项目实施现状和预计目标完成情况，合理适当调整部分绩效指标的目标值。在项目自评环节，加强对项目完成情况的考察，督促各项目学校积极开展服务对象满意度调查，据实完成项目自评，总结经验教训。</w:t>
      </w:r>
    </w:p>
    <w:p>
      <w:pPr>
        <w:adjustRightInd w:val="0"/>
        <w:spacing w:line="579" w:lineRule="exact"/>
        <w:ind w:firstLine="630" w:firstLineChars="200"/>
        <w:outlineLvl w:val="1"/>
        <w:rPr>
          <w:rFonts w:ascii="楷体" w:hAnsi="楷体" w:eastAsia="楷体" w:cs="楷体"/>
          <w:szCs w:val="30"/>
        </w:rPr>
      </w:pPr>
      <w:r>
        <w:rPr>
          <w:rFonts w:hint="eastAsia" w:ascii="楷体" w:hAnsi="楷体" w:eastAsia="楷体" w:cs="楷体"/>
          <w:szCs w:val="30"/>
        </w:rPr>
        <w:t>（三）提高课后服务质量</w:t>
      </w:r>
    </w:p>
    <w:p>
      <w:pPr>
        <w:adjustRightInd w:val="0"/>
        <w:snapToGrid w:val="0"/>
        <w:spacing w:line="579" w:lineRule="exact"/>
        <w:ind w:firstLine="630" w:firstLineChars="200"/>
        <w:rPr>
          <w:rFonts w:hAnsi="仿宋"/>
          <w:szCs w:val="30"/>
        </w:rPr>
      </w:pPr>
      <w:r>
        <w:rPr>
          <w:rFonts w:hint="eastAsia" w:hAnsi="仿宋"/>
          <w:szCs w:val="30"/>
        </w:rPr>
        <w:t>根据学校实际情况，不断完善课后服务中的教师配置、活动安排、学生管理、后勤保障、效果监测、教师考核内容，加大学校检查力度，确保不断提高课后服务质量。</w:t>
      </w:r>
    </w:p>
    <w:p>
      <w:pPr>
        <w:spacing w:line="579" w:lineRule="exact"/>
        <w:ind w:firstLine="630" w:firstLineChars="200"/>
        <w:rPr>
          <w:rFonts w:ascii="黑体" w:hAnsi="黑体" w:eastAsia="黑体" w:cs="黑体"/>
          <w:szCs w:val="30"/>
        </w:rPr>
      </w:pPr>
      <w:r>
        <w:rPr>
          <w:rFonts w:hint="eastAsia" w:ascii="楷体" w:hAnsi="楷体" w:eastAsia="楷体" w:cs="楷体"/>
          <w:szCs w:val="30"/>
        </w:rPr>
        <w:t>（四）完善预算绩效监督机制，确保运行监控落实到位</w:t>
      </w:r>
    </w:p>
    <w:p>
      <w:pPr>
        <w:adjustRightInd w:val="0"/>
        <w:snapToGrid w:val="0"/>
        <w:spacing w:line="579" w:lineRule="exact"/>
        <w:ind w:firstLine="630" w:firstLineChars="200"/>
        <w:rPr>
          <w:rFonts w:hAnsi="仿宋"/>
          <w:szCs w:val="30"/>
        </w:rPr>
      </w:pPr>
      <w:r>
        <w:rPr>
          <w:rFonts w:hint="eastAsia" w:hAnsi="仿宋"/>
          <w:szCs w:val="30"/>
        </w:rPr>
        <w:t>财政部门应该将监督工作从事后向事中、事前转移，构建项目、重大政策绩效跟踪体制。完善动态监控平台功能，及时升级监控平台，从技术、内容上做到通俗易懂，让基层单位工作人员更好理解。从当前静态时点的自评，逐步实行动态监控，并且连接国库集中支付系统，保证对预算执行监督的实时性。需要对预算执行工作和绩效目标完成度进行“双监管”，有效掌握资金使用中的缺陷，在绩效执行出现偏差时，及时进行调整，并促进其有效落实，保证财政资金使用安全和高效。</w:t>
      </w:r>
    </w:p>
    <w:p>
      <w:pPr>
        <w:spacing w:line="579" w:lineRule="exact"/>
        <w:ind w:firstLine="630" w:firstLineChars="200"/>
        <w:outlineLvl w:val="0"/>
        <w:rPr>
          <w:rFonts w:ascii="黑体" w:hAnsi="黑体" w:eastAsia="黑体" w:cs="黑体"/>
          <w:szCs w:val="30"/>
        </w:rPr>
      </w:pPr>
      <w:bookmarkStart w:id="71" w:name="_Toc28769"/>
      <w:r>
        <w:rPr>
          <w:rFonts w:hint="eastAsia" w:ascii="黑体" w:hAnsi="黑体" w:eastAsia="黑体" w:cs="黑体"/>
          <w:szCs w:val="30"/>
        </w:rPr>
        <w:t>七、其他需说明的情况</w:t>
      </w:r>
      <w:bookmarkEnd w:id="71"/>
    </w:p>
    <w:p>
      <w:pPr>
        <w:adjustRightInd w:val="0"/>
        <w:snapToGrid w:val="0"/>
        <w:spacing w:line="579" w:lineRule="exact"/>
        <w:ind w:firstLine="630" w:firstLineChars="200"/>
        <w:rPr>
          <w:rFonts w:hAnsi="仿宋"/>
          <w:szCs w:val="30"/>
        </w:rPr>
      </w:pPr>
      <w:bookmarkStart w:id="72" w:name="_Hlk525314514"/>
      <w:r>
        <w:rPr>
          <w:rFonts w:hint="eastAsia" w:hAnsi="仿宋"/>
          <w:szCs w:val="30"/>
        </w:rPr>
        <w:t>无。</w:t>
      </w:r>
    </w:p>
    <w:p>
      <w:pPr>
        <w:adjustRightInd w:val="0"/>
        <w:snapToGrid w:val="0"/>
        <w:spacing w:line="579" w:lineRule="exact"/>
        <w:ind w:firstLine="630" w:firstLineChars="200"/>
        <w:rPr>
          <w:rFonts w:hint="eastAsia" w:hAnsi="仿宋"/>
          <w:szCs w:val="30"/>
        </w:rPr>
      </w:pPr>
    </w:p>
    <w:p>
      <w:pPr>
        <w:adjustRightInd w:val="0"/>
        <w:snapToGrid w:val="0"/>
        <w:spacing w:line="579" w:lineRule="exact"/>
        <w:ind w:firstLine="630" w:firstLineChars="200"/>
        <w:rPr>
          <w:rFonts w:hint="eastAsia" w:hAnsi="仿宋"/>
          <w:szCs w:val="30"/>
        </w:rPr>
      </w:pPr>
    </w:p>
    <w:bookmarkEnd w:id="72"/>
    <w:tbl>
      <w:tblPr>
        <w:tblStyle w:val="16"/>
        <w:tblW w:w="8812" w:type="dxa"/>
        <w:jc w:val="center"/>
        <w:tblInd w:w="0" w:type="dxa"/>
        <w:tblLayout w:type="fixed"/>
        <w:tblCellMar>
          <w:top w:w="0" w:type="dxa"/>
          <w:left w:w="108" w:type="dxa"/>
          <w:bottom w:w="0" w:type="dxa"/>
          <w:right w:w="108" w:type="dxa"/>
        </w:tblCellMar>
      </w:tblPr>
      <w:tblGrid>
        <w:gridCol w:w="4936"/>
        <w:gridCol w:w="2667"/>
        <w:gridCol w:w="1209"/>
      </w:tblGrid>
      <w:tr>
        <w:tblPrEx>
          <w:tblLayout w:type="fixed"/>
          <w:tblCellMar>
            <w:top w:w="0" w:type="dxa"/>
            <w:left w:w="108" w:type="dxa"/>
            <w:bottom w:w="0" w:type="dxa"/>
            <w:right w:w="108" w:type="dxa"/>
          </w:tblCellMar>
        </w:tblPrEx>
        <w:trPr>
          <w:trHeight w:val="1064" w:hRule="exact"/>
          <w:jc w:val="center"/>
        </w:trPr>
        <w:tc>
          <w:tcPr>
            <w:tcW w:w="4936" w:type="dxa"/>
            <w:vAlign w:val="center"/>
          </w:tcPr>
          <w:p>
            <w:pPr>
              <w:snapToGrid w:val="0"/>
              <w:ind w:left="-78" w:leftChars="-25" w:right="-78" w:rightChars="-25"/>
              <w:jc w:val="center"/>
              <w:rPr>
                <w:rFonts w:hint="eastAsia" w:ascii="仿宋" w:hAnsi="仿宋" w:eastAsia="仿宋" w:cs="仿宋"/>
                <w:sz w:val="28"/>
                <w:szCs w:val="28"/>
              </w:rPr>
            </w:pPr>
            <w:r>
              <w:rPr>
                <w:rFonts w:hint="eastAsia" w:ascii="仿宋" w:hAnsi="仿宋" w:eastAsia="仿宋" w:cs="仿宋"/>
                <w:sz w:val="28"/>
                <w:szCs w:val="28"/>
              </w:rPr>
              <w:t>大华会计师事务所(特殊普通合伙)</w:t>
            </w:r>
          </w:p>
          <w:p>
            <w:pPr>
              <w:snapToGrid w:val="0"/>
              <w:ind w:left="-78" w:leftChars="-25" w:right="-78" w:rightChars="-25"/>
              <w:jc w:val="center"/>
              <w:rPr>
                <w:rFonts w:hint="eastAsia" w:ascii="仿宋" w:hAnsi="仿宋" w:eastAsia="仿宋" w:cs="仿宋"/>
                <w:sz w:val="28"/>
                <w:szCs w:val="28"/>
              </w:rPr>
            </w:pPr>
            <w:r>
              <w:rPr>
                <w:rFonts w:hint="eastAsia" w:ascii="仿宋" w:hAnsi="仿宋" w:eastAsia="仿宋" w:cs="仿宋"/>
                <w:sz w:val="28"/>
                <w:szCs w:val="28"/>
              </w:rPr>
              <w:t>云南分所</w:t>
            </w:r>
          </w:p>
        </w:tc>
        <w:tc>
          <w:tcPr>
            <w:tcW w:w="2667" w:type="dxa"/>
            <w:vAlign w:val="center"/>
          </w:tcPr>
          <w:p>
            <w:pPr>
              <w:snapToGrid w:val="0"/>
              <w:ind w:left="-78" w:leftChars="-25" w:right="-78" w:rightChars="-25"/>
              <w:jc w:val="center"/>
              <w:rPr>
                <w:rFonts w:hint="eastAsia" w:ascii="仿宋" w:hAnsi="仿宋" w:eastAsia="仿宋" w:cs="仿宋"/>
                <w:sz w:val="28"/>
                <w:szCs w:val="28"/>
              </w:rPr>
            </w:pPr>
            <w:r>
              <w:rPr>
                <w:rFonts w:hint="eastAsia" w:ascii="仿宋" w:hAnsi="仿宋" w:eastAsia="仿宋" w:cs="仿宋"/>
                <w:sz w:val="28"/>
                <w:szCs w:val="28"/>
              </w:rPr>
              <w:t>中国注册会计师：</w:t>
            </w:r>
          </w:p>
        </w:tc>
        <w:tc>
          <w:tcPr>
            <w:tcW w:w="1209" w:type="dxa"/>
            <w:tcBorders>
              <w:bottom w:val="single" w:color="auto" w:sz="4" w:space="0"/>
            </w:tcBorders>
            <w:vAlign w:val="center"/>
          </w:tcPr>
          <w:p>
            <w:pPr>
              <w:snapToGrid w:val="0"/>
              <w:jc w:val="center"/>
              <w:rPr>
                <w:rFonts w:hint="eastAsia" w:ascii="仿宋" w:hAnsi="仿宋" w:eastAsia="仿宋" w:cs="仿宋"/>
                <w:sz w:val="28"/>
                <w:szCs w:val="28"/>
              </w:rPr>
            </w:pPr>
          </w:p>
        </w:tc>
      </w:tr>
      <w:tr>
        <w:tblPrEx>
          <w:tblLayout w:type="fixed"/>
          <w:tblCellMar>
            <w:top w:w="0" w:type="dxa"/>
            <w:left w:w="108" w:type="dxa"/>
            <w:bottom w:w="0" w:type="dxa"/>
            <w:right w:w="108" w:type="dxa"/>
          </w:tblCellMar>
        </w:tblPrEx>
        <w:trPr>
          <w:trHeight w:val="649" w:hRule="exact"/>
          <w:jc w:val="center"/>
        </w:trPr>
        <w:tc>
          <w:tcPr>
            <w:tcW w:w="4936" w:type="dxa"/>
            <w:vMerge w:val="restart"/>
            <w:vAlign w:val="center"/>
          </w:tcPr>
          <w:p>
            <w:pPr>
              <w:snapToGrid w:val="0"/>
              <w:jc w:val="center"/>
              <w:rPr>
                <w:rFonts w:hint="eastAsia" w:ascii="仿宋" w:hAnsi="仿宋" w:eastAsia="仿宋" w:cs="仿宋"/>
                <w:b/>
                <w:sz w:val="28"/>
                <w:szCs w:val="28"/>
              </w:rPr>
            </w:pPr>
            <w:r>
              <w:rPr>
                <w:rFonts w:hint="eastAsia" w:ascii="仿宋" w:hAnsi="仿宋" w:eastAsia="仿宋" w:cs="仿宋"/>
                <w:sz w:val="28"/>
                <w:szCs w:val="28"/>
              </w:rPr>
              <w:t>中国</w:t>
            </w:r>
            <w:r>
              <w:rPr>
                <w:rFonts w:hint="eastAsia" w:ascii="仿宋" w:hAnsi="仿宋" w:eastAsia="仿宋" w:cs="仿宋"/>
                <w:b/>
                <w:sz w:val="28"/>
                <w:szCs w:val="28"/>
              </w:rPr>
              <w:t>·</w:t>
            </w:r>
            <w:r>
              <w:rPr>
                <w:rFonts w:hint="eastAsia" w:ascii="仿宋" w:hAnsi="仿宋" w:eastAsia="仿宋" w:cs="仿宋"/>
                <w:bCs/>
                <w:sz w:val="28"/>
                <w:szCs w:val="28"/>
              </w:rPr>
              <w:t>昆明</w:t>
            </w:r>
          </w:p>
        </w:tc>
        <w:tc>
          <w:tcPr>
            <w:tcW w:w="2667" w:type="dxa"/>
            <w:vAlign w:val="center"/>
          </w:tcPr>
          <w:p>
            <w:pPr>
              <w:snapToGrid w:val="0"/>
              <w:spacing w:after="180" w:afterLines="75"/>
              <w:jc w:val="center"/>
              <w:rPr>
                <w:rFonts w:hint="eastAsia" w:ascii="仿宋" w:hAnsi="仿宋" w:eastAsia="仿宋" w:cs="仿宋"/>
                <w:sz w:val="28"/>
                <w:szCs w:val="28"/>
              </w:rPr>
            </w:pPr>
          </w:p>
        </w:tc>
        <w:tc>
          <w:tcPr>
            <w:tcW w:w="1209" w:type="dxa"/>
            <w:tcBorders>
              <w:top w:val="single" w:color="auto" w:sz="4" w:space="0"/>
            </w:tcBorders>
            <w:vAlign w:val="center"/>
          </w:tcPr>
          <w:p>
            <w:pPr>
              <w:snapToGrid w:val="0"/>
              <w:spacing w:after="180" w:afterLines="75"/>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扶成柏</w:t>
            </w:r>
          </w:p>
        </w:tc>
      </w:tr>
      <w:tr>
        <w:tblPrEx>
          <w:tblLayout w:type="fixed"/>
          <w:tblCellMar>
            <w:top w:w="0" w:type="dxa"/>
            <w:left w:w="108" w:type="dxa"/>
            <w:bottom w:w="0" w:type="dxa"/>
            <w:right w:w="108" w:type="dxa"/>
          </w:tblCellMar>
        </w:tblPrEx>
        <w:trPr>
          <w:trHeight w:val="634" w:hRule="exact"/>
          <w:jc w:val="center"/>
        </w:trPr>
        <w:tc>
          <w:tcPr>
            <w:tcW w:w="4936" w:type="dxa"/>
            <w:vMerge w:val="continue"/>
            <w:vAlign w:val="center"/>
          </w:tcPr>
          <w:p>
            <w:pPr>
              <w:snapToGrid w:val="0"/>
              <w:jc w:val="center"/>
              <w:rPr>
                <w:rFonts w:hint="eastAsia" w:ascii="仿宋" w:hAnsi="仿宋" w:eastAsia="仿宋" w:cs="仿宋"/>
                <w:sz w:val="28"/>
                <w:szCs w:val="28"/>
              </w:rPr>
            </w:pPr>
          </w:p>
        </w:tc>
        <w:tc>
          <w:tcPr>
            <w:tcW w:w="2667" w:type="dxa"/>
            <w:vAlign w:val="center"/>
          </w:tcPr>
          <w:p>
            <w:pPr>
              <w:snapToGrid w:val="0"/>
              <w:ind w:left="-78" w:leftChars="-25" w:right="-78" w:rightChars="-25"/>
              <w:jc w:val="center"/>
              <w:rPr>
                <w:rFonts w:hint="eastAsia" w:ascii="仿宋" w:hAnsi="仿宋" w:eastAsia="仿宋" w:cs="仿宋"/>
                <w:sz w:val="28"/>
                <w:szCs w:val="28"/>
              </w:rPr>
            </w:pPr>
            <w:r>
              <w:rPr>
                <w:rFonts w:hint="eastAsia" w:ascii="仿宋" w:hAnsi="仿宋" w:eastAsia="仿宋" w:cs="仿宋"/>
                <w:sz w:val="28"/>
                <w:szCs w:val="28"/>
              </w:rPr>
              <w:t>中国注册会计师：</w:t>
            </w:r>
          </w:p>
        </w:tc>
        <w:tc>
          <w:tcPr>
            <w:tcW w:w="1209" w:type="dxa"/>
            <w:tcBorders>
              <w:bottom w:val="single" w:color="auto" w:sz="4" w:space="0"/>
            </w:tcBorders>
            <w:vAlign w:val="center"/>
          </w:tcPr>
          <w:p>
            <w:pPr>
              <w:snapToGrid w:val="0"/>
              <w:jc w:val="center"/>
              <w:rPr>
                <w:rFonts w:hint="eastAsia" w:ascii="仿宋" w:hAnsi="仿宋" w:eastAsia="仿宋" w:cs="仿宋"/>
                <w:sz w:val="28"/>
                <w:szCs w:val="28"/>
              </w:rPr>
            </w:pPr>
          </w:p>
        </w:tc>
      </w:tr>
      <w:tr>
        <w:tblPrEx>
          <w:tblLayout w:type="fixed"/>
          <w:tblCellMar>
            <w:top w:w="0" w:type="dxa"/>
            <w:left w:w="108" w:type="dxa"/>
            <w:bottom w:w="0" w:type="dxa"/>
            <w:right w:w="108" w:type="dxa"/>
          </w:tblCellMar>
        </w:tblPrEx>
        <w:trPr>
          <w:trHeight w:val="634" w:hRule="exact"/>
          <w:jc w:val="center"/>
        </w:trPr>
        <w:tc>
          <w:tcPr>
            <w:tcW w:w="4936" w:type="dxa"/>
            <w:vMerge w:val="continue"/>
            <w:vAlign w:val="center"/>
          </w:tcPr>
          <w:p>
            <w:pPr>
              <w:snapToGrid w:val="0"/>
              <w:jc w:val="center"/>
              <w:rPr>
                <w:rFonts w:hint="eastAsia" w:ascii="仿宋" w:hAnsi="仿宋" w:eastAsia="仿宋" w:cs="仿宋"/>
                <w:sz w:val="28"/>
                <w:szCs w:val="28"/>
              </w:rPr>
            </w:pPr>
          </w:p>
        </w:tc>
        <w:tc>
          <w:tcPr>
            <w:tcW w:w="2667" w:type="dxa"/>
            <w:vAlign w:val="center"/>
          </w:tcPr>
          <w:p>
            <w:pPr>
              <w:snapToGrid w:val="0"/>
              <w:spacing w:after="180" w:afterLines="75"/>
              <w:jc w:val="center"/>
              <w:rPr>
                <w:rFonts w:hint="eastAsia" w:ascii="仿宋" w:hAnsi="仿宋" w:eastAsia="仿宋" w:cs="仿宋"/>
                <w:sz w:val="28"/>
                <w:szCs w:val="28"/>
              </w:rPr>
            </w:pPr>
          </w:p>
        </w:tc>
        <w:tc>
          <w:tcPr>
            <w:tcW w:w="1209" w:type="dxa"/>
            <w:tcBorders>
              <w:top w:val="single" w:color="auto" w:sz="4" w:space="0"/>
            </w:tcBorders>
            <w:vAlign w:val="center"/>
          </w:tcPr>
          <w:p>
            <w:pPr>
              <w:snapToGrid w:val="0"/>
              <w:spacing w:after="180" w:afterLines="75"/>
              <w:jc w:val="center"/>
              <w:rPr>
                <w:rFonts w:hint="eastAsia" w:ascii="仿宋" w:hAnsi="仿宋" w:eastAsia="仿宋" w:cs="仿宋"/>
                <w:sz w:val="28"/>
                <w:szCs w:val="28"/>
              </w:rPr>
            </w:pPr>
            <w:r>
              <w:rPr>
                <w:rFonts w:hint="eastAsia" w:ascii="仿宋" w:hAnsi="仿宋" w:eastAsia="仿宋" w:cs="仿宋"/>
                <w:sz w:val="28"/>
                <w:szCs w:val="28"/>
              </w:rPr>
              <w:t>陈红霞</w:t>
            </w:r>
          </w:p>
        </w:tc>
      </w:tr>
      <w:tr>
        <w:tblPrEx>
          <w:tblLayout w:type="fixed"/>
          <w:tblCellMar>
            <w:top w:w="0" w:type="dxa"/>
            <w:left w:w="108" w:type="dxa"/>
            <w:bottom w:w="0" w:type="dxa"/>
            <w:right w:w="108" w:type="dxa"/>
          </w:tblCellMar>
        </w:tblPrEx>
        <w:trPr>
          <w:trHeight w:val="567" w:hRule="exact"/>
          <w:jc w:val="center"/>
        </w:trPr>
        <w:tc>
          <w:tcPr>
            <w:tcW w:w="4936" w:type="dxa"/>
            <w:vAlign w:val="center"/>
          </w:tcPr>
          <w:p>
            <w:pPr>
              <w:snapToGrid w:val="0"/>
              <w:jc w:val="center"/>
              <w:rPr>
                <w:rFonts w:hint="eastAsia" w:ascii="仿宋" w:hAnsi="仿宋" w:eastAsia="仿宋" w:cs="仿宋"/>
                <w:sz w:val="28"/>
                <w:szCs w:val="28"/>
              </w:rPr>
            </w:pPr>
          </w:p>
        </w:tc>
        <w:tc>
          <w:tcPr>
            <w:tcW w:w="3876" w:type="dxa"/>
            <w:gridSpan w:val="2"/>
            <w:vAlign w:val="center"/>
          </w:tcPr>
          <w:p>
            <w:pPr>
              <w:snapToGrid w:val="0"/>
              <w:jc w:val="center"/>
              <w:rPr>
                <w:rFonts w:hint="eastAsia" w:ascii="仿宋" w:hAnsi="仿宋" w:eastAsia="仿宋" w:cs="仿宋"/>
                <w:sz w:val="28"/>
                <w:szCs w:val="28"/>
              </w:rPr>
            </w:pPr>
            <w:r>
              <w:rPr>
                <w:rFonts w:hint="eastAsia" w:ascii="仿宋" w:hAnsi="仿宋" w:eastAsia="仿宋" w:cs="仿宋"/>
                <w:sz w:val="28"/>
                <w:szCs w:val="28"/>
              </w:rPr>
              <w:t>二〇二</w:t>
            </w:r>
            <w:r>
              <w:rPr>
                <w:rFonts w:hint="eastAsia" w:ascii="仿宋" w:hAnsi="仿宋" w:eastAsia="仿宋" w:cs="仿宋"/>
                <w:sz w:val="28"/>
                <w:szCs w:val="28"/>
                <w:lang w:val="en-US" w:eastAsia="zh-CN"/>
              </w:rPr>
              <w:t>二</w:t>
            </w:r>
            <w:r>
              <w:rPr>
                <w:rFonts w:hint="eastAsia" w:ascii="仿宋" w:hAnsi="仿宋" w:eastAsia="仿宋" w:cs="仿宋"/>
                <w:sz w:val="28"/>
                <w:szCs w:val="28"/>
              </w:rPr>
              <w:t>年</w:t>
            </w:r>
            <w:r>
              <w:rPr>
                <w:rFonts w:hint="eastAsia" w:ascii="仿宋" w:hAnsi="仿宋" w:eastAsia="仿宋" w:cs="仿宋"/>
                <w:sz w:val="28"/>
                <w:szCs w:val="28"/>
                <w:lang w:val="en-US" w:eastAsia="zh-CN"/>
              </w:rPr>
              <w:t>十一</w:t>
            </w:r>
            <w:r>
              <w:rPr>
                <w:rFonts w:hint="eastAsia" w:ascii="仿宋" w:hAnsi="仿宋" w:eastAsia="仿宋" w:cs="仿宋"/>
                <w:sz w:val="28"/>
                <w:szCs w:val="28"/>
              </w:rPr>
              <w:t>月二十</w:t>
            </w:r>
            <w:r>
              <w:rPr>
                <w:rFonts w:hint="eastAsia" w:ascii="仿宋" w:hAnsi="仿宋" w:eastAsia="仿宋" w:cs="仿宋"/>
                <w:sz w:val="28"/>
                <w:szCs w:val="28"/>
                <w:lang w:val="en-US" w:eastAsia="zh-CN"/>
              </w:rPr>
              <w:t>二</w:t>
            </w:r>
            <w:r>
              <w:rPr>
                <w:rFonts w:hint="eastAsia" w:ascii="仿宋" w:hAnsi="仿宋" w:eastAsia="仿宋" w:cs="仿宋"/>
                <w:sz w:val="28"/>
                <w:szCs w:val="28"/>
              </w:rPr>
              <w:t>日</w:t>
            </w:r>
          </w:p>
        </w:tc>
      </w:tr>
    </w:tbl>
    <w:p>
      <w:pPr>
        <w:adjustRightInd w:val="0"/>
        <w:snapToGrid w:val="0"/>
        <w:spacing w:line="579" w:lineRule="exact"/>
        <w:ind w:firstLine="630" w:firstLineChars="200"/>
        <w:rPr>
          <w:rFonts w:ascii="黑体" w:hAnsi="黑体" w:eastAsia="黑体" w:cs="黑体"/>
          <w:szCs w:val="30"/>
        </w:rPr>
      </w:pPr>
    </w:p>
    <w:p>
      <w:pPr>
        <w:spacing w:line="579" w:lineRule="exact"/>
        <w:ind w:firstLine="630" w:firstLineChars="200"/>
        <w:rPr>
          <w:rFonts w:hint="eastAsia" w:hAnsi="仿宋" w:cs="仿宋"/>
          <w:szCs w:val="30"/>
        </w:rPr>
      </w:pPr>
      <w:bookmarkStart w:id="73" w:name="_Hlk525314575"/>
    </w:p>
    <w:p>
      <w:pPr>
        <w:spacing w:line="579" w:lineRule="exact"/>
        <w:ind w:firstLine="630" w:firstLineChars="200"/>
        <w:rPr>
          <w:rFonts w:hAnsi="仿宋" w:cs="仿宋"/>
          <w:szCs w:val="30"/>
        </w:rPr>
      </w:pPr>
      <w:r>
        <w:rPr>
          <w:rFonts w:hint="eastAsia" w:hAnsi="仿宋" w:cs="仿宋"/>
          <w:szCs w:val="30"/>
        </w:rPr>
        <w:t>附件：1.</w:t>
      </w:r>
      <w:bookmarkStart w:id="74" w:name="_Hlk527019547"/>
      <w:r>
        <w:rPr>
          <w:rFonts w:hint="eastAsia" w:hAnsi="仿宋" w:cs="仿宋"/>
          <w:szCs w:val="30"/>
        </w:rPr>
        <w:t>绩效评价指标体系及评分表</w:t>
      </w:r>
      <w:bookmarkEnd w:id="74"/>
    </w:p>
    <w:p>
      <w:pPr>
        <w:spacing w:line="579" w:lineRule="exact"/>
        <w:ind w:firstLine="1575" w:firstLineChars="500"/>
        <w:rPr>
          <w:rFonts w:hAnsi="仿宋" w:cs="仿宋"/>
          <w:szCs w:val="30"/>
        </w:rPr>
      </w:pPr>
      <w:r>
        <w:rPr>
          <w:rFonts w:hint="eastAsia" w:hAnsi="仿宋" w:cs="仿宋"/>
          <w:szCs w:val="30"/>
        </w:rPr>
        <w:t>2.</w:t>
      </w:r>
      <w:bookmarkStart w:id="75" w:name="_Hlk527019673"/>
      <w:r>
        <w:rPr>
          <w:rFonts w:hint="eastAsia" w:hAnsi="仿宋" w:cs="仿宋"/>
          <w:szCs w:val="30"/>
        </w:rPr>
        <w:t>学校抽查明细表</w:t>
      </w:r>
    </w:p>
    <w:bookmarkEnd w:id="73"/>
    <w:bookmarkEnd w:id="75"/>
    <w:p>
      <w:pPr>
        <w:spacing w:line="579" w:lineRule="exact"/>
        <w:ind w:firstLine="1575" w:firstLineChars="500"/>
        <w:rPr>
          <w:rFonts w:hAnsi="仿宋" w:cs="仿宋"/>
          <w:szCs w:val="30"/>
        </w:rPr>
      </w:pPr>
      <w:r>
        <w:rPr>
          <w:rFonts w:hint="eastAsia" w:hAnsi="仿宋" w:cs="仿宋"/>
          <w:szCs w:val="30"/>
        </w:rPr>
        <w:t>3.调查问卷结果分析汇总报告</w:t>
      </w:r>
    </w:p>
    <w:p>
      <w:pPr>
        <w:spacing w:line="579" w:lineRule="exact"/>
        <w:ind w:left="1871" w:leftChars="500" w:hanging="296" w:hangingChars="94"/>
        <w:rPr>
          <w:rFonts w:hAnsi="仿宋" w:cs="仿宋"/>
          <w:szCs w:val="30"/>
        </w:rPr>
      </w:pPr>
      <w:r>
        <w:rPr>
          <w:rFonts w:hint="eastAsia" w:hAnsi="仿宋" w:cs="仿宋"/>
          <w:szCs w:val="30"/>
        </w:rPr>
        <w:t>4.绩效评价报告意见反馈表（部门）</w:t>
      </w:r>
    </w:p>
    <w:p>
      <w:pPr>
        <w:spacing w:line="579" w:lineRule="exact"/>
        <w:ind w:firstLine="1575" w:firstLineChars="500"/>
        <w:rPr>
          <w:rFonts w:hAnsi="仿宋" w:cs="仿宋"/>
          <w:szCs w:val="30"/>
        </w:rPr>
      </w:pPr>
      <w:r>
        <w:rPr>
          <w:rFonts w:hint="eastAsia" w:hAnsi="仿宋" w:cs="仿宋"/>
          <w:szCs w:val="30"/>
        </w:rPr>
        <w:t>5.绩效目标完成情况表</w:t>
      </w:r>
    </w:p>
    <w:sectPr>
      <w:footerReference r:id="rId21" w:type="first"/>
      <w:footerReference r:id="rId20" w:type="default"/>
      <w:pgSz w:w="11906" w:h="16838"/>
      <w:pgMar w:top="2098" w:right="1474" w:bottom="1984" w:left="1588" w:header="1134" w:footer="1474" w:gutter="0"/>
      <w:pgNumType w:fmt="decimal"/>
      <w:cols w:space="0" w:num="1"/>
      <w:docGrid w:type="linesAndChars" w:linePitch="579" w:charSpace="32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rFonts w:ascii="仿宋" w:hAnsi="仿宋" w:eastAsia="仿宋"/>
        <w:sz w:val="28"/>
        <w:szCs w:val="28"/>
        <w:lang w:val="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enter" w:pos="4422"/>
        <w:tab w:val="right" w:pos="8964"/>
      </w:tabs>
      <w:rPr>
        <w:rFonts w:ascii="仿宋" w:hAnsi="仿宋" w:eastAsia="仿宋"/>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LOYfwOAgAACQ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&#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ss5h/A4CAAAJBAAADgAAAAAAAAABACAAAAAf&#10;AQAAZHJzL2Uyb0RvYy54bWxQSwUGAAAAAAYABgBZAQAAnwUAAAAA&#10;">
              <v:fill on="f" focussize="0,0"/>
              <v:stroke on="f" weight="0.5pt"/>
              <v:imagedata o:title=""/>
              <o:lock v:ext="edit" aspectratio="f"/>
              <v:textbox inset="0mm,0mm,0mm,0mm" style="mso-fit-shape-to-text:t;">
                <w:txbxContent>
                  <w:p>
                    <w:pPr>
                      <w:pStyle w:val="10"/>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600"/>
      <w:rPr>
        <w:rFonts w:asciiTheme="majorEastAsia" w:hAnsiTheme="majorEastAsia" w:eastAsiaTheme="majorEastAsia"/>
        <w:sz w:val="28"/>
        <w:szCs w:val="28"/>
      </w:rPr>
    </w:pPr>
  </w:p>
  <w:p>
    <w:pPr>
      <w:pStyle w:val="10"/>
      <w:tabs>
        <w:tab w:val="left" w:pos="8004"/>
        <w:tab w:val="clear" w:pos="4153"/>
      </w:tabs>
      <w:rPr>
        <w:rFonts w:ascii="仿宋" w:hAnsi="仿宋" w:eastAsia="仿宋"/>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enter" w:pos="4422"/>
        <w:tab w:val="right" w:pos="8964"/>
      </w:tabs>
      <w:rPr>
        <w:rFonts w:ascii="仿宋" w:hAnsi="仿宋" w:eastAsia="仿宋"/>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BEkaiw4CAAAHBAAADgAAAAAAAAABACAAAAAf&#10;AQAAZHJzL2Uyb0RvYy54bWxQSwUGAAAAAAYABgBZAQAAnwUAAAAA&#10;">
              <v:fill on="f" focussize="0,0"/>
              <v:stroke on="f" weight="0.5pt"/>
              <v:imagedata o:title=""/>
              <o:lock v:ext="edit" aspectratio="f"/>
              <v:textbox inset="0mm,0mm,0mm,0mm" style="mso-fit-shape-to-text:t;">
                <w:txbxContent>
                  <w:p>
                    <w:pPr>
                      <w:pStyle w:val="10"/>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600"/>
      <w:rPr>
        <w:rFonts w:asciiTheme="majorEastAsia" w:hAnsiTheme="majorEastAsia" w:eastAsiaTheme="majorEastAsia"/>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9tdHoS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M9tdHoSAgAAFQQAAA4AAAAAAAAAAQAg&#10;AAAAHwEAAGRycy9lMm9Eb2MueG1sUEsFBgAAAAAGAAYAWQEAAKMFAAAAAA==&#10;">
              <v:fill on="f" focussize="0,0"/>
              <v:stroke on="f" weight="0.5pt"/>
              <v:imagedata o:title=""/>
              <o:lock v:ext="edit" aspectratio="f"/>
              <v:textbox inset="0mm,0mm,0mm,0mm" style="mso-fit-shape-to-text:t;">
                <w:txbxContent>
                  <w:p>
                    <w:pPr>
                      <w:pStyle w:val="10"/>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v:textbox>
            </v:shape>
          </w:pict>
        </mc:Fallback>
      </mc:AlternateContent>
    </w:r>
  </w:p>
  <w:p>
    <w:pPr>
      <w:pStyle w:val="10"/>
      <w:tabs>
        <w:tab w:val="left" w:pos="8004"/>
        <w:tab w:val="clear" w:pos="4153"/>
      </w:tabs>
      <w:rPr>
        <w:rFonts w:ascii="仿宋" w:hAnsi="仿宋" w:eastAsia="仿宋"/>
        <w:sz w:val="28"/>
        <w:szCs w:val="2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enter" w:pos="4422"/>
        <w:tab w:val="right" w:pos="8964"/>
      </w:tabs>
      <w:rPr>
        <w:rFonts w:ascii="仿宋" w:hAnsi="仿宋" w:eastAsia="仿宋"/>
        <w:sz w:val="28"/>
        <w:szCs w:val="28"/>
      </w:rPr>
    </w:pPr>
    <w:r>
      <w:rPr>
        <w:sz w:val="2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10"/>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oYlDwQAgAACQQAAA4AAABkcnMvZTJvRG9jLnhtbK1TzY7TMBC+I/EO&#10;lu80aVes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KGJQ8EAIAAAkEAAAOAAAAAAAAAAEAIAAA&#10;AB8BAABkcnMvZTJvRG9jLnhtbFBLBQYAAAAABgAGAFkBAAChBQAAAAA=&#10;">
              <v:fill on="f" focussize="0,0"/>
              <v:stroke on="f" weight="0.5pt"/>
              <v:imagedata o:title=""/>
              <o:lock v:ext="edit" aspectratio="f"/>
              <v:textbox inset="0mm,0mm,0mm,0mm" style="mso-fit-shape-to-text:t;">
                <w:txbxContent>
                  <w:p>
                    <w:pPr>
                      <w:pStyle w:val="10"/>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600"/>
      <w:rPr>
        <w:rFonts w:asciiTheme="majorEastAsia" w:hAnsiTheme="majorEastAsia" w:eastAsiaTheme="majorEastAsia"/>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j4BmRQCAAAVBAAADgAAAAAAAAAB&#10;ACAAAAAfAQAAZHJzL2Uyb0RvYy54bWxQSwUGAAAAAAYABgBZAQAApQUAAAAA&#10;">
              <v:fill on="f" focussize="0,0"/>
              <v:stroke on="f" weight="0.5pt"/>
              <v:imagedata o:title=""/>
              <o:lock v:ext="edit" aspectratio="f"/>
              <v:textbox inset="0mm,0mm,0mm,0mm" style="mso-fit-shape-to-text:t;">
                <w:txbxContent>
                  <w:p>
                    <w:pPr>
                      <w:pStyle w:val="1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fill on="f" focussize="0,0"/>
              <v:stroke on="f" weight="0.5pt"/>
              <v:imagedata o:title=""/>
              <o:lock v:ext="edit" aspectratio="f"/>
              <v:textbox inset="0mm,0mm,0mm,0mm" style="mso-fit-shape-to-text:t;">
                <w:txbxContent>
                  <w:p>
                    <w:pPr>
                      <w:pStyle w:val="1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enter" w:pos="4422"/>
        <w:tab w:val="right" w:pos="8964"/>
      </w:tabs>
      <w:rPr>
        <w:rFonts w:ascii="仿宋" w:hAnsi="仿宋" w:eastAsia="仿宋"/>
        <w:sz w:val="28"/>
        <w:szCs w:val="28"/>
      </w:rPr>
    </w:pPr>
    <w:r>
      <w:rPr>
        <w:sz w:val="2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1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6MNYPAgAABwQAAA4AAABkcnMvZTJvRG9jLnhtbK1TzY7TMBC+I/EO&#10;lu80aVFX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vJ7m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Nn6MNYPAgAABwQAAA4AAAAAAAAAAQAgAAAA&#10;HwEAAGRycy9lMm9Eb2MueG1sUEsFBgAAAAAGAAYAWQEAAKAFAAAAAA==&#10;">
              <v:fill on="f" focussize="0,0"/>
              <v:stroke on="f" weight="0.5pt"/>
              <v:imagedata o:title=""/>
              <o:lock v:ext="edit" aspectratio="f"/>
              <v:textbox inset="0mm,0mm,0mm,0mm" style="mso-fit-shape-to-text:t;">
                <w:txbxContent>
                  <w:p>
                    <w:pPr>
                      <w:pStyle w:val="10"/>
                    </w:pP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1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rPr>
        <w:rFonts w:hint="eastAsia"/>
        <w:lang w:val="en-US"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rPr>
        <w:rFonts w:hint="eastAsia"/>
      </w:rPr>
    </w:pPr>
    <w:r>
      <w:rPr>
        <w:rFonts w:hint="eastAsia"/>
      </w:rPr>
      <w:t>大华</w:t>
    </w:r>
    <w:r>
      <w:rPr>
        <w:rFonts w:hint="eastAsia"/>
        <w:lang w:val="en-US" w:eastAsia="zh-CN"/>
      </w:rPr>
      <w:t>核</w:t>
    </w:r>
    <w:r>
      <w:rPr>
        <w:rFonts w:hint="eastAsia"/>
      </w:rPr>
      <w:t>字[20</w:t>
    </w:r>
    <w:r>
      <w:t>22]2006</w:t>
    </w:r>
    <w:r>
      <w:rPr>
        <w:rFonts w:hint="eastAsia"/>
        <w:lang w:val="en-US" w:eastAsia="zh-CN"/>
      </w:rPr>
      <w:t>35</w:t>
    </w:r>
    <w:r>
      <w:rPr>
        <w:rFonts w:hint="eastAsia"/>
      </w:rPr>
      <w:t>号</w:t>
    </w:r>
    <w:r>
      <w:rPr>
        <w:rFonts w:hint="eastAsia"/>
        <w:color w:val="000000"/>
      </w:rPr>
      <w:t>审计报告</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大华</w:t>
    </w:r>
    <w:r>
      <w:rPr>
        <w:rFonts w:hint="eastAsia" w:asciiTheme="minorEastAsia" w:hAnsiTheme="minorEastAsia" w:eastAsiaTheme="minorEastAsia" w:cstheme="minorEastAsia"/>
        <w:lang w:val="en-US" w:eastAsia="zh-CN"/>
      </w:rPr>
      <w:t>核</w:t>
    </w:r>
    <w:r>
      <w:rPr>
        <w:rFonts w:hint="eastAsia" w:asciiTheme="minorEastAsia" w:hAnsiTheme="minorEastAsia" w:eastAsiaTheme="minorEastAsia" w:cstheme="minorEastAsia"/>
      </w:rPr>
      <w:t>字[2022]2006</w:t>
    </w:r>
    <w:r>
      <w:rPr>
        <w:rFonts w:hint="eastAsia" w:asciiTheme="minorEastAsia" w:hAnsiTheme="minorEastAsia" w:eastAsiaTheme="minorEastAsia" w:cstheme="minorEastAsia"/>
        <w:lang w:val="en-US" w:eastAsia="zh-CN"/>
      </w:rPr>
      <w:t>35</w:t>
    </w:r>
    <w:r>
      <w:rPr>
        <w:rFonts w:hint="eastAsia" w:asciiTheme="minorEastAsia" w:hAnsiTheme="minorEastAsia" w:eastAsiaTheme="minorEastAsia" w:cstheme="minorEastAsia"/>
      </w:rPr>
      <w:t>号</w:t>
    </w:r>
    <w:r>
      <w:rPr>
        <w:rFonts w:hint="eastAsia" w:asciiTheme="minorEastAsia" w:hAnsiTheme="minorEastAsia" w:eastAsiaTheme="minorEastAsia" w:cstheme="minorEastAsia"/>
        <w:color w:val="000000"/>
      </w:rPr>
      <w:t>审计报告</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jc w:val="left"/>
      <w:rPr>
        <w:rFonts w:ascii="等线" w:hAnsi="等线" w:eastAsia="等线" w:cs="黑体"/>
        <w:kern w:val="0"/>
        <w:sz w:val="13"/>
        <w:szCs w:val="13"/>
      </w:rPr>
    </w:pPr>
    <w:r>
      <w:rPr>
        <w:rFonts w:ascii="等线" w:hAnsi="等线" w:eastAsia="等线"/>
        <w:sz w:val="16"/>
        <w:szCs w:val="22"/>
      </w:rPr>
      <w:drawing>
        <wp:inline distT="0" distB="0" distL="0" distR="0">
          <wp:extent cx="2399665" cy="409575"/>
          <wp:effectExtent l="0" t="0" r="0" b="7620"/>
          <wp:docPr id="3" name="图片 3" descr="张着嘴&#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张着嘴&#10;&#10;低可信度描述已自动生成"/>
                  <pic:cNvPicPr>
                    <a:picLocks noChangeAspect="1" noChangeArrowheads="1"/>
                  </pic:cNvPicPr>
                </pic:nvPicPr>
                <pic:blipFill>
                  <a:blip r:embed="rId1">
                    <a:extLst>
                      <a:ext uri="{28A0092B-C50C-407E-A947-70E740481C1C}">
                        <a14:useLocalDpi xmlns:a14="http://schemas.microsoft.com/office/drawing/2010/main" val="0"/>
                      </a:ext>
                    </a:extLst>
                  </a:blip>
                  <a:srcRect l="7217" t="2675" r="51215" b="92336"/>
                  <a:stretch>
                    <a:fillRect/>
                  </a:stretch>
                </pic:blipFill>
                <pic:spPr>
                  <a:xfrm>
                    <a:off x="0" y="0"/>
                    <a:ext cx="2399665" cy="409575"/>
                  </a:xfrm>
                  <a:prstGeom prst="rect">
                    <a:avLst/>
                  </a:prstGeom>
                  <a:noFill/>
                  <a:ln>
                    <a:noFill/>
                  </a:ln>
                </pic:spPr>
              </pic:pic>
            </a:graphicData>
          </a:graphic>
        </wp:inline>
      </w:drawing>
    </w:r>
  </w:p>
  <w:p>
    <w:pPr>
      <w:pStyle w:val="11"/>
      <w:pBdr>
        <w:bottom w:val="none" w:color="auto" w:sz="0" w:space="0"/>
      </w:pBdr>
      <w:spacing w:line="240" w:lineRule="atLeast"/>
      <w:jc w:val="right"/>
      <w:rPr>
        <w:rFonts w:ascii="等线" w:hAnsi="等线" w:eastAsia="等线" w:cs="黑体"/>
        <w:b/>
        <w:bCs/>
        <w:sz w:val="15"/>
        <w:szCs w:val="15"/>
      </w:rPr>
    </w:pPr>
    <w:r>
      <w:rPr>
        <w:rFonts w:hint="eastAsia" w:ascii="等线" w:hAnsi="等线" w:eastAsia="等线" w:cs="黑体"/>
        <w:b/>
        <w:bCs/>
        <w:sz w:val="16"/>
        <w:szCs w:val="16"/>
      </w:rPr>
      <w:t xml:space="preserve"> </w:t>
    </w:r>
    <w:r>
      <w:rPr>
        <w:rFonts w:ascii="等线" w:hAnsi="等线" w:eastAsia="等线" w:cs="黑体"/>
        <w:b/>
        <w:bCs/>
        <w:sz w:val="16"/>
        <w:szCs w:val="16"/>
      </w:rPr>
      <w:t xml:space="preserve"> </w:t>
    </w:r>
    <w:r>
      <w:rPr>
        <w:rFonts w:hint="eastAsia" w:ascii="等线" w:hAnsi="等线" w:eastAsia="等线" w:cs="黑体"/>
        <w:b/>
        <w:bCs/>
        <w:sz w:val="15"/>
        <w:szCs w:val="15"/>
      </w:rPr>
      <w:t>大华会计师事务所（特殊普通合伙）云南分所</w:t>
    </w:r>
  </w:p>
  <w:p>
    <w:pPr>
      <w:pStyle w:val="11"/>
      <w:pBdr>
        <w:bottom w:val="none" w:color="auto" w:sz="0" w:space="0"/>
      </w:pBdr>
      <w:spacing w:line="240" w:lineRule="atLeast"/>
      <w:jc w:val="right"/>
      <w:rPr>
        <w:rFonts w:ascii="等线" w:hAnsi="等线" w:eastAsia="等线" w:cs="黑体"/>
        <w:bCs/>
        <w:sz w:val="15"/>
        <w:szCs w:val="15"/>
      </w:rPr>
    </w:pPr>
    <w:r>
      <w:rPr>
        <w:rFonts w:hint="eastAsia" w:ascii="等线" w:hAnsi="等线" w:eastAsia="等线" w:cs="黑体"/>
        <w:bCs/>
        <w:sz w:val="15"/>
        <w:szCs w:val="15"/>
      </w:rPr>
      <w:t>云南省昆明市西山区前福路229号广福城A8写字楼7层（650228）</w:t>
    </w:r>
  </w:p>
  <w:p>
    <w:pPr>
      <w:pStyle w:val="11"/>
      <w:pBdr>
        <w:bottom w:val="none" w:color="auto" w:sz="0" w:space="0"/>
      </w:pBdr>
      <w:jc w:val="right"/>
      <w:rPr>
        <w:rFonts w:ascii="等线" w:hAnsi="等线" w:eastAsia="等线" w:cs="黑体"/>
        <w:bCs/>
        <w:sz w:val="15"/>
        <w:szCs w:val="15"/>
      </w:rPr>
    </w:pPr>
    <w:r>
      <w:rPr>
        <w:rFonts w:hint="eastAsia" w:ascii="等线" w:hAnsi="等线" w:eastAsia="等线" w:cs="黑体"/>
        <w:bCs/>
        <w:sz w:val="15"/>
        <w:szCs w:val="15"/>
      </w:rPr>
      <w:t>电话：86（871）6395  5266 传真：</w:t>
    </w:r>
    <w:r>
      <w:rPr>
        <w:rFonts w:ascii="等线" w:hAnsi="等线" w:eastAsia="等线"/>
        <w:sz w:val="16"/>
        <w:szCs w:val="22"/>
      </w:rPr>
      <w:drawing>
        <wp:anchor distT="0" distB="0" distL="114300" distR="114300" simplePos="0" relativeHeight="251664384" behindDoc="1" locked="0" layoutInCell="1" allowOverlap="1">
          <wp:simplePos x="0" y="0"/>
          <wp:positionH relativeFrom="margin">
            <wp:posOffset>-1385570</wp:posOffset>
          </wp:positionH>
          <wp:positionV relativeFrom="page">
            <wp:posOffset>-535305</wp:posOffset>
          </wp:positionV>
          <wp:extent cx="7936865" cy="11226800"/>
          <wp:effectExtent l="0" t="0" r="6985" b="12700"/>
          <wp:wrapNone/>
          <wp:docPr id="4" name="WordPictureWatermark132014" descr="大华国际word标准抬头规范-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132014" descr="大华国际word标准抬头规范-01"/>
                  <pic:cNvPicPr>
                    <a:picLocks noChangeAspect="1"/>
                  </pic:cNvPicPr>
                </pic:nvPicPr>
                <pic:blipFill>
                  <a:blip r:embed="rId2"/>
                  <a:stretch>
                    <a:fillRect/>
                  </a:stretch>
                </pic:blipFill>
                <pic:spPr>
                  <a:xfrm>
                    <a:off x="0" y="0"/>
                    <a:ext cx="7936865" cy="11226800"/>
                  </a:xfrm>
                  <a:prstGeom prst="rect">
                    <a:avLst/>
                  </a:prstGeom>
                  <a:noFill/>
                  <a:ln>
                    <a:noFill/>
                  </a:ln>
                </pic:spPr>
              </pic:pic>
            </a:graphicData>
          </a:graphic>
        </wp:anchor>
      </w:drawing>
    </w:r>
    <w:r>
      <w:rPr>
        <w:rFonts w:hint="eastAsia" w:ascii="等线" w:hAnsi="等线" w:eastAsia="等线" w:cs="黑体"/>
        <w:bCs/>
        <w:sz w:val="15"/>
        <w:szCs w:val="15"/>
      </w:rPr>
      <w:t>86（871）6823  6561</w:t>
    </w:r>
  </w:p>
  <w:p>
    <w:pPr>
      <w:pStyle w:val="11"/>
      <w:pBdr>
        <w:bottom w:val="none" w:color="auto" w:sz="0" w:space="0"/>
      </w:pBdr>
      <w:jc w:val="right"/>
      <w:rPr>
        <w:rFonts w:ascii="等线 Light" w:hAnsi="等线 Light" w:eastAsia="等线" w:cs="等线 Light"/>
        <w:b/>
        <w:bCs/>
        <w:i/>
        <w:iCs/>
        <w:color w:val="004B65"/>
        <w:sz w:val="15"/>
        <w:szCs w:val="15"/>
      </w:rPr>
    </w:pPr>
    <w:r>
      <w:fldChar w:fldCharType="begin"/>
    </w:r>
    <w:r>
      <w:instrText xml:space="preserve"> HYPERLINK "http://www.dahua-cpa.com" </w:instrText>
    </w:r>
    <w:r>
      <w:fldChar w:fldCharType="separate"/>
    </w:r>
    <w:r>
      <w:rPr>
        <w:rStyle w:val="21"/>
        <w:rFonts w:hint="eastAsia" w:ascii="等线 Light" w:hAnsi="等线 Light" w:eastAsia="等线" w:cs="等线 Light"/>
        <w:b/>
        <w:bCs/>
        <w:i/>
        <w:iCs/>
        <w:sz w:val="15"/>
        <w:szCs w:val="15"/>
      </w:rPr>
      <w:t>www.dahua-cpa.com</w:t>
    </w:r>
    <w:r>
      <w:rPr>
        <w:rStyle w:val="21"/>
        <w:rFonts w:hint="eastAsia" w:ascii="等线 Light" w:hAnsi="等线 Light" w:eastAsia="等线" w:cs="等线 Light"/>
        <w:b/>
        <w:bCs/>
        <w:i/>
        <w:iCs/>
        <w:sz w:val="15"/>
        <w:szCs w:val="15"/>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91FE51"/>
    <w:multiLevelType w:val="singleLevel"/>
    <w:tmpl w:val="9291FE5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movePersonalInformation/>
  <w:bordersDoNotSurroundHeader w:val="0"/>
  <w:bordersDoNotSurroundFooter w:val="0"/>
  <w:documentProtection w:edit="readOnly" w:enforcement="0"/>
  <w:defaultTabStop w:val="420"/>
  <w:drawingGridHorizontalSpacing w:val="158"/>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RhM2VkMDNmZTEzNWQyZTJmY2MzZTEzYzFiZWI3YzYifQ=="/>
  </w:docVars>
  <w:rsids>
    <w:rsidRoot w:val="00763D8D"/>
    <w:rsid w:val="00001E42"/>
    <w:rsid w:val="000027B8"/>
    <w:rsid w:val="00002F0B"/>
    <w:rsid w:val="000032EE"/>
    <w:rsid w:val="00003457"/>
    <w:rsid w:val="00005269"/>
    <w:rsid w:val="000053D4"/>
    <w:rsid w:val="0000541A"/>
    <w:rsid w:val="00005612"/>
    <w:rsid w:val="000061F3"/>
    <w:rsid w:val="000079FB"/>
    <w:rsid w:val="000109E6"/>
    <w:rsid w:val="00011162"/>
    <w:rsid w:val="00012FD6"/>
    <w:rsid w:val="00012FE6"/>
    <w:rsid w:val="00013835"/>
    <w:rsid w:val="00013B21"/>
    <w:rsid w:val="000163D2"/>
    <w:rsid w:val="00021B6D"/>
    <w:rsid w:val="000221CA"/>
    <w:rsid w:val="00022371"/>
    <w:rsid w:val="00022B2B"/>
    <w:rsid w:val="00022FFA"/>
    <w:rsid w:val="00023FF0"/>
    <w:rsid w:val="000302F4"/>
    <w:rsid w:val="00031E88"/>
    <w:rsid w:val="00032A27"/>
    <w:rsid w:val="00032A3F"/>
    <w:rsid w:val="000333B0"/>
    <w:rsid w:val="00034210"/>
    <w:rsid w:val="000342E8"/>
    <w:rsid w:val="000352D9"/>
    <w:rsid w:val="0003594B"/>
    <w:rsid w:val="000377E6"/>
    <w:rsid w:val="00040985"/>
    <w:rsid w:val="00042B1B"/>
    <w:rsid w:val="00044EEC"/>
    <w:rsid w:val="00044EFF"/>
    <w:rsid w:val="00045931"/>
    <w:rsid w:val="00046291"/>
    <w:rsid w:val="00046463"/>
    <w:rsid w:val="00047BDF"/>
    <w:rsid w:val="00050813"/>
    <w:rsid w:val="00051B77"/>
    <w:rsid w:val="0005214A"/>
    <w:rsid w:val="00052BF6"/>
    <w:rsid w:val="00052D7F"/>
    <w:rsid w:val="00053024"/>
    <w:rsid w:val="0005327F"/>
    <w:rsid w:val="00053457"/>
    <w:rsid w:val="0005644F"/>
    <w:rsid w:val="000565E6"/>
    <w:rsid w:val="00057354"/>
    <w:rsid w:val="00057AB2"/>
    <w:rsid w:val="00057E6F"/>
    <w:rsid w:val="0006106E"/>
    <w:rsid w:val="000614D5"/>
    <w:rsid w:val="00061FA9"/>
    <w:rsid w:val="00062C5A"/>
    <w:rsid w:val="00063C3B"/>
    <w:rsid w:val="00064652"/>
    <w:rsid w:val="00066FEA"/>
    <w:rsid w:val="00071FB9"/>
    <w:rsid w:val="000726F3"/>
    <w:rsid w:val="00072A8D"/>
    <w:rsid w:val="00072CEC"/>
    <w:rsid w:val="00072DE3"/>
    <w:rsid w:val="000731C8"/>
    <w:rsid w:val="000737BA"/>
    <w:rsid w:val="00073C73"/>
    <w:rsid w:val="00075F9B"/>
    <w:rsid w:val="000761D2"/>
    <w:rsid w:val="00076B13"/>
    <w:rsid w:val="00077511"/>
    <w:rsid w:val="00077515"/>
    <w:rsid w:val="00077684"/>
    <w:rsid w:val="0008001E"/>
    <w:rsid w:val="0008006D"/>
    <w:rsid w:val="00080072"/>
    <w:rsid w:val="0008270C"/>
    <w:rsid w:val="00082777"/>
    <w:rsid w:val="00082DC6"/>
    <w:rsid w:val="00084022"/>
    <w:rsid w:val="000848EC"/>
    <w:rsid w:val="00085697"/>
    <w:rsid w:val="00085F32"/>
    <w:rsid w:val="0008688C"/>
    <w:rsid w:val="00086A62"/>
    <w:rsid w:val="000910C9"/>
    <w:rsid w:val="0009229C"/>
    <w:rsid w:val="000926D7"/>
    <w:rsid w:val="000929CD"/>
    <w:rsid w:val="00093656"/>
    <w:rsid w:val="0009376E"/>
    <w:rsid w:val="00093BD7"/>
    <w:rsid w:val="00094628"/>
    <w:rsid w:val="0009497D"/>
    <w:rsid w:val="0009510D"/>
    <w:rsid w:val="00095539"/>
    <w:rsid w:val="0009571D"/>
    <w:rsid w:val="00096C2D"/>
    <w:rsid w:val="00097033"/>
    <w:rsid w:val="000A0E47"/>
    <w:rsid w:val="000A0F6A"/>
    <w:rsid w:val="000A1F97"/>
    <w:rsid w:val="000A2945"/>
    <w:rsid w:val="000A3182"/>
    <w:rsid w:val="000A3ED9"/>
    <w:rsid w:val="000A4562"/>
    <w:rsid w:val="000A4B78"/>
    <w:rsid w:val="000A4D4E"/>
    <w:rsid w:val="000A60AC"/>
    <w:rsid w:val="000A6407"/>
    <w:rsid w:val="000A69CD"/>
    <w:rsid w:val="000B18D8"/>
    <w:rsid w:val="000B319B"/>
    <w:rsid w:val="000B3526"/>
    <w:rsid w:val="000B45A8"/>
    <w:rsid w:val="000B4DCE"/>
    <w:rsid w:val="000B54C2"/>
    <w:rsid w:val="000B577B"/>
    <w:rsid w:val="000B6BB5"/>
    <w:rsid w:val="000B7FBF"/>
    <w:rsid w:val="000C04DE"/>
    <w:rsid w:val="000C0984"/>
    <w:rsid w:val="000C1646"/>
    <w:rsid w:val="000C1832"/>
    <w:rsid w:val="000C1909"/>
    <w:rsid w:val="000C1973"/>
    <w:rsid w:val="000C25D3"/>
    <w:rsid w:val="000C2641"/>
    <w:rsid w:val="000C2861"/>
    <w:rsid w:val="000C3CE0"/>
    <w:rsid w:val="000C4C79"/>
    <w:rsid w:val="000C6072"/>
    <w:rsid w:val="000C7789"/>
    <w:rsid w:val="000C77BF"/>
    <w:rsid w:val="000C7A97"/>
    <w:rsid w:val="000D071E"/>
    <w:rsid w:val="000D1FBB"/>
    <w:rsid w:val="000D54E1"/>
    <w:rsid w:val="000D61CE"/>
    <w:rsid w:val="000D6B9B"/>
    <w:rsid w:val="000D6F0C"/>
    <w:rsid w:val="000D71DD"/>
    <w:rsid w:val="000E04E3"/>
    <w:rsid w:val="000E0C09"/>
    <w:rsid w:val="000E1691"/>
    <w:rsid w:val="000E21D8"/>
    <w:rsid w:val="000E31B7"/>
    <w:rsid w:val="000E3EF2"/>
    <w:rsid w:val="000E45C3"/>
    <w:rsid w:val="000E5DFF"/>
    <w:rsid w:val="000E702E"/>
    <w:rsid w:val="000E7A95"/>
    <w:rsid w:val="000F3E60"/>
    <w:rsid w:val="000F3EBB"/>
    <w:rsid w:val="000F4570"/>
    <w:rsid w:val="000F6595"/>
    <w:rsid w:val="000F6D94"/>
    <w:rsid w:val="001005CB"/>
    <w:rsid w:val="0010134E"/>
    <w:rsid w:val="0010278B"/>
    <w:rsid w:val="00102884"/>
    <w:rsid w:val="001028D7"/>
    <w:rsid w:val="00104612"/>
    <w:rsid w:val="00104EDC"/>
    <w:rsid w:val="00106279"/>
    <w:rsid w:val="001062CB"/>
    <w:rsid w:val="00106A8B"/>
    <w:rsid w:val="00106FBD"/>
    <w:rsid w:val="001075E2"/>
    <w:rsid w:val="00110119"/>
    <w:rsid w:val="001107F6"/>
    <w:rsid w:val="00110F10"/>
    <w:rsid w:val="00111234"/>
    <w:rsid w:val="001114A3"/>
    <w:rsid w:val="001140C2"/>
    <w:rsid w:val="0011424C"/>
    <w:rsid w:val="00114580"/>
    <w:rsid w:val="001148ED"/>
    <w:rsid w:val="00114B67"/>
    <w:rsid w:val="00116139"/>
    <w:rsid w:val="00116445"/>
    <w:rsid w:val="00117C31"/>
    <w:rsid w:val="00122361"/>
    <w:rsid w:val="001234F1"/>
    <w:rsid w:val="00124FFE"/>
    <w:rsid w:val="001254E8"/>
    <w:rsid w:val="00125D9C"/>
    <w:rsid w:val="00126C74"/>
    <w:rsid w:val="0012764C"/>
    <w:rsid w:val="001308E4"/>
    <w:rsid w:val="00133BDC"/>
    <w:rsid w:val="00135009"/>
    <w:rsid w:val="00136949"/>
    <w:rsid w:val="00137CA9"/>
    <w:rsid w:val="00137EA3"/>
    <w:rsid w:val="00143359"/>
    <w:rsid w:val="00143563"/>
    <w:rsid w:val="0014378E"/>
    <w:rsid w:val="001439E1"/>
    <w:rsid w:val="0014485A"/>
    <w:rsid w:val="00144939"/>
    <w:rsid w:val="00144A2C"/>
    <w:rsid w:val="00147856"/>
    <w:rsid w:val="00147F84"/>
    <w:rsid w:val="00150676"/>
    <w:rsid w:val="0015079A"/>
    <w:rsid w:val="00150F3E"/>
    <w:rsid w:val="001513E5"/>
    <w:rsid w:val="001523A5"/>
    <w:rsid w:val="00152B2B"/>
    <w:rsid w:val="001537D8"/>
    <w:rsid w:val="00153BC6"/>
    <w:rsid w:val="00156F74"/>
    <w:rsid w:val="00156F91"/>
    <w:rsid w:val="0016036C"/>
    <w:rsid w:val="00161317"/>
    <w:rsid w:val="00161605"/>
    <w:rsid w:val="00161DC3"/>
    <w:rsid w:val="0016290B"/>
    <w:rsid w:val="0016384F"/>
    <w:rsid w:val="00165E43"/>
    <w:rsid w:val="00165F06"/>
    <w:rsid w:val="00167243"/>
    <w:rsid w:val="001675E7"/>
    <w:rsid w:val="001722F7"/>
    <w:rsid w:val="00172D32"/>
    <w:rsid w:val="001735D6"/>
    <w:rsid w:val="00174235"/>
    <w:rsid w:val="0017453B"/>
    <w:rsid w:val="0017515E"/>
    <w:rsid w:val="001755B5"/>
    <w:rsid w:val="001756CC"/>
    <w:rsid w:val="00175976"/>
    <w:rsid w:val="001764D5"/>
    <w:rsid w:val="00176AE7"/>
    <w:rsid w:val="00177445"/>
    <w:rsid w:val="00180E68"/>
    <w:rsid w:val="00182303"/>
    <w:rsid w:val="00182613"/>
    <w:rsid w:val="00182C96"/>
    <w:rsid w:val="001836BB"/>
    <w:rsid w:val="00183D89"/>
    <w:rsid w:val="001844AE"/>
    <w:rsid w:val="001846CE"/>
    <w:rsid w:val="00185F8D"/>
    <w:rsid w:val="001862BA"/>
    <w:rsid w:val="0018683E"/>
    <w:rsid w:val="00186B58"/>
    <w:rsid w:val="00187306"/>
    <w:rsid w:val="001874A4"/>
    <w:rsid w:val="001905A5"/>
    <w:rsid w:val="00190961"/>
    <w:rsid w:val="001925C9"/>
    <w:rsid w:val="00193665"/>
    <w:rsid w:val="001942DF"/>
    <w:rsid w:val="00194653"/>
    <w:rsid w:val="00196581"/>
    <w:rsid w:val="0019737A"/>
    <w:rsid w:val="001A01E4"/>
    <w:rsid w:val="001A2410"/>
    <w:rsid w:val="001A2656"/>
    <w:rsid w:val="001A2D6F"/>
    <w:rsid w:val="001A4150"/>
    <w:rsid w:val="001A4B57"/>
    <w:rsid w:val="001A5378"/>
    <w:rsid w:val="001A644B"/>
    <w:rsid w:val="001A69FE"/>
    <w:rsid w:val="001A6EEB"/>
    <w:rsid w:val="001A77EE"/>
    <w:rsid w:val="001A7B0F"/>
    <w:rsid w:val="001A7E46"/>
    <w:rsid w:val="001B1A67"/>
    <w:rsid w:val="001B338F"/>
    <w:rsid w:val="001B3F40"/>
    <w:rsid w:val="001B4784"/>
    <w:rsid w:val="001B485E"/>
    <w:rsid w:val="001C2398"/>
    <w:rsid w:val="001C2D6D"/>
    <w:rsid w:val="001C44C3"/>
    <w:rsid w:val="001C5D76"/>
    <w:rsid w:val="001C649A"/>
    <w:rsid w:val="001D1888"/>
    <w:rsid w:val="001D1B0B"/>
    <w:rsid w:val="001D28EF"/>
    <w:rsid w:val="001D4E03"/>
    <w:rsid w:val="001D588C"/>
    <w:rsid w:val="001D58D7"/>
    <w:rsid w:val="001D5FBA"/>
    <w:rsid w:val="001D6BAE"/>
    <w:rsid w:val="001D7010"/>
    <w:rsid w:val="001D71EF"/>
    <w:rsid w:val="001E07CC"/>
    <w:rsid w:val="001E085F"/>
    <w:rsid w:val="001E091F"/>
    <w:rsid w:val="001E1C7F"/>
    <w:rsid w:val="001E1FC4"/>
    <w:rsid w:val="001E410D"/>
    <w:rsid w:val="001E53F4"/>
    <w:rsid w:val="001E6E29"/>
    <w:rsid w:val="001E713D"/>
    <w:rsid w:val="001E74DD"/>
    <w:rsid w:val="001F02C9"/>
    <w:rsid w:val="001F039B"/>
    <w:rsid w:val="001F1267"/>
    <w:rsid w:val="001F1285"/>
    <w:rsid w:val="001F1844"/>
    <w:rsid w:val="001F264E"/>
    <w:rsid w:val="001F26A7"/>
    <w:rsid w:val="001F3BD6"/>
    <w:rsid w:val="001F3D69"/>
    <w:rsid w:val="001F46E7"/>
    <w:rsid w:val="001F566D"/>
    <w:rsid w:val="001F59A3"/>
    <w:rsid w:val="001F5F2E"/>
    <w:rsid w:val="001F68BC"/>
    <w:rsid w:val="00200263"/>
    <w:rsid w:val="00200E37"/>
    <w:rsid w:val="0020171F"/>
    <w:rsid w:val="00201989"/>
    <w:rsid w:val="00201C2D"/>
    <w:rsid w:val="00201EF3"/>
    <w:rsid w:val="002039F0"/>
    <w:rsid w:val="0020414B"/>
    <w:rsid w:val="00205765"/>
    <w:rsid w:val="00205DF7"/>
    <w:rsid w:val="002076CB"/>
    <w:rsid w:val="00210C02"/>
    <w:rsid w:val="00212FA7"/>
    <w:rsid w:val="002131B9"/>
    <w:rsid w:val="002162BD"/>
    <w:rsid w:val="00216901"/>
    <w:rsid w:val="00217869"/>
    <w:rsid w:val="0021797F"/>
    <w:rsid w:val="00217AA8"/>
    <w:rsid w:val="00220068"/>
    <w:rsid w:val="00220AD6"/>
    <w:rsid w:val="00221280"/>
    <w:rsid w:val="00222652"/>
    <w:rsid w:val="002229E2"/>
    <w:rsid w:val="0022365E"/>
    <w:rsid w:val="00224780"/>
    <w:rsid w:val="00225F68"/>
    <w:rsid w:val="002260C9"/>
    <w:rsid w:val="00226E95"/>
    <w:rsid w:val="002274FB"/>
    <w:rsid w:val="00227EAF"/>
    <w:rsid w:val="00230719"/>
    <w:rsid w:val="00230C67"/>
    <w:rsid w:val="00234AFB"/>
    <w:rsid w:val="00235C5D"/>
    <w:rsid w:val="00235D66"/>
    <w:rsid w:val="00237192"/>
    <w:rsid w:val="00240B85"/>
    <w:rsid w:val="00241C08"/>
    <w:rsid w:val="002422DC"/>
    <w:rsid w:val="0024279E"/>
    <w:rsid w:val="00242C8A"/>
    <w:rsid w:val="0024302C"/>
    <w:rsid w:val="002430D5"/>
    <w:rsid w:val="0024461F"/>
    <w:rsid w:val="00246276"/>
    <w:rsid w:val="00246E99"/>
    <w:rsid w:val="0024742B"/>
    <w:rsid w:val="0024764F"/>
    <w:rsid w:val="00250B79"/>
    <w:rsid w:val="00251346"/>
    <w:rsid w:val="002532A4"/>
    <w:rsid w:val="00254804"/>
    <w:rsid w:val="00254B91"/>
    <w:rsid w:val="002554E5"/>
    <w:rsid w:val="0025669F"/>
    <w:rsid w:val="002567D8"/>
    <w:rsid w:val="002567E0"/>
    <w:rsid w:val="00256D4E"/>
    <w:rsid w:val="002606F4"/>
    <w:rsid w:val="00261621"/>
    <w:rsid w:val="00261B36"/>
    <w:rsid w:val="002620E4"/>
    <w:rsid w:val="002625DF"/>
    <w:rsid w:val="00266468"/>
    <w:rsid w:val="00270FAC"/>
    <w:rsid w:val="002724F2"/>
    <w:rsid w:val="00274648"/>
    <w:rsid w:val="002758C7"/>
    <w:rsid w:val="00277ACC"/>
    <w:rsid w:val="00277FCA"/>
    <w:rsid w:val="00280FFD"/>
    <w:rsid w:val="0028281F"/>
    <w:rsid w:val="00282CC8"/>
    <w:rsid w:val="00283F38"/>
    <w:rsid w:val="00285265"/>
    <w:rsid w:val="002862D6"/>
    <w:rsid w:val="002866C2"/>
    <w:rsid w:val="00286C80"/>
    <w:rsid w:val="00287A4C"/>
    <w:rsid w:val="00290595"/>
    <w:rsid w:val="002934AD"/>
    <w:rsid w:val="0029356B"/>
    <w:rsid w:val="00294FDE"/>
    <w:rsid w:val="00295FDB"/>
    <w:rsid w:val="002A0059"/>
    <w:rsid w:val="002A0197"/>
    <w:rsid w:val="002A020A"/>
    <w:rsid w:val="002A06D4"/>
    <w:rsid w:val="002A1DF7"/>
    <w:rsid w:val="002A2389"/>
    <w:rsid w:val="002A2654"/>
    <w:rsid w:val="002A3BDB"/>
    <w:rsid w:val="002A5AD2"/>
    <w:rsid w:val="002A5C67"/>
    <w:rsid w:val="002A6C0A"/>
    <w:rsid w:val="002A6EAA"/>
    <w:rsid w:val="002B2BFC"/>
    <w:rsid w:val="002B3F00"/>
    <w:rsid w:val="002B40EA"/>
    <w:rsid w:val="002B5300"/>
    <w:rsid w:val="002B6F01"/>
    <w:rsid w:val="002B7A27"/>
    <w:rsid w:val="002B7B5E"/>
    <w:rsid w:val="002C2CAE"/>
    <w:rsid w:val="002C46F4"/>
    <w:rsid w:val="002C50DD"/>
    <w:rsid w:val="002C555C"/>
    <w:rsid w:val="002C6AE3"/>
    <w:rsid w:val="002C6F22"/>
    <w:rsid w:val="002D1A05"/>
    <w:rsid w:val="002D1D67"/>
    <w:rsid w:val="002D2317"/>
    <w:rsid w:val="002D3A7A"/>
    <w:rsid w:val="002D498A"/>
    <w:rsid w:val="002D4E21"/>
    <w:rsid w:val="002D55A2"/>
    <w:rsid w:val="002D5D1E"/>
    <w:rsid w:val="002D73C2"/>
    <w:rsid w:val="002E06C9"/>
    <w:rsid w:val="002E0F87"/>
    <w:rsid w:val="002E1041"/>
    <w:rsid w:val="002E20E8"/>
    <w:rsid w:val="002E280F"/>
    <w:rsid w:val="002E4429"/>
    <w:rsid w:val="002E44E2"/>
    <w:rsid w:val="002E4F0D"/>
    <w:rsid w:val="002E5A37"/>
    <w:rsid w:val="002E6F0D"/>
    <w:rsid w:val="002E6FAE"/>
    <w:rsid w:val="002F05E7"/>
    <w:rsid w:val="002F0B5C"/>
    <w:rsid w:val="002F0E14"/>
    <w:rsid w:val="002F2027"/>
    <w:rsid w:val="002F3A58"/>
    <w:rsid w:val="002F4221"/>
    <w:rsid w:val="002F516E"/>
    <w:rsid w:val="002F571B"/>
    <w:rsid w:val="002F59F0"/>
    <w:rsid w:val="002F5F78"/>
    <w:rsid w:val="002F65B6"/>
    <w:rsid w:val="002F7BE7"/>
    <w:rsid w:val="0030030F"/>
    <w:rsid w:val="003006BD"/>
    <w:rsid w:val="00301E20"/>
    <w:rsid w:val="003020B9"/>
    <w:rsid w:val="00302C0E"/>
    <w:rsid w:val="003057F0"/>
    <w:rsid w:val="00305854"/>
    <w:rsid w:val="00307209"/>
    <w:rsid w:val="00307963"/>
    <w:rsid w:val="00307A5C"/>
    <w:rsid w:val="00307B63"/>
    <w:rsid w:val="00307D79"/>
    <w:rsid w:val="0031132F"/>
    <w:rsid w:val="003116BB"/>
    <w:rsid w:val="003124B3"/>
    <w:rsid w:val="003133EF"/>
    <w:rsid w:val="00313C52"/>
    <w:rsid w:val="0031406D"/>
    <w:rsid w:val="00314557"/>
    <w:rsid w:val="00314A18"/>
    <w:rsid w:val="00314AF8"/>
    <w:rsid w:val="003219A7"/>
    <w:rsid w:val="00321A43"/>
    <w:rsid w:val="003226AA"/>
    <w:rsid w:val="003241BB"/>
    <w:rsid w:val="003242F3"/>
    <w:rsid w:val="003270CD"/>
    <w:rsid w:val="00327DCF"/>
    <w:rsid w:val="003305B8"/>
    <w:rsid w:val="0033130B"/>
    <w:rsid w:val="00333886"/>
    <w:rsid w:val="00333FE4"/>
    <w:rsid w:val="00334636"/>
    <w:rsid w:val="0033489A"/>
    <w:rsid w:val="0033762E"/>
    <w:rsid w:val="0034011D"/>
    <w:rsid w:val="0034081C"/>
    <w:rsid w:val="0034153B"/>
    <w:rsid w:val="003427AC"/>
    <w:rsid w:val="003427BE"/>
    <w:rsid w:val="0034304B"/>
    <w:rsid w:val="0034415B"/>
    <w:rsid w:val="003446BE"/>
    <w:rsid w:val="00344D52"/>
    <w:rsid w:val="00345149"/>
    <w:rsid w:val="00345478"/>
    <w:rsid w:val="00345E5B"/>
    <w:rsid w:val="00345F75"/>
    <w:rsid w:val="00347579"/>
    <w:rsid w:val="00347950"/>
    <w:rsid w:val="00347C48"/>
    <w:rsid w:val="00347CEB"/>
    <w:rsid w:val="00347E96"/>
    <w:rsid w:val="00350301"/>
    <w:rsid w:val="00351D75"/>
    <w:rsid w:val="00353796"/>
    <w:rsid w:val="00355733"/>
    <w:rsid w:val="00356D1E"/>
    <w:rsid w:val="00357576"/>
    <w:rsid w:val="003579A4"/>
    <w:rsid w:val="00357E6E"/>
    <w:rsid w:val="00361B06"/>
    <w:rsid w:val="00362CCC"/>
    <w:rsid w:val="003647C0"/>
    <w:rsid w:val="00364941"/>
    <w:rsid w:val="0036565B"/>
    <w:rsid w:val="00365AA5"/>
    <w:rsid w:val="00365B28"/>
    <w:rsid w:val="00365E94"/>
    <w:rsid w:val="00367117"/>
    <w:rsid w:val="00370B41"/>
    <w:rsid w:val="00371A8F"/>
    <w:rsid w:val="00371BB6"/>
    <w:rsid w:val="00371CAA"/>
    <w:rsid w:val="00371D06"/>
    <w:rsid w:val="00371D2B"/>
    <w:rsid w:val="00373EC0"/>
    <w:rsid w:val="0037449E"/>
    <w:rsid w:val="00375A44"/>
    <w:rsid w:val="00375AF4"/>
    <w:rsid w:val="003761AE"/>
    <w:rsid w:val="00376534"/>
    <w:rsid w:val="00376A60"/>
    <w:rsid w:val="00380118"/>
    <w:rsid w:val="003807BD"/>
    <w:rsid w:val="00381F0D"/>
    <w:rsid w:val="00382931"/>
    <w:rsid w:val="0038325E"/>
    <w:rsid w:val="0038336A"/>
    <w:rsid w:val="00383899"/>
    <w:rsid w:val="00383FAD"/>
    <w:rsid w:val="00384495"/>
    <w:rsid w:val="00384980"/>
    <w:rsid w:val="00385C35"/>
    <w:rsid w:val="003864AB"/>
    <w:rsid w:val="00387976"/>
    <w:rsid w:val="00390C5A"/>
    <w:rsid w:val="00392745"/>
    <w:rsid w:val="00392B65"/>
    <w:rsid w:val="0039305B"/>
    <w:rsid w:val="00393295"/>
    <w:rsid w:val="00393456"/>
    <w:rsid w:val="00393862"/>
    <w:rsid w:val="00397F49"/>
    <w:rsid w:val="003A1010"/>
    <w:rsid w:val="003A2287"/>
    <w:rsid w:val="003A243A"/>
    <w:rsid w:val="003A26F2"/>
    <w:rsid w:val="003A3987"/>
    <w:rsid w:val="003A43BD"/>
    <w:rsid w:val="003A561E"/>
    <w:rsid w:val="003A5711"/>
    <w:rsid w:val="003A6AB4"/>
    <w:rsid w:val="003A6B05"/>
    <w:rsid w:val="003A6BDB"/>
    <w:rsid w:val="003B2603"/>
    <w:rsid w:val="003B3B16"/>
    <w:rsid w:val="003B4212"/>
    <w:rsid w:val="003B50A6"/>
    <w:rsid w:val="003B5E81"/>
    <w:rsid w:val="003B5FE1"/>
    <w:rsid w:val="003B6544"/>
    <w:rsid w:val="003B6E6E"/>
    <w:rsid w:val="003B74B5"/>
    <w:rsid w:val="003C06AD"/>
    <w:rsid w:val="003C1B1C"/>
    <w:rsid w:val="003C1FB1"/>
    <w:rsid w:val="003C2D15"/>
    <w:rsid w:val="003C3146"/>
    <w:rsid w:val="003C40BE"/>
    <w:rsid w:val="003C4390"/>
    <w:rsid w:val="003C4985"/>
    <w:rsid w:val="003C4B64"/>
    <w:rsid w:val="003C6827"/>
    <w:rsid w:val="003C703D"/>
    <w:rsid w:val="003D1053"/>
    <w:rsid w:val="003D112A"/>
    <w:rsid w:val="003D12B5"/>
    <w:rsid w:val="003D1944"/>
    <w:rsid w:val="003D2104"/>
    <w:rsid w:val="003D2F2D"/>
    <w:rsid w:val="003D2FF0"/>
    <w:rsid w:val="003D34DA"/>
    <w:rsid w:val="003D35C0"/>
    <w:rsid w:val="003D4A5B"/>
    <w:rsid w:val="003D5145"/>
    <w:rsid w:val="003D5A12"/>
    <w:rsid w:val="003D6830"/>
    <w:rsid w:val="003E0BF9"/>
    <w:rsid w:val="003E0E49"/>
    <w:rsid w:val="003E1627"/>
    <w:rsid w:val="003E28AB"/>
    <w:rsid w:val="003E3D0B"/>
    <w:rsid w:val="003E559F"/>
    <w:rsid w:val="003E5D2F"/>
    <w:rsid w:val="003E6416"/>
    <w:rsid w:val="003E66AA"/>
    <w:rsid w:val="003E6E10"/>
    <w:rsid w:val="003E6F5A"/>
    <w:rsid w:val="003E7848"/>
    <w:rsid w:val="003F0777"/>
    <w:rsid w:val="003F10F1"/>
    <w:rsid w:val="003F1515"/>
    <w:rsid w:val="003F16E7"/>
    <w:rsid w:val="003F3902"/>
    <w:rsid w:val="003F3B25"/>
    <w:rsid w:val="003F3E12"/>
    <w:rsid w:val="003F402E"/>
    <w:rsid w:val="003F54F5"/>
    <w:rsid w:val="003F6354"/>
    <w:rsid w:val="003F6CC1"/>
    <w:rsid w:val="00400CBC"/>
    <w:rsid w:val="00400D06"/>
    <w:rsid w:val="00401C88"/>
    <w:rsid w:val="0040239B"/>
    <w:rsid w:val="00402FE1"/>
    <w:rsid w:val="004041A6"/>
    <w:rsid w:val="00405226"/>
    <w:rsid w:val="00405496"/>
    <w:rsid w:val="00405C75"/>
    <w:rsid w:val="00406CB9"/>
    <w:rsid w:val="00406D6A"/>
    <w:rsid w:val="00406DEF"/>
    <w:rsid w:val="00411585"/>
    <w:rsid w:val="00411819"/>
    <w:rsid w:val="00413311"/>
    <w:rsid w:val="0041352A"/>
    <w:rsid w:val="00413CED"/>
    <w:rsid w:val="00414379"/>
    <w:rsid w:val="00416222"/>
    <w:rsid w:val="00416BFD"/>
    <w:rsid w:val="0042007D"/>
    <w:rsid w:val="00420BEC"/>
    <w:rsid w:val="004216D6"/>
    <w:rsid w:val="004221FE"/>
    <w:rsid w:val="0042251D"/>
    <w:rsid w:val="00426FE5"/>
    <w:rsid w:val="004272A6"/>
    <w:rsid w:val="00427F98"/>
    <w:rsid w:val="0043119F"/>
    <w:rsid w:val="00431AE7"/>
    <w:rsid w:val="004326BB"/>
    <w:rsid w:val="00432D33"/>
    <w:rsid w:val="00432EC4"/>
    <w:rsid w:val="004330E4"/>
    <w:rsid w:val="00433CAA"/>
    <w:rsid w:val="00435047"/>
    <w:rsid w:val="00435F44"/>
    <w:rsid w:val="00437980"/>
    <w:rsid w:val="00437CF7"/>
    <w:rsid w:val="004401ED"/>
    <w:rsid w:val="00440843"/>
    <w:rsid w:val="004410A4"/>
    <w:rsid w:val="0044349C"/>
    <w:rsid w:val="00443FFD"/>
    <w:rsid w:val="00444B09"/>
    <w:rsid w:val="00445BB4"/>
    <w:rsid w:val="00446B14"/>
    <w:rsid w:val="004513A5"/>
    <w:rsid w:val="00451EE6"/>
    <w:rsid w:val="00451F9E"/>
    <w:rsid w:val="00452585"/>
    <w:rsid w:val="00452895"/>
    <w:rsid w:val="00453319"/>
    <w:rsid w:val="004542C8"/>
    <w:rsid w:val="004549D1"/>
    <w:rsid w:val="00455F06"/>
    <w:rsid w:val="004563C7"/>
    <w:rsid w:val="00457099"/>
    <w:rsid w:val="0046070E"/>
    <w:rsid w:val="00460B90"/>
    <w:rsid w:val="00460E4C"/>
    <w:rsid w:val="00462343"/>
    <w:rsid w:val="00463FC3"/>
    <w:rsid w:val="00464A91"/>
    <w:rsid w:val="00465037"/>
    <w:rsid w:val="00465B8C"/>
    <w:rsid w:val="004671F2"/>
    <w:rsid w:val="00467F0A"/>
    <w:rsid w:val="00470AA2"/>
    <w:rsid w:val="00470BEE"/>
    <w:rsid w:val="00472258"/>
    <w:rsid w:val="0047352C"/>
    <w:rsid w:val="004735EB"/>
    <w:rsid w:val="00474787"/>
    <w:rsid w:val="0047544B"/>
    <w:rsid w:val="004766AE"/>
    <w:rsid w:val="0048081D"/>
    <w:rsid w:val="004811D4"/>
    <w:rsid w:val="004816BE"/>
    <w:rsid w:val="0048198D"/>
    <w:rsid w:val="00481C10"/>
    <w:rsid w:val="00481EDD"/>
    <w:rsid w:val="00482129"/>
    <w:rsid w:val="00482BF5"/>
    <w:rsid w:val="004830A8"/>
    <w:rsid w:val="004839EA"/>
    <w:rsid w:val="00483BA5"/>
    <w:rsid w:val="00484612"/>
    <w:rsid w:val="00485D8E"/>
    <w:rsid w:val="004860CD"/>
    <w:rsid w:val="0048614F"/>
    <w:rsid w:val="0048637D"/>
    <w:rsid w:val="00486CF6"/>
    <w:rsid w:val="00490530"/>
    <w:rsid w:val="00490A77"/>
    <w:rsid w:val="00491824"/>
    <w:rsid w:val="00491F19"/>
    <w:rsid w:val="004949AC"/>
    <w:rsid w:val="004949F6"/>
    <w:rsid w:val="00494A9B"/>
    <w:rsid w:val="004A0A75"/>
    <w:rsid w:val="004A3612"/>
    <w:rsid w:val="004A3D8A"/>
    <w:rsid w:val="004A3DDB"/>
    <w:rsid w:val="004A4700"/>
    <w:rsid w:val="004A4B25"/>
    <w:rsid w:val="004A4CEC"/>
    <w:rsid w:val="004A5DF6"/>
    <w:rsid w:val="004A618B"/>
    <w:rsid w:val="004A6FD0"/>
    <w:rsid w:val="004A711A"/>
    <w:rsid w:val="004A744C"/>
    <w:rsid w:val="004A7B19"/>
    <w:rsid w:val="004B2569"/>
    <w:rsid w:val="004B34FB"/>
    <w:rsid w:val="004B3CC4"/>
    <w:rsid w:val="004B448D"/>
    <w:rsid w:val="004B5339"/>
    <w:rsid w:val="004B6C19"/>
    <w:rsid w:val="004C3AAF"/>
    <w:rsid w:val="004C4FF1"/>
    <w:rsid w:val="004C51F5"/>
    <w:rsid w:val="004C5D7B"/>
    <w:rsid w:val="004C5E22"/>
    <w:rsid w:val="004C6BF0"/>
    <w:rsid w:val="004D0338"/>
    <w:rsid w:val="004D1C23"/>
    <w:rsid w:val="004D2649"/>
    <w:rsid w:val="004D31B0"/>
    <w:rsid w:val="004D34AD"/>
    <w:rsid w:val="004D38B9"/>
    <w:rsid w:val="004D38BB"/>
    <w:rsid w:val="004D4189"/>
    <w:rsid w:val="004D48CD"/>
    <w:rsid w:val="004D663A"/>
    <w:rsid w:val="004D678B"/>
    <w:rsid w:val="004D7A7E"/>
    <w:rsid w:val="004E013B"/>
    <w:rsid w:val="004E0906"/>
    <w:rsid w:val="004E11D0"/>
    <w:rsid w:val="004E1F3D"/>
    <w:rsid w:val="004E3362"/>
    <w:rsid w:val="004E36B0"/>
    <w:rsid w:val="004E3F39"/>
    <w:rsid w:val="004E536F"/>
    <w:rsid w:val="004E548F"/>
    <w:rsid w:val="004E57D9"/>
    <w:rsid w:val="004E5E85"/>
    <w:rsid w:val="004E6B85"/>
    <w:rsid w:val="004E6E48"/>
    <w:rsid w:val="004F0288"/>
    <w:rsid w:val="004F0B47"/>
    <w:rsid w:val="004F2DE8"/>
    <w:rsid w:val="004F303B"/>
    <w:rsid w:val="004F400E"/>
    <w:rsid w:val="004F4191"/>
    <w:rsid w:val="004F43AA"/>
    <w:rsid w:val="004F4657"/>
    <w:rsid w:val="004F6A18"/>
    <w:rsid w:val="004F71D6"/>
    <w:rsid w:val="004F764F"/>
    <w:rsid w:val="004F7E59"/>
    <w:rsid w:val="005007F9"/>
    <w:rsid w:val="0050185C"/>
    <w:rsid w:val="005020E2"/>
    <w:rsid w:val="005060C3"/>
    <w:rsid w:val="005102A2"/>
    <w:rsid w:val="00510BAB"/>
    <w:rsid w:val="005128C5"/>
    <w:rsid w:val="005128F3"/>
    <w:rsid w:val="00514671"/>
    <w:rsid w:val="00514C29"/>
    <w:rsid w:val="0051607A"/>
    <w:rsid w:val="0051643E"/>
    <w:rsid w:val="0051652E"/>
    <w:rsid w:val="00517420"/>
    <w:rsid w:val="00517BBF"/>
    <w:rsid w:val="00520FFA"/>
    <w:rsid w:val="005212B1"/>
    <w:rsid w:val="0052179A"/>
    <w:rsid w:val="00521EBA"/>
    <w:rsid w:val="00522C77"/>
    <w:rsid w:val="00523D7C"/>
    <w:rsid w:val="0052439E"/>
    <w:rsid w:val="00526431"/>
    <w:rsid w:val="00526748"/>
    <w:rsid w:val="00526CD7"/>
    <w:rsid w:val="005302DA"/>
    <w:rsid w:val="005305DF"/>
    <w:rsid w:val="00532108"/>
    <w:rsid w:val="005335E4"/>
    <w:rsid w:val="005369B8"/>
    <w:rsid w:val="00536F5B"/>
    <w:rsid w:val="00537501"/>
    <w:rsid w:val="00537CE5"/>
    <w:rsid w:val="00537E77"/>
    <w:rsid w:val="00537F54"/>
    <w:rsid w:val="00540F1C"/>
    <w:rsid w:val="00542670"/>
    <w:rsid w:val="005429B9"/>
    <w:rsid w:val="00545908"/>
    <w:rsid w:val="00546A10"/>
    <w:rsid w:val="00550736"/>
    <w:rsid w:val="00550937"/>
    <w:rsid w:val="00551E41"/>
    <w:rsid w:val="00551F74"/>
    <w:rsid w:val="00554DBD"/>
    <w:rsid w:val="00554F02"/>
    <w:rsid w:val="00560548"/>
    <w:rsid w:val="00560677"/>
    <w:rsid w:val="00561513"/>
    <w:rsid w:val="00561795"/>
    <w:rsid w:val="00562BA8"/>
    <w:rsid w:val="0056376A"/>
    <w:rsid w:val="00564552"/>
    <w:rsid w:val="00564F4A"/>
    <w:rsid w:val="00565E48"/>
    <w:rsid w:val="00566921"/>
    <w:rsid w:val="00566D9F"/>
    <w:rsid w:val="005671F0"/>
    <w:rsid w:val="0057050B"/>
    <w:rsid w:val="00570BA3"/>
    <w:rsid w:val="0057129A"/>
    <w:rsid w:val="005723B5"/>
    <w:rsid w:val="005750C4"/>
    <w:rsid w:val="005753DF"/>
    <w:rsid w:val="00575A6A"/>
    <w:rsid w:val="00576CB6"/>
    <w:rsid w:val="00577FAD"/>
    <w:rsid w:val="005812CA"/>
    <w:rsid w:val="00582010"/>
    <w:rsid w:val="0058219A"/>
    <w:rsid w:val="00585784"/>
    <w:rsid w:val="00585FEE"/>
    <w:rsid w:val="005868E5"/>
    <w:rsid w:val="00587462"/>
    <w:rsid w:val="005879CA"/>
    <w:rsid w:val="00587C8D"/>
    <w:rsid w:val="0059021A"/>
    <w:rsid w:val="00591EF2"/>
    <w:rsid w:val="00591F6F"/>
    <w:rsid w:val="00592198"/>
    <w:rsid w:val="00592ED5"/>
    <w:rsid w:val="0059320E"/>
    <w:rsid w:val="00593994"/>
    <w:rsid w:val="005941AB"/>
    <w:rsid w:val="00596270"/>
    <w:rsid w:val="0059657A"/>
    <w:rsid w:val="00597A69"/>
    <w:rsid w:val="005A0E1E"/>
    <w:rsid w:val="005A158B"/>
    <w:rsid w:val="005A2E6F"/>
    <w:rsid w:val="005A3510"/>
    <w:rsid w:val="005A3998"/>
    <w:rsid w:val="005A4381"/>
    <w:rsid w:val="005A50E5"/>
    <w:rsid w:val="005A57C2"/>
    <w:rsid w:val="005B0482"/>
    <w:rsid w:val="005B0F43"/>
    <w:rsid w:val="005B18B5"/>
    <w:rsid w:val="005B49E1"/>
    <w:rsid w:val="005B5643"/>
    <w:rsid w:val="005B6066"/>
    <w:rsid w:val="005B6D5F"/>
    <w:rsid w:val="005B6D83"/>
    <w:rsid w:val="005B70F0"/>
    <w:rsid w:val="005B72FA"/>
    <w:rsid w:val="005B7C20"/>
    <w:rsid w:val="005B7CD7"/>
    <w:rsid w:val="005C3A31"/>
    <w:rsid w:val="005C40D3"/>
    <w:rsid w:val="005C4545"/>
    <w:rsid w:val="005C4E5C"/>
    <w:rsid w:val="005C52A7"/>
    <w:rsid w:val="005C5913"/>
    <w:rsid w:val="005C7969"/>
    <w:rsid w:val="005C7E49"/>
    <w:rsid w:val="005D00EB"/>
    <w:rsid w:val="005D0408"/>
    <w:rsid w:val="005D06E4"/>
    <w:rsid w:val="005D0E12"/>
    <w:rsid w:val="005D17D4"/>
    <w:rsid w:val="005D2983"/>
    <w:rsid w:val="005D2B5C"/>
    <w:rsid w:val="005D447B"/>
    <w:rsid w:val="005D4F41"/>
    <w:rsid w:val="005D590F"/>
    <w:rsid w:val="005D69B1"/>
    <w:rsid w:val="005E0F3C"/>
    <w:rsid w:val="005E37FA"/>
    <w:rsid w:val="005E6172"/>
    <w:rsid w:val="005E79B4"/>
    <w:rsid w:val="005F1102"/>
    <w:rsid w:val="005F187A"/>
    <w:rsid w:val="005F280A"/>
    <w:rsid w:val="005F40CD"/>
    <w:rsid w:val="005F434A"/>
    <w:rsid w:val="005F5EB1"/>
    <w:rsid w:val="005F63FE"/>
    <w:rsid w:val="005F707C"/>
    <w:rsid w:val="005F7734"/>
    <w:rsid w:val="005F7A24"/>
    <w:rsid w:val="00603438"/>
    <w:rsid w:val="00603673"/>
    <w:rsid w:val="00603AEC"/>
    <w:rsid w:val="00603CC2"/>
    <w:rsid w:val="00604743"/>
    <w:rsid w:val="00604E40"/>
    <w:rsid w:val="00606113"/>
    <w:rsid w:val="00606859"/>
    <w:rsid w:val="00610C80"/>
    <w:rsid w:val="00611134"/>
    <w:rsid w:val="00613763"/>
    <w:rsid w:val="00614060"/>
    <w:rsid w:val="00614A17"/>
    <w:rsid w:val="00614D78"/>
    <w:rsid w:val="00615001"/>
    <w:rsid w:val="006152E3"/>
    <w:rsid w:val="006155DB"/>
    <w:rsid w:val="006169E6"/>
    <w:rsid w:val="00616BBD"/>
    <w:rsid w:val="00617AA4"/>
    <w:rsid w:val="00617D6E"/>
    <w:rsid w:val="006200A8"/>
    <w:rsid w:val="00620526"/>
    <w:rsid w:val="00621602"/>
    <w:rsid w:val="00621669"/>
    <w:rsid w:val="0062201C"/>
    <w:rsid w:val="006227F6"/>
    <w:rsid w:val="00622964"/>
    <w:rsid w:val="00624F17"/>
    <w:rsid w:val="006251E6"/>
    <w:rsid w:val="00625864"/>
    <w:rsid w:val="0062592E"/>
    <w:rsid w:val="00626CD7"/>
    <w:rsid w:val="006276B7"/>
    <w:rsid w:val="00627AC0"/>
    <w:rsid w:val="00630652"/>
    <w:rsid w:val="0063103D"/>
    <w:rsid w:val="0063152E"/>
    <w:rsid w:val="00631A30"/>
    <w:rsid w:val="006323C6"/>
    <w:rsid w:val="00634466"/>
    <w:rsid w:val="00635517"/>
    <w:rsid w:val="0063603C"/>
    <w:rsid w:val="00640904"/>
    <w:rsid w:val="00640AAC"/>
    <w:rsid w:val="00640DBE"/>
    <w:rsid w:val="0064117F"/>
    <w:rsid w:val="00641428"/>
    <w:rsid w:val="00641B71"/>
    <w:rsid w:val="00643CC5"/>
    <w:rsid w:val="0064402F"/>
    <w:rsid w:val="00645E03"/>
    <w:rsid w:val="00646AEA"/>
    <w:rsid w:val="00650847"/>
    <w:rsid w:val="00651D8C"/>
    <w:rsid w:val="00652C8C"/>
    <w:rsid w:val="00653AF2"/>
    <w:rsid w:val="0065445B"/>
    <w:rsid w:val="00654781"/>
    <w:rsid w:val="00655674"/>
    <w:rsid w:val="00656020"/>
    <w:rsid w:val="00656A9A"/>
    <w:rsid w:val="00656F7D"/>
    <w:rsid w:val="006571CA"/>
    <w:rsid w:val="00657FEB"/>
    <w:rsid w:val="006600AE"/>
    <w:rsid w:val="006613C2"/>
    <w:rsid w:val="006617F2"/>
    <w:rsid w:val="006633E2"/>
    <w:rsid w:val="00663464"/>
    <w:rsid w:val="00663BBB"/>
    <w:rsid w:val="0066407C"/>
    <w:rsid w:val="0066432A"/>
    <w:rsid w:val="00664545"/>
    <w:rsid w:val="00664A3C"/>
    <w:rsid w:val="0066577C"/>
    <w:rsid w:val="00666226"/>
    <w:rsid w:val="00673BD9"/>
    <w:rsid w:val="006747F7"/>
    <w:rsid w:val="00674B5A"/>
    <w:rsid w:val="00674DB5"/>
    <w:rsid w:val="0067548D"/>
    <w:rsid w:val="00675895"/>
    <w:rsid w:val="0068089A"/>
    <w:rsid w:val="00680A6D"/>
    <w:rsid w:val="006818DA"/>
    <w:rsid w:val="00682BA0"/>
    <w:rsid w:val="00683440"/>
    <w:rsid w:val="0068495B"/>
    <w:rsid w:val="00686138"/>
    <w:rsid w:val="00687D46"/>
    <w:rsid w:val="00690FD3"/>
    <w:rsid w:val="0069302A"/>
    <w:rsid w:val="00693295"/>
    <w:rsid w:val="0069483A"/>
    <w:rsid w:val="00694D3C"/>
    <w:rsid w:val="00694EAF"/>
    <w:rsid w:val="006958C2"/>
    <w:rsid w:val="006960BB"/>
    <w:rsid w:val="0069748C"/>
    <w:rsid w:val="006A28E5"/>
    <w:rsid w:val="006A2942"/>
    <w:rsid w:val="006A2A32"/>
    <w:rsid w:val="006A2D0D"/>
    <w:rsid w:val="006A3962"/>
    <w:rsid w:val="006A3C87"/>
    <w:rsid w:val="006A5995"/>
    <w:rsid w:val="006A5FFB"/>
    <w:rsid w:val="006A6752"/>
    <w:rsid w:val="006B1196"/>
    <w:rsid w:val="006B5BCF"/>
    <w:rsid w:val="006B7C51"/>
    <w:rsid w:val="006C0244"/>
    <w:rsid w:val="006C033A"/>
    <w:rsid w:val="006C0E35"/>
    <w:rsid w:val="006C1B1A"/>
    <w:rsid w:val="006C22FD"/>
    <w:rsid w:val="006C33CB"/>
    <w:rsid w:val="006C4793"/>
    <w:rsid w:val="006C4876"/>
    <w:rsid w:val="006C61CA"/>
    <w:rsid w:val="006C69D7"/>
    <w:rsid w:val="006D0105"/>
    <w:rsid w:val="006D012E"/>
    <w:rsid w:val="006D0AC3"/>
    <w:rsid w:val="006D1347"/>
    <w:rsid w:val="006D198F"/>
    <w:rsid w:val="006D2836"/>
    <w:rsid w:val="006D68A4"/>
    <w:rsid w:val="006D759A"/>
    <w:rsid w:val="006D7DCD"/>
    <w:rsid w:val="006E02CA"/>
    <w:rsid w:val="006E0555"/>
    <w:rsid w:val="006E1C00"/>
    <w:rsid w:val="006E1CDE"/>
    <w:rsid w:val="006E1E94"/>
    <w:rsid w:val="006E302D"/>
    <w:rsid w:val="006E342B"/>
    <w:rsid w:val="006E36CF"/>
    <w:rsid w:val="006E3A18"/>
    <w:rsid w:val="006E3A23"/>
    <w:rsid w:val="006E4BB4"/>
    <w:rsid w:val="006E4F64"/>
    <w:rsid w:val="006E54D4"/>
    <w:rsid w:val="006E55D1"/>
    <w:rsid w:val="006E606C"/>
    <w:rsid w:val="006E6DDC"/>
    <w:rsid w:val="006E76CA"/>
    <w:rsid w:val="006E77B8"/>
    <w:rsid w:val="006F09DA"/>
    <w:rsid w:val="006F0F7B"/>
    <w:rsid w:val="006F1226"/>
    <w:rsid w:val="006F33FA"/>
    <w:rsid w:val="006F46CE"/>
    <w:rsid w:val="006F6194"/>
    <w:rsid w:val="006F66D7"/>
    <w:rsid w:val="006F6C45"/>
    <w:rsid w:val="006F6F80"/>
    <w:rsid w:val="006F7172"/>
    <w:rsid w:val="006F7451"/>
    <w:rsid w:val="006F78C5"/>
    <w:rsid w:val="00700394"/>
    <w:rsid w:val="00700C82"/>
    <w:rsid w:val="00700F27"/>
    <w:rsid w:val="00701599"/>
    <w:rsid w:val="00703419"/>
    <w:rsid w:val="00703A62"/>
    <w:rsid w:val="00703CDD"/>
    <w:rsid w:val="00703E15"/>
    <w:rsid w:val="00703FD5"/>
    <w:rsid w:val="00704906"/>
    <w:rsid w:val="00704B20"/>
    <w:rsid w:val="0070532D"/>
    <w:rsid w:val="00705964"/>
    <w:rsid w:val="00706028"/>
    <w:rsid w:val="007061AB"/>
    <w:rsid w:val="00706BD3"/>
    <w:rsid w:val="00706C0E"/>
    <w:rsid w:val="00707272"/>
    <w:rsid w:val="00707D42"/>
    <w:rsid w:val="00707EF8"/>
    <w:rsid w:val="00710E23"/>
    <w:rsid w:val="00711BD6"/>
    <w:rsid w:val="0071248F"/>
    <w:rsid w:val="00712568"/>
    <w:rsid w:val="00714765"/>
    <w:rsid w:val="007159B6"/>
    <w:rsid w:val="007174C1"/>
    <w:rsid w:val="00720FB9"/>
    <w:rsid w:val="00722A24"/>
    <w:rsid w:val="00723885"/>
    <w:rsid w:val="00723BA5"/>
    <w:rsid w:val="00723E2A"/>
    <w:rsid w:val="00726320"/>
    <w:rsid w:val="0072647A"/>
    <w:rsid w:val="007271E2"/>
    <w:rsid w:val="007301B8"/>
    <w:rsid w:val="00730753"/>
    <w:rsid w:val="00730A32"/>
    <w:rsid w:val="00731470"/>
    <w:rsid w:val="007319A2"/>
    <w:rsid w:val="00731A17"/>
    <w:rsid w:val="00731C5F"/>
    <w:rsid w:val="00731F2F"/>
    <w:rsid w:val="00733D12"/>
    <w:rsid w:val="00733E02"/>
    <w:rsid w:val="0073677A"/>
    <w:rsid w:val="007418DD"/>
    <w:rsid w:val="00741E28"/>
    <w:rsid w:val="00742520"/>
    <w:rsid w:val="007431B7"/>
    <w:rsid w:val="007446DA"/>
    <w:rsid w:val="00744D3A"/>
    <w:rsid w:val="0074594C"/>
    <w:rsid w:val="00746C6D"/>
    <w:rsid w:val="0075085D"/>
    <w:rsid w:val="00751985"/>
    <w:rsid w:val="0075260E"/>
    <w:rsid w:val="007526FB"/>
    <w:rsid w:val="00753514"/>
    <w:rsid w:val="00753CC5"/>
    <w:rsid w:val="007541CB"/>
    <w:rsid w:val="00754346"/>
    <w:rsid w:val="00754B81"/>
    <w:rsid w:val="00755156"/>
    <w:rsid w:val="007565FC"/>
    <w:rsid w:val="007573D2"/>
    <w:rsid w:val="00760A26"/>
    <w:rsid w:val="007637C3"/>
    <w:rsid w:val="00763D8D"/>
    <w:rsid w:val="00763F0B"/>
    <w:rsid w:val="007645A1"/>
    <w:rsid w:val="00764F32"/>
    <w:rsid w:val="00765743"/>
    <w:rsid w:val="00771BBE"/>
    <w:rsid w:val="00771DBA"/>
    <w:rsid w:val="007721D5"/>
    <w:rsid w:val="00772A8F"/>
    <w:rsid w:val="00773A18"/>
    <w:rsid w:val="00774689"/>
    <w:rsid w:val="00777EF3"/>
    <w:rsid w:val="00780354"/>
    <w:rsid w:val="00780EAF"/>
    <w:rsid w:val="00780F68"/>
    <w:rsid w:val="007822D6"/>
    <w:rsid w:val="00782844"/>
    <w:rsid w:val="00783983"/>
    <w:rsid w:val="00784B3C"/>
    <w:rsid w:val="007854FB"/>
    <w:rsid w:val="00785671"/>
    <w:rsid w:val="00786B54"/>
    <w:rsid w:val="0079024C"/>
    <w:rsid w:val="00790E7D"/>
    <w:rsid w:val="00791030"/>
    <w:rsid w:val="007911AF"/>
    <w:rsid w:val="00791C0A"/>
    <w:rsid w:val="007927E5"/>
    <w:rsid w:val="00792BB9"/>
    <w:rsid w:val="007949C6"/>
    <w:rsid w:val="00795893"/>
    <w:rsid w:val="00796264"/>
    <w:rsid w:val="00796558"/>
    <w:rsid w:val="007A0D22"/>
    <w:rsid w:val="007A0D31"/>
    <w:rsid w:val="007A1594"/>
    <w:rsid w:val="007A1C7C"/>
    <w:rsid w:val="007A2475"/>
    <w:rsid w:val="007A2BCD"/>
    <w:rsid w:val="007A38B7"/>
    <w:rsid w:val="007A3D48"/>
    <w:rsid w:val="007A4862"/>
    <w:rsid w:val="007A58C0"/>
    <w:rsid w:val="007A5BA5"/>
    <w:rsid w:val="007A6474"/>
    <w:rsid w:val="007A703D"/>
    <w:rsid w:val="007A7277"/>
    <w:rsid w:val="007B059E"/>
    <w:rsid w:val="007B064B"/>
    <w:rsid w:val="007B143A"/>
    <w:rsid w:val="007B2138"/>
    <w:rsid w:val="007B2B46"/>
    <w:rsid w:val="007B2D33"/>
    <w:rsid w:val="007B2D40"/>
    <w:rsid w:val="007B5289"/>
    <w:rsid w:val="007B5C5A"/>
    <w:rsid w:val="007B64E0"/>
    <w:rsid w:val="007B72C4"/>
    <w:rsid w:val="007C0131"/>
    <w:rsid w:val="007C092B"/>
    <w:rsid w:val="007C1BF6"/>
    <w:rsid w:val="007C2580"/>
    <w:rsid w:val="007C2CA2"/>
    <w:rsid w:val="007C38FA"/>
    <w:rsid w:val="007C3BD4"/>
    <w:rsid w:val="007C3CB2"/>
    <w:rsid w:val="007C4DBF"/>
    <w:rsid w:val="007C6D82"/>
    <w:rsid w:val="007C7A81"/>
    <w:rsid w:val="007C7E73"/>
    <w:rsid w:val="007D027A"/>
    <w:rsid w:val="007D051F"/>
    <w:rsid w:val="007D0BBA"/>
    <w:rsid w:val="007D1727"/>
    <w:rsid w:val="007D23D9"/>
    <w:rsid w:val="007D3332"/>
    <w:rsid w:val="007D333C"/>
    <w:rsid w:val="007D3F72"/>
    <w:rsid w:val="007D588D"/>
    <w:rsid w:val="007D5CE4"/>
    <w:rsid w:val="007D5F21"/>
    <w:rsid w:val="007D5F83"/>
    <w:rsid w:val="007D6583"/>
    <w:rsid w:val="007D7023"/>
    <w:rsid w:val="007D7213"/>
    <w:rsid w:val="007D72DF"/>
    <w:rsid w:val="007D778F"/>
    <w:rsid w:val="007E0AAC"/>
    <w:rsid w:val="007E18FC"/>
    <w:rsid w:val="007E281D"/>
    <w:rsid w:val="007E290D"/>
    <w:rsid w:val="007E3797"/>
    <w:rsid w:val="007E4724"/>
    <w:rsid w:val="007E56CC"/>
    <w:rsid w:val="007E5C52"/>
    <w:rsid w:val="007E68BF"/>
    <w:rsid w:val="007E70C4"/>
    <w:rsid w:val="007E726E"/>
    <w:rsid w:val="007E7826"/>
    <w:rsid w:val="007F0634"/>
    <w:rsid w:val="007F0B94"/>
    <w:rsid w:val="007F0BEF"/>
    <w:rsid w:val="007F10A1"/>
    <w:rsid w:val="007F1C66"/>
    <w:rsid w:val="007F26DD"/>
    <w:rsid w:val="007F2884"/>
    <w:rsid w:val="007F3515"/>
    <w:rsid w:val="007F4419"/>
    <w:rsid w:val="007F73E5"/>
    <w:rsid w:val="007F7DA1"/>
    <w:rsid w:val="00801696"/>
    <w:rsid w:val="00803FFB"/>
    <w:rsid w:val="0080512A"/>
    <w:rsid w:val="008056A0"/>
    <w:rsid w:val="008058A0"/>
    <w:rsid w:val="008067F9"/>
    <w:rsid w:val="00807246"/>
    <w:rsid w:val="008116C9"/>
    <w:rsid w:val="00812AFF"/>
    <w:rsid w:val="00812BB6"/>
    <w:rsid w:val="00813F50"/>
    <w:rsid w:val="00814803"/>
    <w:rsid w:val="00816B49"/>
    <w:rsid w:val="008173DF"/>
    <w:rsid w:val="00822129"/>
    <w:rsid w:val="00825EBD"/>
    <w:rsid w:val="00826FDA"/>
    <w:rsid w:val="00827322"/>
    <w:rsid w:val="00827E7F"/>
    <w:rsid w:val="00830F98"/>
    <w:rsid w:val="00832C5F"/>
    <w:rsid w:val="008335A0"/>
    <w:rsid w:val="00833991"/>
    <w:rsid w:val="00834B6A"/>
    <w:rsid w:val="0083582E"/>
    <w:rsid w:val="00835C1C"/>
    <w:rsid w:val="008362ED"/>
    <w:rsid w:val="0083681E"/>
    <w:rsid w:val="008369B8"/>
    <w:rsid w:val="00837064"/>
    <w:rsid w:val="00837E6A"/>
    <w:rsid w:val="008429AF"/>
    <w:rsid w:val="008443E4"/>
    <w:rsid w:val="00844DAD"/>
    <w:rsid w:val="00844E5C"/>
    <w:rsid w:val="00846B79"/>
    <w:rsid w:val="0084721E"/>
    <w:rsid w:val="00847367"/>
    <w:rsid w:val="0085048D"/>
    <w:rsid w:val="00851B24"/>
    <w:rsid w:val="00851CB8"/>
    <w:rsid w:val="00851F54"/>
    <w:rsid w:val="00853FE2"/>
    <w:rsid w:val="00855FF4"/>
    <w:rsid w:val="0085758D"/>
    <w:rsid w:val="00861906"/>
    <w:rsid w:val="00861BFE"/>
    <w:rsid w:val="008639D7"/>
    <w:rsid w:val="00863F2E"/>
    <w:rsid w:val="008652CA"/>
    <w:rsid w:val="00866544"/>
    <w:rsid w:val="0087193F"/>
    <w:rsid w:val="008735D5"/>
    <w:rsid w:val="008736BC"/>
    <w:rsid w:val="0087382A"/>
    <w:rsid w:val="00873D83"/>
    <w:rsid w:val="0087466F"/>
    <w:rsid w:val="00874B4B"/>
    <w:rsid w:val="0087555F"/>
    <w:rsid w:val="008765B2"/>
    <w:rsid w:val="00876F0F"/>
    <w:rsid w:val="00877854"/>
    <w:rsid w:val="008814E6"/>
    <w:rsid w:val="00882E11"/>
    <w:rsid w:val="0088340E"/>
    <w:rsid w:val="0088438B"/>
    <w:rsid w:val="00884635"/>
    <w:rsid w:val="00885598"/>
    <w:rsid w:val="00885EF1"/>
    <w:rsid w:val="0088652D"/>
    <w:rsid w:val="008876F7"/>
    <w:rsid w:val="00890F31"/>
    <w:rsid w:val="00892DD2"/>
    <w:rsid w:val="0089323F"/>
    <w:rsid w:val="00894AEB"/>
    <w:rsid w:val="00896267"/>
    <w:rsid w:val="00896F65"/>
    <w:rsid w:val="00897172"/>
    <w:rsid w:val="008974FD"/>
    <w:rsid w:val="008A057B"/>
    <w:rsid w:val="008A096F"/>
    <w:rsid w:val="008A0A94"/>
    <w:rsid w:val="008A3471"/>
    <w:rsid w:val="008A37DE"/>
    <w:rsid w:val="008A4437"/>
    <w:rsid w:val="008A4E24"/>
    <w:rsid w:val="008A52AE"/>
    <w:rsid w:val="008A589C"/>
    <w:rsid w:val="008A5EF0"/>
    <w:rsid w:val="008A60E2"/>
    <w:rsid w:val="008A63FB"/>
    <w:rsid w:val="008A703B"/>
    <w:rsid w:val="008A7B0A"/>
    <w:rsid w:val="008B035B"/>
    <w:rsid w:val="008B3369"/>
    <w:rsid w:val="008B3483"/>
    <w:rsid w:val="008B37D7"/>
    <w:rsid w:val="008B4790"/>
    <w:rsid w:val="008B54D3"/>
    <w:rsid w:val="008B5CB6"/>
    <w:rsid w:val="008B5FDF"/>
    <w:rsid w:val="008B6DB1"/>
    <w:rsid w:val="008C134F"/>
    <w:rsid w:val="008C1413"/>
    <w:rsid w:val="008C32F7"/>
    <w:rsid w:val="008C3699"/>
    <w:rsid w:val="008C386B"/>
    <w:rsid w:val="008C3AB1"/>
    <w:rsid w:val="008C4654"/>
    <w:rsid w:val="008C5477"/>
    <w:rsid w:val="008C5D1B"/>
    <w:rsid w:val="008C5DDD"/>
    <w:rsid w:val="008C60D4"/>
    <w:rsid w:val="008D007F"/>
    <w:rsid w:val="008D1196"/>
    <w:rsid w:val="008D1B98"/>
    <w:rsid w:val="008D2A15"/>
    <w:rsid w:val="008D591C"/>
    <w:rsid w:val="008D5ECA"/>
    <w:rsid w:val="008D6A78"/>
    <w:rsid w:val="008D6C00"/>
    <w:rsid w:val="008D7D2E"/>
    <w:rsid w:val="008E021D"/>
    <w:rsid w:val="008E077D"/>
    <w:rsid w:val="008E0BB9"/>
    <w:rsid w:val="008E0C7B"/>
    <w:rsid w:val="008E0E1C"/>
    <w:rsid w:val="008E0FBB"/>
    <w:rsid w:val="008E2B4C"/>
    <w:rsid w:val="008E2BB1"/>
    <w:rsid w:val="008E3595"/>
    <w:rsid w:val="008E3EA9"/>
    <w:rsid w:val="008E5628"/>
    <w:rsid w:val="008E5FD6"/>
    <w:rsid w:val="008E70EF"/>
    <w:rsid w:val="008E7777"/>
    <w:rsid w:val="008F0F5E"/>
    <w:rsid w:val="008F169E"/>
    <w:rsid w:val="008F1F58"/>
    <w:rsid w:val="008F2F92"/>
    <w:rsid w:val="008F35A5"/>
    <w:rsid w:val="008F3B4C"/>
    <w:rsid w:val="008F3E7D"/>
    <w:rsid w:val="008F4983"/>
    <w:rsid w:val="008F57B0"/>
    <w:rsid w:val="008F6079"/>
    <w:rsid w:val="008F60A2"/>
    <w:rsid w:val="008F6EB3"/>
    <w:rsid w:val="008F7698"/>
    <w:rsid w:val="008F7EDF"/>
    <w:rsid w:val="00900057"/>
    <w:rsid w:val="00901077"/>
    <w:rsid w:val="00901D0E"/>
    <w:rsid w:val="009024C9"/>
    <w:rsid w:val="00902627"/>
    <w:rsid w:val="009034E6"/>
    <w:rsid w:val="00903B27"/>
    <w:rsid w:val="00903C2E"/>
    <w:rsid w:val="00905C8E"/>
    <w:rsid w:val="00906630"/>
    <w:rsid w:val="0090678C"/>
    <w:rsid w:val="0090712D"/>
    <w:rsid w:val="009071D5"/>
    <w:rsid w:val="00907D5F"/>
    <w:rsid w:val="0091204F"/>
    <w:rsid w:val="00912CC4"/>
    <w:rsid w:val="0091351A"/>
    <w:rsid w:val="0091369F"/>
    <w:rsid w:val="00913E66"/>
    <w:rsid w:val="00914C1E"/>
    <w:rsid w:val="00915956"/>
    <w:rsid w:val="00920E07"/>
    <w:rsid w:val="0092106C"/>
    <w:rsid w:val="009215ED"/>
    <w:rsid w:val="0092364E"/>
    <w:rsid w:val="0092374D"/>
    <w:rsid w:val="00923BAA"/>
    <w:rsid w:val="00924970"/>
    <w:rsid w:val="00927173"/>
    <w:rsid w:val="00930FA3"/>
    <w:rsid w:val="00931171"/>
    <w:rsid w:val="009317C0"/>
    <w:rsid w:val="00931B5C"/>
    <w:rsid w:val="009326BF"/>
    <w:rsid w:val="0093787B"/>
    <w:rsid w:val="009415F0"/>
    <w:rsid w:val="00942659"/>
    <w:rsid w:val="00942AFA"/>
    <w:rsid w:val="00942C8E"/>
    <w:rsid w:val="009433E4"/>
    <w:rsid w:val="00943ABC"/>
    <w:rsid w:val="00945962"/>
    <w:rsid w:val="00946116"/>
    <w:rsid w:val="00947396"/>
    <w:rsid w:val="0095111A"/>
    <w:rsid w:val="009529F5"/>
    <w:rsid w:val="00952B4F"/>
    <w:rsid w:val="00953F74"/>
    <w:rsid w:val="009578F0"/>
    <w:rsid w:val="009607A3"/>
    <w:rsid w:val="009607C1"/>
    <w:rsid w:val="00961330"/>
    <w:rsid w:val="00961BEE"/>
    <w:rsid w:val="00962193"/>
    <w:rsid w:val="00962B5A"/>
    <w:rsid w:val="00963095"/>
    <w:rsid w:val="00964F1C"/>
    <w:rsid w:val="00965869"/>
    <w:rsid w:val="009672A4"/>
    <w:rsid w:val="00967889"/>
    <w:rsid w:val="00967E9B"/>
    <w:rsid w:val="009701BE"/>
    <w:rsid w:val="00971093"/>
    <w:rsid w:val="00973859"/>
    <w:rsid w:val="00974627"/>
    <w:rsid w:val="00974A70"/>
    <w:rsid w:val="00975CE2"/>
    <w:rsid w:val="009766E0"/>
    <w:rsid w:val="00977673"/>
    <w:rsid w:val="00980A5A"/>
    <w:rsid w:val="00982E9E"/>
    <w:rsid w:val="00983C33"/>
    <w:rsid w:val="00983E74"/>
    <w:rsid w:val="00983EB5"/>
    <w:rsid w:val="0098451B"/>
    <w:rsid w:val="00985C30"/>
    <w:rsid w:val="00985DFF"/>
    <w:rsid w:val="009900E6"/>
    <w:rsid w:val="009912B5"/>
    <w:rsid w:val="009914DC"/>
    <w:rsid w:val="009917C6"/>
    <w:rsid w:val="00992096"/>
    <w:rsid w:val="00993E30"/>
    <w:rsid w:val="009969D9"/>
    <w:rsid w:val="00997BBB"/>
    <w:rsid w:val="009A1863"/>
    <w:rsid w:val="009A3DA3"/>
    <w:rsid w:val="009A3DE0"/>
    <w:rsid w:val="009A4FBD"/>
    <w:rsid w:val="009B0E9E"/>
    <w:rsid w:val="009B1109"/>
    <w:rsid w:val="009B1D6E"/>
    <w:rsid w:val="009B2564"/>
    <w:rsid w:val="009B4A54"/>
    <w:rsid w:val="009B4C1C"/>
    <w:rsid w:val="009B6C04"/>
    <w:rsid w:val="009B7499"/>
    <w:rsid w:val="009B7AB6"/>
    <w:rsid w:val="009B7C10"/>
    <w:rsid w:val="009C009C"/>
    <w:rsid w:val="009C029E"/>
    <w:rsid w:val="009C0656"/>
    <w:rsid w:val="009C07AA"/>
    <w:rsid w:val="009C2DC5"/>
    <w:rsid w:val="009C395E"/>
    <w:rsid w:val="009C3ECB"/>
    <w:rsid w:val="009C55A3"/>
    <w:rsid w:val="009C5FAB"/>
    <w:rsid w:val="009C6BDC"/>
    <w:rsid w:val="009C6D8D"/>
    <w:rsid w:val="009D207C"/>
    <w:rsid w:val="009D25F6"/>
    <w:rsid w:val="009D2740"/>
    <w:rsid w:val="009D2F80"/>
    <w:rsid w:val="009D3119"/>
    <w:rsid w:val="009D3B4B"/>
    <w:rsid w:val="009D423F"/>
    <w:rsid w:val="009D4D5E"/>
    <w:rsid w:val="009D5331"/>
    <w:rsid w:val="009D7F8A"/>
    <w:rsid w:val="009E115F"/>
    <w:rsid w:val="009E16C7"/>
    <w:rsid w:val="009E3151"/>
    <w:rsid w:val="009E31C7"/>
    <w:rsid w:val="009E4779"/>
    <w:rsid w:val="009E5140"/>
    <w:rsid w:val="009E662A"/>
    <w:rsid w:val="009E66F6"/>
    <w:rsid w:val="009E7780"/>
    <w:rsid w:val="009E7A09"/>
    <w:rsid w:val="009F0463"/>
    <w:rsid w:val="009F0623"/>
    <w:rsid w:val="009F0910"/>
    <w:rsid w:val="009F1029"/>
    <w:rsid w:val="009F17BE"/>
    <w:rsid w:val="009F2679"/>
    <w:rsid w:val="009F404C"/>
    <w:rsid w:val="009F41F3"/>
    <w:rsid w:val="009F5219"/>
    <w:rsid w:val="009F584F"/>
    <w:rsid w:val="009F70AD"/>
    <w:rsid w:val="009F7F02"/>
    <w:rsid w:val="00A000D9"/>
    <w:rsid w:val="00A00612"/>
    <w:rsid w:val="00A00AE2"/>
    <w:rsid w:val="00A00D32"/>
    <w:rsid w:val="00A01111"/>
    <w:rsid w:val="00A02D03"/>
    <w:rsid w:val="00A02E94"/>
    <w:rsid w:val="00A039A3"/>
    <w:rsid w:val="00A046A5"/>
    <w:rsid w:val="00A04E95"/>
    <w:rsid w:val="00A05675"/>
    <w:rsid w:val="00A057DC"/>
    <w:rsid w:val="00A0684F"/>
    <w:rsid w:val="00A0725B"/>
    <w:rsid w:val="00A07E73"/>
    <w:rsid w:val="00A10153"/>
    <w:rsid w:val="00A11EC9"/>
    <w:rsid w:val="00A120CC"/>
    <w:rsid w:val="00A121FB"/>
    <w:rsid w:val="00A12F69"/>
    <w:rsid w:val="00A13D87"/>
    <w:rsid w:val="00A15B55"/>
    <w:rsid w:val="00A1757C"/>
    <w:rsid w:val="00A17A74"/>
    <w:rsid w:val="00A21092"/>
    <w:rsid w:val="00A21597"/>
    <w:rsid w:val="00A22A04"/>
    <w:rsid w:val="00A23CC3"/>
    <w:rsid w:val="00A23FCD"/>
    <w:rsid w:val="00A24E49"/>
    <w:rsid w:val="00A25264"/>
    <w:rsid w:val="00A2538A"/>
    <w:rsid w:val="00A25F38"/>
    <w:rsid w:val="00A27303"/>
    <w:rsid w:val="00A27411"/>
    <w:rsid w:val="00A27C51"/>
    <w:rsid w:val="00A31322"/>
    <w:rsid w:val="00A33005"/>
    <w:rsid w:val="00A34C99"/>
    <w:rsid w:val="00A353F8"/>
    <w:rsid w:val="00A36910"/>
    <w:rsid w:val="00A370A6"/>
    <w:rsid w:val="00A375F1"/>
    <w:rsid w:val="00A4120A"/>
    <w:rsid w:val="00A41822"/>
    <w:rsid w:val="00A41AE2"/>
    <w:rsid w:val="00A41B24"/>
    <w:rsid w:val="00A41C20"/>
    <w:rsid w:val="00A42F50"/>
    <w:rsid w:val="00A43390"/>
    <w:rsid w:val="00A43696"/>
    <w:rsid w:val="00A43DC7"/>
    <w:rsid w:val="00A447D2"/>
    <w:rsid w:val="00A44D72"/>
    <w:rsid w:val="00A46066"/>
    <w:rsid w:val="00A46F24"/>
    <w:rsid w:val="00A50F84"/>
    <w:rsid w:val="00A5151C"/>
    <w:rsid w:val="00A523AA"/>
    <w:rsid w:val="00A53093"/>
    <w:rsid w:val="00A55137"/>
    <w:rsid w:val="00A554BE"/>
    <w:rsid w:val="00A559BD"/>
    <w:rsid w:val="00A55B54"/>
    <w:rsid w:val="00A55B7A"/>
    <w:rsid w:val="00A56D54"/>
    <w:rsid w:val="00A57436"/>
    <w:rsid w:val="00A60237"/>
    <w:rsid w:val="00A60411"/>
    <w:rsid w:val="00A605F9"/>
    <w:rsid w:val="00A60E45"/>
    <w:rsid w:val="00A61E23"/>
    <w:rsid w:val="00A638A6"/>
    <w:rsid w:val="00A63BA5"/>
    <w:rsid w:val="00A64EED"/>
    <w:rsid w:val="00A64FA2"/>
    <w:rsid w:val="00A66C29"/>
    <w:rsid w:val="00A6714F"/>
    <w:rsid w:val="00A67C5B"/>
    <w:rsid w:val="00A7047C"/>
    <w:rsid w:val="00A70770"/>
    <w:rsid w:val="00A70ABC"/>
    <w:rsid w:val="00A71567"/>
    <w:rsid w:val="00A7287F"/>
    <w:rsid w:val="00A72CCE"/>
    <w:rsid w:val="00A73767"/>
    <w:rsid w:val="00A73844"/>
    <w:rsid w:val="00A74712"/>
    <w:rsid w:val="00A74717"/>
    <w:rsid w:val="00A804D1"/>
    <w:rsid w:val="00A80D20"/>
    <w:rsid w:val="00A80DAD"/>
    <w:rsid w:val="00A81E87"/>
    <w:rsid w:val="00A83104"/>
    <w:rsid w:val="00A83F2E"/>
    <w:rsid w:val="00A8504E"/>
    <w:rsid w:val="00A86EA4"/>
    <w:rsid w:val="00A90F08"/>
    <w:rsid w:val="00A91968"/>
    <w:rsid w:val="00A92139"/>
    <w:rsid w:val="00A92941"/>
    <w:rsid w:val="00A939F6"/>
    <w:rsid w:val="00A93C83"/>
    <w:rsid w:val="00A9535F"/>
    <w:rsid w:val="00A958B8"/>
    <w:rsid w:val="00A95E98"/>
    <w:rsid w:val="00A9689A"/>
    <w:rsid w:val="00A96D78"/>
    <w:rsid w:val="00A97110"/>
    <w:rsid w:val="00A97297"/>
    <w:rsid w:val="00A97EF6"/>
    <w:rsid w:val="00A97F6B"/>
    <w:rsid w:val="00AA0389"/>
    <w:rsid w:val="00AA05DC"/>
    <w:rsid w:val="00AA2D96"/>
    <w:rsid w:val="00AA580E"/>
    <w:rsid w:val="00AA5A78"/>
    <w:rsid w:val="00AA7142"/>
    <w:rsid w:val="00AA7FDA"/>
    <w:rsid w:val="00AB0097"/>
    <w:rsid w:val="00AB0B37"/>
    <w:rsid w:val="00AB0EC4"/>
    <w:rsid w:val="00AB0EEC"/>
    <w:rsid w:val="00AB1A79"/>
    <w:rsid w:val="00AB1C09"/>
    <w:rsid w:val="00AB312A"/>
    <w:rsid w:val="00AB3A73"/>
    <w:rsid w:val="00AB3D2F"/>
    <w:rsid w:val="00AB46FB"/>
    <w:rsid w:val="00AB5265"/>
    <w:rsid w:val="00AB5B2F"/>
    <w:rsid w:val="00AB611E"/>
    <w:rsid w:val="00AB6649"/>
    <w:rsid w:val="00AB69E3"/>
    <w:rsid w:val="00AB6C0C"/>
    <w:rsid w:val="00AB738C"/>
    <w:rsid w:val="00AC0440"/>
    <w:rsid w:val="00AC0A6D"/>
    <w:rsid w:val="00AC318C"/>
    <w:rsid w:val="00AC35DB"/>
    <w:rsid w:val="00AC3F10"/>
    <w:rsid w:val="00AC5633"/>
    <w:rsid w:val="00AC5A44"/>
    <w:rsid w:val="00AC5D5D"/>
    <w:rsid w:val="00AC66C5"/>
    <w:rsid w:val="00AC674B"/>
    <w:rsid w:val="00AC7752"/>
    <w:rsid w:val="00AD0E64"/>
    <w:rsid w:val="00AD11D7"/>
    <w:rsid w:val="00AD2308"/>
    <w:rsid w:val="00AD2EBD"/>
    <w:rsid w:val="00AD2F91"/>
    <w:rsid w:val="00AD3221"/>
    <w:rsid w:val="00AD3B4A"/>
    <w:rsid w:val="00AD40B3"/>
    <w:rsid w:val="00AD456C"/>
    <w:rsid w:val="00AD4854"/>
    <w:rsid w:val="00AD619D"/>
    <w:rsid w:val="00AD62B9"/>
    <w:rsid w:val="00AD660F"/>
    <w:rsid w:val="00AD6A9E"/>
    <w:rsid w:val="00AD6AB3"/>
    <w:rsid w:val="00AD6DA0"/>
    <w:rsid w:val="00AD712B"/>
    <w:rsid w:val="00AD7FB8"/>
    <w:rsid w:val="00AE0A63"/>
    <w:rsid w:val="00AE1D02"/>
    <w:rsid w:val="00AE2B1F"/>
    <w:rsid w:val="00AE37E3"/>
    <w:rsid w:val="00AE4EBF"/>
    <w:rsid w:val="00AE6CBF"/>
    <w:rsid w:val="00AE76DC"/>
    <w:rsid w:val="00AF0B62"/>
    <w:rsid w:val="00AF1B89"/>
    <w:rsid w:val="00AF4B32"/>
    <w:rsid w:val="00AF4FF8"/>
    <w:rsid w:val="00AF6ED3"/>
    <w:rsid w:val="00B0032D"/>
    <w:rsid w:val="00B01826"/>
    <w:rsid w:val="00B020FB"/>
    <w:rsid w:val="00B021D6"/>
    <w:rsid w:val="00B02A20"/>
    <w:rsid w:val="00B0556F"/>
    <w:rsid w:val="00B05600"/>
    <w:rsid w:val="00B05E3A"/>
    <w:rsid w:val="00B063AB"/>
    <w:rsid w:val="00B06A9C"/>
    <w:rsid w:val="00B06B5A"/>
    <w:rsid w:val="00B0708E"/>
    <w:rsid w:val="00B07143"/>
    <w:rsid w:val="00B07B88"/>
    <w:rsid w:val="00B10C1D"/>
    <w:rsid w:val="00B11475"/>
    <w:rsid w:val="00B11A61"/>
    <w:rsid w:val="00B11B07"/>
    <w:rsid w:val="00B13CEC"/>
    <w:rsid w:val="00B13ED2"/>
    <w:rsid w:val="00B14018"/>
    <w:rsid w:val="00B173BF"/>
    <w:rsid w:val="00B1775A"/>
    <w:rsid w:val="00B20005"/>
    <w:rsid w:val="00B23D23"/>
    <w:rsid w:val="00B2516C"/>
    <w:rsid w:val="00B26323"/>
    <w:rsid w:val="00B27384"/>
    <w:rsid w:val="00B300AD"/>
    <w:rsid w:val="00B301BB"/>
    <w:rsid w:val="00B304B3"/>
    <w:rsid w:val="00B30FF9"/>
    <w:rsid w:val="00B31DCA"/>
    <w:rsid w:val="00B327D2"/>
    <w:rsid w:val="00B345A8"/>
    <w:rsid w:val="00B34C0E"/>
    <w:rsid w:val="00B35B22"/>
    <w:rsid w:val="00B361F5"/>
    <w:rsid w:val="00B36265"/>
    <w:rsid w:val="00B41817"/>
    <w:rsid w:val="00B42E18"/>
    <w:rsid w:val="00B4358A"/>
    <w:rsid w:val="00B43C9B"/>
    <w:rsid w:val="00B442B1"/>
    <w:rsid w:val="00B4436C"/>
    <w:rsid w:val="00B446E4"/>
    <w:rsid w:val="00B44BDF"/>
    <w:rsid w:val="00B45B74"/>
    <w:rsid w:val="00B4673C"/>
    <w:rsid w:val="00B46C2D"/>
    <w:rsid w:val="00B47C61"/>
    <w:rsid w:val="00B506A4"/>
    <w:rsid w:val="00B50EBB"/>
    <w:rsid w:val="00B513AB"/>
    <w:rsid w:val="00B52CCD"/>
    <w:rsid w:val="00B52D83"/>
    <w:rsid w:val="00B5337A"/>
    <w:rsid w:val="00B53412"/>
    <w:rsid w:val="00B5367D"/>
    <w:rsid w:val="00B54441"/>
    <w:rsid w:val="00B54DC6"/>
    <w:rsid w:val="00B554A6"/>
    <w:rsid w:val="00B55B49"/>
    <w:rsid w:val="00B55B57"/>
    <w:rsid w:val="00B56C18"/>
    <w:rsid w:val="00B57693"/>
    <w:rsid w:val="00B609A6"/>
    <w:rsid w:val="00B61B4E"/>
    <w:rsid w:val="00B625B1"/>
    <w:rsid w:val="00B62689"/>
    <w:rsid w:val="00B639C9"/>
    <w:rsid w:val="00B63A60"/>
    <w:rsid w:val="00B651E6"/>
    <w:rsid w:val="00B65205"/>
    <w:rsid w:val="00B65D03"/>
    <w:rsid w:val="00B66A71"/>
    <w:rsid w:val="00B70DE9"/>
    <w:rsid w:val="00B7197B"/>
    <w:rsid w:val="00B7255B"/>
    <w:rsid w:val="00B72828"/>
    <w:rsid w:val="00B72FA1"/>
    <w:rsid w:val="00B73940"/>
    <w:rsid w:val="00B75505"/>
    <w:rsid w:val="00B755D6"/>
    <w:rsid w:val="00B778A8"/>
    <w:rsid w:val="00B80467"/>
    <w:rsid w:val="00B80AD5"/>
    <w:rsid w:val="00B81625"/>
    <w:rsid w:val="00B858B0"/>
    <w:rsid w:val="00B85958"/>
    <w:rsid w:val="00B86949"/>
    <w:rsid w:val="00B873B5"/>
    <w:rsid w:val="00B90AE4"/>
    <w:rsid w:val="00B92768"/>
    <w:rsid w:val="00B93260"/>
    <w:rsid w:val="00B93CB7"/>
    <w:rsid w:val="00B95D01"/>
    <w:rsid w:val="00B95D12"/>
    <w:rsid w:val="00B972CB"/>
    <w:rsid w:val="00B977F8"/>
    <w:rsid w:val="00B97D84"/>
    <w:rsid w:val="00BA1D12"/>
    <w:rsid w:val="00BA3002"/>
    <w:rsid w:val="00BA40D9"/>
    <w:rsid w:val="00BA4BB6"/>
    <w:rsid w:val="00BA5A05"/>
    <w:rsid w:val="00BA64D8"/>
    <w:rsid w:val="00BA665F"/>
    <w:rsid w:val="00BA684A"/>
    <w:rsid w:val="00BB0BA8"/>
    <w:rsid w:val="00BB1B0B"/>
    <w:rsid w:val="00BB2925"/>
    <w:rsid w:val="00BB2FC7"/>
    <w:rsid w:val="00BB3DE3"/>
    <w:rsid w:val="00BB4368"/>
    <w:rsid w:val="00BB467B"/>
    <w:rsid w:val="00BB5AEB"/>
    <w:rsid w:val="00BB5F0A"/>
    <w:rsid w:val="00BB6206"/>
    <w:rsid w:val="00BB653F"/>
    <w:rsid w:val="00BB6808"/>
    <w:rsid w:val="00BB6DCA"/>
    <w:rsid w:val="00BC2A4F"/>
    <w:rsid w:val="00BC33EC"/>
    <w:rsid w:val="00BC3449"/>
    <w:rsid w:val="00BC4EAA"/>
    <w:rsid w:val="00BC5152"/>
    <w:rsid w:val="00BC66F9"/>
    <w:rsid w:val="00BC6725"/>
    <w:rsid w:val="00BC6820"/>
    <w:rsid w:val="00BC6C03"/>
    <w:rsid w:val="00BC6F02"/>
    <w:rsid w:val="00BC6F77"/>
    <w:rsid w:val="00BD03A5"/>
    <w:rsid w:val="00BD2B9A"/>
    <w:rsid w:val="00BD3D65"/>
    <w:rsid w:val="00BD4BC8"/>
    <w:rsid w:val="00BD6218"/>
    <w:rsid w:val="00BE1B34"/>
    <w:rsid w:val="00BE2CD8"/>
    <w:rsid w:val="00BE2E79"/>
    <w:rsid w:val="00BE36D4"/>
    <w:rsid w:val="00BE4057"/>
    <w:rsid w:val="00BE645E"/>
    <w:rsid w:val="00BF2641"/>
    <w:rsid w:val="00BF3E95"/>
    <w:rsid w:val="00BF43FA"/>
    <w:rsid w:val="00BF6465"/>
    <w:rsid w:val="00BF652B"/>
    <w:rsid w:val="00BF7284"/>
    <w:rsid w:val="00C00A83"/>
    <w:rsid w:val="00C045BB"/>
    <w:rsid w:val="00C05EC7"/>
    <w:rsid w:val="00C06A3D"/>
    <w:rsid w:val="00C06CB9"/>
    <w:rsid w:val="00C10334"/>
    <w:rsid w:val="00C1193C"/>
    <w:rsid w:val="00C11A3F"/>
    <w:rsid w:val="00C12472"/>
    <w:rsid w:val="00C127E3"/>
    <w:rsid w:val="00C12993"/>
    <w:rsid w:val="00C13889"/>
    <w:rsid w:val="00C14194"/>
    <w:rsid w:val="00C15286"/>
    <w:rsid w:val="00C1559D"/>
    <w:rsid w:val="00C1562E"/>
    <w:rsid w:val="00C15C09"/>
    <w:rsid w:val="00C15C47"/>
    <w:rsid w:val="00C164F1"/>
    <w:rsid w:val="00C16790"/>
    <w:rsid w:val="00C16D4E"/>
    <w:rsid w:val="00C1745D"/>
    <w:rsid w:val="00C174A2"/>
    <w:rsid w:val="00C17CE4"/>
    <w:rsid w:val="00C20CB4"/>
    <w:rsid w:val="00C20FD7"/>
    <w:rsid w:val="00C21C6A"/>
    <w:rsid w:val="00C226BA"/>
    <w:rsid w:val="00C23F6A"/>
    <w:rsid w:val="00C241CF"/>
    <w:rsid w:val="00C25D38"/>
    <w:rsid w:val="00C25D65"/>
    <w:rsid w:val="00C26DED"/>
    <w:rsid w:val="00C27A4F"/>
    <w:rsid w:val="00C31653"/>
    <w:rsid w:val="00C3196D"/>
    <w:rsid w:val="00C31E63"/>
    <w:rsid w:val="00C3203F"/>
    <w:rsid w:val="00C322A8"/>
    <w:rsid w:val="00C338B8"/>
    <w:rsid w:val="00C33EBC"/>
    <w:rsid w:val="00C342E1"/>
    <w:rsid w:val="00C35BF3"/>
    <w:rsid w:val="00C375AC"/>
    <w:rsid w:val="00C40B0E"/>
    <w:rsid w:val="00C40CCE"/>
    <w:rsid w:val="00C41346"/>
    <w:rsid w:val="00C4210A"/>
    <w:rsid w:val="00C422C0"/>
    <w:rsid w:val="00C42A42"/>
    <w:rsid w:val="00C42DE1"/>
    <w:rsid w:val="00C4375A"/>
    <w:rsid w:val="00C43BD6"/>
    <w:rsid w:val="00C43DD0"/>
    <w:rsid w:val="00C45B16"/>
    <w:rsid w:val="00C45EBD"/>
    <w:rsid w:val="00C466DC"/>
    <w:rsid w:val="00C468DC"/>
    <w:rsid w:val="00C47B12"/>
    <w:rsid w:val="00C47C62"/>
    <w:rsid w:val="00C52349"/>
    <w:rsid w:val="00C52AB1"/>
    <w:rsid w:val="00C52AF6"/>
    <w:rsid w:val="00C534CE"/>
    <w:rsid w:val="00C5415C"/>
    <w:rsid w:val="00C541D9"/>
    <w:rsid w:val="00C55076"/>
    <w:rsid w:val="00C550A6"/>
    <w:rsid w:val="00C551EB"/>
    <w:rsid w:val="00C55225"/>
    <w:rsid w:val="00C5522B"/>
    <w:rsid w:val="00C555AF"/>
    <w:rsid w:val="00C55FA0"/>
    <w:rsid w:val="00C56AB4"/>
    <w:rsid w:val="00C57A45"/>
    <w:rsid w:val="00C57D23"/>
    <w:rsid w:val="00C60050"/>
    <w:rsid w:val="00C60E5D"/>
    <w:rsid w:val="00C61757"/>
    <w:rsid w:val="00C61C93"/>
    <w:rsid w:val="00C62615"/>
    <w:rsid w:val="00C633A8"/>
    <w:rsid w:val="00C6370E"/>
    <w:rsid w:val="00C63735"/>
    <w:rsid w:val="00C638A3"/>
    <w:rsid w:val="00C63F3D"/>
    <w:rsid w:val="00C64168"/>
    <w:rsid w:val="00C645D0"/>
    <w:rsid w:val="00C64ED8"/>
    <w:rsid w:val="00C65119"/>
    <w:rsid w:val="00C66ED6"/>
    <w:rsid w:val="00C67DFA"/>
    <w:rsid w:val="00C7013A"/>
    <w:rsid w:val="00C71AC0"/>
    <w:rsid w:val="00C72787"/>
    <w:rsid w:val="00C7424C"/>
    <w:rsid w:val="00C74334"/>
    <w:rsid w:val="00C74F9A"/>
    <w:rsid w:val="00C75C7D"/>
    <w:rsid w:val="00C76DCB"/>
    <w:rsid w:val="00C776B4"/>
    <w:rsid w:val="00C80468"/>
    <w:rsid w:val="00C81360"/>
    <w:rsid w:val="00C81645"/>
    <w:rsid w:val="00C82505"/>
    <w:rsid w:val="00C83288"/>
    <w:rsid w:val="00C83A49"/>
    <w:rsid w:val="00C8436C"/>
    <w:rsid w:val="00C846E1"/>
    <w:rsid w:val="00C84C32"/>
    <w:rsid w:val="00C863D7"/>
    <w:rsid w:val="00C90211"/>
    <w:rsid w:val="00C90783"/>
    <w:rsid w:val="00C907CE"/>
    <w:rsid w:val="00C92B67"/>
    <w:rsid w:val="00C937C2"/>
    <w:rsid w:val="00C93ABD"/>
    <w:rsid w:val="00C93AF5"/>
    <w:rsid w:val="00C93EE9"/>
    <w:rsid w:val="00C940D0"/>
    <w:rsid w:val="00C95464"/>
    <w:rsid w:val="00C9668C"/>
    <w:rsid w:val="00C96B35"/>
    <w:rsid w:val="00C96BCE"/>
    <w:rsid w:val="00C96EA8"/>
    <w:rsid w:val="00C97B37"/>
    <w:rsid w:val="00CA0E05"/>
    <w:rsid w:val="00CA1A11"/>
    <w:rsid w:val="00CA1F8D"/>
    <w:rsid w:val="00CA238B"/>
    <w:rsid w:val="00CA4623"/>
    <w:rsid w:val="00CA59B1"/>
    <w:rsid w:val="00CA5F83"/>
    <w:rsid w:val="00CA7A9C"/>
    <w:rsid w:val="00CB007D"/>
    <w:rsid w:val="00CB0544"/>
    <w:rsid w:val="00CB140F"/>
    <w:rsid w:val="00CB2443"/>
    <w:rsid w:val="00CB24F3"/>
    <w:rsid w:val="00CB2DF0"/>
    <w:rsid w:val="00CB420B"/>
    <w:rsid w:val="00CB4A9C"/>
    <w:rsid w:val="00CB5E75"/>
    <w:rsid w:val="00CB6399"/>
    <w:rsid w:val="00CB63E7"/>
    <w:rsid w:val="00CB6B8A"/>
    <w:rsid w:val="00CB712D"/>
    <w:rsid w:val="00CB7AED"/>
    <w:rsid w:val="00CC1977"/>
    <w:rsid w:val="00CC2185"/>
    <w:rsid w:val="00CC28DD"/>
    <w:rsid w:val="00CC2B23"/>
    <w:rsid w:val="00CC33EC"/>
    <w:rsid w:val="00CC7EBC"/>
    <w:rsid w:val="00CD2162"/>
    <w:rsid w:val="00CD271F"/>
    <w:rsid w:val="00CD2E86"/>
    <w:rsid w:val="00CD356E"/>
    <w:rsid w:val="00CD4214"/>
    <w:rsid w:val="00CD5E79"/>
    <w:rsid w:val="00CE0348"/>
    <w:rsid w:val="00CE0918"/>
    <w:rsid w:val="00CE1B79"/>
    <w:rsid w:val="00CE1FA4"/>
    <w:rsid w:val="00CE2C3A"/>
    <w:rsid w:val="00CE423E"/>
    <w:rsid w:val="00CE4E1E"/>
    <w:rsid w:val="00CE632D"/>
    <w:rsid w:val="00CE67AF"/>
    <w:rsid w:val="00CE725E"/>
    <w:rsid w:val="00CF0B0B"/>
    <w:rsid w:val="00CF216A"/>
    <w:rsid w:val="00CF5051"/>
    <w:rsid w:val="00CF61AC"/>
    <w:rsid w:val="00CF630B"/>
    <w:rsid w:val="00D009F5"/>
    <w:rsid w:val="00D02609"/>
    <w:rsid w:val="00D02747"/>
    <w:rsid w:val="00D029A4"/>
    <w:rsid w:val="00D03EEC"/>
    <w:rsid w:val="00D03FFF"/>
    <w:rsid w:val="00D0437B"/>
    <w:rsid w:val="00D048A9"/>
    <w:rsid w:val="00D10793"/>
    <w:rsid w:val="00D107B7"/>
    <w:rsid w:val="00D10F86"/>
    <w:rsid w:val="00D11093"/>
    <w:rsid w:val="00D1120B"/>
    <w:rsid w:val="00D11B8A"/>
    <w:rsid w:val="00D124D7"/>
    <w:rsid w:val="00D1615B"/>
    <w:rsid w:val="00D16EBE"/>
    <w:rsid w:val="00D175D4"/>
    <w:rsid w:val="00D17DC4"/>
    <w:rsid w:val="00D2147F"/>
    <w:rsid w:val="00D22695"/>
    <w:rsid w:val="00D2286A"/>
    <w:rsid w:val="00D23858"/>
    <w:rsid w:val="00D244AF"/>
    <w:rsid w:val="00D25926"/>
    <w:rsid w:val="00D266A0"/>
    <w:rsid w:val="00D26F5A"/>
    <w:rsid w:val="00D27175"/>
    <w:rsid w:val="00D27587"/>
    <w:rsid w:val="00D27D04"/>
    <w:rsid w:val="00D304CE"/>
    <w:rsid w:val="00D315F9"/>
    <w:rsid w:val="00D32626"/>
    <w:rsid w:val="00D33D96"/>
    <w:rsid w:val="00D34520"/>
    <w:rsid w:val="00D35671"/>
    <w:rsid w:val="00D36129"/>
    <w:rsid w:val="00D364E5"/>
    <w:rsid w:val="00D36A75"/>
    <w:rsid w:val="00D36B22"/>
    <w:rsid w:val="00D37658"/>
    <w:rsid w:val="00D3799D"/>
    <w:rsid w:val="00D41A1F"/>
    <w:rsid w:val="00D42666"/>
    <w:rsid w:val="00D42866"/>
    <w:rsid w:val="00D428E9"/>
    <w:rsid w:val="00D432F6"/>
    <w:rsid w:val="00D434B3"/>
    <w:rsid w:val="00D4598F"/>
    <w:rsid w:val="00D479CC"/>
    <w:rsid w:val="00D47CF4"/>
    <w:rsid w:val="00D51909"/>
    <w:rsid w:val="00D51F7E"/>
    <w:rsid w:val="00D5212F"/>
    <w:rsid w:val="00D5223C"/>
    <w:rsid w:val="00D52D57"/>
    <w:rsid w:val="00D52EB8"/>
    <w:rsid w:val="00D53012"/>
    <w:rsid w:val="00D53DC8"/>
    <w:rsid w:val="00D543E3"/>
    <w:rsid w:val="00D557FA"/>
    <w:rsid w:val="00D5658B"/>
    <w:rsid w:val="00D56D8A"/>
    <w:rsid w:val="00D607CE"/>
    <w:rsid w:val="00D61785"/>
    <w:rsid w:val="00D6208B"/>
    <w:rsid w:val="00D6323D"/>
    <w:rsid w:val="00D65736"/>
    <w:rsid w:val="00D66D86"/>
    <w:rsid w:val="00D67916"/>
    <w:rsid w:val="00D70277"/>
    <w:rsid w:val="00D7082A"/>
    <w:rsid w:val="00D71142"/>
    <w:rsid w:val="00D72530"/>
    <w:rsid w:val="00D72A7A"/>
    <w:rsid w:val="00D72E0C"/>
    <w:rsid w:val="00D72FD0"/>
    <w:rsid w:val="00D7316A"/>
    <w:rsid w:val="00D74CBA"/>
    <w:rsid w:val="00D75E56"/>
    <w:rsid w:val="00D76498"/>
    <w:rsid w:val="00D76CC1"/>
    <w:rsid w:val="00D7737D"/>
    <w:rsid w:val="00D77C56"/>
    <w:rsid w:val="00D80FA8"/>
    <w:rsid w:val="00D83AFC"/>
    <w:rsid w:val="00D8406D"/>
    <w:rsid w:val="00D84603"/>
    <w:rsid w:val="00D86780"/>
    <w:rsid w:val="00D86E4E"/>
    <w:rsid w:val="00D878B0"/>
    <w:rsid w:val="00D87FF0"/>
    <w:rsid w:val="00D91165"/>
    <w:rsid w:val="00D93E80"/>
    <w:rsid w:val="00D94191"/>
    <w:rsid w:val="00D94439"/>
    <w:rsid w:val="00D96852"/>
    <w:rsid w:val="00DA1161"/>
    <w:rsid w:val="00DA15E3"/>
    <w:rsid w:val="00DA3568"/>
    <w:rsid w:val="00DA5382"/>
    <w:rsid w:val="00DA5977"/>
    <w:rsid w:val="00DA7AE9"/>
    <w:rsid w:val="00DB0EBE"/>
    <w:rsid w:val="00DB46AA"/>
    <w:rsid w:val="00DB4813"/>
    <w:rsid w:val="00DB55EE"/>
    <w:rsid w:val="00DB6228"/>
    <w:rsid w:val="00DB6801"/>
    <w:rsid w:val="00DB7484"/>
    <w:rsid w:val="00DC0034"/>
    <w:rsid w:val="00DC03A2"/>
    <w:rsid w:val="00DC2021"/>
    <w:rsid w:val="00DC22FE"/>
    <w:rsid w:val="00DC2354"/>
    <w:rsid w:val="00DC29AB"/>
    <w:rsid w:val="00DC4520"/>
    <w:rsid w:val="00DC4683"/>
    <w:rsid w:val="00DC48E0"/>
    <w:rsid w:val="00DC49BB"/>
    <w:rsid w:val="00DC5F49"/>
    <w:rsid w:val="00DC77D8"/>
    <w:rsid w:val="00DC7BEC"/>
    <w:rsid w:val="00DD179C"/>
    <w:rsid w:val="00DD2119"/>
    <w:rsid w:val="00DD3554"/>
    <w:rsid w:val="00DD43BB"/>
    <w:rsid w:val="00DD6AAB"/>
    <w:rsid w:val="00DE01A3"/>
    <w:rsid w:val="00DE073C"/>
    <w:rsid w:val="00DE087E"/>
    <w:rsid w:val="00DE2844"/>
    <w:rsid w:val="00DE3AE3"/>
    <w:rsid w:val="00DE4365"/>
    <w:rsid w:val="00DE478B"/>
    <w:rsid w:val="00DE7081"/>
    <w:rsid w:val="00DE79D0"/>
    <w:rsid w:val="00DF0D80"/>
    <w:rsid w:val="00DF2D73"/>
    <w:rsid w:val="00DF3BD8"/>
    <w:rsid w:val="00DF78E9"/>
    <w:rsid w:val="00E00ED7"/>
    <w:rsid w:val="00E01B46"/>
    <w:rsid w:val="00E02BD8"/>
    <w:rsid w:val="00E037A1"/>
    <w:rsid w:val="00E042A2"/>
    <w:rsid w:val="00E04456"/>
    <w:rsid w:val="00E044DD"/>
    <w:rsid w:val="00E04B58"/>
    <w:rsid w:val="00E05F95"/>
    <w:rsid w:val="00E06324"/>
    <w:rsid w:val="00E07455"/>
    <w:rsid w:val="00E0798F"/>
    <w:rsid w:val="00E1027C"/>
    <w:rsid w:val="00E103E8"/>
    <w:rsid w:val="00E109B2"/>
    <w:rsid w:val="00E1144E"/>
    <w:rsid w:val="00E11C47"/>
    <w:rsid w:val="00E129F8"/>
    <w:rsid w:val="00E12F0B"/>
    <w:rsid w:val="00E13742"/>
    <w:rsid w:val="00E13C07"/>
    <w:rsid w:val="00E1400B"/>
    <w:rsid w:val="00E170F7"/>
    <w:rsid w:val="00E17390"/>
    <w:rsid w:val="00E17B51"/>
    <w:rsid w:val="00E21228"/>
    <w:rsid w:val="00E21DC7"/>
    <w:rsid w:val="00E2249A"/>
    <w:rsid w:val="00E22B52"/>
    <w:rsid w:val="00E22B7C"/>
    <w:rsid w:val="00E2474A"/>
    <w:rsid w:val="00E271BE"/>
    <w:rsid w:val="00E27DF2"/>
    <w:rsid w:val="00E30858"/>
    <w:rsid w:val="00E30C0C"/>
    <w:rsid w:val="00E30C20"/>
    <w:rsid w:val="00E30E91"/>
    <w:rsid w:val="00E30EBB"/>
    <w:rsid w:val="00E31608"/>
    <w:rsid w:val="00E32663"/>
    <w:rsid w:val="00E33420"/>
    <w:rsid w:val="00E33D2F"/>
    <w:rsid w:val="00E348D7"/>
    <w:rsid w:val="00E34B2E"/>
    <w:rsid w:val="00E35E09"/>
    <w:rsid w:val="00E3625F"/>
    <w:rsid w:val="00E363D3"/>
    <w:rsid w:val="00E365AB"/>
    <w:rsid w:val="00E36BB0"/>
    <w:rsid w:val="00E41E7A"/>
    <w:rsid w:val="00E42FD5"/>
    <w:rsid w:val="00E43E6A"/>
    <w:rsid w:val="00E44CFA"/>
    <w:rsid w:val="00E454BB"/>
    <w:rsid w:val="00E45B9F"/>
    <w:rsid w:val="00E467F0"/>
    <w:rsid w:val="00E503CA"/>
    <w:rsid w:val="00E50C81"/>
    <w:rsid w:val="00E55F10"/>
    <w:rsid w:val="00E57717"/>
    <w:rsid w:val="00E610C7"/>
    <w:rsid w:val="00E62663"/>
    <w:rsid w:val="00E63462"/>
    <w:rsid w:val="00E64456"/>
    <w:rsid w:val="00E66C39"/>
    <w:rsid w:val="00E67AC7"/>
    <w:rsid w:val="00E70CC7"/>
    <w:rsid w:val="00E71711"/>
    <w:rsid w:val="00E7212B"/>
    <w:rsid w:val="00E72260"/>
    <w:rsid w:val="00E727B4"/>
    <w:rsid w:val="00E7327C"/>
    <w:rsid w:val="00E76194"/>
    <w:rsid w:val="00E767B6"/>
    <w:rsid w:val="00E773A0"/>
    <w:rsid w:val="00E77F0E"/>
    <w:rsid w:val="00E80325"/>
    <w:rsid w:val="00E81CA6"/>
    <w:rsid w:val="00E82634"/>
    <w:rsid w:val="00E8449A"/>
    <w:rsid w:val="00E84775"/>
    <w:rsid w:val="00E84EC5"/>
    <w:rsid w:val="00E85235"/>
    <w:rsid w:val="00E8544D"/>
    <w:rsid w:val="00E8559C"/>
    <w:rsid w:val="00E85B28"/>
    <w:rsid w:val="00E87746"/>
    <w:rsid w:val="00E90D2D"/>
    <w:rsid w:val="00E90FC0"/>
    <w:rsid w:val="00E9493D"/>
    <w:rsid w:val="00E950EE"/>
    <w:rsid w:val="00E95427"/>
    <w:rsid w:val="00E962BA"/>
    <w:rsid w:val="00EA2B09"/>
    <w:rsid w:val="00EA48FC"/>
    <w:rsid w:val="00EA545D"/>
    <w:rsid w:val="00EA5985"/>
    <w:rsid w:val="00EA6695"/>
    <w:rsid w:val="00EA69C3"/>
    <w:rsid w:val="00EA78BB"/>
    <w:rsid w:val="00EB0A77"/>
    <w:rsid w:val="00EB0D59"/>
    <w:rsid w:val="00EB2203"/>
    <w:rsid w:val="00EB2821"/>
    <w:rsid w:val="00EB283E"/>
    <w:rsid w:val="00EB3CEA"/>
    <w:rsid w:val="00EB3FD4"/>
    <w:rsid w:val="00EB42F8"/>
    <w:rsid w:val="00EB5501"/>
    <w:rsid w:val="00EB75FE"/>
    <w:rsid w:val="00EC031D"/>
    <w:rsid w:val="00EC0432"/>
    <w:rsid w:val="00EC0B18"/>
    <w:rsid w:val="00EC18C2"/>
    <w:rsid w:val="00EC1D98"/>
    <w:rsid w:val="00EC1DA0"/>
    <w:rsid w:val="00EC2985"/>
    <w:rsid w:val="00EC366B"/>
    <w:rsid w:val="00EC3FF5"/>
    <w:rsid w:val="00EC537A"/>
    <w:rsid w:val="00EC5738"/>
    <w:rsid w:val="00EC5986"/>
    <w:rsid w:val="00EC5BA4"/>
    <w:rsid w:val="00EC5E31"/>
    <w:rsid w:val="00EC5FE3"/>
    <w:rsid w:val="00EC6007"/>
    <w:rsid w:val="00EC6398"/>
    <w:rsid w:val="00EC78EE"/>
    <w:rsid w:val="00ED0557"/>
    <w:rsid w:val="00ED063F"/>
    <w:rsid w:val="00ED39C3"/>
    <w:rsid w:val="00ED7CDD"/>
    <w:rsid w:val="00ED7FF2"/>
    <w:rsid w:val="00EE146F"/>
    <w:rsid w:val="00EE23D8"/>
    <w:rsid w:val="00EE5856"/>
    <w:rsid w:val="00EE73E4"/>
    <w:rsid w:val="00EE7A3C"/>
    <w:rsid w:val="00EE7F07"/>
    <w:rsid w:val="00EF0BEB"/>
    <w:rsid w:val="00EF18F6"/>
    <w:rsid w:val="00EF274A"/>
    <w:rsid w:val="00EF4EC9"/>
    <w:rsid w:val="00EF50EF"/>
    <w:rsid w:val="00EF522C"/>
    <w:rsid w:val="00EF684E"/>
    <w:rsid w:val="00EF6E58"/>
    <w:rsid w:val="00EF71C7"/>
    <w:rsid w:val="00F00DC9"/>
    <w:rsid w:val="00F0160A"/>
    <w:rsid w:val="00F0184F"/>
    <w:rsid w:val="00F036EA"/>
    <w:rsid w:val="00F03A6F"/>
    <w:rsid w:val="00F03C84"/>
    <w:rsid w:val="00F040C4"/>
    <w:rsid w:val="00F05194"/>
    <w:rsid w:val="00F05987"/>
    <w:rsid w:val="00F06466"/>
    <w:rsid w:val="00F070C8"/>
    <w:rsid w:val="00F078B5"/>
    <w:rsid w:val="00F10B76"/>
    <w:rsid w:val="00F10D9B"/>
    <w:rsid w:val="00F112AE"/>
    <w:rsid w:val="00F11FEF"/>
    <w:rsid w:val="00F1214C"/>
    <w:rsid w:val="00F12E05"/>
    <w:rsid w:val="00F13352"/>
    <w:rsid w:val="00F138A6"/>
    <w:rsid w:val="00F15CC9"/>
    <w:rsid w:val="00F15CE1"/>
    <w:rsid w:val="00F15F42"/>
    <w:rsid w:val="00F1642E"/>
    <w:rsid w:val="00F1677C"/>
    <w:rsid w:val="00F16B7D"/>
    <w:rsid w:val="00F17B52"/>
    <w:rsid w:val="00F218CC"/>
    <w:rsid w:val="00F22DE6"/>
    <w:rsid w:val="00F22E84"/>
    <w:rsid w:val="00F23955"/>
    <w:rsid w:val="00F23BFA"/>
    <w:rsid w:val="00F24F9C"/>
    <w:rsid w:val="00F27B64"/>
    <w:rsid w:val="00F30463"/>
    <w:rsid w:val="00F3271F"/>
    <w:rsid w:val="00F3397C"/>
    <w:rsid w:val="00F3432A"/>
    <w:rsid w:val="00F35063"/>
    <w:rsid w:val="00F35A7B"/>
    <w:rsid w:val="00F35FE3"/>
    <w:rsid w:val="00F361CB"/>
    <w:rsid w:val="00F3751F"/>
    <w:rsid w:val="00F40744"/>
    <w:rsid w:val="00F407C7"/>
    <w:rsid w:val="00F42351"/>
    <w:rsid w:val="00F42744"/>
    <w:rsid w:val="00F43F4C"/>
    <w:rsid w:val="00F44BB8"/>
    <w:rsid w:val="00F45091"/>
    <w:rsid w:val="00F45D9E"/>
    <w:rsid w:val="00F50FEA"/>
    <w:rsid w:val="00F5128B"/>
    <w:rsid w:val="00F51A33"/>
    <w:rsid w:val="00F51BB3"/>
    <w:rsid w:val="00F5245B"/>
    <w:rsid w:val="00F52543"/>
    <w:rsid w:val="00F52C04"/>
    <w:rsid w:val="00F52FD4"/>
    <w:rsid w:val="00F53256"/>
    <w:rsid w:val="00F53823"/>
    <w:rsid w:val="00F53F06"/>
    <w:rsid w:val="00F5645E"/>
    <w:rsid w:val="00F56594"/>
    <w:rsid w:val="00F56C74"/>
    <w:rsid w:val="00F57048"/>
    <w:rsid w:val="00F57207"/>
    <w:rsid w:val="00F5747F"/>
    <w:rsid w:val="00F57FC7"/>
    <w:rsid w:val="00F603C9"/>
    <w:rsid w:val="00F606DB"/>
    <w:rsid w:val="00F609CA"/>
    <w:rsid w:val="00F612E0"/>
    <w:rsid w:val="00F61564"/>
    <w:rsid w:val="00F61B20"/>
    <w:rsid w:val="00F624B7"/>
    <w:rsid w:val="00F63A66"/>
    <w:rsid w:val="00F641A0"/>
    <w:rsid w:val="00F644D9"/>
    <w:rsid w:val="00F656A9"/>
    <w:rsid w:val="00F664D6"/>
    <w:rsid w:val="00F66DF8"/>
    <w:rsid w:val="00F66F84"/>
    <w:rsid w:val="00F6710A"/>
    <w:rsid w:val="00F67937"/>
    <w:rsid w:val="00F67ECF"/>
    <w:rsid w:val="00F67F02"/>
    <w:rsid w:val="00F70120"/>
    <w:rsid w:val="00F70ED8"/>
    <w:rsid w:val="00F711A5"/>
    <w:rsid w:val="00F7144D"/>
    <w:rsid w:val="00F71544"/>
    <w:rsid w:val="00F71A27"/>
    <w:rsid w:val="00F71B0F"/>
    <w:rsid w:val="00F72138"/>
    <w:rsid w:val="00F72439"/>
    <w:rsid w:val="00F729FD"/>
    <w:rsid w:val="00F72B36"/>
    <w:rsid w:val="00F731C3"/>
    <w:rsid w:val="00F737BC"/>
    <w:rsid w:val="00F73E58"/>
    <w:rsid w:val="00F74539"/>
    <w:rsid w:val="00F748F5"/>
    <w:rsid w:val="00F7519B"/>
    <w:rsid w:val="00F7577D"/>
    <w:rsid w:val="00F82853"/>
    <w:rsid w:val="00F82A43"/>
    <w:rsid w:val="00F82D19"/>
    <w:rsid w:val="00F837BF"/>
    <w:rsid w:val="00F842CC"/>
    <w:rsid w:val="00F869E7"/>
    <w:rsid w:val="00F86C2F"/>
    <w:rsid w:val="00F87E97"/>
    <w:rsid w:val="00F90444"/>
    <w:rsid w:val="00F908C4"/>
    <w:rsid w:val="00F91DCC"/>
    <w:rsid w:val="00F92A90"/>
    <w:rsid w:val="00F92C1C"/>
    <w:rsid w:val="00F92F2E"/>
    <w:rsid w:val="00F94553"/>
    <w:rsid w:val="00F9496E"/>
    <w:rsid w:val="00F96741"/>
    <w:rsid w:val="00FA128B"/>
    <w:rsid w:val="00FA211A"/>
    <w:rsid w:val="00FA215F"/>
    <w:rsid w:val="00FA3CED"/>
    <w:rsid w:val="00FA5D32"/>
    <w:rsid w:val="00FA68EA"/>
    <w:rsid w:val="00FB2C3F"/>
    <w:rsid w:val="00FB3C82"/>
    <w:rsid w:val="00FB4A99"/>
    <w:rsid w:val="00FB4D55"/>
    <w:rsid w:val="00FB5172"/>
    <w:rsid w:val="00FB698D"/>
    <w:rsid w:val="00FB7510"/>
    <w:rsid w:val="00FC076E"/>
    <w:rsid w:val="00FC07AD"/>
    <w:rsid w:val="00FC09EA"/>
    <w:rsid w:val="00FC0A9A"/>
    <w:rsid w:val="00FC0C14"/>
    <w:rsid w:val="00FC0FA2"/>
    <w:rsid w:val="00FC11EF"/>
    <w:rsid w:val="00FC2168"/>
    <w:rsid w:val="00FC22C2"/>
    <w:rsid w:val="00FC24B4"/>
    <w:rsid w:val="00FC2B68"/>
    <w:rsid w:val="00FC30A6"/>
    <w:rsid w:val="00FC33E4"/>
    <w:rsid w:val="00FC3536"/>
    <w:rsid w:val="00FC49E1"/>
    <w:rsid w:val="00FC512A"/>
    <w:rsid w:val="00FD1537"/>
    <w:rsid w:val="00FD1C91"/>
    <w:rsid w:val="00FD23FB"/>
    <w:rsid w:val="00FD25CD"/>
    <w:rsid w:val="00FD2CF9"/>
    <w:rsid w:val="00FD348A"/>
    <w:rsid w:val="00FD369F"/>
    <w:rsid w:val="00FD4DFF"/>
    <w:rsid w:val="00FD5FD9"/>
    <w:rsid w:val="00FD7AFE"/>
    <w:rsid w:val="00FE0ABD"/>
    <w:rsid w:val="00FE12EB"/>
    <w:rsid w:val="00FE16FD"/>
    <w:rsid w:val="00FE1A58"/>
    <w:rsid w:val="00FE1A98"/>
    <w:rsid w:val="00FE3AFA"/>
    <w:rsid w:val="00FE4016"/>
    <w:rsid w:val="00FE6D8D"/>
    <w:rsid w:val="00FE79A3"/>
    <w:rsid w:val="00FF27FF"/>
    <w:rsid w:val="00FF2983"/>
    <w:rsid w:val="00FF2CB8"/>
    <w:rsid w:val="00FF362B"/>
    <w:rsid w:val="00FF4340"/>
    <w:rsid w:val="00FF4658"/>
    <w:rsid w:val="00FF51DF"/>
    <w:rsid w:val="00FF604A"/>
    <w:rsid w:val="00FF783E"/>
    <w:rsid w:val="01B71F51"/>
    <w:rsid w:val="01F7017F"/>
    <w:rsid w:val="021227A5"/>
    <w:rsid w:val="02B25F2E"/>
    <w:rsid w:val="03570641"/>
    <w:rsid w:val="042E4371"/>
    <w:rsid w:val="06443197"/>
    <w:rsid w:val="07500389"/>
    <w:rsid w:val="07862691"/>
    <w:rsid w:val="08A34B52"/>
    <w:rsid w:val="09EB05D3"/>
    <w:rsid w:val="0A5B12C7"/>
    <w:rsid w:val="0B743DB3"/>
    <w:rsid w:val="0CA90DCF"/>
    <w:rsid w:val="0D6B7A3F"/>
    <w:rsid w:val="0D70006B"/>
    <w:rsid w:val="14E6451A"/>
    <w:rsid w:val="159D0023"/>
    <w:rsid w:val="159D7523"/>
    <w:rsid w:val="173F53D0"/>
    <w:rsid w:val="17D77DA9"/>
    <w:rsid w:val="19390251"/>
    <w:rsid w:val="195A110A"/>
    <w:rsid w:val="19FD1115"/>
    <w:rsid w:val="1A1A6B0B"/>
    <w:rsid w:val="1CC04D79"/>
    <w:rsid w:val="21B06704"/>
    <w:rsid w:val="22803FAB"/>
    <w:rsid w:val="22E90157"/>
    <w:rsid w:val="24117076"/>
    <w:rsid w:val="25BB1EAB"/>
    <w:rsid w:val="267549E0"/>
    <w:rsid w:val="267F0FB7"/>
    <w:rsid w:val="26DB5D72"/>
    <w:rsid w:val="270B4C12"/>
    <w:rsid w:val="2781045A"/>
    <w:rsid w:val="27BB150D"/>
    <w:rsid w:val="29E9562E"/>
    <w:rsid w:val="2A734098"/>
    <w:rsid w:val="2BC94961"/>
    <w:rsid w:val="2BE61D13"/>
    <w:rsid w:val="2D8F7DB2"/>
    <w:rsid w:val="2E425361"/>
    <w:rsid w:val="2F13484A"/>
    <w:rsid w:val="2FC342C5"/>
    <w:rsid w:val="303711E4"/>
    <w:rsid w:val="31F14A27"/>
    <w:rsid w:val="320108EF"/>
    <w:rsid w:val="32C41357"/>
    <w:rsid w:val="32DC05DB"/>
    <w:rsid w:val="34576185"/>
    <w:rsid w:val="353F0627"/>
    <w:rsid w:val="3598597D"/>
    <w:rsid w:val="374D1DC2"/>
    <w:rsid w:val="37A0375D"/>
    <w:rsid w:val="37FD60EC"/>
    <w:rsid w:val="38FE7E8D"/>
    <w:rsid w:val="38FF2F4C"/>
    <w:rsid w:val="39356F9C"/>
    <w:rsid w:val="396E1053"/>
    <w:rsid w:val="39924E9A"/>
    <w:rsid w:val="39C36951"/>
    <w:rsid w:val="3A964E58"/>
    <w:rsid w:val="3AD70075"/>
    <w:rsid w:val="3CAC1FDE"/>
    <w:rsid w:val="3D071976"/>
    <w:rsid w:val="3D48152C"/>
    <w:rsid w:val="3DD040BA"/>
    <w:rsid w:val="3E2F7BFE"/>
    <w:rsid w:val="3FE513C9"/>
    <w:rsid w:val="414C3FB9"/>
    <w:rsid w:val="41F06CF6"/>
    <w:rsid w:val="42A969CC"/>
    <w:rsid w:val="43C05C50"/>
    <w:rsid w:val="456564A9"/>
    <w:rsid w:val="48036E0A"/>
    <w:rsid w:val="48062F94"/>
    <w:rsid w:val="482A6AEA"/>
    <w:rsid w:val="48E00D64"/>
    <w:rsid w:val="4AD861F2"/>
    <w:rsid w:val="4D224B8A"/>
    <w:rsid w:val="4DF924DB"/>
    <w:rsid w:val="4EC46F4A"/>
    <w:rsid w:val="511A4EA0"/>
    <w:rsid w:val="524D6882"/>
    <w:rsid w:val="52DB6CEE"/>
    <w:rsid w:val="5347092C"/>
    <w:rsid w:val="53F266B1"/>
    <w:rsid w:val="53F55159"/>
    <w:rsid w:val="575D6863"/>
    <w:rsid w:val="57CB6E97"/>
    <w:rsid w:val="57DF191C"/>
    <w:rsid w:val="5A840BF4"/>
    <w:rsid w:val="5B531D03"/>
    <w:rsid w:val="5C5872CD"/>
    <w:rsid w:val="5D531D52"/>
    <w:rsid w:val="5D8C7200"/>
    <w:rsid w:val="5F490693"/>
    <w:rsid w:val="5F604B37"/>
    <w:rsid w:val="6175447D"/>
    <w:rsid w:val="618B67A4"/>
    <w:rsid w:val="620D53A4"/>
    <w:rsid w:val="62513C04"/>
    <w:rsid w:val="62F0798F"/>
    <w:rsid w:val="641711B8"/>
    <w:rsid w:val="647455C5"/>
    <w:rsid w:val="651E59D2"/>
    <w:rsid w:val="66067C56"/>
    <w:rsid w:val="662540C7"/>
    <w:rsid w:val="664701EA"/>
    <w:rsid w:val="665D53CC"/>
    <w:rsid w:val="668F046D"/>
    <w:rsid w:val="66943F35"/>
    <w:rsid w:val="68BA215E"/>
    <w:rsid w:val="69CE6E20"/>
    <w:rsid w:val="6B3376DE"/>
    <w:rsid w:val="6BA94F39"/>
    <w:rsid w:val="6C7435AA"/>
    <w:rsid w:val="6CE16E6B"/>
    <w:rsid w:val="6D2862E5"/>
    <w:rsid w:val="6DA0107C"/>
    <w:rsid w:val="6E080427"/>
    <w:rsid w:val="6FFB7709"/>
    <w:rsid w:val="6FFC3645"/>
    <w:rsid w:val="7017460A"/>
    <w:rsid w:val="719C5CD0"/>
    <w:rsid w:val="72C66AB8"/>
    <w:rsid w:val="747C00C4"/>
    <w:rsid w:val="747D5534"/>
    <w:rsid w:val="74B56C06"/>
    <w:rsid w:val="74BE0C8F"/>
    <w:rsid w:val="754B4B0E"/>
    <w:rsid w:val="7564182E"/>
    <w:rsid w:val="75A0114B"/>
    <w:rsid w:val="76684DB7"/>
    <w:rsid w:val="77155B6E"/>
    <w:rsid w:val="78F35BE9"/>
    <w:rsid w:val="7914265E"/>
    <w:rsid w:val="79277B4C"/>
    <w:rsid w:val="7955084B"/>
    <w:rsid w:val="7BA07EF1"/>
    <w:rsid w:val="7D7245BB"/>
    <w:rsid w:val="7E8F6B5E"/>
    <w:rsid w:val="7F6C769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Times New Roman" w:eastAsia="仿宋" w:cs="Times New Roman"/>
      <w:kern w:val="30"/>
      <w:sz w:val="30"/>
      <w:szCs w:val="21"/>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5"/>
    <w:qFormat/>
    <w:uiPriority w:val="99"/>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26"/>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styleId="5">
    <w:name w:val="Document Map"/>
    <w:basedOn w:val="1"/>
    <w:link w:val="30"/>
    <w:unhideWhenUsed/>
    <w:qFormat/>
    <w:uiPriority w:val="99"/>
    <w:rPr>
      <w:rFonts w:ascii="宋体"/>
      <w:sz w:val="18"/>
      <w:szCs w:val="18"/>
    </w:rPr>
  </w:style>
  <w:style w:type="paragraph" w:styleId="6">
    <w:name w:val="annotation text"/>
    <w:basedOn w:val="1"/>
    <w:link w:val="28"/>
    <w:unhideWhenUsed/>
    <w:qFormat/>
    <w:uiPriority w:val="99"/>
    <w:pPr>
      <w:jc w:val="left"/>
    </w:pPr>
  </w:style>
  <w:style w:type="paragraph" w:styleId="7">
    <w:name w:val="Body Text"/>
    <w:basedOn w:val="1"/>
    <w:link w:val="36"/>
    <w:qFormat/>
    <w:uiPriority w:val="1"/>
    <w:pPr>
      <w:ind w:left="119"/>
      <w:jc w:val="left"/>
    </w:pPr>
    <w:rPr>
      <w:rFonts w:ascii="仿宋_GB2312" w:hAnsi="仿宋_GB2312" w:eastAsia="仿宋_GB2312" w:cstheme="minorBidi"/>
      <w:kern w:val="0"/>
      <w:szCs w:val="30"/>
      <w:lang w:eastAsia="en-US"/>
    </w:rPr>
  </w:style>
  <w:style w:type="paragraph" w:styleId="8">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9">
    <w:name w:val="Balloon Text"/>
    <w:basedOn w:val="1"/>
    <w:link w:val="27"/>
    <w:unhideWhenUsed/>
    <w:qFormat/>
    <w:uiPriority w:val="99"/>
    <w:rPr>
      <w:sz w:val="18"/>
      <w:szCs w:val="18"/>
    </w:rPr>
  </w:style>
  <w:style w:type="paragraph" w:styleId="10">
    <w:name w:val="footer"/>
    <w:basedOn w:val="1"/>
    <w:link w:val="24"/>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1">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2">
    <w:name w:val="toc 1"/>
    <w:basedOn w:val="1"/>
    <w:next w:val="1"/>
    <w:unhideWhenUsed/>
    <w:qFormat/>
    <w:uiPriority w:val="39"/>
    <w:pPr>
      <w:widowControl/>
      <w:tabs>
        <w:tab w:val="right" w:leader="dot" w:pos="8931"/>
      </w:tabs>
      <w:spacing w:line="420" w:lineRule="exact"/>
      <w:ind w:right="25" w:rightChars="12"/>
      <w:jc w:val="left"/>
    </w:pPr>
    <w:rPr>
      <w:rFonts w:asciiTheme="minorHAnsi" w:hAnsiTheme="minorHAnsi" w:eastAsiaTheme="minorEastAsia"/>
      <w:kern w:val="0"/>
      <w:sz w:val="22"/>
      <w:szCs w:val="22"/>
    </w:rPr>
  </w:style>
  <w:style w:type="paragraph" w:styleId="13">
    <w:name w:val="toc 2"/>
    <w:basedOn w:val="1"/>
    <w:next w:val="1"/>
    <w:unhideWhenUsed/>
    <w:qFormat/>
    <w:uiPriority w:val="39"/>
    <w:pPr>
      <w:widowControl/>
      <w:tabs>
        <w:tab w:val="right" w:leader="dot" w:pos="8789"/>
      </w:tabs>
      <w:spacing w:line="400" w:lineRule="exact"/>
      <w:jc w:val="left"/>
    </w:pPr>
    <w:rPr>
      <w:rFonts w:ascii="仿宋_GB2312" w:eastAsia="仿宋_GB2312" w:hAnsiTheme="minorHAnsi"/>
      <w:b/>
      <w:bCs/>
      <w:kern w:val="0"/>
      <w:sz w:val="24"/>
      <w:szCs w:val="24"/>
      <w:lang w:val="zh-CN"/>
    </w:rPr>
  </w:style>
  <w:style w:type="paragraph" w:styleId="14">
    <w:name w:val="Normal (Web)"/>
    <w:basedOn w:val="1"/>
    <w:qFormat/>
    <w:uiPriority w:val="0"/>
    <w:pPr>
      <w:spacing w:beforeAutospacing="1" w:afterAutospacing="1"/>
      <w:jc w:val="left"/>
    </w:pPr>
    <w:rPr>
      <w:kern w:val="0"/>
      <w:sz w:val="24"/>
    </w:rPr>
  </w:style>
  <w:style w:type="paragraph" w:styleId="15">
    <w:name w:val="annotation subject"/>
    <w:basedOn w:val="6"/>
    <w:next w:val="6"/>
    <w:link w:val="29"/>
    <w:unhideWhenUsed/>
    <w:qFormat/>
    <w:uiPriority w:val="99"/>
    <w:rPr>
      <w:b/>
      <w:bCs/>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Hyperlink"/>
    <w:basedOn w:val="18"/>
    <w:unhideWhenUsed/>
    <w:qFormat/>
    <w:uiPriority w:val="99"/>
    <w:rPr>
      <w:color w:val="0000FF" w:themeColor="hyperlink"/>
      <w:u w:val="single"/>
      <w14:textFill>
        <w14:solidFill>
          <w14:schemeClr w14:val="hlink"/>
        </w14:solidFill>
      </w14:textFill>
    </w:rPr>
  </w:style>
  <w:style w:type="character" w:styleId="22">
    <w:name w:val="annotation reference"/>
    <w:basedOn w:val="18"/>
    <w:unhideWhenUsed/>
    <w:qFormat/>
    <w:uiPriority w:val="99"/>
    <w:rPr>
      <w:sz w:val="21"/>
      <w:szCs w:val="21"/>
    </w:rPr>
  </w:style>
  <w:style w:type="character" w:customStyle="1" w:styleId="23">
    <w:name w:val="页眉 字符"/>
    <w:basedOn w:val="18"/>
    <w:link w:val="11"/>
    <w:qFormat/>
    <w:uiPriority w:val="99"/>
    <w:rPr>
      <w:sz w:val="18"/>
      <w:szCs w:val="18"/>
    </w:rPr>
  </w:style>
  <w:style w:type="character" w:customStyle="1" w:styleId="24">
    <w:name w:val="页脚 字符"/>
    <w:basedOn w:val="18"/>
    <w:link w:val="10"/>
    <w:qFormat/>
    <w:uiPriority w:val="99"/>
    <w:rPr>
      <w:sz w:val="18"/>
      <w:szCs w:val="18"/>
    </w:rPr>
  </w:style>
  <w:style w:type="character" w:customStyle="1" w:styleId="25">
    <w:name w:val="标题 2 字符"/>
    <w:basedOn w:val="18"/>
    <w:link w:val="3"/>
    <w:qFormat/>
    <w:uiPriority w:val="99"/>
    <w:rPr>
      <w:rFonts w:ascii="Cambria" w:hAnsi="Cambria" w:eastAsia="宋体" w:cs="Times New Roman"/>
      <w:b/>
      <w:bCs/>
      <w:kern w:val="0"/>
      <w:sz w:val="32"/>
      <w:szCs w:val="32"/>
    </w:rPr>
  </w:style>
  <w:style w:type="character" w:customStyle="1" w:styleId="26">
    <w:name w:val="标题 3 字符"/>
    <w:basedOn w:val="18"/>
    <w:link w:val="4"/>
    <w:qFormat/>
    <w:uiPriority w:val="99"/>
    <w:rPr>
      <w:rFonts w:ascii="Times New Roman" w:hAnsi="Times New Roman" w:eastAsia="宋体" w:cs="Times New Roman"/>
      <w:b/>
      <w:bCs/>
      <w:kern w:val="0"/>
      <w:sz w:val="32"/>
      <w:szCs w:val="32"/>
    </w:rPr>
  </w:style>
  <w:style w:type="character" w:customStyle="1" w:styleId="27">
    <w:name w:val="批注框文本 字符"/>
    <w:basedOn w:val="18"/>
    <w:link w:val="9"/>
    <w:semiHidden/>
    <w:qFormat/>
    <w:uiPriority w:val="99"/>
    <w:rPr>
      <w:rFonts w:ascii="Times New Roman" w:hAnsi="Times New Roman" w:eastAsia="宋体" w:cs="Times New Roman"/>
      <w:sz w:val="18"/>
      <w:szCs w:val="18"/>
    </w:rPr>
  </w:style>
  <w:style w:type="character" w:customStyle="1" w:styleId="28">
    <w:name w:val="批注文字 字符"/>
    <w:basedOn w:val="18"/>
    <w:link w:val="6"/>
    <w:qFormat/>
    <w:uiPriority w:val="99"/>
    <w:rPr>
      <w:rFonts w:ascii="Times New Roman" w:hAnsi="Times New Roman" w:eastAsia="宋体" w:cs="Times New Roman"/>
      <w:szCs w:val="21"/>
    </w:rPr>
  </w:style>
  <w:style w:type="character" w:customStyle="1" w:styleId="29">
    <w:name w:val="批注主题 字符"/>
    <w:basedOn w:val="28"/>
    <w:link w:val="15"/>
    <w:semiHidden/>
    <w:qFormat/>
    <w:uiPriority w:val="99"/>
    <w:rPr>
      <w:rFonts w:ascii="Times New Roman" w:hAnsi="Times New Roman" w:eastAsia="宋体" w:cs="Times New Roman"/>
      <w:b/>
      <w:bCs/>
      <w:szCs w:val="21"/>
    </w:rPr>
  </w:style>
  <w:style w:type="character" w:customStyle="1" w:styleId="30">
    <w:name w:val="文档结构图 字符"/>
    <w:basedOn w:val="18"/>
    <w:link w:val="5"/>
    <w:semiHidden/>
    <w:qFormat/>
    <w:uiPriority w:val="99"/>
    <w:rPr>
      <w:rFonts w:ascii="宋体" w:hAnsi="Times New Roman" w:eastAsia="宋体" w:cs="Times New Roman"/>
      <w:sz w:val="18"/>
      <w:szCs w:val="18"/>
    </w:rPr>
  </w:style>
  <w:style w:type="character" w:customStyle="1" w:styleId="31">
    <w:name w:val="标题 1 字符"/>
    <w:basedOn w:val="18"/>
    <w:link w:val="2"/>
    <w:qFormat/>
    <w:uiPriority w:val="9"/>
    <w:rPr>
      <w:rFonts w:ascii="Times New Roman" w:hAnsi="Times New Roman" w:eastAsia="宋体" w:cs="Times New Roman"/>
      <w:b/>
      <w:bCs/>
      <w:kern w:val="44"/>
      <w:sz w:val="44"/>
      <w:szCs w:val="44"/>
    </w:rPr>
  </w:style>
  <w:style w:type="paragraph" w:customStyle="1" w:styleId="32">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33">
    <w:name w:val="修订1"/>
    <w:hidden/>
    <w:semiHidden/>
    <w:qFormat/>
    <w:uiPriority w:val="99"/>
    <w:rPr>
      <w:rFonts w:ascii="Times New Roman" w:hAnsi="Times New Roman" w:eastAsia="宋体" w:cs="Times New Roman"/>
      <w:kern w:val="2"/>
      <w:sz w:val="21"/>
      <w:szCs w:val="21"/>
      <w:lang w:val="en-US" w:eastAsia="zh-CN" w:bidi="ar-SA"/>
    </w:rPr>
  </w:style>
  <w:style w:type="character" w:customStyle="1" w:styleId="34">
    <w:name w:val="页码 New New"/>
    <w:basedOn w:val="18"/>
    <w:qFormat/>
    <w:uiPriority w:val="0"/>
  </w:style>
  <w:style w:type="paragraph" w:customStyle="1" w:styleId="35">
    <w:name w:val="列表段落1"/>
    <w:basedOn w:val="1"/>
    <w:qFormat/>
    <w:uiPriority w:val="34"/>
    <w:pPr>
      <w:ind w:firstLine="420" w:firstLineChars="200"/>
    </w:pPr>
  </w:style>
  <w:style w:type="character" w:customStyle="1" w:styleId="36">
    <w:name w:val="正文文本 字符"/>
    <w:basedOn w:val="18"/>
    <w:link w:val="7"/>
    <w:qFormat/>
    <w:uiPriority w:val="1"/>
    <w:rPr>
      <w:rFonts w:ascii="仿宋_GB2312" w:hAnsi="仿宋_GB2312" w:eastAsia="仿宋_GB2312"/>
      <w:kern w:val="0"/>
      <w:sz w:val="30"/>
      <w:szCs w:val="30"/>
      <w:lang w:eastAsia="en-US"/>
    </w:rPr>
  </w:style>
  <w:style w:type="character" w:customStyle="1" w:styleId="37">
    <w:name w:val="未处理的提及1"/>
    <w:basedOn w:val="18"/>
    <w:unhideWhenUsed/>
    <w:qFormat/>
    <w:uiPriority w:val="99"/>
    <w:rPr>
      <w:color w:val="605E5C"/>
      <w:shd w:val="clear" w:color="auto" w:fill="E1DFDD"/>
    </w:rPr>
  </w:style>
  <w:style w:type="paragraph" w:customStyle="1" w:styleId="38">
    <w:name w:val="修订2"/>
    <w:hidden/>
    <w:semiHidden/>
    <w:qFormat/>
    <w:uiPriority w:val="99"/>
    <w:rPr>
      <w:rFonts w:ascii="仿宋" w:hAnsi="Times New Roman" w:eastAsia="仿宋" w:cs="Times New Roman"/>
      <w:kern w:val="30"/>
      <w:sz w:val="30"/>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8.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D7C77E-81CA-450B-874B-838DDA3E6A04}">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14346</Words>
  <Characters>15391</Characters>
  <Lines>121</Lines>
  <Paragraphs>34</Paragraphs>
  <TotalTime>17</TotalTime>
  <ScaleCrop>false</ScaleCrop>
  <LinksUpToDate>false</LinksUpToDate>
  <CharactersWithSpaces>15549</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2021-09-18T14:39:00Z</dcterms:created>
  <cp:lastPrinted>2022-12-27T01:56:00Z</cp:lastPrinted>
  <dcterms:modified xsi:type="dcterms:W3CDTF">2023-04-25T05:37:03Z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9059E778F0F34C65B259F1744EB60DB4</vt:lpwstr>
  </property>
</Properties>
</file>