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719" w:lineRule="exact"/>
        <w:jc w:val="center"/>
        <w:textAlignment w:val="auto"/>
        <w:rPr>
          <w:rFonts w:hint="eastAsia" w:ascii="方正小标宋简体" w:hAnsi="方正小标宋简体" w:eastAsia="方正小标宋简体" w:cs="方正小标宋简体"/>
          <w:spacing w:val="6"/>
          <w:kern w:val="0"/>
          <w:sz w:val="44"/>
          <w:szCs w:val="44"/>
        </w:rPr>
      </w:pP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lang w:val="en-US" w:eastAsia="zh-CN"/>
        </w:rPr>
      </w:pPr>
      <w:r>
        <w:rPr>
          <w:rFonts w:hint="eastAsia" w:ascii="方正小标宋简体" w:hAnsi="方正小标宋简体" w:eastAsia="方正小标宋简体" w:cs="方正小标宋简体"/>
          <w:spacing w:val="6"/>
          <w:kern w:val="0"/>
          <w:sz w:val="44"/>
          <w:szCs w:val="44"/>
        </w:rPr>
        <w:t>昆明市晋宁区</w:t>
      </w:r>
      <w:r>
        <w:rPr>
          <w:rFonts w:hint="eastAsia" w:ascii="方正小标宋简体" w:hAnsi="方正小标宋简体" w:eastAsia="方正小标宋简体" w:cs="方正小标宋简体"/>
          <w:spacing w:val="6"/>
          <w:kern w:val="0"/>
          <w:sz w:val="44"/>
          <w:szCs w:val="44"/>
          <w:lang w:val="en-US" w:eastAsia="zh-CN"/>
        </w:rPr>
        <w:t>卫生健康局2021年秋冬季</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lang w:val="en-US" w:eastAsia="zh-CN"/>
        </w:rPr>
      </w:pPr>
      <w:r>
        <w:rPr>
          <w:rFonts w:hint="eastAsia" w:ascii="方正小标宋简体" w:hAnsi="方正小标宋简体" w:eastAsia="方正小标宋简体" w:cs="方正小标宋简体"/>
          <w:spacing w:val="6"/>
          <w:kern w:val="0"/>
          <w:sz w:val="44"/>
          <w:szCs w:val="44"/>
          <w:lang w:val="en-US" w:eastAsia="zh-CN"/>
        </w:rPr>
        <w:t>新冠肺炎疫情防控物资储备补助</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kern w:val="0"/>
          <w:sz w:val="44"/>
          <w:szCs w:val="44"/>
          <w:lang w:val="en-US" w:eastAsia="zh-CN"/>
        </w:rPr>
        <w:t>资金</w:t>
      </w:r>
      <w:r>
        <w:rPr>
          <w:rFonts w:hint="eastAsia" w:ascii="方正小标宋简体" w:hAnsi="方正小标宋简体" w:eastAsia="方正小标宋简体" w:cs="方正小标宋简体"/>
          <w:spacing w:val="6"/>
          <w:kern w:val="0"/>
          <w:sz w:val="44"/>
          <w:szCs w:val="44"/>
        </w:rPr>
        <w:t>项目绩效</w:t>
      </w:r>
      <w:r>
        <w:rPr>
          <w:rFonts w:hint="eastAsia" w:ascii="方正小标宋简体" w:hAnsi="方正小标宋简体" w:eastAsia="方正小标宋简体" w:cs="方正小标宋简体"/>
          <w:spacing w:val="6"/>
          <w:kern w:val="0"/>
          <w:sz w:val="44"/>
          <w:szCs w:val="44"/>
          <w:lang w:val="en-US" w:eastAsia="zh-CN"/>
        </w:rPr>
        <w:t>重点</w:t>
      </w:r>
      <w:r>
        <w:rPr>
          <w:rFonts w:hint="eastAsia" w:ascii="方正小标宋简体" w:hAnsi="方正小标宋简体" w:eastAsia="方正小标宋简体" w:cs="方正小标宋简体"/>
          <w:spacing w:val="6"/>
          <w:kern w:val="0"/>
          <w:sz w:val="44"/>
          <w:szCs w:val="44"/>
        </w:rPr>
        <w:t>评价报告</w:t>
      </w:r>
    </w:p>
    <w:p>
      <w:pPr>
        <w:spacing w:line="579" w:lineRule="exact"/>
        <w:jc w:val="center"/>
        <w:rPr>
          <w:rFonts w:hint="eastAsia" w:ascii="方正小标宋简体" w:hAnsi="Arial Narrow" w:eastAsia="方正小标宋简体"/>
          <w:spacing w:val="6"/>
          <w:kern w:val="0"/>
          <w:sz w:val="40"/>
          <w:szCs w:val="40"/>
          <w:lang w:val="en-US" w:eastAsia="zh-CN"/>
        </w:rPr>
      </w:pPr>
      <w:bookmarkStart w:id="77" w:name="_GoBack"/>
      <w:bookmarkEnd w:id="77"/>
    </w:p>
    <w:p>
      <w:pPr>
        <w:spacing w:line="579" w:lineRule="exact"/>
        <w:jc w:val="center"/>
        <w:rPr>
          <w:rFonts w:hint="eastAsia" w:ascii="方正小标宋简体" w:hAnsi="Arial Narrow" w:eastAsia="方正小标宋简体"/>
          <w:spacing w:val="6"/>
          <w:kern w:val="0"/>
          <w:sz w:val="40"/>
          <w:szCs w:val="40"/>
          <w:lang w:val="en-US" w:eastAsia="zh-CN"/>
        </w:rPr>
      </w:pPr>
    </w:p>
    <w:p>
      <w:pPr>
        <w:spacing w:line="579" w:lineRule="exact"/>
        <w:jc w:val="center"/>
        <w:rPr>
          <w:rFonts w:hint="eastAsia" w:ascii="方正小标宋简体" w:hAnsi="Arial Narrow" w:eastAsia="方正小标宋简体"/>
          <w:spacing w:val="6"/>
          <w:kern w:val="0"/>
          <w:sz w:val="40"/>
          <w:szCs w:val="40"/>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委托单位名称：昆明市晋宁区财政局</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评审机构名称：大华会计师事务所（特殊普通合伙）云南分所</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报告编号：大华核字[2022]200630号</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hint="eastAsia" w:ascii="黑体" w:hAnsi="黑体" w:eastAsia="黑体" w:cs="黑体"/>
          <w:b w:val="0"/>
          <w:bCs w:val="0"/>
          <w:spacing w:val="0"/>
          <w:kern w:val="0"/>
          <w:sz w:val="30"/>
          <w:szCs w:val="30"/>
          <w:lang w:val="en-US" w:eastAsia="zh-CN" w:bidi="ar"/>
        </w:rPr>
      </w:pPr>
      <w:r>
        <w:rPr>
          <w:rFonts w:hint="eastAsia" w:ascii="黑体" w:hAnsi="黑体" w:eastAsia="黑体" w:cs="黑体"/>
          <w:b w:val="0"/>
          <w:bCs w:val="0"/>
          <w:spacing w:val="0"/>
          <w:kern w:val="0"/>
          <w:sz w:val="30"/>
          <w:szCs w:val="30"/>
          <w:lang w:val="en-US" w:eastAsia="zh-CN" w:bidi="ar"/>
        </w:rPr>
        <w:t>项目评审起止时间：2022年8月10日至2022年10月20日</w:t>
      </w:r>
    </w:p>
    <w:p>
      <w:pPr>
        <w:keepNext w:val="0"/>
        <w:keepLines w:val="0"/>
        <w:pageBreakBefore w:val="0"/>
        <w:widowControl w:val="0"/>
        <w:kinsoku/>
        <w:wordWrap/>
        <w:overflowPunct/>
        <w:topLinePunct w:val="0"/>
        <w:autoSpaceDE/>
        <w:autoSpaceDN/>
        <w:bidi w:val="0"/>
        <w:adjustRightInd/>
        <w:snapToGrid/>
        <w:spacing w:line="700" w:lineRule="exact"/>
        <w:ind w:firstLine="315" w:firstLineChars="100"/>
        <w:jc w:val="left"/>
        <w:textAlignment w:val="auto"/>
        <w:rPr>
          <w:rFonts w:ascii="宋体" w:hAnsi="宋体"/>
          <w:b/>
          <w:spacing w:val="40"/>
          <w:sz w:val="30"/>
          <w:szCs w:val="30"/>
        </w:rPr>
      </w:pPr>
      <w:r>
        <w:rPr>
          <w:rFonts w:hint="eastAsia" w:ascii="黑体" w:hAnsi="黑体" w:eastAsia="黑体" w:cs="黑体"/>
          <w:b w:val="0"/>
          <w:bCs w:val="0"/>
          <w:spacing w:val="0"/>
          <w:kern w:val="0"/>
          <w:sz w:val="30"/>
          <w:szCs w:val="30"/>
          <w:lang w:val="en-US" w:eastAsia="zh-CN" w:bidi="ar"/>
        </w:rPr>
        <w:t>评审报告出具时间：2022年11月22日</w:t>
      </w:r>
    </w:p>
    <w:p>
      <w:pPr>
        <w:snapToGrid w:val="0"/>
        <w:jc w:val="center"/>
        <w:rPr>
          <w:rFonts w:ascii="宋体" w:hAnsi="宋体"/>
          <w:b/>
          <w:spacing w:val="40"/>
          <w:sz w:val="30"/>
          <w:szCs w:val="30"/>
        </w:rPr>
      </w:pPr>
    </w:p>
    <w:p>
      <w:pPr>
        <w:snapToGrid w:val="0"/>
        <w:jc w:val="center"/>
        <w:rPr>
          <w:rFonts w:ascii="宋体" w:hAnsi="宋体"/>
          <w:b/>
          <w:spacing w:val="40"/>
          <w:sz w:val="30"/>
          <w:szCs w:val="30"/>
        </w:rPr>
      </w:pPr>
    </w:p>
    <w:p>
      <w:pPr>
        <w:snapToGrid w:val="0"/>
        <w:jc w:val="center"/>
        <w:rPr>
          <w:rFonts w:hint="eastAsia" w:ascii="宋体" w:hAnsi="宋体" w:eastAsia="宋体" w:cs="Times New Roman"/>
          <w:b/>
          <w:spacing w:val="40"/>
          <w:kern w:val="2"/>
          <w:sz w:val="30"/>
          <w:szCs w:val="30"/>
        </w:rPr>
      </w:pPr>
    </w:p>
    <w:p>
      <w:pPr>
        <w:snapToGrid w:val="0"/>
        <w:jc w:val="center"/>
        <w:rPr>
          <w:rFonts w:hint="eastAsia" w:ascii="宋体" w:hAnsi="宋体" w:eastAsia="宋体" w:cs="Times New Roman"/>
          <w:b/>
          <w:spacing w:val="40"/>
          <w:kern w:val="2"/>
          <w:sz w:val="30"/>
          <w:szCs w:val="30"/>
        </w:rPr>
      </w:pPr>
    </w:p>
    <w:p>
      <w:pPr>
        <w:snapToGrid w:val="0"/>
        <w:jc w:val="center"/>
        <w:rPr>
          <w:rFonts w:hint="eastAsia" w:ascii="宋体" w:hAnsi="宋体" w:eastAsia="宋体" w:cs="Times New Roman"/>
          <w:b/>
          <w:spacing w:val="40"/>
          <w:kern w:val="2"/>
          <w:sz w:val="30"/>
          <w:szCs w:val="30"/>
        </w:rPr>
      </w:pPr>
    </w:p>
    <w:p>
      <w:pPr>
        <w:snapToGrid w:val="0"/>
        <w:jc w:val="center"/>
        <w:rPr>
          <w:rFonts w:ascii="宋体" w:hAnsi="宋体"/>
          <w:b/>
          <w:spacing w:val="40"/>
          <w:sz w:val="30"/>
          <w:szCs w:val="30"/>
        </w:rPr>
      </w:pPr>
      <w:r>
        <w:rPr>
          <w:rFonts w:hint="eastAsia" w:ascii="宋体" w:hAnsi="宋体" w:eastAsia="宋体" w:cs="Times New Roman"/>
          <w:b/>
          <w:spacing w:val="40"/>
          <w:kern w:val="2"/>
          <w:sz w:val="30"/>
          <w:szCs w:val="30"/>
        </w:rPr>
        <w:t>大华会计师事务所(特殊普通合伙) 云南分所</w:t>
      </w:r>
    </w:p>
    <w:p>
      <w:pPr>
        <w:snapToGrid w:val="0"/>
        <w:jc w:val="center"/>
        <w:rPr>
          <w:rFonts w:ascii="Times New Roman" w:hAnsi="Times New Roman" w:eastAsia="宋体" w:cs="Times New Roman"/>
          <w:spacing w:val="-8"/>
          <w:kern w:val="2"/>
          <w:sz w:val="24"/>
          <w:szCs w:val="24"/>
        </w:rPr>
      </w:pPr>
    </w:p>
    <w:p>
      <w:pPr>
        <w:spacing w:line="579" w:lineRule="exact"/>
        <w:ind w:firstLine="239" w:firstLineChars="100"/>
        <w:jc w:val="both"/>
        <w:rPr>
          <w:rFonts w:hint="eastAsia" w:ascii="方正小标宋简体" w:hAnsi="Arial Narrow" w:eastAsia="方正小标宋简体"/>
          <w:spacing w:val="6"/>
          <w:kern w:val="0"/>
          <w:sz w:val="40"/>
          <w:szCs w:val="40"/>
          <w:lang w:val="en-US" w:eastAsia="zh-CN"/>
        </w:rPr>
      </w:pPr>
      <w:r>
        <w:rPr>
          <w:rFonts w:ascii="Times New Roman" w:hAnsi="Times New Roman" w:eastAsia="宋体" w:cs="Times New Roman"/>
          <w:spacing w:val="-8"/>
          <w:kern w:val="2"/>
          <w:sz w:val="24"/>
          <w:szCs w:val="24"/>
        </w:rPr>
        <w:t>D</w:t>
      </w:r>
      <w:r>
        <w:rPr>
          <w:rFonts w:hint="eastAsia" w:ascii="Times New Roman" w:hAnsi="Times New Roman" w:eastAsia="宋体" w:cs="Times New Roman"/>
          <w:spacing w:val="-8"/>
          <w:kern w:val="2"/>
          <w:sz w:val="24"/>
          <w:szCs w:val="24"/>
        </w:rPr>
        <w:t>a</w:t>
      </w:r>
      <w:r>
        <w:rPr>
          <w:rFonts w:ascii="Times New Roman" w:hAnsi="Times New Roman" w:eastAsia="宋体" w:cs="Times New Roman"/>
          <w:spacing w:val="-8"/>
          <w:kern w:val="2"/>
          <w:sz w:val="24"/>
          <w:szCs w:val="24"/>
        </w:rPr>
        <w:t xml:space="preserve"> H</w:t>
      </w:r>
      <w:r>
        <w:rPr>
          <w:rFonts w:hint="eastAsia" w:ascii="Times New Roman" w:hAnsi="Times New Roman" w:eastAsia="宋体" w:cs="Times New Roman"/>
          <w:spacing w:val="-8"/>
          <w:kern w:val="2"/>
          <w:sz w:val="24"/>
          <w:szCs w:val="24"/>
        </w:rPr>
        <w:t xml:space="preserve">ua </w:t>
      </w:r>
      <w:r>
        <w:rPr>
          <w:rFonts w:ascii="Times New Roman" w:hAnsi="Times New Roman" w:eastAsia="宋体" w:cs="Times New Roman"/>
          <w:spacing w:val="-8"/>
          <w:kern w:val="2"/>
          <w:sz w:val="24"/>
          <w:szCs w:val="24"/>
        </w:rPr>
        <w:t>Certified Public Accountants</w:t>
      </w:r>
      <w:r>
        <w:rPr>
          <w:rFonts w:hint="eastAsia" w:ascii="Times New Roman" w:hAnsi="Times New Roman" w:eastAsia="宋体" w:cs="Times New Roman"/>
          <w:spacing w:val="-8"/>
          <w:kern w:val="2"/>
          <w:sz w:val="24"/>
          <w:szCs w:val="24"/>
        </w:rPr>
        <w:t>（Special General Partnership）Yun</w:t>
      </w:r>
      <w:r>
        <w:rPr>
          <w:rFonts w:ascii="Times New Roman" w:hAnsi="Times New Roman" w:eastAsia="宋体" w:cs="Times New Roman"/>
          <w:spacing w:val="-8"/>
          <w:kern w:val="2"/>
          <w:sz w:val="24"/>
          <w:szCs w:val="24"/>
        </w:rPr>
        <w:t>nan Branch</w:t>
      </w:r>
    </w:p>
    <w:p>
      <w:pPr>
        <w:keepNext w:val="0"/>
        <w:keepLines w:val="0"/>
        <w:pageBreakBefore w:val="0"/>
        <w:widowControl/>
        <w:kinsoku/>
        <w:wordWrap/>
        <w:bidi w:val="0"/>
        <w:spacing w:line="579" w:lineRule="exact"/>
        <w:jc w:val="center"/>
        <w:rPr>
          <w:rFonts w:hint="eastAsia" w:asciiTheme="minorEastAsia" w:hAnsiTheme="minorEastAsia" w:eastAsiaTheme="minorEastAsia"/>
          <w:b/>
          <w:color w:val="auto"/>
          <w:sz w:val="36"/>
          <w:szCs w:val="36"/>
          <w:highlight w:val="none"/>
          <w:lang w:val="zh-CN"/>
        </w:rPr>
        <w:sectPr>
          <w:footerReference r:id="rId3" w:type="default"/>
          <w:pgSz w:w="11906" w:h="16838"/>
          <w:pgMar w:top="2098" w:right="1474" w:bottom="1984" w:left="1588" w:header="851" w:footer="1474" w:gutter="0"/>
          <w:pgNumType w:fmt="upperRoman" w:start="1"/>
          <w:cols w:space="0" w:num="1"/>
          <w:rtlGutter w:val="0"/>
          <w:docGrid w:type="linesAndChars" w:linePitch="579" w:charSpace="3247"/>
        </w:sectPr>
      </w:pPr>
    </w:p>
    <w:p>
      <w:pPr>
        <w:keepNext w:val="0"/>
        <w:keepLines w:val="0"/>
        <w:pageBreakBefore w:val="0"/>
        <w:widowControl/>
        <w:kinsoku/>
        <w:wordWrap/>
        <w:bidi w:val="0"/>
        <w:spacing w:line="579" w:lineRule="exact"/>
        <w:jc w:val="center"/>
        <w:rPr>
          <w:rFonts w:asciiTheme="minorEastAsia" w:hAnsiTheme="minorEastAsia" w:eastAsiaTheme="minorEastAsia"/>
          <w:b/>
          <w:color w:val="auto"/>
          <w:sz w:val="36"/>
          <w:szCs w:val="36"/>
          <w:highlight w:val="none"/>
          <w:lang w:val="zh-CN"/>
        </w:rPr>
      </w:pPr>
      <w:r>
        <w:rPr>
          <w:rFonts w:hint="eastAsia" w:asciiTheme="minorEastAsia" w:hAnsiTheme="minorEastAsia" w:eastAsiaTheme="minorEastAsia"/>
          <w:b/>
          <w:color w:val="auto"/>
          <w:sz w:val="36"/>
          <w:szCs w:val="36"/>
          <w:highlight w:val="none"/>
          <w:lang w:val="zh-CN"/>
        </w:rPr>
        <w:t>目  录</w:t>
      </w:r>
    </w:p>
    <w:sdt>
      <w:sdtPr>
        <w:rPr>
          <w:rFonts w:hint="eastAsia" w:ascii="楷体" w:hAnsi="楷体" w:eastAsia="楷体" w:cs="楷体"/>
          <w:b w:val="0"/>
          <w:bCs w:val="0"/>
          <w:color w:val="auto"/>
          <w:kern w:val="30"/>
          <w:sz w:val="24"/>
          <w:szCs w:val="24"/>
          <w:highlight w:val="none"/>
          <w:lang w:val="zh-CN"/>
        </w:rPr>
        <w:id w:val="-201706083"/>
      </w:sdtPr>
      <w:sdtEndPr>
        <w:rPr>
          <w:rFonts w:hint="eastAsia" w:ascii="楷体" w:hAnsi="楷体" w:eastAsia="楷体" w:cs="楷体"/>
          <w:b w:val="0"/>
          <w:bCs w:val="0"/>
          <w:color w:val="auto"/>
          <w:kern w:val="30"/>
          <w:sz w:val="24"/>
          <w:szCs w:val="24"/>
          <w:highlight w:val="none"/>
          <w:lang w:val="en-US"/>
        </w:rPr>
      </w:sdtEndPr>
      <w:sdtContent>
        <w:p>
          <w:pPr>
            <w:pStyle w:val="12"/>
            <w:keepNext w:val="0"/>
            <w:keepLines w:val="0"/>
            <w:pageBreakBefore w:val="0"/>
            <w:kinsoku/>
            <w:wordWrap/>
            <w:bidi w:val="0"/>
            <w:spacing w:line="579" w:lineRule="exact"/>
            <w:ind w:right="38"/>
            <w:rPr>
              <w:rFonts w:hint="eastAsia" w:ascii="楷体" w:hAnsi="楷体" w:eastAsia="楷体" w:cs="楷体"/>
              <w:b w:val="0"/>
              <w:bCs w:val="0"/>
              <w:color w:val="auto"/>
              <w:kern w:val="0"/>
              <w:sz w:val="24"/>
              <w:szCs w:val="24"/>
              <w:highlight w:val="none"/>
              <w:lang w:val="en-US" w:eastAsia="zh-CN" w:bidi="ar-SA"/>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color w:val="auto"/>
              <w:sz w:val="24"/>
              <w:szCs w:val="24"/>
              <w:highlight w:val="none"/>
            </w:rPr>
            <w:instrText xml:space="preserve"> TOC \o "1-3" \h \z \u </w:instrText>
          </w:r>
          <w:r>
            <w:rPr>
              <w:rFonts w:hint="eastAsia" w:ascii="楷体" w:hAnsi="楷体" w:eastAsia="楷体" w:cs="楷体"/>
              <w:b w:val="0"/>
              <w:bCs w:val="0"/>
              <w:color w:val="auto"/>
              <w:sz w:val="24"/>
              <w:szCs w:val="24"/>
              <w:highlight w:val="none"/>
            </w:rPr>
            <w:fldChar w:fldCharType="separate"/>
          </w:r>
        </w:p>
        <w:p>
          <w:pPr>
            <w:pStyle w:val="12"/>
            <w:tabs>
              <w:tab w:val="right" w:leader="dot" w:pos="8844"/>
              <w:tab w:val="clear" w:pos="8931"/>
            </w:tabs>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_Toc10667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rPr>
            <w:t>摘  要</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_Toc10667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I</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2"/>
            <w:tabs>
              <w:tab w:val="right" w:leader="dot" w:pos="8844"/>
              <w:tab w:val="clear" w:pos="8931"/>
            </w:tabs>
            <w:rPr>
              <w:rFonts w:hint="eastAsia" w:ascii="楷体" w:hAnsi="楷体" w:eastAsia="楷体" w:cs="楷体"/>
              <w:b/>
              <w:bCs/>
              <w:sz w:val="24"/>
              <w:szCs w:val="24"/>
            </w:rPr>
          </w:pPr>
          <w:r>
            <w:rPr>
              <w:rFonts w:hint="eastAsia" w:ascii="楷体" w:hAnsi="楷体" w:eastAsia="楷体" w:cs="楷体"/>
              <w:b/>
              <w:bCs/>
              <w:color w:val="auto"/>
              <w:sz w:val="24"/>
              <w:szCs w:val="24"/>
              <w:highlight w:val="none"/>
            </w:rPr>
            <w:fldChar w:fldCharType="begin"/>
          </w:r>
          <w:r>
            <w:rPr>
              <w:rFonts w:hint="eastAsia" w:ascii="楷体" w:hAnsi="楷体" w:eastAsia="楷体" w:cs="楷体"/>
              <w:b/>
              <w:bCs/>
              <w:sz w:val="24"/>
              <w:szCs w:val="24"/>
              <w:highlight w:val="none"/>
            </w:rPr>
            <w:instrText xml:space="preserve"> HYPERLINK \l _Toc4096 </w:instrText>
          </w:r>
          <w:r>
            <w:rPr>
              <w:rFonts w:hint="eastAsia" w:ascii="楷体" w:hAnsi="楷体" w:eastAsia="楷体" w:cs="楷体"/>
              <w:b/>
              <w:bCs/>
              <w:sz w:val="24"/>
              <w:szCs w:val="24"/>
              <w:highlight w:val="none"/>
            </w:rPr>
            <w:fldChar w:fldCharType="separate"/>
          </w:r>
          <w:r>
            <w:rPr>
              <w:rFonts w:hint="eastAsia" w:ascii="楷体" w:hAnsi="楷体" w:eastAsia="楷体" w:cs="楷体"/>
              <w:b/>
              <w:bCs/>
              <w:sz w:val="24"/>
              <w:szCs w:val="24"/>
            </w:rPr>
            <w:t>一、基本情况</w:t>
          </w:r>
          <w:r>
            <w:rPr>
              <w:rFonts w:hint="eastAsia" w:ascii="楷体" w:hAnsi="楷体" w:eastAsia="楷体" w:cs="楷体"/>
              <w:b/>
              <w:bCs/>
              <w:sz w:val="24"/>
              <w:szCs w:val="24"/>
            </w:rPr>
            <w:tab/>
          </w:r>
          <w:r>
            <w:rPr>
              <w:rFonts w:hint="eastAsia" w:ascii="楷体" w:hAnsi="楷体" w:eastAsia="楷体" w:cs="楷体"/>
              <w:b/>
              <w:bCs/>
              <w:sz w:val="24"/>
              <w:szCs w:val="24"/>
            </w:rPr>
            <w:fldChar w:fldCharType="begin"/>
          </w:r>
          <w:r>
            <w:rPr>
              <w:rFonts w:hint="eastAsia" w:ascii="楷体" w:hAnsi="楷体" w:eastAsia="楷体" w:cs="楷体"/>
              <w:b/>
              <w:bCs/>
              <w:sz w:val="24"/>
              <w:szCs w:val="24"/>
            </w:rPr>
            <w:instrText xml:space="preserve"> PAGEREF _Toc4096 \h </w:instrText>
          </w:r>
          <w:r>
            <w:rPr>
              <w:rFonts w:hint="eastAsia" w:ascii="楷体" w:hAnsi="楷体" w:eastAsia="楷体" w:cs="楷体"/>
              <w:b/>
              <w:bCs/>
              <w:sz w:val="24"/>
              <w:szCs w:val="24"/>
            </w:rPr>
            <w:fldChar w:fldCharType="separate"/>
          </w:r>
          <w:r>
            <w:rPr>
              <w:rFonts w:hint="eastAsia" w:ascii="楷体" w:hAnsi="楷体" w:eastAsia="楷体" w:cs="楷体"/>
              <w:b/>
              <w:bCs/>
              <w:sz w:val="24"/>
              <w:szCs w:val="24"/>
            </w:rPr>
            <w:t>1</w:t>
          </w:r>
          <w:r>
            <w:rPr>
              <w:rFonts w:hint="eastAsia" w:ascii="楷体" w:hAnsi="楷体" w:eastAsia="楷体" w:cs="楷体"/>
              <w:b/>
              <w:bCs/>
              <w:sz w:val="24"/>
              <w:szCs w:val="24"/>
            </w:rPr>
            <w:fldChar w:fldCharType="end"/>
          </w:r>
          <w:r>
            <w:rPr>
              <w:rFonts w:hint="eastAsia" w:ascii="楷体" w:hAnsi="楷体" w:eastAsia="楷体" w:cs="楷体"/>
              <w:b/>
              <w:bCs/>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_Toc20372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（一）项目概况</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_Toc20372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1</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2"/>
            <w:tabs>
              <w:tab w:val="right" w:leader="dot" w:pos="8844"/>
              <w:tab w:val="clear" w:pos="8931"/>
            </w:tabs>
            <w:rPr>
              <w:rFonts w:hint="eastAsia" w:ascii="楷体" w:hAnsi="楷体" w:eastAsia="楷体" w:cs="楷体"/>
              <w:b/>
              <w:bCs/>
              <w:sz w:val="24"/>
              <w:szCs w:val="24"/>
            </w:rPr>
          </w:pPr>
          <w:r>
            <w:rPr>
              <w:rFonts w:hint="eastAsia" w:ascii="楷体" w:hAnsi="楷体" w:eastAsia="楷体" w:cs="楷体"/>
              <w:b/>
              <w:bCs/>
              <w:color w:val="auto"/>
              <w:sz w:val="24"/>
              <w:szCs w:val="24"/>
              <w:highlight w:val="none"/>
            </w:rPr>
            <w:fldChar w:fldCharType="begin"/>
          </w:r>
          <w:r>
            <w:rPr>
              <w:rFonts w:hint="eastAsia" w:ascii="楷体" w:hAnsi="楷体" w:eastAsia="楷体" w:cs="楷体"/>
              <w:b/>
              <w:bCs/>
              <w:sz w:val="24"/>
              <w:szCs w:val="24"/>
              <w:highlight w:val="none"/>
            </w:rPr>
            <w:instrText xml:space="preserve"> HYPERLINK \l _Toc17681 </w:instrText>
          </w:r>
          <w:r>
            <w:rPr>
              <w:rFonts w:hint="eastAsia" w:ascii="楷体" w:hAnsi="楷体" w:eastAsia="楷体" w:cs="楷体"/>
              <w:b/>
              <w:bCs/>
              <w:sz w:val="24"/>
              <w:szCs w:val="24"/>
              <w:highlight w:val="none"/>
            </w:rPr>
            <w:fldChar w:fldCharType="separate"/>
          </w:r>
          <w:r>
            <w:rPr>
              <w:rFonts w:hint="eastAsia" w:ascii="楷体" w:hAnsi="楷体" w:eastAsia="楷体" w:cs="楷体"/>
              <w:b/>
              <w:bCs/>
              <w:sz w:val="24"/>
              <w:szCs w:val="24"/>
            </w:rPr>
            <w:t>二、绩效评价工作开展情况</w:t>
          </w:r>
          <w:r>
            <w:rPr>
              <w:rFonts w:hint="eastAsia" w:ascii="楷体" w:hAnsi="楷体" w:eastAsia="楷体" w:cs="楷体"/>
              <w:b/>
              <w:bCs/>
              <w:sz w:val="24"/>
              <w:szCs w:val="24"/>
            </w:rPr>
            <w:tab/>
          </w:r>
          <w:r>
            <w:rPr>
              <w:rFonts w:hint="eastAsia" w:ascii="楷体" w:hAnsi="楷体" w:eastAsia="楷体" w:cs="楷体"/>
              <w:b/>
              <w:bCs/>
              <w:sz w:val="24"/>
              <w:szCs w:val="24"/>
            </w:rPr>
            <w:fldChar w:fldCharType="begin"/>
          </w:r>
          <w:r>
            <w:rPr>
              <w:rFonts w:hint="eastAsia" w:ascii="楷体" w:hAnsi="楷体" w:eastAsia="楷体" w:cs="楷体"/>
              <w:b/>
              <w:bCs/>
              <w:sz w:val="24"/>
              <w:szCs w:val="24"/>
            </w:rPr>
            <w:instrText xml:space="preserve"> PAGEREF _Toc17681 \h </w:instrText>
          </w:r>
          <w:r>
            <w:rPr>
              <w:rFonts w:hint="eastAsia" w:ascii="楷体" w:hAnsi="楷体" w:eastAsia="楷体" w:cs="楷体"/>
              <w:b/>
              <w:bCs/>
              <w:sz w:val="24"/>
              <w:szCs w:val="24"/>
            </w:rPr>
            <w:fldChar w:fldCharType="separate"/>
          </w:r>
          <w:r>
            <w:rPr>
              <w:rFonts w:hint="eastAsia" w:ascii="楷体" w:hAnsi="楷体" w:eastAsia="楷体" w:cs="楷体"/>
              <w:b/>
              <w:bCs/>
              <w:sz w:val="24"/>
              <w:szCs w:val="24"/>
            </w:rPr>
            <w:t>4</w:t>
          </w:r>
          <w:r>
            <w:rPr>
              <w:rFonts w:hint="eastAsia" w:ascii="楷体" w:hAnsi="楷体" w:eastAsia="楷体" w:cs="楷体"/>
              <w:b/>
              <w:bCs/>
              <w:sz w:val="24"/>
              <w:szCs w:val="24"/>
            </w:rPr>
            <w:fldChar w:fldCharType="end"/>
          </w:r>
          <w:r>
            <w:rPr>
              <w:rFonts w:hint="eastAsia" w:ascii="楷体" w:hAnsi="楷体" w:eastAsia="楷体" w:cs="楷体"/>
              <w:b/>
              <w:bCs/>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_Toc25631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（一）绩效评价目的、对象和范围</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_Toc25631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4</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_Toc29655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（二）绩效评价原则、评价指标体系、评价方法、评价标准和评价抽样</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_Toc29655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5</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_Toc31669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（三）绩效评价工作过程</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_Toc31669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9</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2"/>
            <w:tabs>
              <w:tab w:val="right" w:leader="dot" w:pos="8844"/>
              <w:tab w:val="clear" w:pos="8931"/>
            </w:tabs>
            <w:rPr>
              <w:rFonts w:hint="eastAsia" w:ascii="楷体" w:hAnsi="楷体" w:eastAsia="楷体" w:cs="楷体"/>
              <w:b/>
              <w:bCs/>
              <w:sz w:val="24"/>
              <w:szCs w:val="24"/>
            </w:rPr>
          </w:pPr>
          <w:r>
            <w:rPr>
              <w:rFonts w:hint="eastAsia" w:ascii="楷体" w:hAnsi="楷体" w:eastAsia="楷体" w:cs="楷体"/>
              <w:b/>
              <w:bCs/>
              <w:color w:val="auto"/>
              <w:sz w:val="24"/>
              <w:szCs w:val="24"/>
              <w:highlight w:val="none"/>
            </w:rPr>
            <w:fldChar w:fldCharType="begin"/>
          </w:r>
          <w:r>
            <w:rPr>
              <w:rFonts w:hint="eastAsia" w:ascii="楷体" w:hAnsi="楷体" w:eastAsia="楷体" w:cs="楷体"/>
              <w:b/>
              <w:bCs/>
              <w:sz w:val="24"/>
              <w:szCs w:val="24"/>
              <w:highlight w:val="none"/>
            </w:rPr>
            <w:instrText xml:space="preserve"> HYPERLINK \l _Toc1532 </w:instrText>
          </w:r>
          <w:r>
            <w:rPr>
              <w:rFonts w:hint="eastAsia" w:ascii="楷体" w:hAnsi="楷体" w:eastAsia="楷体" w:cs="楷体"/>
              <w:b/>
              <w:bCs/>
              <w:sz w:val="24"/>
              <w:szCs w:val="24"/>
              <w:highlight w:val="none"/>
            </w:rPr>
            <w:fldChar w:fldCharType="separate"/>
          </w:r>
          <w:r>
            <w:rPr>
              <w:rFonts w:hint="eastAsia" w:ascii="楷体" w:hAnsi="楷体" w:eastAsia="楷体" w:cs="楷体"/>
              <w:b/>
              <w:bCs/>
              <w:sz w:val="24"/>
              <w:szCs w:val="24"/>
            </w:rPr>
            <w:t>三、绩效评价结论</w:t>
          </w:r>
          <w:r>
            <w:rPr>
              <w:rFonts w:hint="eastAsia" w:ascii="楷体" w:hAnsi="楷体" w:eastAsia="楷体" w:cs="楷体"/>
              <w:b/>
              <w:bCs/>
              <w:sz w:val="24"/>
              <w:szCs w:val="24"/>
            </w:rPr>
            <w:tab/>
          </w:r>
          <w:r>
            <w:rPr>
              <w:rFonts w:hint="eastAsia" w:ascii="楷体" w:hAnsi="楷体" w:eastAsia="楷体" w:cs="楷体"/>
              <w:b/>
              <w:bCs/>
              <w:sz w:val="24"/>
              <w:szCs w:val="24"/>
            </w:rPr>
            <w:fldChar w:fldCharType="begin"/>
          </w:r>
          <w:r>
            <w:rPr>
              <w:rFonts w:hint="eastAsia" w:ascii="楷体" w:hAnsi="楷体" w:eastAsia="楷体" w:cs="楷体"/>
              <w:b/>
              <w:bCs/>
              <w:sz w:val="24"/>
              <w:szCs w:val="24"/>
            </w:rPr>
            <w:instrText xml:space="preserve"> PAGEREF _Toc1532 \h </w:instrText>
          </w:r>
          <w:r>
            <w:rPr>
              <w:rFonts w:hint="eastAsia" w:ascii="楷体" w:hAnsi="楷体" w:eastAsia="楷体" w:cs="楷体"/>
              <w:b/>
              <w:bCs/>
              <w:sz w:val="24"/>
              <w:szCs w:val="24"/>
            </w:rPr>
            <w:fldChar w:fldCharType="separate"/>
          </w:r>
          <w:r>
            <w:rPr>
              <w:rFonts w:hint="eastAsia" w:ascii="楷体" w:hAnsi="楷体" w:eastAsia="楷体" w:cs="楷体"/>
              <w:b/>
              <w:bCs/>
              <w:sz w:val="24"/>
              <w:szCs w:val="24"/>
            </w:rPr>
            <w:t>9</w:t>
          </w:r>
          <w:r>
            <w:rPr>
              <w:rFonts w:hint="eastAsia" w:ascii="楷体" w:hAnsi="楷体" w:eastAsia="楷体" w:cs="楷体"/>
              <w:b/>
              <w:bCs/>
              <w:sz w:val="24"/>
              <w:szCs w:val="24"/>
            </w:rPr>
            <w:fldChar w:fldCharType="end"/>
          </w:r>
          <w:r>
            <w:rPr>
              <w:rFonts w:hint="eastAsia" w:ascii="楷体" w:hAnsi="楷体" w:eastAsia="楷体" w:cs="楷体"/>
              <w:b/>
              <w:bCs/>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_Toc27828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（一）绩效评价综合结论</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_Toc27828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9</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_Toc9813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（二）绩效目标实现情况</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_Toc9813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11</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2"/>
            <w:tabs>
              <w:tab w:val="right" w:leader="dot" w:pos="8844"/>
              <w:tab w:val="clear" w:pos="8931"/>
            </w:tabs>
            <w:rPr>
              <w:rFonts w:hint="eastAsia" w:ascii="楷体" w:hAnsi="楷体" w:eastAsia="楷体" w:cs="楷体"/>
              <w:b/>
              <w:bCs/>
              <w:sz w:val="24"/>
              <w:szCs w:val="24"/>
            </w:rPr>
          </w:pPr>
          <w:r>
            <w:rPr>
              <w:rFonts w:hint="eastAsia" w:ascii="楷体" w:hAnsi="楷体" w:eastAsia="楷体" w:cs="楷体"/>
              <w:b/>
              <w:bCs/>
              <w:color w:val="auto"/>
              <w:sz w:val="24"/>
              <w:szCs w:val="24"/>
              <w:highlight w:val="none"/>
            </w:rPr>
            <w:fldChar w:fldCharType="begin"/>
          </w:r>
          <w:r>
            <w:rPr>
              <w:rFonts w:hint="eastAsia" w:ascii="楷体" w:hAnsi="楷体" w:eastAsia="楷体" w:cs="楷体"/>
              <w:b/>
              <w:bCs/>
              <w:sz w:val="24"/>
              <w:szCs w:val="24"/>
              <w:highlight w:val="none"/>
            </w:rPr>
            <w:instrText xml:space="preserve"> HYPERLINK \l _Toc29894 </w:instrText>
          </w:r>
          <w:r>
            <w:rPr>
              <w:rFonts w:hint="eastAsia" w:ascii="楷体" w:hAnsi="楷体" w:eastAsia="楷体" w:cs="楷体"/>
              <w:b/>
              <w:bCs/>
              <w:sz w:val="24"/>
              <w:szCs w:val="24"/>
              <w:highlight w:val="none"/>
            </w:rPr>
            <w:fldChar w:fldCharType="separate"/>
          </w:r>
          <w:r>
            <w:rPr>
              <w:rFonts w:hint="eastAsia" w:ascii="楷体" w:hAnsi="楷体" w:eastAsia="楷体" w:cs="楷体"/>
              <w:b/>
              <w:bCs/>
              <w:sz w:val="24"/>
              <w:szCs w:val="24"/>
            </w:rPr>
            <w:t>四、绩效评价指标分析</w:t>
          </w:r>
          <w:r>
            <w:rPr>
              <w:rFonts w:hint="eastAsia" w:ascii="楷体" w:hAnsi="楷体" w:eastAsia="楷体" w:cs="楷体"/>
              <w:b/>
              <w:bCs/>
              <w:sz w:val="24"/>
              <w:szCs w:val="24"/>
            </w:rPr>
            <w:tab/>
          </w:r>
          <w:r>
            <w:rPr>
              <w:rFonts w:hint="eastAsia" w:ascii="楷体" w:hAnsi="楷体" w:eastAsia="楷体" w:cs="楷体"/>
              <w:b/>
              <w:bCs/>
              <w:sz w:val="24"/>
              <w:szCs w:val="24"/>
            </w:rPr>
            <w:fldChar w:fldCharType="begin"/>
          </w:r>
          <w:r>
            <w:rPr>
              <w:rFonts w:hint="eastAsia" w:ascii="楷体" w:hAnsi="楷体" w:eastAsia="楷体" w:cs="楷体"/>
              <w:b/>
              <w:bCs/>
              <w:sz w:val="24"/>
              <w:szCs w:val="24"/>
            </w:rPr>
            <w:instrText xml:space="preserve"> PAGEREF _Toc29894 \h </w:instrText>
          </w:r>
          <w:r>
            <w:rPr>
              <w:rFonts w:hint="eastAsia" w:ascii="楷体" w:hAnsi="楷体" w:eastAsia="楷体" w:cs="楷体"/>
              <w:b/>
              <w:bCs/>
              <w:sz w:val="24"/>
              <w:szCs w:val="24"/>
            </w:rPr>
            <w:fldChar w:fldCharType="separate"/>
          </w:r>
          <w:r>
            <w:rPr>
              <w:rFonts w:hint="eastAsia" w:ascii="楷体" w:hAnsi="楷体" w:eastAsia="楷体" w:cs="楷体"/>
              <w:b/>
              <w:bCs/>
              <w:sz w:val="24"/>
              <w:szCs w:val="24"/>
            </w:rPr>
            <w:t>12</w:t>
          </w:r>
          <w:r>
            <w:rPr>
              <w:rFonts w:hint="eastAsia" w:ascii="楷体" w:hAnsi="楷体" w:eastAsia="楷体" w:cs="楷体"/>
              <w:b/>
              <w:bCs/>
              <w:sz w:val="24"/>
              <w:szCs w:val="24"/>
            </w:rPr>
            <w:fldChar w:fldCharType="end"/>
          </w:r>
          <w:r>
            <w:rPr>
              <w:rFonts w:hint="eastAsia" w:ascii="楷体" w:hAnsi="楷体" w:eastAsia="楷体" w:cs="楷体"/>
              <w:b/>
              <w:bCs/>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_Toc2408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（一）项目决策情况</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_Toc2408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12</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_Toc13780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（二）项目过程情况</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_Toc13780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16</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_Toc29451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（三）项目产出情况</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_Toc29451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20</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_Toc12197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（四）项目效益情况</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_Toc12197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23</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2"/>
            <w:tabs>
              <w:tab w:val="right" w:leader="dot" w:pos="8844"/>
              <w:tab w:val="clear" w:pos="8931"/>
            </w:tabs>
            <w:rPr>
              <w:rFonts w:hint="eastAsia" w:ascii="楷体" w:hAnsi="楷体" w:eastAsia="楷体" w:cs="楷体"/>
              <w:b/>
              <w:bCs/>
              <w:sz w:val="24"/>
              <w:szCs w:val="24"/>
            </w:rPr>
          </w:pPr>
          <w:r>
            <w:rPr>
              <w:rFonts w:hint="eastAsia" w:ascii="楷体" w:hAnsi="楷体" w:eastAsia="楷体" w:cs="楷体"/>
              <w:b/>
              <w:bCs/>
              <w:color w:val="auto"/>
              <w:sz w:val="24"/>
              <w:szCs w:val="24"/>
              <w:highlight w:val="none"/>
            </w:rPr>
            <w:fldChar w:fldCharType="begin"/>
          </w:r>
          <w:r>
            <w:rPr>
              <w:rFonts w:hint="eastAsia" w:ascii="楷体" w:hAnsi="楷体" w:eastAsia="楷体" w:cs="楷体"/>
              <w:b/>
              <w:bCs/>
              <w:sz w:val="24"/>
              <w:szCs w:val="24"/>
              <w:highlight w:val="none"/>
            </w:rPr>
            <w:instrText xml:space="preserve"> HYPERLINK \l _Toc10762 </w:instrText>
          </w:r>
          <w:r>
            <w:rPr>
              <w:rFonts w:hint="eastAsia" w:ascii="楷体" w:hAnsi="楷体" w:eastAsia="楷体" w:cs="楷体"/>
              <w:b/>
              <w:bCs/>
              <w:sz w:val="24"/>
              <w:szCs w:val="24"/>
              <w:highlight w:val="none"/>
            </w:rPr>
            <w:fldChar w:fldCharType="separate"/>
          </w:r>
          <w:r>
            <w:rPr>
              <w:rFonts w:hint="eastAsia" w:ascii="楷体" w:hAnsi="楷体" w:eastAsia="楷体" w:cs="楷体"/>
              <w:b/>
              <w:bCs/>
              <w:sz w:val="24"/>
              <w:szCs w:val="24"/>
              <w:lang w:val="en-US" w:eastAsia="zh-CN"/>
            </w:rPr>
            <w:t>五、存在问题及原因分析</w:t>
          </w:r>
          <w:r>
            <w:rPr>
              <w:rFonts w:hint="eastAsia" w:ascii="楷体" w:hAnsi="楷体" w:eastAsia="楷体" w:cs="楷体"/>
              <w:b/>
              <w:bCs/>
              <w:sz w:val="24"/>
              <w:szCs w:val="24"/>
            </w:rPr>
            <w:tab/>
          </w:r>
          <w:r>
            <w:rPr>
              <w:rFonts w:hint="eastAsia" w:ascii="楷体" w:hAnsi="楷体" w:eastAsia="楷体" w:cs="楷体"/>
              <w:b/>
              <w:bCs/>
              <w:sz w:val="24"/>
              <w:szCs w:val="24"/>
            </w:rPr>
            <w:fldChar w:fldCharType="begin"/>
          </w:r>
          <w:r>
            <w:rPr>
              <w:rFonts w:hint="eastAsia" w:ascii="楷体" w:hAnsi="楷体" w:eastAsia="楷体" w:cs="楷体"/>
              <w:b/>
              <w:bCs/>
              <w:sz w:val="24"/>
              <w:szCs w:val="24"/>
            </w:rPr>
            <w:instrText xml:space="preserve"> PAGEREF _Toc10762 \h </w:instrText>
          </w:r>
          <w:r>
            <w:rPr>
              <w:rFonts w:hint="eastAsia" w:ascii="楷体" w:hAnsi="楷体" w:eastAsia="楷体" w:cs="楷体"/>
              <w:b/>
              <w:bCs/>
              <w:sz w:val="24"/>
              <w:szCs w:val="24"/>
            </w:rPr>
            <w:fldChar w:fldCharType="separate"/>
          </w:r>
          <w:r>
            <w:rPr>
              <w:rFonts w:hint="eastAsia" w:ascii="楷体" w:hAnsi="楷体" w:eastAsia="楷体" w:cs="楷体"/>
              <w:b/>
              <w:bCs/>
              <w:sz w:val="24"/>
              <w:szCs w:val="24"/>
            </w:rPr>
            <w:t>26</w:t>
          </w:r>
          <w:r>
            <w:rPr>
              <w:rFonts w:hint="eastAsia" w:ascii="楷体" w:hAnsi="楷体" w:eastAsia="楷体" w:cs="楷体"/>
              <w:b/>
              <w:bCs/>
              <w:sz w:val="24"/>
              <w:szCs w:val="24"/>
            </w:rPr>
            <w:fldChar w:fldCharType="end"/>
          </w:r>
          <w:r>
            <w:rPr>
              <w:rFonts w:hint="eastAsia" w:ascii="楷体" w:hAnsi="楷体" w:eastAsia="楷体" w:cs="楷体"/>
              <w:b/>
              <w:bCs/>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_Toc17262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（一）全过程预算绩效管理工作不到位</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_Toc17262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26</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_Toc20988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（二）缺乏有效的预算绩效监管机制</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_Toc20988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26</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_Toc30935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（三）预算执行力度不足</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_Toc30935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27</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2"/>
            <w:tabs>
              <w:tab w:val="right" w:leader="dot" w:pos="8844"/>
              <w:tab w:val="clear" w:pos="8931"/>
            </w:tabs>
            <w:rPr>
              <w:rFonts w:hint="eastAsia" w:ascii="楷体" w:hAnsi="楷体" w:eastAsia="楷体" w:cs="楷体"/>
              <w:b/>
              <w:bCs/>
              <w:sz w:val="24"/>
              <w:szCs w:val="24"/>
            </w:rPr>
          </w:pPr>
          <w:r>
            <w:rPr>
              <w:rFonts w:hint="eastAsia" w:ascii="楷体" w:hAnsi="楷体" w:eastAsia="楷体" w:cs="楷体"/>
              <w:b/>
              <w:bCs/>
              <w:color w:val="auto"/>
              <w:sz w:val="24"/>
              <w:szCs w:val="24"/>
              <w:highlight w:val="none"/>
            </w:rPr>
            <w:fldChar w:fldCharType="begin"/>
          </w:r>
          <w:r>
            <w:rPr>
              <w:rFonts w:hint="eastAsia" w:ascii="楷体" w:hAnsi="楷体" w:eastAsia="楷体" w:cs="楷体"/>
              <w:b/>
              <w:bCs/>
              <w:sz w:val="24"/>
              <w:szCs w:val="24"/>
              <w:highlight w:val="none"/>
            </w:rPr>
            <w:instrText xml:space="preserve"> HYPERLINK \l _Toc9382 </w:instrText>
          </w:r>
          <w:r>
            <w:rPr>
              <w:rFonts w:hint="eastAsia" w:ascii="楷体" w:hAnsi="楷体" w:eastAsia="楷体" w:cs="楷体"/>
              <w:b/>
              <w:bCs/>
              <w:sz w:val="24"/>
              <w:szCs w:val="24"/>
              <w:highlight w:val="none"/>
            </w:rPr>
            <w:fldChar w:fldCharType="separate"/>
          </w:r>
          <w:r>
            <w:rPr>
              <w:rFonts w:hint="eastAsia" w:ascii="楷体" w:hAnsi="楷体" w:eastAsia="楷体" w:cs="楷体"/>
              <w:b/>
              <w:bCs/>
              <w:sz w:val="24"/>
              <w:szCs w:val="24"/>
              <w:lang w:eastAsia="zh-CN"/>
            </w:rPr>
            <w:t>六</w:t>
          </w:r>
          <w:r>
            <w:rPr>
              <w:rFonts w:hint="eastAsia" w:ascii="楷体" w:hAnsi="楷体" w:eastAsia="楷体" w:cs="楷体"/>
              <w:b/>
              <w:bCs/>
              <w:sz w:val="24"/>
              <w:szCs w:val="24"/>
            </w:rPr>
            <w:t>、建议</w:t>
          </w:r>
          <w:r>
            <w:rPr>
              <w:rFonts w:hint="eastAsia" w:ascii="楷体" w:hAnsi="楷体" w:eastAsia="楷体" w:cs="楷体"/>
              <w:b/>
              <w:bCs/>
              <w:sz w:val="24"/>
              <w:szCs w:val="24"/>
            </w:rPr>
            <w:tab/>
          </w:r>
          <w:r>
            <w:rPr>
              <w:rFonts w:hint="eastAsia" w:ascii="楷体" w:hAnsi="楷体" w:eastAsia="楷体" w:cs="楷体"/>
              <w:b/>
              <w:bCs/>
              <w:sz w:val="24"/>
              <w:szCs w:val="24"/>
            </w:rPr>
            <w:fldChar w:fldCharType="begin"/>
          </w:r>
          <w:r>
            <w:rPr>
              <w:rFonts w:hint="eastAsia" w:ascii="楷体" w:hAnsi="楷体" w:eastAsia="楷体" w:cs="楷体"/>
              <w:b/>
              <w:bCs/>
              <w:sz w:val="24"/>
              <w:szCs w:val="24"/>
            </w:rPr>
            <w:instrText xml:space="preserve"> PAGEREF _Toc9382 \h </w:instrText>
          </w:r>
          <w:r>
            <w:rPr>
              <w:rFonts w:hint="eastAsia" w:ascii="楷体" w:hAnsi="楷体" w:eastAsia="楷体" w:cs="楷体"/>
              <w:b/>
              <w:bCs/>
              <w:sz w:val="24"/>
              <w:szCs w:val="24"/>
            </w:rPr>
            <w:fldChar w:fldCharType="separate"/>
          </w:r>
          <w:r>
            <w:rPr>
              <w:rFonts w:hint="eastAsia" w:ascii="楷体" w:hAnsi="楷体" w:eastAsia="楷体" w:cs="楷体"/>
              <w:b/>
              <w:bCs/>
              <w:sz w:val="24"/>
              <w:szCs w:val="24"/>
            </w:rPr>
            <w:t>27</w:t>
          </w:r>
          <w:r>
            <w:rPr>
              <w:rFonts w:hint="eastAsia" w:ascii="楷体" w:hAnsi="楷体" w:eastAsia="楷体" w:cs="楷体"/>
              <w:b/>
              <w:bCs/>
              <w:sz w:val="24"/>
              <w:szCs w:val="24"/>
            </w:rPr>
            <w:fldChar w:fldCharType="end"/>
          </w:r>
          <w:r>
            <w:rPr>
              <w:rFonts w:hint="eastAsia" w:ascii="楷体" w:hAnsi="楷体" w:eastAsia="楷体" w:cs="楷体"/>
              <w:b/>
              <w:bCs/>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_Toc14408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（一）加强项目预算绩效的全过程管理</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_Toc14408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27</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_Toc4003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（二）完善预算绩效监督机制，确保运行监控落实到位</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_Toc4003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28</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3"/>
            <w:tabs>
              <w:tab w:val="right" w:leader="dot" w:pos="8844"/>
              <w:tab w:val="clear" w:pos="8789"/>
            </w:tabs>
            <w:ind w:firstLine="255" w:firstLineChars="100"/>
            <w:rPr>
              <w:rFonts w:hint="eastAsia" w:ascii="楷体" w:hAnsi="楷体" w:eastAsia="楷体" w:cs="楷体"/>
              <w:b w:val="0"/>
              <w:bCs w:val="0"/>
              <w:sz w:val="24"/>
              <w:szCs w:val="24"/>
            </w:rPr>
          </w:pPr>
          <w:r>
            <w:rPr>
              <w:rFonts w:hint="eastAsia" w:ascii="楷体" w:hAnsi="楷体" w:eastAsia="楷体" w:cs="楷体"/>
              <w:b w:val="0"/>
              <w:bCs w:val="0"/>
              <w:color w:val="auto"/>
              <w:sz w:val="24"/>
              <w:szCs w:val="24"/>
              <w:highlight w:val="none"/>
            </w:rPr>
            <w:fldChar w:fldCharType="begin"/>
          </w:r>
          <w:r>
            <w:rPr>
              <w:rFonts w:hint="eastAsia" w:ascii="楷体" w:hAnsi="楷体" w:eastAsia="楷体" w:cs="楷体"/>
              <w:b w:val="0"/>
              <w:bCs w:val="0"/>
              <w:sz w:val="24"/>
              <w:szCs w:val="24"/>
              <w:highlight w:val="none"/>
            </w:rPr>
            <w:instrText xml:space="preserve"> HYPERLINK \l _Toc3194 </w:instrText>
          </w:r>
          <w:r>
            <w:rPr>
              <w:rFonts w:hint="eastAsia" w:ascii="楷体" w:hAnsi="楷体" w:eastAsia="楷体" w:cs="楷体"/>
              <w:b w:val="0"/>
              <w:bCs w:val="0"/>
              <w:sz w:val="24"/>
              <w:szCs w:val="24"/>
              <w:highlight w:val="none"/>
            </w:rPr>
            <w:fldChar w:fldCharType="separate"/>
          </w:r>
          <w:r>
            <w:rPr>
              <w:rFonts w:hint="eastAsia" w:ascii="楷体" w:hAnsi="楷体" w:eastAsia="楷体" w:cs="楷体"/>
              <w:b w:val="0"/>
              <w:bCs w:val="0"/>
              <w:sz w:val="24"/>
              <w:szCs w:val="24"/>
              <w:lang w:val="en-US" w:eastAsia="zh-CN"/>
            </w:rPr>
            <w:t>（三）加强预算管理执行力度</w:t>
          </w:r>
          <w:r>
            <w:rPr>
              <w:rFonts w:hint="eastAsia" w:ascii="楷体" w:hAnsi="楷体" w:eastAsia="楷体" w:cs="楷体"/>
              <w:b w:val="0"/>
              <w:bCs w:val="0"/>
              <w:sz w:val="24"/>
              <w:szCs w:val="24"/>
            </w:rPr>
            <w:tab/>
          </w:r>
          <w:r>
            <w:rPr>
              <w:rFonts w:hint="eastAsia" w:ascii="楷体" w:hAnsi="楷体" w:eastAsia="楷体" w:cs="楷体"/>
              <w:b w:val="0"/>
              <w:bCs w:val="0"/>
              <w:sz w:val="24"/>
              <w:szCs w:val="24"/>
            </w:rPr>
            <w:fldChar w:fldCharType="begin"/>
          </w:r>
          <w:r>
            <w:rPr>
              <w:rFonts w:hint="eastAsia" w:ascii="楷体" w:hAnsi="楷体" w:eastAsia="楷体" w:cs="楷体"/>
              <w:b w:val="0"/>
              <w:bCs w:val="0"/>
              <w:sz w:val="24"/>
              <w:szCs w:val="24"/>
            </w:rPr>
            <w:instrText xml:space="preserve"> PAGEREF _Toc3194 \h </w:instrText>
          </w:r>
          <w:r>
            <w:rPr>
              <w:rFonts w:hint="eastAsia" w:ascii="楷体" w:hAnsi="楷体" w:eastAsia="楷体" w:cs="楷体"/>
              <w:b w:val="0"/>
              <w:bCs w:val="0"/>
              <w:sz w:val="24"/>
              <w:szCs w:val="24"/>
            </w:rPr>
            <w:fldChar w:fldCharType="separate"/>
          </w:r>
          <w:r>
            <w:rPr>
              <w:rFonts w:hint="eastAsia" w:ascii="楷体" w:hAnsi="楷体" w:eastAsia="楷体" w:cs="楷体"/>
              <w:b w:val="0"/>
              <w:bCs w:val="0"/>
              <w:sz w:val="24"/>
              <w:szCs w:val="24"/>
            </w:rPr>
            <w:t>28</w:t>
          </w:r>
          <w:r>
            <w:rPr>
              <w:rFonts w:hint="eastAsia" w:ascii="楷体" w:hAnsi="楷体" w:eastAsia="楷体" w:cs="楷体"/>
              <w:b w:val="0"/>
              <w:bCs w:val="0"/>
              <w:sz w:val="24"/>
              <w:szCs w:val="24"/>
            </w:rPr>
            <w:fldChar w:fldCharType="end"/>
          </w:r>
          <w:r>
            <w:rPr>
              <w:rFonts w:hint="eastAsia" w:ascii="楷体" w:hAnsi="楷体" w:eastAsia="楷体" w:cs="楷体"/>
              <w:b w:val="0"/>
              <w:bCs w:val="0"/>
              <w:color w:val="auto"/>
              <w:sz w:val="24"/>
              <w:szCs w:val="24"/>
              <w:highlight w:val="none"/>
            </w:rPr>
            <w:fldChar w:fldCharType="end"/>
          </w:r>
        </w:p>
        <w:p>
          <w:pPr>
            <w:pStyle w:val="12"/>
            <w:keepNext w:val="0"/>
            <w:keepLines w:val="0"/>
            <w:pageBreakBefore w:val="0"/>
            <w:tabs>
              <w:tab w:val="right" w:leader="dot" w:pos="8789"/>
              <w:tab w:val="clear" w:pos="8931"/>
            </w:tabs>
            <w:kinsoku/>
            <w:wordWrap/>
            <w:bidi w:val="0"/>
            <w:spacing w:line="579" w:lineRule="exact"/>
            <w:ind w:right="38"/>
            <w:rPr>
              <w:rFonts w:hint="eastAsia" w:ascii="楷体" w:hAnsi="楷体" w:eastAsia="楷体" w:cs="楷体"/>
              <w:b w:val="0"/>
              <w:bCs w:val="0"/>
              <w:color w:val="auto"/>
              <w:sz w:val="24"/>
              <w:szCs w:val="24"/>
              <w:highlight w:val="none"/>
            </w:rPr>
          </w:pPr>
          <w:r>
            <w:rPr>
              <w:rFonts w:hint="eastAsia" w:ascii="楷体" w:hAnsi="楷体" w:eastAsia="楷体" w:cs="楷体"/>
              <w:b w:val="0"/>
              <w:bCs w:val="0"/>
              <w:color w:val="auto"/>
              <w:sz w:val="24"/>
              <w:szCs w:val="24"/>
              <w:highlight w:val="none"/>
            </w:rPr>
            <w:fldChar w:fldCharType="end"/>
          </w:r>
        </w:p>
        <w:p>
          <w:pPr>
            <w:keepNext w:val="0"/>
            <w:keepLines w:val="0"/>
            <w:pageBreakBefore w:val="0"/>
            <w:kinsoku/>
            <w:wordWrap/>
            <w:bidi w:val="0"/>
            <w:spacing w:line="579" w:lineRule="exact"/>
          </w:pPr>
          <w:bookmarkStart w:id="0" w:name="_Hlk525313924"/>
        </w:p>
      </w:sdtContent>
    </w:sdt>
    <w:p>
      <w:pPr>
        <w:overflowPunct w:val="0"/>
        <w:spacing w:line="579" w:lineRule="exact"/>
        <w:jc w:val="center"/>
        <w:outlineLvl w:val="0"/>
        <w:rPr>
          <w:rFonts w:hint="eastAsia" w:ascii="黑体" w:hAnsi="黑体" w:eastAsia="黑体" w:cs="黑体"/>
          <w:sz w:val="44"/>
          <w:szCs w:val="44"/>
        </w:rPr>
      </w:pPr>
    </w:p>
    <w:p>
      <w:pPr>
        <w:overflowPunct w:val="0"/>
        <w:spacing w:line="579" w:lineRule="exact"/>
        <w:jc w:val="center"/>
        <w:outlineLvl w:val="0"/>
        <w:rPr>
          <w:rFonts w:hint="eastAsia" w:ascii="黑体" w:hAnsi="黑体" w:eastAsia="黑体" w:cs="黑体"/>
          <w:sz w:val="44"/>
          <w:szCs w:val="44"/>
        </w:rPr>
        <w:sectPr>
          <w:footerReference r:id="rId4" w:type="default"/>
          <w:pgSz w:w="11906" w:h="16838"/>
          <w:pgMar w:top="2098" w:right="1474" w:bottom="1984" w:left="1588" w:header="851" w:footer="1474" w:gutter="0"/>
          <w:pgNumType w:fmt="upperRoman" w:start="1"/>
          <w:cols w:space="0" w:num="1"/>
          <w:rtlGutter w:val="0"/>
          <w:docGrid w:type="linesAndChars" w:linePitch="579" w:charSpace="3247"/>
        </w:sectPr>
      </w:pPr>
    </w:p>
    <w:p>
      <w:pPr>
        <w:overflowPunct w:val="0"/>
        <w:spacing w:line="579" w:lineRule="exact"/>
        <w:jc w:val="center"/>
        <w:outlineLvl w:val="0"/>
        <w:rPr>
          <w:rFonts w:hint="eastAsia" w:ascii="黑体" w:hAnsi="黑体" w:eastAsia="黑体" w:cs="黑体"/>
          <w:sz w:val="44"/>
          <w:szCs w:val="44"/>
        </w:rPr>
      </w:pPr>
      <w:bookmarkStart w:id="1" w:name="_Toc10667"/>
      <w:r>
        <w:rPr>
          <w:rFonts w:hint="eastAsia" w:ascii="黑体" w:hAnsi="黑体" w:eastAsia="黑体" w:cs="黑体"/>
          <w:sz w:val="44"/>
          <w:szCs w:val="44"/>
        </w:rPr>
        <w:t>摘  要</w:t>
      </w:r>
      <w:bookmarkEnd w:id="1"/>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79" w:lineRule="exact"/>
        <w:ind w:firstLine="630" w:firstLineChars="200"/>
        <w:textAlignment w:val="auto"/>
        <w:rPr>
          <w:rFonts w:hint="eastAsia" w:ascii="黑体" w:hAnsi="黑体" w:eastAsia="黑体" w:cs="黑体"/>
          <w:szCs w:val="30"/>
        </w:rPr>
      </w:pPr>
      <w:r>
        <w:rPr>
          <w:rFonts w:hint="eastAsia" w:ascii="黑体" w:hAnsi="黑体" w:eastAsia="黑体" w:cs="黑体"/>
          <w:szCs w:val="30"/>
        </w:rPr>
        <w:t>基本情况</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rPr>
          <w:rFonts w:hint="default" w:hAnsi="仿宋"/>
          <w:szCs w:val="30"/>
          <w:highlight w:val="none"/>
          <w:lang w:val="en-US" w:eastAsia="zh-CN"/>
        </w:rPr>
      </w:pPr>
      <w:r>
        <w:rPr>
          <w:rFonts w:hint="eastAsia" w:hAnsi="仿宋"/>
          <w:szCs w:val="30"/>
          <w:highlight w:val="none"/>
          <w:lang w:val="en-US" w:eastAsia="zh-CN"/>
        </w:rPr>
        <w:t>新冠疫情爆发以来，党中央、国务院高度重视，习近平总书记作出重要指示，要求把人民群众生命安全和身体健康放在第一位，全力做好疫情防控工作。为全面落实党中央、国务院和省委、省政府关于疫情防控的决策部署，支持打赢疫情防控攻坚战，昆明晋宁区卫生健康管理局严格按照昆明市工业和信息化局《关于做好应对秋冬季疫情防控医疗卫生物资储备工作的通知》（昆工信通〔2020〕87号）文件精神，以提高医疗机构诊疗水平，实现“外防输入、内防反弹”为目标，加强医疗机构防疫物资储备，提高医疗机构疫情防控能力，切实做好各医疗机构常态化精准防控工作，巩固防控成果，全面保障人民群众生命安全和身体健康。</w:t>
      </w:r>
    </w:p>
    <w:p>
      <w:pPr>
        <w:keepNext w:val="0"/>
        <w:keepLines w:val="0"/>
        <w:pageBreakBefore w:val="0"/>
        <w:widowControl w:val="0"/>
        <w:numPr>
          <w:ilvl w:val="0"/>
          <w:numId w:val="1"/>
        </w:numPr>
        <w:kinsoku/>
        <w:wordWrap/>
        <w:overflowPunct w:val="0"/>
        <w:topLinePunct w:val="0"/>
        <w:autoSpaceDE/>
        <w:autoSpaceDN/>
        <w:bidi w:val="0"/>
        <w:adjustRightInd w:val="0"/>
        <w:snapToGrid w:val="0"/>
        <w:spacing w:line="579" w:lineRule="exact"/>
        <w:ind w:firstLine="630" w:firstLineChars="200"/>
        <w:textAlignment w:val="auto"/>
        <w:rPr>
          <w:rFonts w:hint="eastAsia" w:ascii="黑体" w:hAnsi="黑体" w:eastAsia="黑体" w:cs="黑体"/>
          <w:szCs w:val="30"/>
        </w:rPr>
      </w:pPr>
      <w:r>
        <w:rPr>
          <w:rFonts w:hint="eastAsia" w:ascii="黑体" w:hAnsi="黑体" w:eastAsia="黑体" w:cs="黑体"/>
          <w:szCs w:val="30"/>
          <w:lang w:val="en-US" w:eastAsia="zh-CN"/>
        </w:rPr>
        <w:t>绩效评价结论</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rPr>
          <w:rFonts w:hint="eastAsia" w:hAnsi="仿宋"/>
          <w:szCs w:val="30"/>
          <w:highlight w:val="none"/>
          <w:lang w:val="en-US" w:eastAsia="zh-CN"/>
        </w:rPr>
        <w:sectPr>
          <w:footerReference r:id="rId5" w:type="default"/>
          <w:pgSz w:w="11906" w:h="16838"/>
          <w:pgMar w:top="2098" w:right="1474" w:bottom="1984" w:left="1588" w:header="851" w:footer="1474" w:gutter="0"/>
          <w:pgNumType w:fmt="upperRoman" w:start="1"/>
          <w:cols w:space="0" w:num="1"/>
          <w:rtlGutter w:val="0"/>
          <w:docGrid w:type="linesAndChars" w:linePitch="579" w:charSpace="3247"/>
        </w:sectPr>
      </w:pPr>
      <w:r>
        <w:rPr>
          <w:rFonts w:hint="eastAsia" w:hAnsi="仿宋"/>
          <w:szCs w:val="30"/>
          <w:highlight w:val="none"/>
          <w:lang w:val="en-US" w:eastAsia="zh-CN"/>
        </w:rPr>
        <w:t>昆明市晋宁区卫生健康局2021年秋冬季新冠疫情肺炎防控物资储备补助资金项目绩效再评价得分87.06分，评价等级为“良”。</w:t>
      </w:r>
    </w:p>
    <w:bookmarkEnd w:id="0"/>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lang w:val="en-US" w:eastAsia="zh-CN"/>
        </w:rPr>
      </w:pPr>
      <w:r>
        <w:rPr>
          <w:rFonts w:hint="eastAsia" w:ascii="方正小标宋简体" w:hAnsi="方正小标宋简体" w:eastAsia="方正小标宋简体" w:cs="方正小标宋简体"/>
          <w:spacing w:val="6"/>
          <w:kern w:val="0"/>
          <w:sz w:val="44"/>
          <w:szCs w:val="44"/>
        </w:rPr>
        <w:t>昆明市晋宁区</w:t>
      </w:r>
      <w:r>
        <w:rPr>
          <w:rFonts w:hint="eastAsia" w:ascii="方正小标宋简体" w:hAnsi="方正小标宋简体" w:eastAsia="方正小标宋简体" w:cs="方正小标宋简体"/>
          <w:spacing w:val="6"/>
          <w:kern w:val="0"/>
          <w:sz w:val="44"/>
          <w:szCs w:val="44"/>
          <w:lang w:val="en-US" w:eastAsia="zh-CN"/>
        </w:rPr>
        <w:t>卫生健康局2021年秋冬季</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lang w:val="en-US" w:eastAsia="zh-CN"/>
        </w:rPr>
      </w:pPr>
      <w:r>
        <w:rPr>
          <w:rFonts w:hint="eastAsia" w:ascii="方正小标宋简体" w:hAnsi="方正小标宋简体" w:eastAsia="方正小标宋简体" w:cs="方正小标宋简体"/>
          <w:spacing w:val="6"/>
          <w:kern w:val="0"/>
          <w:sz w:val="44"/>
          <w:szCs w:val="44"/>
          <w:lang w:val="en-US" w:eastAsia="zh-CN"/>
        </w:rPr>
        <w:t>新冠肺炎疫情防控物资储备补助</w:t>
      </w:r>
    </w:p>
    <w:p>
      <w:pPr>
        <w:keepNext w:val="0"/>
        <w:keepLines w:val="0"/>
        <w:pageBreakBefore w:val="0"/>
        <w:widowControl w:val="0"/>
        <w:kinsoku/>
        <w:wordWrap/>
        <w:overflowPunct/>
        <w:topLinePunct w:val="0"/>
        <w:autoSpaceDE/>
        <w:autoSpaceDN/>
        <w:bidi w:val="0"/>
        <w:adjustRightInd/>
        <w:snapToGrid/>
        <w:spacing w:line="900" w:lineRule="exact"/>
        <w:jc w:val="center"/>
        <w:textAlignment w:val="auto"/>
        <w:rPr>
          <w:rFonts w:hint="eastAsia" w:ascii="方正小标宋简体" w:hAnsi="方正小标宋简体" w:eastAsia="方正小标宋简体" w:cs="方正小标宋简体"/>
          <w:spacing w:val="6"/>
          <w:kern w:val="0"/>
          <w:sz w:val="44"/>
          <w:szCs w:val="44"/>
        </w:rPr>
      </w:pPr>
      <w:r>
        <w:rPr>
          <w:rFonts w:hint="eastAsia" w:ascii="方正小标宋简体" w:hAnsi="方正小标宋简体" w:eastAsia="方正小标宋简体" w:cs="方正小标宋简体"/>
          <w:spacing w:val="6"/>
          <w:kern w:val="0"/>
          <w:sz w:val="44"/>
          <w:szCs w:val="44"/>
          <w:lang w:val="en-US" w:eastAsia="zh-CN"/>
        </w:rPr>
        <w:t>资金</w:t>
      </w:r>
      <w:r>
        <w:rPr>
          <w:rFonts w:hint="eastAsia" w:ascii="方正小标宋简体" w:hAnsi="方正小标宋简体" w:eastAsia="方正小标宋简体" w:cs="方正小标宋简体"/>
          <w:spacing w:val="6"/>
          <w:kern w:val="0"/>
          <w:sz w:val="44"/>
          <w:szCs w:val="44"/>
        </w:rPr>
        <w:t>项目绩效</w:t>
      </w:r>
      <w:r>
        <w:rPr>
          <w:rFonts w:hint="eastAsia" w:ascii="方正小标宋简体" w:hAnsi="方正小标宋简体" w:eastAsia="方正小标宋简体" w:cs="方正小标宋简体"/>
          <w:spacing w:val="6"/>
          <w:kern w:val="0"/>
          <w:sz w:val="44"/>
          <w:szCs w:val="44"/>
          <w:lang w:val="en-US" w:eastAsia="zh-CN"/>
        </w:rPr>
        <w:t>重点</w:t>
      </w:r>
      <w:r>
        <w:rPr>
          <w:rFonts w:hint="eastAsia" w:ascii="方正小标宋简体" w:hAnsi="方正小标宋简体" w:eastAsia="方正小标宋简体" w:cs="方正小标宋简体"/>
          <w:spacing w:val="6"/>
          <w:kern w:val="0"/>
          <w:sz w:val="44"/>
          <w:szCs w:val="44"/>
        </w:rPr>
        <w:t>评价报告</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right"/>
        <w:textAlignment w:val="auto"/>
        <w:rPr>
          <w:rFonts w:hint="default"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大华核字[2022]200630号</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0"/>
        <w:rPr>
          <w:rFonts w:hint="eastAsia" w:ascii="黑体" w:hAnsi="黑体" w:eastAsia="黑体" w:cs="黑体"/>
          <w:szCs w:val="30"/>
        </w:rPr>
      </w:pPr>
      <w:bookmarkStart w:id="2" w:name="_Toc4096"/>
      <w:r>
        <w:rPr>
          <w:rFonts w:hint="eastAsia" w:ascii="黑体" w:hAnsi="黑体" w:eastAsia="黑体" w:cs="黑体"/>
          <w:szCs w:val="30"/>
        </w:rPr>
        <w:t>一、基本情况</w:t>
      </w:r>
      <w:bookmarkEnd w:id="2"/>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3" w:name="_Toc20372"/>
      <w:r>
        <w:rPr>
          <w:rFonts w:hint="eastAsia" w:ascii="楷体" w:hAnsi="楷体" w:eastAsia="楷体" w:cs="楷体"/>
          <w:szCs w:val="30"/>
          <w:lang w:val="en-US" w:eastAsia="zh-CN"/>
        </w:rPr>
        <w:t>（一）项目概况</w:t>
      </w:r>
      <w:bookmarkEnd w:id="3"/>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left"/>
        <w:textAlignment w:val="auto"/>
        <w:rPr>
          <w:rFonts w:hint="eastAsia" w:ascii="仿宋" w:hAnsi="仿宋" w:eastAsia="仿宋" w:cs="仿宋"/>
          <w:bCs/>
          <w:color w:val="auto"/>
          <w:spacing w:val="6"/>
          <w:sz w:val="30"/>
          <w:szCs w:val="30"/>
          <w:highlight w:val="none"/>
          <w:lang w:val="zh-CN" w:eastAsia="zh-CN"/>
        </w:rPr>
      </w:pPr>
      <w:r>
        <w:rPr>
          <w:rFonts w:hint="eastAsia" w:ascii="仿宋" w:hAnsi="仿宋" w:eastAsia="仿宋" w:cs="仿宋"/>
          <w:bCs/>
          <w:color w:val="auto"/>
          <w:spacing w:val="6"/>
          <w:sz w:val="30"/>
          <w:szCs w:val="30"/>
          <w:highlight w:val="none"/>
          <w:lang w:val="zh-CN" w:eastAsia="zh-CN"/>
        </w:rPr>
        <w:t>1.立项的背景及目的</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left"/>
        <w:textAlignment w:val="auto"/>
        <w:rPr>
          <w:rFonts w:hint="default"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zh-CN" w:eastAsia="zh-CN"/>
        </w:rPr>
        <w:t>新型冠状病毒肺炎疫情发生后，2020年1月20日，习近平就疫情防控工作作出批示，指出必须高度重视疫情，全力做好防控工作，要求各级党委和政府及有关部门把人民群众生命安全和身体健康放在第一位，采取切实有效措施，坚决遏制疫情蔓延势头。</w:t>
      </w:r>
      <w:r>
        <w:rPr>
          <w:rFonts w:hint="eastAsia" w:ascii="仿宋" w:hAnsi="仿宋" w:eastAsia="仿宋" w:cs="仿宋"/>
          <w:bCs/>
          <w:color w:val="auto"/>
          <w:spacing w:val="6"/>
          <w:sz w:val="30"/>
          <w:szCs w:val="30"/>
          <w:highlight w:val="none"/>
          <w:lang w:val="en-US" w:eastAsia="zh-CN"/>
        </w:rPr>
        <w:t>昆明晋宁区卫生健康管理局严格按照昆明市工业和信息化局《关于做好应对秋冬季疫情防控医疗卫生物资储备工作的通知》（昆工信通〔2020〕87号）文件精神，完善区内医疗机构基础设施配备、提高医疗机构诊疗水平，以实现“外防输入、内防反弹”为目标，加强医疗机构防疫物资储备，提高医疗机构疫情防控能力，切实做好各医疗机构常态化精准防控工作，巩固防控成果，全面保障人民群众生命安全和身体</w:t>
      </w:r>
      <w:r>
        <w:rPr>
          <w:rFonts w:hint="eastAsia" w:hAnsi="仿宋" w:cs="仿宋"/>
          <w:bCs/>
          <w:color w:val="auto"/>
          <w:spacing w:val="6"/>
          <w:sz w:val="30"/>
          <w:szCs w:val="30"/>
          <w:highlight w:val="none"/>
          <w:lang w:val="en-US" w:eastAsia="zh-CN"/>
        </w:rPr>
        <w:t>健康</w:t>
      </w:r>
      <w:r>
        <w:rPr>
          <w:rFonts w:hint="eastAsia" w:ascii="仿宋" w:hAnsi="仿宋" w:eastAsia="仿宋" w:cs="仿宋"/>
          <w:bCs/>
          <w:color w:val="auto"/>
          <w:spacing w:val="6"/>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left"/>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2.项目资金申请、资金来源及用途。</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left"/>
        <w:textAlignment w:val="auto"/>
        <w:rPr>
          <w:rFonts w:hint="default"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zh-CN" w:eastAsia="zh-CN"/>
        </w:rPr>
        <w:t>（</w:t>
      </w:r>
      <w:r>
        <w:rPr>
          <w:rFonts w:hint="eastAsia" w:ascii="仿宋" w:hAnsi="仿宋" w:eastAsia="仿宋" w:cs="仿宋"/>
          <w:bCs/>
          <w:color w:val="auto"/>
          <w:spacing w:val="6"/>
          <w:sz w:val="30"/>
          <w:szCs w:val="30"/>
          <w:highlight w:val="none"/>
          <w:lang w:val="en-US" w:eastAsia="zh-CN"/>
        </w:rPr>
        <w:t>1</w:t>
      </w:r>
      <w:r>
        <w:rPr>
          <w:rFonts w:hint="eastAsia" w:ascii="仿宋" w:hAnsi="仿宋" w:eastAsia="仿宋" w:cs="仿宋"/>
          <w:bCs/>
          <w:color w:val="auto"/>
          <w:spacing w:val="6"/>
          <w:sz w:val="30"/>
          <w:szCs w:val="30"/>
          <w:highlight w:val="none"/>
          <w:lang w:val="zh-CN" w:eastAsia="zh-CN"/>
        </w:rPr>
        <w:t>）</w:t>
      </w:r>
      <w:r>
        <w:rPr>
          <w:rFonts w:hint="eastAsia" w:ascii="仿宋" w:hAnsi="仿宋" w:eastAsia="仿宋" w:cs="仿宋"/>
          <w:bCs/>
          <w:color w:val="auto"/>
          <w:spacing w:val="6"/>
          <w:sz w:val="30"/>
          <w:szCs w:val="30"/>
          <w:highlight w:val="none"/>
          <w:lang w:val="en-US" w:eastAsia="zh-CN"/>
        </w:rPr>
        <w:t>项目资金申请流程</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left"/>
        <w:textAlignment w:val="auto"/>
        <w:rPr>
          <w:rFonts w:hint="eastAsia" w:ascii="仿宋" w:hAnsi="仿宋" w:eastAsia="仿宋" w:cs="仿宋"/>
          <w:bCs/>
          <w:color w:val="auto"/>
          <w:spacing w:val="6"/>
          <w:sz w:val="30"/>
          <w:szCs w:val="30"/>
          <w:highlight w:val="none"/>
          <w:lang w:val="zh-CN" w:eastAsia="zh-CN"/>
        </w:rPr>
      </w:pPr>
      <w:r>
        <w:rPr>
          <w:rFonts w:hint="eastAsia" w:ascii="仿宋" w:hAnsi="仿宋" w:eastAsia="仿宋" w:cs="仿宋"/>
          <w:bCs/>
          <w:color w:val="auto"/>
          <w:spacing w:val="6"/>
          <w:sz w:val="30"/>
          <w:szCs w:val="30"/>
          <w:highlight w:val="none"/>
          <w:lang w:val="en-US" w:eastAsia="zh-CN"/>
        </w:rPr>
        <w:t>昆明市晋宁区卫健局和各医疗卫生机构，疾控中心根据疫</w:t>
      </w:r>
      <w:r>
        <w:rPr>
          <w:rFonts w:hint="eastAsia" w:ascii="仿宋" w:hAnsi="仿宋" w:eastAsia="仿宋" w:cs="仿宋"/>
          <w:bCs/>
          <w:color w:val="auto"/>
          <w:spacing w:val="6"/>
          <w:sz w:val="30"/>
          <w:szCs w:val="30"/>
          <w:highlight w:val="none"/>
          <w:lang w:val="zh-CN" w:eastAsia="zh-CN"/>
        </w:rPr>
        <w:t>情防控工作需要，提出专项</w:t>
      </w:r>
      <w:r>
        <w:rPr>
          <w:rFonts w:hint="eastAsia" w:ascii="仿宋" w:hAnsi="仿宋" w:eastAsia="仿宋" w:cs="仿宋"/>
          <w:bCs/>
          <w:color w:val="auto"/>
          <w:spacing w:val="6"/>
          <w:sz w:val="30"/>
          <w:szCs w:val="30"/>
          <w:highlight w:val="none"/>
          <w:lang w:val="en-US" w:eastAsia="zh-CN"/>
        </w:rPr>
        <w:t>资金申请，并报送区财政局审核；</w:t>
      </w:r>
      <w:r>
        <w:rPr>
          <w:rFonts w:hint="eastAsia" w:ascii="仿宋" w:hAnsi="仿宋" w:eastAsia="仿宋" w:cs="仿宋"/>
          <w:bCs/>
          <w:color w:val="auto"/>
          <w:spacing w:val="6"/>
          <w:sz w:val="30"/>
          <w:szCs w:val="30"/>
          <w:highlight w:val="none"/>
          <w:lang w:val="zh-CN" w:eastAsia="zh-CN"/>
        </w:rPr>
        <w:t>区财政局将疫情防控经费申请情况统一审核汇总后，报送区委区政府审批；待区政府审核批准后，由区财政局按照相关流程拨付专项资金。未经批准不得擅自安排支出。</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zh-CN" w:eastAsia="zh-CN"/>
        </w:rPr>
      </w:pPr>
      <w:r>
        <w:rPr>
          <w:rFonts w:hint="eastAsia" w:ascii="仿宋" w:hAnsi="仿宋" w:eastAsia="仿宋" w:cs="仿宋"/>
          <w:bCs/>
          <w:color w:val="auto"/>
          <w:spacing w:val="6"/>
          <w:sz w:val="30"/>
          <w:szCs w:val="30"/>
          <w:highlight w:val="none"/>
          <w:lang w:val="zh-CN" w:eastAsia="zh-CN"/>
        </w:rPr>
        <w:t>（</w:t>
      </w:r>
      <w:r>
        <w:rPr>
          <w:rFonts w:hint="eastAsia" w:ascii="仿宋" w:hAnsi="仿宋" w:eastAsia="仿宋" w:cs="仿宋"/>
          <w:bCs/>
          <w:color w:val="auto"/>
          <w:spacing w:val="6"/>
          <w:sz w:val="30"/>
          <w:szCs w:val="30"/>
          <w:highlight w:val="none"/>
          <w:lang w:val="en-US" w:eastAsia="zh-CN"/>
        </w:rPr>
        <w:t>2</w:t>
      </w:r>
      <w:r>
        <w:rPr>
          <w:rFonts w:hint="eastAsia" w:ascii="仿宋" w:hAnsi="仿宋" w:eastAsia="仿宋" w:cs="仿宋"/>
          <w:bCs/>
          <w:color w:val="auto"/>
          <w:spacing w:val="6"/>
          <w:sz w:val="30"/>
          <w:szCs w:val="30"/>
          <w:highlight w:val="none"/>
          <w:lang w:val="zh-CN" w:eastAsia="zh-CN"/>
        </w:rPr>
        <w:t>）资金来源：2021年</w:t>
      </w:r>
      <w:r>
        <w:rPr>
          <w:rFonts w:hint="eastAsia" w:ascii="仿宋" w:hAnsi="仿宋" w:eastAsia="仿宋" w:cs="仿宋"/>
          <w:bCs/>
          <w:color w:val="auto"/>
          <w:spacing w:val="6"/>
          <w:sz w:val="30"/>
          <w:szCs w:val="30"/>
          <w:highlight w:val="none"/>
          <w:lang w:val="en-US" w:eastAsia="zh-CN"/>
        </w:rPr>
        <w:t>昆明市晋宁区卫</w:t>
      </w:r>
      <w:r>
        <w:rPr>
          <w:rFonts w:hint="eastAsia" w:hAnsi="仿宋" w:cs="仿宋"/>
          <w:bCs/>
          <w:color w:val="auto"/>
          <w:spacing w:val="6"/>
          <w:sz w:val="30"/>
          <w:szCs w:val="30"/>
          <w:highlight w:val="none"/>
          <w:lang w:val="en-US" w:eastAsia="zh-CN"/>
        </w:rPr>
        <w:t>生健康局</w:t>
      </w:r>
      <w:r>
        <w:rPr>
          <w:rFonts w:hint="eastAsia" w:ascii="仿宋" w:hAnsi="仿宋" w:eastAsia="仿宋" w:cs="仿宋"/>
          <w:bCs/>
          <w:color w:val="auto"/>
          <w:spacing w:val="6"/>
          <w:sz w:val="30"/>
          <w:szCs w:val="30"/>
          <w:highlight w:val="none"/>
          <w:lang w:val="en-US" w:eastAsia="zh-CN"/>
        </w:rPr>
        <w:t>秋冬季新冠疫情肺炎疫情防控物资储备</w:t>
      </w:r>
      <w:r>
        <w:rPr>
          <w:rFonts w:hint="eastAsia" w:hAnsi="仿宋" w:cs="仿宋"/>
          <w:bCs/>
          <w:color w:val="auto"/>
          <w:spacing w:val="6"/>
          <w:sz w:val="30"/>
          <w:szCs w:val="30"/>
          <w:highlight w:val="none"/>
          <w:lang w:val="en-US" w:eastAsia="zh-CN"/>
        </w:rPr>
        <w:t>补助</w:t>
      </w:r>
      <w:r>
        <w:rPr>
          <w:rFonts w:hint="eastAsia" w:ascii="仿宋" w:hAnsi="仿宋" w:eastAsia="仿宋" w:cs="仿宋"/>
          <w:bCs/>
          <w:color w:val="auto"/>
          <w:spacing w:val="6"/>
          <w:sz w:val="30"/>
          <w:szCs w:val="30"/>
          <w:highlight w:val="none"/>
          <w:lang w:val="en-US" w:eastAsia="zh-CN"/>
        </w:rPr>
        <w:t>资金为998.787</w:t>
      </w:r>
      <w:r>
        <w:rPr>
          <w:rFonts w:hint="eastAsia" w:ascii="仿宋" w:hAnsi="仿宋" w:eastAsia="仿宋" w:cs="仿宋"/>
          <w:bCs/>
          <w:color w:val="auto"/>
          <w:spacing w:val="6"/>
          <w:sz w:val="30"/>
          <w:szCs w:val="30"/>
          <w:highlight w:val="none"/>
          <w:lang w:val="zh-CN" w:eastAsia="zh-CN"/>
        </w:rPr>
        <w:t>万元，</w:t>
      </w:r>
      <w:r>
        <w:rPr>
          <w:rFonts w:hint="eastAsia" w:ascii="仿宋" w:hAnsi="仿宋" w:eastAsia="仿宋" w:cs="仿宋"/>
          <w:bCs/>
          <w:color w:val="auto"/>
          <w:spacing w:val="6"/>
          <w:sz w:val="30"/>
          <w:szCs w:val="30"/>
          <w:highlight w:val="none"/>
          <w:lang w:val="en-US" w:eastAsia="zh-CN"/>
        </w:rPr>
        <w:t>全部为昆明市晋宁区</w:t>
      </w:r>
      <w:r>
        <w:rPr>
          <w:rFonts w:hint="eastAsia" w:ascii="仿宋" w:hAnsi="仿宋" w:eastAsia="仿宋" w:cs="仿宋"/>
          <w:bCs/>
          <w:color w:val="auto"/>
          <w:spacing w:val="6"/>
          <w:sz w:val="30"/>
          <w:szCs w:val="30"/>
          <w:highlight w:val="none"/>
          <w:lang w:val="zh-CN" w:eastAsia="zh-CN"/>
        </w:rPr>
        <w:t>财政资金。</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default"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zh-CN" w:eastAsia="zh-CN"/>
        </w:rPr>
        <w:t>（</w:t>
      </w:r>
      <w:r>
        <w:rPr>
          <w:rFonts w:hint="eastAsia" w:ascii="仿宋" w:hAnsi="仿宋" w:eastAsia="仿宋" w:cs="仿宋"/>
          <w:bCs/>
          <w:color w:val="auto"/>
          <w:spacing w:val="6"/>
          <w:sz w:val="30"/>
          <w:szCs w:val="30"/>
          <w:highlight w:val="none"/>
          <w:lang w:val="en-US" w:eastAsia="zh-CN"/>
        </w:rPr>
        <w:t>3</w:t>
      </w:r>
      <w:r>
        <w:rPr>
          <w:rFonts w:hint="eastAsia" w:ascii="仿宋" w:hAnsi="仿宋" w:eastAsia="仿宋" w:cs="仿宋"/>
          <w:bCs/>
          <w:color w:val="auto"/>
          <w:spacing w:val="6"/>
          <w:sz w:val="30"/>
          <w:szCs w:val="30"/>
          <w:highlight w:val="none"/>
          <w:lang w:val="zh-CN" w:eastAsia="zh-CN"/>
        </w:rPr>
        <w:t>）</w:t>
      </w:r>
      <w:r>
        <w:rPr>
          <w:rFonts w:hint="eastAsia" w:ascii="仿宋" w:hAnsi="仿宋" w:eastAsia="仿宋" w:cs="仿宋"/>
          <w:bCs/>
          <w:color w:val="auto"/>
          <w:spacing w:val="6"/>
          <w:sz w:val="30"/>
          <w:szCs w:val="30"/>
          <w:highlight w:val="none"/>
          <w:lang w:val="en-US" w:eastAsia="zh-CN"/>
        </w:rPr>
        <w:t>资金用途：一是按疫情储备一批全区应急物资，预算资金为108.86万元，二是区级传染病能力建设设备设施采购建设，预算资金为525万元，三是医疗卫生机构防控物资储备，预算资金为364.927万元，预算总计998.787万元。</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zh-CN" w:eastAsia="zh-CN"/>
        </w:rPr>
      </w:pPr>
      <w:r>
        <w:rPr>
          <w:rFonts w:hint="eastAsia" w:ascii="仿宋" w:hAnsi="仿宋" w:eastAsia="仿宋" w:cs="仿宋"/>
          <w:bCs/>
          <w:color w:val="auto"/>
          <w:spacing w:val="6"/>
          <w:sz w:val="30"/>
          <w:szCs w:val="30"/>
          <w:highlight w:val="none"/>
          <w:lang w:val="zh-CN" w:eastAsia="zh-CN"/>
        </w:rPr>
        <w:t>3.</w:t>
      </w:r>
      <w:r>
        <w:rPr>
          <w:rFonts w:hint="eastAsia" w:ascii="仿宋" w:hAnsi="仿宋" w:eastAsia="仿宋" w:cs="仿宋"/>
          <w:bCs/>
          <w:color w:val="auto"/>
          <w:spacing w:val="6"/>
          <w:sz w:val="30"/>
          <w:szCs w:val="30"/>
          <w:highlight w:val="none"/>
          <w:lang w:val="en-US" w:eastAsia="zh-CN"/>
        </w:rPr>
        <w:t>项目</w:t>
      </w:r>
      <w:r>
        <w:rPr>
          <w:rFonts w:hint="eastAsia" w:ascii="仿宋" w:hAnsi="仿宋" w:eastAsia="仿宋" w:cs="仿宋"/>
          <w:bCs/>
          <w:color w:val="auto"/>
          <w:spacing w:val="6"/>
          <w:sz w:val="30"/>
          <w:szCs w:val="30"/>
          <w:highlight w:val="none"/>
          <w:lang w:val="zh-CN" w:eastAsia="zh-CN"/>
        </w:rPr>
        <w:t>资金</w:t>
      </w:r>
      <w:r>
        <w:rPr>
          <w:rFonts w:hint="eastAsia" w:ascii="仿宋" w:hAnsi="仿宋" w:eastAsia="仿宋" w:cs="仿宋"/>
          <w:bCs/>
          <w:color w:val="auto"/>
          <w:spacing w:val="6"/>
          <w:sz w:val="30"/>
          <w:szCs w:val="30"/>
          <w:highlight w:val="none"/>
          <w:lang w:val="en-US" w:eastAsia="zh-CN"/>
        </w:rPr>
        <w:t>投入</w:t>
      </w:r>
      <w:r>
        <w:rPr>
          <w:rFonts w:hint="eastAsia" w:ascii="仿宋" w:hAnsi="仿宋" w:eastAsia="仿宋" w:cs="仿宋"/>
          <w:bCs/>
          <w:color w:val="auto"/>
          <w:spacing w:val="6"/>
          <w:sz w:val="30"/>
          <w:szCs w:val="30"/>
          <w:highlight w:val="none"/>
          <w:lang w:val="zh-CN" w:eastAsia="zh-CN"/>
        </w:rPr>
        <w:t>及使用情况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default"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zh-CN" w:eastAsia="zh-CN"/>
        </w:rPr>
        <w:t>根据</w:t>
      </w:r>
      <w:r>
        <w:rPr>
          <w:rFonts w:hint="eastAsia" w:ascii="仿宋" w:hAnsi="仿宋" w:eastAsia="仿宋" w:cs="仿宋"/>
          <w:bCs/>
          <w:color w:val="auto"/>
          <w:spacing w:val="6"/>
          <w:sz w:val="30"/>
          <w:szCs w:val="30"/>
          <w:highlight w:val="none"/>
          <w:lang w:val="en-US" w:eastAsia="zh-CN"/>
        </w:rPr>
        <w:t>昆明市晋宁区人民政府文件</w:t>
      </w:r>
      <w:r>
        <w:rPr>
          <w:rFonts w:hint="eastAsia" w:ascii="仿宋" w:hAnsi="仿宋" w:eastAsia="仿宋" w:cs="仿宋"/>
          <w:bCs/>
          <w:color w:val="auto"/>
          <w:spacing w:val="6"/>
          <w:sz w:val="30"/>
          <w:szCs w:val="30"/>
          <w:highlight w:val="none"/>
          <w:lang w:val="zh-CN" w:eastAsia="zh-CN"/>
        </w:rPr>
        <w:t>《关于</w:t>
      </w:r>
      <w:r>
        <w:rPr>
          <w:rFonts w:hint="eastAsia" w:ascii="仿宋" w:hAnsi="仿宋" w:eastAsia="仿宋" w:cs="仿宋"/>
          <w:bCs/>
          <w:color w:val="auto"/>
          <w:spacing w:val="6"/>
          <w:sz w:val="30"/>
          <w:szCs w:val="30"/>
          <w:highlight w:val="none"/>
          <w:lang w:val="en-US" w:eastAsia="zh-CN"/>
        </w:rPr>
        <w:t>安排秋冬季</w:t>
      </w:r>
      <w:r>
        <w:rPr>
          <w:rFonts w:hint="eastAsia" w:ascii="仿宋" w:hAnsi="仿宋" w:eastAsia="仿宋" w:cs="仿宋"/>
          <w:bCs/>
          <w:color w:val="auto"/>
          <w:spacing w:val="6"/>
          <w:sz w:val="30"/>
          <w:szCs w:val="30"/>
          <w:highlight w:val="none"/>
          <w:lang w:val="zh-CN" w:eastAsia="zh-CN"/>
        </w:rPr>
        <w:t>新冠肺炎疫情防控</w:t>
      </w:r>
      <w:r>
        <w:rPr>
          <w:rFonts w:hint="eastAsia" w:ascii="仿宋" w:hAnsi="仿宋" w:eastAsia="仿宋" w:cs="仿宋"/>
          <w:bCs/>
          <w:color w:val="auto"/>
          <w:spacing w:val="6"/>
          <w:sz w:val="30"/>
          <w:szCs w:val="30"/>
          <w:highlight w:val="none"/>
          <w:lang w:val="en-US" w:eastAsia="zh-CN"/>
        </w:rPr>
        <w:t>物资储备所需资金的批复</w:t>
      </w:r>
      <w:r>
        <w:rPr>
          <w:rFonts w:hint="eastAsia" w:ascii="仿宋" w:hAnsi="仿宋" w:eastAsia="仿宋" w:cs="仿宋"/>
          <w:bCs/>
          <w:color w:val="auto"/>
          <w:spacing w:val="6"/>
          <w:sz w:val="30"/>
          <w:szCs w:val="30"/>
          <w:highlight w:val="none"/>
          <w:lang w:val="zh-CN" w:eastAsia="zh-CN"/>
        </w:rPr>
        <w:t>》（</w:t>
      </w:r>
      <w:r>
        <w:rPr>
          <w:rFonts w:hint="eastAsia" w:ascii="仿宋" w:hAnsi="仿宋" w:eastAsia="仿宋" w:cs="仿宋"/>
          <w:bCs/>
          <w:color w:val="auto"/>
          <w:spacing w:val="6"/>
          <w:sz w:val="30"/>
          <w:szCs w:val="30"/>
          <w:highlight w:val="none"/>
          <w:lang w:val="en-US" w:eastAsia="zh-CN"/>
        </w:rPr>
        <w:t>晋政复</w:t>
      </w:r>
      <w:r>
        <w:rPr>
          <w:rFonts w:hint="eastAsia" w:ascii="仿宋" w:hAnsi="仿宋" w:eastAsia="仿宋" w:cs="仿宋"/>
          <w:bCs/>
          <w:color w:val="auto"/>
          <w:spacing w:val="6"/>
          <w:sz w:val="30"/>
          <w:szCs w:val="30"/>
          <w:highlight w:val="none"/>
          <w:lang w:val="zh-CN" w:eastAsia="zh-CN"/>
        </w:rPr>
        <w:t>〔2020〕</w:t>
      </w:r>
      <w:r>
        <w:rPr>
          <w:rFonts w:hint="eastAsia" w:ascii="仿宋" w:hAnsi="仿宋" w:eastAsia="仿宋" w:cs="仿宋"/>
          <w:bCs/>
          <w:color w:val="auto"/>
          <w:spacing w:val="6"/>
          <w:sz w:val="30"/>
          <w:szCs w:val="30"/>
          <w:highlight w:val="none"/>
          <w:lang w:val="en-US" w:eastAsia="zh-CN"/>
        </w:rPr>
        <w:t>531</w:t>
      </w:r>
      <w:r>
        <w:rPr>
          <w:rFonts w:hint="eastAsia" w:ascii="仿宋" w:hAnsi="仿宋" w:eastAsia="仿宋" w:cs="仿宋"/>
          <w:bCs/>
          <w:color w:val="auto"/>
          <w:spacing w:val="6"/>
          <w:sz w:val="30"/>
          <w:szCs w:val="30"/>
          <w:highlight w:val="none"/>
          <w:lang w:val="zh-CN" w:eastAsia="zh-CN"/>
        </w:rPr>
        <w:t>号）</w:t>
      </w:r>
      <w:r>
        <w:rPr>
          <w:rFonts w:hint="eastAsia" w:ascii="仿宋" w:hAnsi="仿宋" w:eastAsia="仿宋" w:cs="仿宋"/>
          <w:bCs/>
          <w:color w:val="auto"/>
          <w:spacing w:val="6"/>
          <w:sz w:val="30"/>
          <w:szCs w:val="30"/>
          <w:highlight w:val="none"/>
          <w:lang w:val="en-US" w:eastAsia="zh-CN"/>
        </w:rPr>
        <w:t>的</w:t>
      </w:r>
      <w:r>
        <w:rPr>
          <w:rFonts w:hint="eastAsia" w:ascii="仿宋" w:hAnsi="仿宋" w:eastAsia="仿宋" w:cs="仿宋"/>
          <w:bCs/>
          <w:color w:val="auto"/>
          <w:spacing w:val="6"/>
          <w:sz w:val="30"/>
          <w:szCs w:val="30"/>
          <w:highlight w:val="none"/>
          <w:lang w:val="zh-CN" w:eastAsia="zh-CN"/>
        </w:rPr>
        <w:t>相关规定，</w:t>
      </w:r>
      <w:r>
        <w:rPr>
          <w:rFonts w:hint="eastAsia" w:ascii="仿宋" w:hAnsi="仿宋" w:eastAsia="仿宋" w:cs="仿宋"/>
          <w:bCs/>
          <w:color w:val="auto"/>
          <w:spacing w:val="6"/>
          <w:sz w:val="30"/>
          <w:szCs w:val="30"/>
          <w:highlight w:val="none"/>
          <w:lang w:val="en-US" w:eastAsia="zh-CN"/>
        </w:rPr>
        <w:t>晋宁区财政局从</w:t>
      </w:r>
      <w:r>
        <w:rPr>
          <w:rFonts w:hint="eastAsia" w:ascii="仿宋" w:hAnsi="仿宋" w:eastAsia="仿宋" w:cs="仿宋"/>
          <w:bCs/>
          <w:color w:val="auto"/>
          <w:spacing w:val="6"/>
          <w:sz w:val="30"/>
          <w:szCs w:val="30"/>
          <w:highlight w:val="none"/>
          <w:lang w:val="zh-CN" w:eastAsia="zh-CN"/>
        </w:rPr>
        <w:t>新冠肺炎疫情防控</w:t>
      </w:r>
      <w:r>
        <w:rPr>
          <w:rFonts w:hint="eastAsia" w:ascii="仿宋" w:hAnsi="仿宋" w:eastAsia="仿宋" w:cs="仿宋"/>
          <w:bCs/>
          <w:color w:val="auto"/>
          <w:spacing w:val="6"/>
          <w:sz w:val="30"/>
          <w:szCs w:val="30"/>
          <w:highlight w:val="none"/>
          <w:lang w:val="en-US" w:eastAsia="zh-CN"/>
        </w:rPr>
        <w:t>物资贷款中安排998.787万元拨付给卫健局，用于晋宁区新冠肺炎疫情防控物资储备，并严格按照规定专款专用。</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_GB2312" w:hAnsi="仿宋_GB2312" w:eastAsia="仿宋_GB2312" w:cs="仿宋_GB2312"/>
          <w:sz w:val="32"/>
          <w:szCs w:val="32"/>
          <w:lang w:val="en-US" w:eastAsia="zh-CN"/>
        </w:rPr>
      </w:pPr>
      <w:r>
        <w:rPr>
          <w:rFonts w:hint="eastAsia" w:ascii="仿宋" w:hAnsi="仿宋" w:eastAsia="仿宋" w:cs="仿宋"/>
          <w:bCs/>
          <w:color w:val="auto"/>
          <w:spacing w:val="6"/>
          <w:sz w:val="30"/>
          <w:szCs w:val="30"/>
          <w:highlight w:val="none"/>
          <w:lang w:val="en-US" w:eastAsia="zh-CN"/>
        </w:rPr>
        <w:t>晋宁区</w:t>
      </w:r>
      <w:r>
        <w:rPr>
          <w:rFonts w:hint="eastAsia" w:ascii="仿宋" w:hAnsi="仿宋" w:eastAsia="仿宋" w:cs="仿宋"/>
          <w:bCs/>
          <w:color w:val="auto"/>
          <w:spacing w:val="6"/>
          <w:sz w:val="30"/>
          <w:szCs w:val="30"/>
          <w:highlight w:val="none"/>
          <w:lang w:val="zh-CN" w:eastAsia="zh-CN"/>
        </w:rPr>
        <w:t>实际投入新冠肺炎疫情防控</w:t>
      </w:r>
      <w:r>
        <w:rPr>
          <w:rFonts w:hint="eastAsia" w:ascii="仿宋" w:hAnsi="仿宋" w:eastAsia="仿宋" w:cs="仿宋"/>
          <w:bCs/>
          <w:color w:val="auto"/>
          <w:spacing w:val="6"/>
          <w:sz w:val="30"/>
          <w:szCs w:val="30"/>
          <w:highlight w:val="none"/>
          <w:lang w:val="en-US" w:eastAsia="zh-CN"/>
        </w:rPr>
        <w:t>物资储备资金为</w:t>
      </w:r>
      <w:r>
        <w:rPr>
          <w:rFonts w:hint="eastAsia" w:ascii="仿宋" w:hAnsi="仿宋" w:eastAsia="仿宋" w:cs="仿宋"/>
          <w:bCs/>
          <w:color w:val="auto"/>
          <w:spacing w:val="6"/>
          <w:sz w:val="30"/>
          <w:szCs w:val="30"/>
          <w:highlight w:val="none"/>
          <w:lang w:val="zh-CN" w:eastAsia="zh-CN"/>
        </w:rPr>
        <w:t>998.787万元，</w:t>
      </w:r>
      <w:r>
        <w:rPr>
          <w:rFonts w:hint="eastAsia" w:ascii="仿宋" w:hAnsi="仿宋" w:eastAsia="仿宋" w:cs="仿宋"/>
          <w:bCs/>
          <w:color w:val="auto"/>
          <w:spacing w:val="6"/>
          <w:sz w:val="30"/>
          <w:szCs w:val="30"/>
          <w:highlight w:val="none"/>
          <w:lang w:val="en-US" w:eastAsia="zh-CN"/>
        </w:rPr>
        <w:t>该笔专项资金由财政局拨付给卫健局，卫健局将该笔专项拨付给区医院、区二院、下属区妇幼健康服务中心中心、二街卫生院、夕阳彝族乡卫生院、双河彝族乡卫生院、化乐卫生院、昆阳社区卫生服务中心，实际拨付</w:t>
      </w:r>
      <w:r>
        <w:rPr>
          <w:rFonts w:hint="eastAsia" w:ascii="仿宋" w:hAnsi="仿宋" w:eastAsia="仿宋" w:cs="仿宋"/>
          <w:bCs/>
          <w:color w:val="auto"/>
          <w:spacing w:val="6"/>
          <w:sz w:val="30"/>
          <w:szCs w:val="30"/>
          <w:highlight w:val="none"/>
          <w:lang w:val="zh-CN" w:eastAsia="zh-CN"/>
        </w:rPr>
        <w:t>998.787</w:t>
      </w:r>
      <w:r>
        <w:rPr>
          <w:rFonts w:hint="eastAsia" w:ascii="仿宋" w:hAnsi="仿宋" w:eastAsia="仿宋" w:cs="仿宋"/>
          <w:bCs/>
          <w:color w:val="auto"/>
          <w:spacing w:val="6"/>
          <w:sz w:val="30"/>
          <w:szCs w:val="30"/>
          <w:highlight w:val="none"/>
          <w:lang w:val="en-US" w:eastAsia="zh-CN"/>
        </w:rPr>
        <w:t>万元。拨付明细如下：</w:t>
      </w:r>
    </w:p>
    <w:tbl>
      <w:tblPr>
        <w:tblStyle w:val="16"/>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7" w:type="dxa"/>
          <w:left w:w="57" w:type="dxa"/>
          <w:bottom w:w="57" w:type="dxa"/>
          <w:right w:w="57" w:type="dxa"/>
        </w:tblCellMar>
      </w:tblPr>
      <w:tblGrid>
        <w:gridCol w:w="5422"/>
        <w:gridCol w:w="342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272" w:hRule="atLeast"/>
          <w:tblHeader/>
        </w:trPr>
        <w:tc>
          <w:tcPr>
            <w:tcW w:w="5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拨款单位</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拨付金额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0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昆明市晋宁区二街卫生院</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54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昆明市晋宁区妇幼保健计划生育服务中心</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72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昆明市晋宁区双河彝族乡卫生院</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8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昆明市晋宁区夕阳彝族乡卫生院</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78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昆明市晋宁区化乐卫生院</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70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昆明市晋宁区昆阳社区卫生服务中心</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84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昆明市晋宁区人民医院</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2,070,750.00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0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昆明市晋宁区第二人民医院</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1,373,520.00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54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疾病预防控制中心</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4,263,600.00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270" w:hRule="atLeast"/>
        </w:trPr>
        <w:tc>
          <w:tcPr>
            <w:tcW w:w="5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合计</w:t>
            </w:r>
          </w:p>
        </w:tc>
        <w:tc>
          <w:tcPr>
            <w:tcW w:w="34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9,987,870.00</w:t>
            </w:r>
          </w:p>
        </w:tc>
      </w:tr>
    </w:tbl>
    <w:p>
      <w:pPr>
        <w:keepNext w:val="0"/>
        <w:keepLines w:val="0"/>
        <w:pageBreakBefore w:val="0"/>
        <w:kinsoku/>
        <w:wordWrap/>
        <w:bidi w:val="0"/>
        <w:adjustRightInd w:val="0"/>
        <w:snapToGrid w:val="0"/>
        <w:spacing w:line="579" w:lineRule="exact"/>
        <w:rPr>
          <w:rFonts w:hAnsi="仿宋"/>
          <w:color w:val="auto"/>
          <w:szCs w:val="30"/>
          <w:highlight w:val="none"/>
        </w:rPr>
      </w:pP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0"/>
        <w:rPr>
          <w:rFonts w:hint="eastAsia" w:ascii="黑体" w:hAnsi="黑体" w:eastAsia="黑体" w:cs="黑体"/>
          <w:szCs w:val="30"/>
        </w:rPr>
      </w:pPr>
      <w:bookmarkStart w:id="4" w:name="_Toc17681"/>
      <w:r>
        <w:rPr>
          <w:rFonts w:hint="eastAsia" w:ascii="黑体" w:hAnsi="黑体" w:eastAsia="黑体" w:cs="黑体"/>
          <w:szCs w:val="30"/>
        </w:rPr>
        <w:t>二、绩效评价工作开展情况</w:t>
      </w:r>
      <w:bookmarkEnd w:id="4"/>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5" w:name="_Toc25631"/>
      <w:r>
        <w:rPr>
          <w:rFonts w:hint="eastAsia" w:ascii="楷体" w:hAnsi="楷体" w:eastAsia="楷体" w:cs="楷体"/>
          <w:szCs w:val="30"/>
          <w:lang w:val="en-US" w:eastAsia="zh-CN"/>
        </w:rPr>
        <w:t>（一）绩效评价目的、对象和范围</w:t>
      </w:r>
      <w:bookmarkEnd w:id="5"/>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1.绩效评价目的</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财政支出绩效评价是运用客观的指标体系，对公共资源使用效率、效益进行综合分析和评价，促进政府职能转变，提高资源配置效率，推进政府管理科学化的重要抓手。绩效评价对于公共政策执行质量、效益、能力的提高等有一定的理论意义与实践价值。本次绩效评价受昆明市晋宁区财政局的委托，对昆明市晋宁区卫生健康局秋冬季新冠肺炎疫情防控物资储备补助资金专项经费项目的项目决策、项目管理、项目产出、项目效益，做出综合的评价，为政府科学决策和项目长效管理提供依据。</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通过本次绩效评价，有助于管理部门明确项目绩效目标，重视项目实施的规范性。并且总结经验教训，及时发现不足，对以后年度的计划安排和资金拨付以及工作开展，进行有益的探索和实践。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2.绩效评价的对象和范围</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本次绩效评价对象为昆明市晋宁区卫生健康局秋冬季新冠肺炎疫情防控物资储备补助资金的预算资金，评价范围为2021年昆明市晋宁区秋冬季新冠肺炎疫情防控物资储备补助资金专项经费项目的建设情况、专项资金使用情况，旨在为后续决策提供参考。</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6" w:name="_Toc83664572"/>
      <w:bookmarkStart w:id="7" w:name="_Toc84243563"/>
      <w:bookmarkStart w:id="8" w:name="_Toc29655"/>
      <w:bookmarkStart w:id="9" w:name="_Toc83888587"/>
      <w:bookmarkStart w:id="10" w:name="_Toc83886773"/>
      <w:bookmarkStart w:id="11" w:name="_Toc83892453"/>
      <w:bookmarkStart w:id="12" w:name="_Toc11677"/>
      <w:r>
        <w:rPr>
          <w:rFonts w:hint="eastAsia" w:ascii="楷体" w:hAnsi="楷体" w:eastAsia="楷体" w:cs="楷体"/>
          <w:szCs w:val="30"/>
          <w:lang w:val="en-US" w:eastAsia="zh-CN"/>
        </w:rPr>
        <w:t>（二）绩效评价原则、评价指标体系、评价方法、评价标准和评价抽样</w:t>
      </w:r>
      <w:bookmarkEnd w:id="6"/>
      <w:bookmarkEnd w:id="7"/>
      <w:bookmarkEnd w:id="8"/>
      <w:bookmarkEnd w:id="9"/>
      <w:bookmarkEnd w:id="10"/>
      <w:bookmarkEnd w:id="11"/>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1.绩效评价原则</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本次绩效评价遵循科学规范、公正公开、绩效相关的基本原则：</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（1）科学规范原则。绩效评价注重财政支出经济性、效率性和有效性，严格执行规定的程序，采用定量与定性分析相结合的方法。</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（2）公正公开原则。绩效评价客观公正，标准统一，资料可靠，依法公开并接受监督。</w:t>
      </w:r>
    </w:p>
    <w:p>
      <w:pPr>
        <w:keepNext w:val="0"/>
        <w:keepLines w:val="0"/>
        <w:pageBreakBefore w:val="0"/>
        <w:widowControl w:val="0"/>
        <w:kinsoku/>
        <w:wordWrap/>
        <w:overflowPunct/>
        <w:topLinePunct w:val="0"/>
        <w:autoSpaceDE/>
        <w:autoSpaceDN/>
        <w:bidi w:val="0"/>
        <w:adjustRightInd w:val="0"/>
        <w:snapToGrid/>
        <w:spacing w:line="579" w:lineRule="exact"/>
        <w:ind w:firstLine="630"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hAnsi="仿宋"/>
          <w:bCs/>
          <w:color w:val="auto"/>
          <w:szCs w:val="30"/>
          <w:highlight w:val="none"/>
        </w:rPr>
        <w:t>（</w:t>
      </w:r>
      <w:r>
        <w:rPr>
          <w:rFonts w:hint="eastAsia" w:ascii="仿宋" w:hAnsi="仿宋" w:eastAsia="仿宋" w:cs="仿宋"/>
          <w:bCs/>
          <w:color w:val="auto"/>
          <w:spacing w:val="6"/>
          <w:sz w:val="30"/>
          <w:szCs w:val="30"/>
          <w:highlight w:val="none"/>
          <w:lang w:val="en-US" w:eastAsia="zh-CN"/>
        </w:rPr>
        <w:t>3）绩效相关原则。绩效评价围绕绩效目标、针对具体支出及其产出绩效进行评价，评价结果清晰反映支出和产出绩效之间的对应关系。</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2.绩效评价体系</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（1）绩效评价指标</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根据项目相关性、重要性、可比性、经济性、系统性原则，结合财政支出项目绩效评价的相关要求设立相应的指标，并分配相应的权重（分值）。根据项目特点，本项目评价指标拟设置4个一级指标（决策、过程、产出、效果）；13个二级指标（项目立项、绩效目标、资金投入、资金管理、项目管理、数量指标、质量指标、时效指标、成本指标、</w:t>
      </w:r>
      <w:r>
        <w:rPr>
          <w:rFonts w:hint="eastAsia" w:hAnsi="仿宋" w:cs="仿宋"/>
          <w:bCs/>
          <w:color w:val="auto"/>
          <w:spacing w:val="6"/>
          <w:sz w:val="30"/>
          <w:szCs w:val="30"/>
          <w:highlight w:val="none"/>
          <w:lang w:val="en-US" w:eastAsia="zh-CN"/>
        </w:rPr>
        <w:t>经济效益、</w:t>
      </w:r>
      <w:r>
        <w:rPr>
          <w:rFonts w:hint="eastAsia" w:ascii="仿宋" w:hAnsi="仿宋" w:eastAsia="仿宋" w:cs="仿宋"/>
          <w:bCs/>
          <w:color w:val="auto"/>
          <w:spacing w:val="6"/>
          <w:sz w:val="30"/>
          <w:szCs w:val="30"/>
          <w:highlight w:val="none"/>
          <w:lang w:val="en-US" w:eastAsia="zh-CN"/>
        </w:rPr>
        <w:t>社会效益、可持续性影响、服务对象满意度指标）；2</w:t>
      </w:r>
      <w:r>
        <w:rPr>
          <w:rFonts w:hint="eastAsia" w:hAnsi="仿宋" w:cs="仿宋"/>
          <w:bCs/>
          <w:color w:val="auto"/>
          <w:spacing w:val="6"/>
          <w:sz w:val="30"/>
          <w:szCs w:val="30"/>
          <w:highlight w:val="none"/>
          <w:lang w:val="en-US" w:eastAsia="zh-CN"/>
        </w:rPr>
        <w:t>7</w:t>
      </w:r>
      <w:r>
        <w:rPr>
          <w:rFonts w:hint="eastAsia" w:ascii="仿宋" w:hAnsi="仿宋" w:eastAsia="仿宋" w:cs="仿宋"/>
          <w:bCs/>
          <w:color w:val="auto"/>
          <w:spacing w:val="6"/>
          <w:sz w:val="30"/>
          <w:szCs w:val="30"/>
          <w:highlight w:val="none"/>
          <w:lang w:val="en-US" w:eastAsia="zh-CN"/>
        </w:rPr>
        <w:t>个三级指标。</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具体内容详见“附件1：绩效评价指标体系及评分表”。</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（2）绩效评价指标分值权重</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Ansi="仿宋"/>
          <w:bCs/>
          <w:color w:val="auto"/>
          <w:spacing w:val="6"/>
          <w:szCs w:val="30"/>
          <w:highlight w:val="none"/>
        </w:rPr>
      </w:pPr>
      <w:r>
        <w:rPr>
          <w:rFonts w:hint="eastAsia" w:ascii="仿宋" w:hAnsi="仿宋" w:eastAsia="仿宋" w:cs="仿宋"/>
          <w:bCs/>
          <w:color w:val="auto"/>
          <w:spacing w:val="6"/>
          <w:sz w:val="30"/>
          <w:szCs w:val="30"/>
          <w:highlight w:val="none"/>
          <w:lang w:val="en-US" w:eastAsia="zh-CN"/>
        </w:rPr>
        <w:t>根据云南省财政厅关于印发《云南省项目支出绩效评价管理办法》的通知（云财绩〔2020〕11号）要求，通过研究项目的实施背景与政策目标，分析梳理前期调研和试点获取的相关数据和资料，查看行业专家论点和相关文献，综合判断各级评价指标对实现绩效目标的关键程度，确定各评价指标的分值权重。</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绩效评价指标体系从决策、过程、产出、效果四个方面进行构建，“决策”分值权重15分，“过程”分值权重20分，“产出”分值权重35分，“效益”分值权重30分。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本次评价采用百分制，各级指标依据其指标权重确定分值，最终得分由各级评价指标得分加总形成。</w:t>
      </w:r>
    </w:p>
    <w:p>
      <w:pPr>
        <w:keepNext w:val="0"/>
        <w:keepLines w:val="0"/>
        <w:pageBreakBefore w:val="0"/>
        <w:kinsoku/>
        <w:wordWrap/>
        <w:bidi w:val="0"/>
        <w:adjustRightInd w:val="0"/>
        <w:spacing w:line="579" w:lineRule="exact"/>
        <w:ind w:firstLine="630" w:firstLineChars="200"/>
        <w:rPr>
          <w:rFonts w:hAnsi="仿宋"/>
          <w:bCs/>
          <w:color w:val="auto"/>
          <w:szCs w:val="30"/>
          <w:highlight w:val="none"/>
        </w:rPr>
      </w:pPr>
      <w:r>
        <w:rPr>
          <w:rFonts w:hint="eastAsia" w:hAnsi="仿宋"/>
          <w:bCs/>
          <w:color w:val="auto"/>
          <w:szCs w:val="30"/>
          <w:highlight w:val="none"/>
        </w:rPr>
        <w:t>（3）指标解释</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根据云南省财政厅关于印发《云南省项目支出绩效评价管理办法》的通知（云财绩〔2020〕11号）要求，绩效评价指标从“决策、过程、产出、效果”四个方面，对项目执行效果及各项绩效目标的实现程度进行全面绩效评价。</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①“决策”指标由“项目立项、绩效目标、资金投入”3个二级指标构成，同时将3个二级指标细化为6个三级指标。主要考核项目立项依据充分性、立项规范性、绩效目标合理性、绩效目标合理性、绩效指标明确性、预算编制科学性、资金分配合理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②“过程”指标由“项目管理、财务管理”2个二级指标构成，同时将2个二级指标细化为8个三级指标。主要考核项目管理制度健全性、制度执行有效性、监督检查、档案管理，财政专项资金到位率、预算执行率、资金使用合规性、会计核算规范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③“产出”指标设置了“数量指标、质量指标、时效指标、成本指标、”4个二级指标。同时将4个二级指标分解为6个三级指标，主要考核昆明市晋宁区防控物资（疾控中心）、区级传染病能力建设设备设施、医疗卫生机构防控物资储备数量情况、储备的防疫物资质量情况、预算资金使用及时性、成本控制</w:t>
      </w:r>
      <w:r>
        <w:rPr>
          <w:rFonts w:hint="eastAsia" w:hAnsi="仿宋" w:cs="仿宋"/>
          <w:bCs/>
          <w:color w:val="auto"/>
          <w:spacing w:val="6"/>
          <w:sz w:val="30"/>
          <w:szCs w:val="30"/>
          <w:highlight w:val="none"/>
          <w:lang w:val="en-US" w:eastAsia="zh-CN"/>
        </w:rPr>
        <w:t>率</w:t>
      </w:r>
      <w:r>
        <w:rPr>
          <w:rFonts w:hint="eastAsia" w:ascii="仿宋" w:hAnsi="仿宋" w:eastAsia="仿宋" w:cs="仿宋"/>
          <w:bCs/>
          <w:color w:val="auto"/>
          <w:spacing w:val="6"/>
          <w:sz w:val="30"/>
          <w:szCs w:val="30"/>
          <w:highlight w:val="none"/>
          <w:lang w:val="en-US" w:eastAsia="zh-CN"/>
        </w:rPr>
        <w:t>等。</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④“效果”指标由“经济效益、社会效益、可持续性影响、满意度指标”4个二级指标构成，同时将4个二级指标细化为7个三级指标，主要考核项目实施产生的保障社会经济保障作用、核酸检测职能、流调溯源职能</w:t>
      </w:r>
      <w:r>
        <w:rPr>
          <w:rFonts w:hint="eastAsia" w:hAnsi="仿宋" w:cs="仿宋"/>
          <w:bCs/>
          <w:color w:val="auto"/>
          <w:spacing w:val="6"/>
          <w:sz w:val="30"/>
          <w:szCs w:val="30"/>
          <w:highlight w:val="none"/>
          <w:lang w:val="en-US" w:eastAsia="zh-CN"/>
        </w:rPr>
        <w:t>、</w:t>
      </w:r>
      <w:r>
        <w:rPr>
          <w:rFonts w:hint="eastAsia" w:ascii="仿宋" w:hAnsi="仿宋" w:eastAsia="仿宋" w:cs="仿宋"/>
          <w:bCs/>
          <w:color w:val="auto"/>
          <w:spacing w:val="6"/>
          <w:sz w:val="30"/>
          <w:szCs w:val="30"/>
          <w:highlight w:val="none"/>
          <w:lang w:val="en-US" w:eastAsia="zh-CN"/>
        </w:rPr>
        <w:t>医疗救助职能</w:t>
      </w:r>
      <w:r>
        <w:rPr>
          <w:rFonts w:hint="eastAsia" w:hAnsi="仿宋" w:cs="仿宋"/>
          <w:bCs/>
          <w:color w:val="auto"/>
          <w:spacing w:val="6"/>
          <w:sz w:val="30"/>
          <w:szCs w:val="30"/>
          <w:highlight w:val="none"/>
          <w:lang w:val="en-US" w:eastAsia="zh-CN"/>
        </w:rPr>
        <w:t>、防疫物资储备职能、</w:t>
      </w:r>
      <w:r>
        <w:rPr>
          <w:rFonts w:hint="eastAsia" w:ascii="仿宋" w:hAnsi="仿宋" w:eastAsia="仿宋" w:cs="仿宋"/>
          <w:bCs/>
          <w:color w:val="auto"/>
          <w:spacing w:val="6"/>
          <w:sz w:val="30"/>
          <w:szCs w:val="30"/>
          <w:highlight w:val="none"/>
          <w:lang w:val="en-US" w:eastAsia="zh-CN"/>
        </w:rPr>
        <w:t>项目的长期支撑性、社会群众和医疗服务人员满意度等。</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bookmarkStart w:id="13" w:name="_Toc84243566"/>
      <w:bookmarkStart w:id="14" w:name="_Toc84242639"/>
      <w:bookmarkStart w:id="15" w:name="_Toc83886776"/>
      <w:bookmarkStart w:id="16" w:name="_Toc83664576"/>
      <w:bookmarkStart w:id="17" w:name="_Toc83721333"/>
      <w:bookmarkStart w:id="18" w:name="_Toc83892456"/>
      <w:bookmarkStart w:id="19" w:name="_Toc84241854"/>
      <w:bookmarkStart w:id="20" w:name="_Toc84242052"/>
      <w:bookmarkStart w:id="21" w:name="_Toc83888521"/>
      <w:r>
        <w:rPr>
          <w:rFonts w:hint="eastAsia" w:ascii="仿宋" w:hAnsi="仿宋" w:eastAsia="仿宋" w:cs="仿宋"/>
          <w:bCs/>
          <w:color w:val="auto"/>
          <w:spacing w:val="6"/>
          <w:sz w:val="30"/>
          <w:szCs w:val="30"/>
          <w:highlight w:val="none"/>
          <w:lang w:val="en-US" w:eastAsia="zh-CN"/>
        </w:rPr>
        <w:t>3.绩效评价方法</w:t>
      </w:r>
      <w:bookmarkEnd w:id="13"/>
      <w:bookmarkEnd w:id="14"/>
      <w:bookmarkEnd w:id="15"/>
      <w:bookmarkEnd w:id="16"/>
      <w:bookmarkEnd w:id="17"/>
      <w:bookmarkEnd w:id="18"/>
      <w:bookmarkEnd w:id="19"/>
      <w:bookmarkEnd w:id="20"/>
      <w:bookmarkEnd w:id="21"/>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本次绩效评价采用定量与定性相结合、审阅评价相结合，对收集的相关基础资料、各种技术经济数据，在归集、整理、分析的基础上，运用资料审阅法、实地查勘法、分析比较法、公众问卷调查法等，系统、科学的反映拟评价项目综合绩效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bookmarkStart w:id="22" w:name="_Toc84241855"/>
      <w:bookmarkStart w:id="23" w:name="_Toc83888522"/>
      <w:bookmarkStart w:id="24" w:name="_Toc83721334"/>
      <w:bookmarkStart w:id="25" w:name="_Toc84243567"/>
      <w:bookmarkStart w:id="26" w:name="_Toc83664577"/>
      <w:bookmarkStart w:id="27" w:name="_Toc83892457"/>
      <w:bookmarkStart w:id="28" w:name="_Toc83886777"/>
      <w:bookmarkStart w:id="29" w:name="_Toc84242640"/>
      <w:bookmarkStart w:id="30" w:name="_Toc84242053"/>
      <w:r>
        <w:rPr>
          <w:rFonts w:hint="eastAsia" w:ascii="仿宋" w:hAnsi="仿宋" w:eastAsia="仿宋" w:cs="仿宋"/>
          <w:bCs/>
          <w:color w:val="auto"/>
          <w:spacing w:val="6"/>
          <w:sz w:val="30"/>
          <w:szCs w:val="30"/>
          <w:highlight w:val="none"/>
          <w:lang w:val="en-US" w:eastAsia="zh-CN"/>
        </w:rPr>
        <w:t>4.评价标准</w:t>
      </w:r>
      <w:bookmarkEnd w:id="22"/>
      <w:bookmarkEnd w:id="23"/>
      <w:bookmarkEnd w:id="24"/>
      <w:bookmarkEnd w:id="25"/>
      <w:bookmarkEnd w:id="26"/>
      <w:bookmarkEnd w:id="27"/>
      <w:bookmarkEnd w:id="28"/>
      <w:bookmarkEnd w:id="29"/>
      <w:bookmarkEnd w:id="30"/>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本次评价采用百分制，各级指标依据其指标权重确定分值，最终得分由各级评价指标得分加总形成。根据最终得分将评价标准分为四个等级：优（得分≥90分）；良（80分≤得分＜90分）；中（60≤得分＜80分）；差（得分＜60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bookmarkStart w:id="31" w:name="_Toc83886778"/>
      <w:bookmarkStart w:id="32" w:name="_Toc84242641"/>
      <w:bookmarkStart w:id="33" w:name="_Toc83892458"/>
      <w:bookmarkStart w:id="34" w:name="_Toc84243568"/>
      <w:bookmarkStart w:id="35" w:name="_Toc83664578"/>
      <w:bookmarkStart w:id="36" w:name="_Toc84241856"/>
      <w:bookmarkStart w:id="37" w:name="_Toc83721335"/>
      <w:bookmarkStart w:id="38" w:name="_Toc83888523"/>
      <w:bookmarkStart w:id="39" w:name="_Toc84242054"/>
      <w:r>
        <w:rPr>
          <w:rFonts w:hint="eastAsia" w:ascii="仿宋" w:hAnsi="仿宋" w:eastAsia="仿宋" w:cs="仿宋"/>
          <w:bCs/>
          <w:color w:val="auto"/>
          <w:spacing w:val="6"/>
          <w:sz w:val="30"/>
          <w:szCs w:val="30"/>
          <w:highlight w:val="none"/>
          <w:lang w:val="en-US" w:eastAsia="zh-CN"/>
        </w:rPr>
        <w:t>5.实地评价抽样</w:t>
      </w:r>
      <w:bookmarkEnd w:id="31"/>
      <w:bookmarkEnd w:id="32"/>
      <w:bookmarkEnd w:id="33"/>
      <w:bookmarkEnd w:id="34"/>
      <w:bookmarkEnd w:id="35"/>
      <w:bookmarkEnd w:id="36"/>
      <w:bookmarkEnd w:id="37"/>
      <w:bookmarkEnd w:id="38"/>
      <w:bookmarkEnd w:id="39"/>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该项目选择从9家拨付单位中抽取6家来实地评价方式，抽查覆盖率为66.67%，抽查信息如下表：</w:t>
      </w:r>
    </w:p>
    <w:tbl>
      <w:tblPr>
        <w:tblStyle w:val="16"/>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7" w:type="dxa"/>
          <w:left w:w="57" w:type="dxa"/>
          <w:bottom w:w="57" w:type="dxa"/>
          <w:right w:w="57" w:type="dxa"/>
        </w:tblCellMar>
      </w:tblPr>
      <w:tblGrid>
        <w:gridCol w:w="4460"/>
        <w:gridCol w:w="438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640" w:hRule="atLeast"/>
          <w:tblHeader/>
        </w:trPr>
        <w:tc>
          <w:tcPr>
            <w:tcW w:w="44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拨付单位</w:t>
            </w: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拨款金额</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40" w:hRule="atLeast"/>
        </w:trPr>
        <w:tc>
          <w:tcPr>
            <w:tcW w:w="44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昆明市晋宁区二街卫生院</w:t>
            </w: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40" w:hRule="atLeast"/>
        </w:trPr>
        <w:tc>
          <w:tcPr>
            <w:tcW w:w="44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昆明市晋宁区妇幼保健计划生育服务中心</w:t>
            </w: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40" w:hRule="atLeast"/>
        </w:trPr>
        <w:tc>
          <w:tcPr>
            <w:tcW w:w="44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昆明市晋宁区化乐卫生院</w:t>
            </w: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40" w:hRule="atLeast"/>
        </w:trPr>
        <w:tc>
          <w:tcPr>
            <w:tcW w:w="44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昆明市晋宁区昆阳社区卫生服务中心</w:t>
            </w: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380,000.00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40" w:hRule="atLeast"/>
        </w:trPr>
        <w:tc>
          <w:tcPr>
            <w:tcW w:w="44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昆明市晋宁区人民医院</w:t>
            </w: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2,070,750.00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40" w:hRule="atLeast"/>
        </w:trPr>
        <w:tc>
          <w:tcPr>
            <w:tcW w:w="446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bidi w:val="0"/>
              <w:spacing w:line="240" w:lineRule="auto"/>
              <w:jc w:val="left"/>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疾病预防控制中心</w:t>
            </w:r>
          </w:p>
        </w:tc>
        <w:tc>
          <w:tcPr>
            <w:tcW w:w="438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4,263,600.00</w:t>
            </w:r>
          </w:p>
        </w:tc>
      </w:tr>
      <w:bookmarkEnd w:id="12"/>
    </w:tbl>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40" w:name="_Toc83886779"/>
      <w:bookmarkStart w:id="41" w:name="_Toc83664579"/>
      <w:bookmarkStart w:id="42" w:name="_Toc83892459"/>
      <w:bookmarkStart w:id="43" w:name="_Toc83888588"/>
      <w:bookmarkStart w:id="44" w:name="_Toc31669"/>
      <w:bookmarkStart w:id="45" w:name="_Toc84243569"/>
      <w:r>
        <w:rPr>
          <w:rFonts w:hint="eastAsia" w:ascii="楷体" w:hAnsi="楷体" w:eastAsia="楷体" w:cs="楷体"/>
          <w:szCs w:val="30"/>
          <w:lang w:val="en-US" w:eastAsia="zh-CN"/>
        </w:rPr>
        <w:t>（三）绩效评价工作过程</w:t>
      </w:r>
      <w:bookmarkEnd w:id="40"/>
      <w:bookmarkEnd w:id="41"/>
      <w:bookmarkEnd w:id="42"/>
      <w:bookmarkEnd w:id="43"/>
      <w:bookmarkEnd w:id="44"/>
      <w:bookmarkEnd w:id="45"/>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绩效评价小组严格按照评价工作方案中确定的评价思路，通过研读项目相关文件资料、填报基础数据采集表、问卷调查、访谈等方法收集项目相关数据。具体实施过程如下：</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1.数据填报和采集。本次绩效评价数据包括定性和定量两种数据，定性数据主要通过实地考察、面对面访谈、问卷调研等社会调查的方式来采集。定量数据的采集主要通过被评价单位上报数据、服务绩效考核数据和实地复核数据相结合的方式，形成数据采集两条线，有效保证数据的真实性和可靠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2.社会调查。本次问卷调查向社会公众共发放458份，有效回收458份，有效回收率100%，其中有效问卷458份。综合满意度为84.39%；根据问卷调查结果，项目组撰写了社会调查问卷分析报告，详见附件二。</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3.数据分析和撰写报告。项目组根据绩效评价的原理和规范，对采集的数据进行甄别、分析和评分，并提炼结论撰写报告，在规定时间内上报委托方，由委托方对报告进行评审。</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0"/>
        <w:rPr>
          <w:rFonts w:hint="eastAsia" w:ascii="黑体" w:hAnsi="黑体" w:eastAsia="黑体" w:cs="黑体"/>
          <w:szCs w:val="30"/>
        </w:rPr>
      </w:pPr>
      <w:bookmarkStart w:id="46" w:name="_Toc1532"/>
      <w:r>
        <w:rPr>
          <w:rFonts w:hint="eastAsia" w:ascii="黑体" w:hAnsi="黑体" w:eastAsia="黑体" w:cs="黑体"/>
          <w:szCs w:val="30"/>
        </w:rPr>
        <w:t>三、绩效评价结论</w:t>
      </w:r>
      <w:bookmarkEnd w:id="46"/>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47" w:name="_Toc27828"/>
      <w:r>
        <w:rPr>
          <w:rFonts w:hint="eastAsia" w:ascii="楷体" w:hAnsi="楷体" w:eastAsia="楷体" w:cs="楷体"/>
          <w:szCs w:val="30"/>
          <w:lang w:val="en-US" w:eastAsia="zh-CN"/>
        </w:rPr>
        <w:t>（一）绩效评价综合结论</w:t>
      </w:r>
      <w:bookmarkEnd w:id="47"/>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bookmarkStart w:id="48" w:name="_Hlk525314439"/>
      <w:r>
        <w:rPr>
          <w:rFonts w:hint="eastAsia" w:ascii="仿宋" w:hAnsi="仿宋" w:eastAsia="仿宋" w:cs="仿宋"/>
          <w:bCs/>
          <w:color w:val="auto"/>
          <w:spacing w:val="6"/>
          <w:sz w:val="30"/>
          <w:szCs w:val="30"/>
          <w:highlight w:val="none"/>
          <w:lang w:val="en-US" w:eastAsia="zh-CN"/>
        </w:rPr>
        <w:t>本次对晋宁区秋冬季新冠肺炎疫情防控物资储备补助资金项目进行绩效评价，项目总体上立项规范。</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项目预算资金全年共计998.787万元，预算资金全部补助到位，资金到位率为100%；实际支出项目资金为987.787万元，资金使用比较规范。各补助拨付单位业务管理制度和财务管理制度比较健全，管理落实比较到位，绩效考核工作和全过程绩效管理有待加强，相关档案数据应及时统计归档。</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项目产出数量基本与项目资金支出基本相符。项目取得效益显著：项目实施有效保证人民群众身体健康和生命安全，为社会经济稳定运行提供健康可靠的环境；各单位分工协作、精准服务，保证疫情防控工作有序顺利的开展，有效维护社会稳定；项目实施为人民群众筑牢了健康防线，增强了群众获得感、幸福感、安全感，群众满意度高；项目资金保障到位、制度建设完善、防疫物资储备充足，可持续影响深远。但项目实施过程中存在着预算绩效管理工作不到位、成本效益分析工作不及时等问题。</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晋宁区秋冬季新冠肺炎疫情防控物资储备补助资金项目综合得分为87.06分，该项目总体评价等级为“良”，一级指标具体得分情况详见下表：</w:t>
      </w:r>
    </w:p>
    <w:p>
      <w:pPr>
        <w:keepNext w:val="0"/>
        <w:keepLines w:val="0"/>
        <w:pageBreakBefore w:val="0"/>
        <w:kinsoku/>
        <w:wordWrap/>
        <w:bidi w:val="0"/>
        <w:spacing w:line="579" w:lineRule="exact"/>
        <w:jc w:val="center"/>
        <w:rPr>
          <w:rFonts w:ascii="黑体" w:hAnsi="黑体" w:eastAsia="黑体" w:cs="宋体"/>
          <w:bCs/>
          <w:color w:val="auto"/>
          <w:sz w:val="24"/>
          <w:szCs w:val="24"/>
          <w:highlight w:val="none"/>
        </w:rPr>
      </w:pPr>
      <w:r>
        <w:rPr>
          <w:rFonts w:hint="eastAsia" w:ascii="黑体" w:hAnsi="黑体" w:eastAsia="黑体" w:cs="宋体"/>
          <w:bCs/>
          <w:color w:val="auto"/>
          <w:sz w:val="24"/>
          <w:szCs w:val="24"/>
          <w:highlight w:val="none"/>
        </w:rPr>
        <w:t>表</w:t>
      </w:r>
      <w:r>
        <w:rPr>
          <w:rFonts w:ascii="黑体" w:hAnsi="黑体" w:eastAsia="黑体" w:cs="宋体"/>
          <w:bCs/>
          <w:color w:val="auto"/>
          <w:sz w:val="24"/>
          <w:szCs w:val="24"/>
          <w:highlight w:val="none"/>
        </w:rPr>
        <w:t>1</w:t>
      </w:r>
      <w:r>
        <w:rPr>
          <w:rFonts w:hint="eastAsia" w:ascii="黑体" w:hAnsi="黑体" w:eastAsia="黑体" w:cs="宋体"/>
          <w:bCs/>
          <w:color w:val="auto"/>
          <w:sz w:val="24"/>
          <w:szCs w:val="24"/>
          <w:highlight w:val="none"/>
        </w:rPr>
        <w:t>：绩效评价得分情况表</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2211"/>
        <w:gridCol w:w="2211"/>
        <w:gridCol w:w="2211"/>
        <w:gridCol w:w="22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08" w:hRule="atLeast"/>
          <w:tblHeader/>
          <w:jc w:val="center"/>
        </w:trPr>
        <w:tc>
          <w:tcPr>
            <w:tcW w:w="2211"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sz w:val="18"/>
                <w:szCs w:val="18"/>
                <w:highlight w:val="none"/>
              </w:rPr>
            </w:pPr>
            <w:r>
              <w:rPr>
                <w:rFonts w:hint="eastAsia" w:ascii="仿宋" w:hAnsi="仿宋" w:eastAsia="仿宋" w:cs="仿宋"/>
                <w:b/>
                <w:bCs/>
                <w:color w:val="auto"/>
                <w:spacing w:val="6"/>
                <w:sz w:val="18"/>
                <w:szCs w:val="18"/>
                <w:highlight w:val="none"/>
              </w:rPr>
              <w:t>一级指标</w:t>
            </w:r>
          </w:p>
        </w:tc>
        <w:tc>
          <w:tcPr>
            <w:tcW w:w="2211"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sz w:val="18"/>
                <w:szCs w:val="18"/>
                <w:highlight w:val="none"/>
              </w:rPr>
            </w:pPr>
            <w:r>
              <w:rPr>
                <w:rFonts w:hint="eastAsia" w:ascii="仿宋" w:hAnsi="仿宋" w:eastAsia="仿宋" w:cs="仿宋"/>
                <w:b/>
                <w:bCs/>
                <w:color w:val="auto"/>
                <w:spacing w:val="6"/>
                <w:sz w:val="18"/>
                <w:szCs w:val="18"/>
                <w:highlight w:val="none"/>
              </w:rPr>
              <w:t>指标分值</w:t>
            </w:r>
          </w:p>
        </w:tc>
        <w:tc>
          <w:tcPr>
            <w:tcW w:w="2211"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sz w:val="18"/>
                <w:szCs w:val="18"/>
                <w:highlight w:val="none"/>
              </w:rPr>
            </w:pPr>
            <w:r>
              <w:rPr>
                <w:rFonts w:hint="eastAsia" w:ascii="仿宋" w:hAnsi="仿宋" w:eastAsia="仿宋" w:cs="仿宋"/>
                <w:b/>
                <w:bCs/>
                <w:color w:val="auto"/>
                <w:spacing w:val="6"/>
                <w:sz w:val="18"/>
                <w:szCs w:val="18"/>
                <w:highlight w:val="none"/>
              </w:rPr>
              <w:t>评价得分</w:t>
            </w:r>
          </w:p>
        </w:tc>
        <w:tc>
          <w:tcPr>
            <w:tcW w:w="2211" w:type="dxa"/>
            <w:tcBorders>
              <w:top w:val="single" w:color="auto" w:sz="4" w:space="0"/>
            </w:tcBorders>
            <w:vAlign w:val="center"/>
          </w:tcPr>
          <w:p>
            <w:pPr>
              <w:keepNext w:val="0"/>
              <w:keepLines w:val="0"/>
              <w:pageBreakBefore w:val="0"/>
              <w:kinsoku/>
              <w:wordWrap/>
              <w:bidi w:val="0"/>
              <w:snapToGrid w:val="0"/>
              <w:spacing w:line="240" w:lineRule="auto"/>
              <w:jc w:val="center"/>
              <w:rPr>
                <w:rFonts w:hint="eastAsia" w:ascii="仿宋" w:hAnsi="仿宋" w:eastAsia="仿宋" w:cs="仿宋"/>
                <w:b/>
                <w:bCs/>
                <w:color w:val="auto"/>
                <w:spacing w:val="6"/>
                <w:sz w:val="18"/>
                <w:szCs w:val="18"/>
                <w:highlight w:val="none"/>
              </w:rPr>
            </w:pPr>
            <w:r>
              <w:rPr>
                <w:rFonts w:hint="eastAsia" w:ascii="仿宋" w:hAnsi="仿宋" w:eastAsia="仿宋" w:cs="仿宋"/>
                <w:b/>
                <w:bCs/>
                <w:color w:val="auto"/>
                <w:spacing w:val="6"/>
                <w:sz w:val="18"/>
                <w:szCs w:val="18"/>
                <w:highlight w:val="none"/>
              </w:rPr>
              <w:t>得分率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26" w:hRule="atLeast"/>
          <w:jc w:val="center"/>
        </w:trPr>
        <w:tc>
          <w:tcPr>
            <w:tcW w:w="2211" w:type="dxa"/>
            <w:vAlign w:val="center"/>
          </w:tcPr>
          <w:p>
            <w:pPr>
              <w:keepNext w:val="0"/>
              <w:keepLines w:val="0"/>
              <w:pageBreakBefore w:val="0"/>
              <w:kinsoku/>
              <w:wordWrap/>
              <w:bidi w:val="0"/>
              <w:snapToGrid w:val="0"/>
              <w:spacing w:line="240" w:lineRule="auto"/>
              <w:jc w:val="left"/>
              <w:rPr>
                <w:rFonts w:hint="eastAsia" w:ascii="仿宋" w:hAnsi="仿宋" w:eastAsia="仿宋" w:cs="仿宋"/>
                <w:bCs/>
                <w:color w:val="auto"/>
                <w:spacing w:val="6"/>
                <w:sz w:val="18"/>
                <w:szCs w:val="18"/>
                <w:highlight w:val="none"/>
              </w:rPr>
            </w:pPr>
            <w:r>
              <w:rPr>
                <w:rFonts w:hint="eastAsia" w:ascii="仿宋" w:hAnsi="仿宋" w:eastAsia="仿宋" w:cs="仿宋"/>
                <w:bCs/>
                <w:color w:val="auto"/>
                <w:spacing w:val="6"/>
                <w:sz w:val="18"/>
                <w:szCs w:val="18"/>
                <w:highlight w:val="none"/>
              </w:rPr>
              <w:t>决策</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bCs/>
                <w:color w:val="auto"/>
                <w:spacing w:val="6"/>
                <w:sz w:val="18"/>
                <w:szCs w:val="18"/>
                <w:highlight w:val="none"/>
                <w:lang w:val="en-US" w:eastAsia="zh-CN"/>
              </w:rPr>
              <w:t>15</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rPr>
            </w:pPr>
            <w:r>
              <w:rPr>
                <w:rFonts w:hint="eastAsia" w:ascii="仿宋" w:hAnsi="仿宋" w:eastAsia="仿宋" w:cs="仿宋"/>
                <w:i w:val="0"/>
                <w:iCs w:val="0"/>
                <w:color w:val="000000"/>
                <w:kern w:val="0"/>
                <w:sz w:val="18"/>
                <w:szCs w:val="18"/>
                <w:u w:val="none"/>
                <w:lang w:val="en-US" w:eastAsia="zh-CN" w:bidi="ar"/>
              </w:rPr>
              <w:t>10.50</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rPr>
            </w:pPr>
            <w:r>
              <w:rPr>
                <w:rFonts w:hint="eastAsia" w:ascii="仿宋" w:hAnsi="仿宋" w:eastAsia="仿宋" w:cs="仿宋"/>
                <w:i w:val="0"/>
                <w:iCs w:val="0"/>
                <w:color w:val="000000"/>
                <w:kern w:val="0"/>
                <w:sz w:val="18"/>
                <w:szCs w:val="18"/>
                <w:u w:val="none"/>
                <w:lang w:val="en-US" w:eastAsia="zh-CN" w:bidi="ar"/>
              </w:rPr>
              <w:t>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9" w:hRule="atLeast"/>
          <w:jc w:val="center"/>
        </w:trPr>
        <w:tc>
          <w:tcPr>
            <w:tcW w:w="2211" w:type="dxa"/>
            <w:vAlign w:val="center"/>
          </w:tcPr>
          <w:p>
            <w:pPr>
              <w:keepNext w:val="0"/>
              <w:keepLines w:val="0"/>
              <w:pageBreakBefore w:val="0"/>
              <w:kinsoku/>
              <w:wordWrap/>
              <w:bidi w:val="0"/>
              <w:snapToGrid w:val="0"/>
              <w:spacing w:line="240" w:lineRule="auto"/>
              <w:jc w:val="left"/>
              <w:rPr>
                <w:rFonts w:hint="eastAsia" w:ascii="仿宋" w:hAnsi="仿宋" w:eastAsia="仿宋" w:cs="仿宋"/>
                <w:bCs/>
                <w:color w:val="auto"/>
                <w:spacing w:val="6"/>
                <w:sz w:val="18"/>
                <w:szCs w:val="18"/>
                <w:highlight w:val="none"/>
              </w:rPr>
            </w:pPr>
            <w:r>
              <w:rPr>
                <w:rFonts w:hint="eastAsia" w:ascii="仿宋" w:hAnsi="仿宋" w:eastAsia="仿宋" w:cs="仿宋"/>
                <w:bCs/>
                <w:color w:val="auto"/>
                <w:spacing w:val="6"/>
                <w:sz w:val="18"/>
                <w:szCs w:val="18"/>
                <w:highlight w:val="none"/>
              </w:rPr>
              <w:t>过程</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i w:val="0"/>
                <w:iCs w:val="0"/>
                <w:color w:val="000000"/>
                <w:kern w:val="0"/>
                <w:sz w:val="18"/>
                <w:szCs w:val="18"/>
                <w:u w:val="none"/>
                <w:lang w:val="en-US" w:eastAsia="zh-CN" w:bidi="ar"/>
              </w:rPr>
              <w:t>20</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bCs/>
                <w:color w:val="auto"/>
                <w:spacing w:val="6"/>
                <w:sz w:val="18"/>
                <w:szCs w:val="18"/>
                <w:highlight w:val="none"/>
                <w:lang w:val="en-US" w:eastAsia="zh-CN"/>
              </w:rPr>
              <w:t>17.50</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rPr>
            </w:pPr>
            <w:r>
              <w:rPr>
                <w:rFonts w:hint="eastAsia" w:ascii="仿宋" w:hAnsi="仿宋" w:eastAsia="仿宋" w:cs="仿宋"/>
                <w:i w:val="0"/>
                <w:iCs w:val="0"/>
                <w:color w:val="000000"/>
                <w:kern w:val="0"/>
                <w:sz w:val="18"/>
                <w:szCs w:val="18"/>
                <w:u w:val="none"/>
                <w:lang w:val="en-US" w:eastAsia="zh-CN" w:bidi="ar"/>
              </w:rPr>
              <w:t>87.50%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2" w:hRule="atLeast"/>
          <w:jc w:val="center"/>
        </w:trPr>
        <w:tc>
          <w:tcPr>
            <w:tcW w:w="2211" w:type="dxa"/>
            <w:vAlign w:val="center"/>
          </w:tcPr>
          <w:p>
            <w:pPr>
              <w:keepNext w:val="0"/>
              <w:keepLines w:val="0"/>
              <w:pageBreakBefore w:val="0"/>
              <w:kinsoku/>
              <w:wordWrap/>
              <w:bidi w:val="0"/>
              <w:snapToGrid w:val="0"/>
              <w:spacing w:line="240" w:lineRule="auto"/>
              <w:jc w:val="left"/>
              <w:rPr>
                <w:rFonts w:hint="eastAsia" w:ascii="仿宋" w:hAnsi="仿宋" w:eastAsia="仿宋" w:cs="仿宋"/>
                <w:bCs/>
                <w:color w:val="auto"/>
                <w:spacing w:val="6"/>
                <w:sz w:val="18"/>
                <w:szCs w:val="18"/>
                <w:highlight w:val="none"/>
              </w:rPr>
            </w:pPr>
            <w:r>
              <w:rPr>
                <w:rFonts w:hint="eastAsia" w:ascii="仿宋" w:hAnsi="仿宋" w:eastAsia="仿宋" w:cs="仿宋"/>
                <w:bCs/>
                <w:color w:val="auto"/>
                <w:spacing w:val="6"/>
                <w:sz w:val="18"/>
                <w:szCs w:val="18"/>
                <w:highlight w:val="none"/>
              </w:rPr>
              <w:t>产出</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i w:val="0"/>
                <w:iCs w:val="0"/>
                <w:color w:val="000000"/>
                <w:kern w:val="0"/>
                <w:sz w:val="18"/>
                <w:szCs w:val="18"/>
                <w:u w:val="none"/>
                <w:lang w:val="en-US" w:eastAsia="zh-CN" w:bidi="ar"/>
              </w:rPr>
              <w:t>35</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bCs/>
                <w:color w:val="auto"/>
                <w:spacing w:val="6"/>
                <w:sz w:val="18"/>
                <w:szCs w:val="18"/>
                <w:highlight w:val="none"/>
                <w:lang w:val="en-US" w:eastAsia="zh-CN"/>
              </w:rPr>
              <w:t>32.00</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rPr>
            </w:pPr>
            <w:r>
              <w:rPr>
                <w:rFonts w:hint="eastAsia" w:ascii="仿宋" w:hAnsi="仿宋" w:eastAsia="仿宋" w:cs="仿宋"/>
                <w:i w:val="0"/>
                <w:iCs w:val="0"/>
                <w:color w:val="000000"/>
                <w:kern w:val="0"/>
                <w:sz w:val="18"/>
                <w:szCs w:val="18"/>
                <w:u w:val="none"/>
                <w:lang w:val="en-US" w:eastAsia="zh-CN" w:bidi="ar"/>
              </w:rPr>
              <w:t>91.43%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50" w:hRule="atLeast"/>
          <w:jc w:val="center"/>
        </w:trPr>
        <w:tc>
          <w:tcPr>
            <w:tcW w:w="2211" w:type="dxa"/>
            <w:vAlign w:val="center"/>
          </w:tcPr>
          <w:p>
            <w:pPr>
              <w:keepNext w:val="0"/>
              <w:keepLines w:val="0"/>
              <w:pageBreakBefore w:val="0"/>
              <w:kinsoku/>
              <w:wordWrap/>
              <w:bidi w:val="0"/>
              <w:snapToGrid w:val="0"/>
              <w:spacing w:line="240" w:lineRule="auto"/>
              <w:jc w:val="left"/>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bCs/>
                <w:color w:val="auto"/>
                <w:spacing w:val="6"/>
                <w:sz w:val="18"/>
                <w:szCs w:val="18"/>
                <w:highlight w:val="none"/>
                <w:lang w:val="en-US" w:eastAsia="zh-CN"/>
              </w:rPr>
              <w:t>效益</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i w:val="0"/>
                <w:iCs w:val="0"/>
                <w:color w:val="000000"/>
                <w:kern w:val="0"/>
                <w:sz w:val="18"/>
                <w:szCs w:val="18"/>
                <w:u w:val="none"/>
                <w:lang w:val="en-US" w:eastAsia="zh-CN" w:bidi="ar"/>
              </w:rPr>
              <w:t>30</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lang w:val="en-US" w:eastAsia="zh-CN"/>
              </w:rPr>
            </w:pPr>
            <w:r>
              <w:rPr>
                <w:rFonts w:hint="eastAsia" w:ascii="仿宋" w:hAnsi="仿宋" w:eastAsia="仿宋" w:cs="仿宋"/>
                <w:bCs/>
                <w:color w:val="auto"/>
                <w:spacing w:val="6"/>
                <w:sz w:val="18"/>
                <w:szCs w:val="18"/>
                <w:highlight w:val="none"/>
                <w:lang w:val="en-US" w:eastAsia="zh-CN"/>
              </w:rPr>
              <w:t>27.06</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spacing w:val="6"/>
                <w:sz w:val="18"/>
                <w:szCs w:val="18"/>
                <w:highlight w:val="none"/>
              </w:rPr>
            </w:pPr>
            <w:r>
              <w:rPr>
                <w:rFonts w:hint="eastAsia" w:ascii="仿宋" w:hAnsi="仿宋" w:eastAsia="仿宋" w:cs="仿宋"/>
                <w:i w:val="0"/>
                <w:iCs w:val="0"/>
                <w:color w:val="000000"/>
                <w:kern w:val="0"/>
                <w:sz w:val="18"/>
                <w:szCs w:val="18"/>
                <w:u w:val="none"/>
                <w:lang w:val="en-US" w:eastAsia="zh-CN" w:bidi="ar"/>
              </w:rPr>
              <w:t>90.20%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445" w:hRule="atLeast"/>
          <w:jc w:val="center"/>
        </w:trPr>
        <w:tc>
          <w:tcPr>
            <w:tcW w:w="2211" w:type="dxa"/>
            <w:vAlign w:val="center"/>
          </w:tcPr>
          <w:p>
            <w:pPr>
              <w:keepNext w:val="0"/>
              <w:keepLines w:val="0"/>
              <w:pageBreakBefore w:val="0"/>
              <w:kinsoku/>
              <w:wordWrap/>
              <w:bidi w:val="0"/>
              <w:snapToGrid w:val="0"/>
              <w:spacing w:line="240" w:lineRule="auto"/>
              <w:jc w:val="center"/>
              <w:rPr>
                <w:rFonts w:hint="eastAsia" w:ascii="仿宋" w:hAnsi="仿宋" w:eastAsia="仿宋" w:cs="仿宋"/>
                <w:b w:val="0"/>
                <w:bCs w:val="0"/>
                <w:color w:val="auto"/>
                <w:spacing w:val="6"/>
                <w:sz w:val="18"/>
                <w:szCs w:val="18"/>
                <w:highlight w:val="none"/>
              </w:rPr>
            </w:pPr>
            <w:r>
              <w:rPr>
                <w:rFonts w:hint="eastAsia" w:ascii="仿宋" w:hAnsi="仿宋" w:eastAsia="仿宋" w:cs="仿宋"/>
                <w:b w:val="0"/>
                <w:bCs w:val="0"/>
                <w:color w:val="auto"/>
                <w:spacing w:val="6"/>
                <w:sz w:val="18"/>
                <w:szCs w:val="18"/>
                <w:highlight w:val="none"/>
              </w:rPr>
              <w:t>合 计</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val="0"/>
                <w:bCs w:val="0"/>
                <w:color w:val="auto"/>
                <w:spacing w:val="6"/>
                <w:sz w:val="18"/>
                <w:szCs w:val="18"/>
                <w:highlight w:val="none"/>
              </w:rPr>
            </w:pPr>
            <w:r>
              <w:rPr>
                <w:rFonts w:hint="eastAsia" w:ascii="仿宋" w:hAnsi="仿宋" w:eastAsia="仿宋" w:cs="仿宋"/>
                <w:b w:val="0"/>
                <w:bCs w:val="0"/>
                <w:i w:val="0"/>
                <w:iCs w:val="0"/>
                <w:color w:val="000000"/>
                <w:kern w:val="0"/>
                <w:sz w:val="18"/>
                <w:szCs w:val="18"/>
                <w:u w:val="none"/>
                <w:lang w:val="en-US" w:eastAsia="zh-CN" w:bidi="ar"/>
              </w:rPr>
              <w:t>100</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val="0"/>
                <w:bCs w:val="0"/>
                <w:color w:val="auto"/>
                <w:spacing w:val="6"/>
                <w:sz w:val="18"/>
                <w:szCs w:val="18"/>
                <w:highlight w:val="none"/>
                <w:lang w:val="en-US" w:eastAsia="zh-CN"/>
              </w:rPr>
            </w:pPr>
            <w:r>
              <w:rPr>
                <w:rFonts w:hint="eastAsia" w:ascii="仿宋" w:hAnsi="仿宋" w:eastAsia="仿宋" w:cs="仿宋"/>
                <w:b w:val="0"/>
                <w:bCs w:val="0"/>
                <w:color w:val="auto"/>
                <w:spacing w:val="6"/>
                <w:sz w:val="18"/>
                <w:szCs w:val="18"/>
                <w:highlight w:val="none"/>
                <w:lang w:val="en-US" w:eastAsia="zh-CN"/>
              </w:rPr>
              <w:t>87.06</w:t>
            </w:r>
          </w:p>
        </w:tc>
        <w:tc>
          <w:tcPr>
            <w:tcW w:w="2211" w:type="dxa"/>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val="0"/>
                <w:bCs w:val="0"/>
                <w:color w:val="auto"/>
                <w:spacing w:val="6"/>
                <w:sz w:val="18"/>
                <w:szCs w:val="18"/>
                <w:highlight w:val="none"/>
                <w:lang w:val="en-US" w:eastAsia="zh-CN"/>
              </w:rPr>
            </w:pPr>
            <w:r>
              <w:rPr>
                <w:rFonts w:hint="eastAsia" w:ascii="仿宋" w:hAnsi="仿宋" w:eastAsia="仿宋" w:cs="仿宋"/>
                <w:b w:val="0"/>
                <w:bCs w:val="0"/>
                <w:color w:val="auto"/>
                <w:spacing w:val="6"/>
                <w:sz w:val="18"/>
                <w:szCs w:val="18"/>
                <w:highlight w:val="none"/>
                <w:lang w:val="en-US" w:eastAsia="zh-CN"/>
              </w:rPr>
              <w:t>8</w:t>
            </w:r>
            <w:r>
              <w:rPr>
                <w:rFonts w:hint="eastAsia" w:hAnsi="仿宋" w:cs="仿宋"/>
                <w:b w:val="0"/>
                <w:bCs w:val="0"/>
                <w:color w:val="auto"/>
                <w:spacing w:val="6"/>
                <w:sz w:val="18"/>
                <w:szCs w:val="18"/>
                <w:highlight w:val="none"/>
                <w:lang w:val="en-US" w:eastAsia="zh-CN"/>
              </w:rPr>
              <w:t>7</w:t>
            </w:r>
            <w:r>
              <w:rPr>
                <w:rFonts w:hint="eastAsia" w:ascii="仿宋" w:hAnsi="仿宋" w:eastAsia="仿宋" w:cs="仿宋"/>
                <w:b w:val="0"/>
                <w:bCs w:val="0"/>
                <w:color w:val="auto"/>
                <w:spacing w:val="6"/>
                <w:sz w:val="18"/>
                <w:szCs w:val="18"/>
                <w:highlight w:val="none"/>
                <w:lang w:val="en-US" w:eastAsia="zh-CN"/>
              </w:rPr>
              <w:t>.</w:t>
            </w:r>
            <w:r>
              <w:rPr>
                <w:rFonts w:hint="eastAsia" w:hAnsi="仿宋" w:cs="仿宋"/>
                <w:b w:val="0"/>
                <w:bCs w:val="0"/>
                <w:color w:val="auto"/>
                <w:spacing w:val="6"/>
                <w:sz w:val="18"/>
                <w:szCs w:val="18"/>
                <w:highlight w:val="none"/>
                <w:lang w:val="en-US" w:eastAsia="zh-CN"/>
              </w:rPr>
              <w:t>0</w:t>
            </w:r>
            <w:r>
              <w:rPr>
                <w:rFonts w:hint="eastAsia" w:ascii="仿宋" w:hAnsi="仿宋" w:eastAsia="仿宋" w:cs="仿宋"/>
                <w:b w:val="0"/>
                <w:bCs w:val="0"/>
                <w:color w:val="auto"/>
                <w:spacing w:val="6"/>
                <w:sz w:val="18"/>
                <w:szCs w:val="18"/>
                <w:highlight w:val="none"/>
                <w:lang w:val="en-US" w:eastAsia="zh-CN"/>
              </w:rPr>
              <w:t>6%</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项目决策方面，项目立项与国家政策、政府发展规划吻合，立项依据充分，绩效目标合理，按规定设立绩效目标，且与实际工作内容相匹配，但绩效指标不够明确，未将绩效目标划分为具体细化的绩效指标。</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在项目管理方面，第一，该项目资金到位及时，但资金支出不及时，项目资金支出具有完整的审批流程和手续，不存在截留、挤占、挪用、虚列支出等情况；第二，部门财务管理制度较为健全，能够得到有效执行。</w:t>
      </w:r>
    </w:p>
    <w:bookmarkEnd w:id="48"/>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49" w:name="_Toc9813"/>
      <w:r>
        <w:rPr>
          <w:rFonts w:hint="eastAsia" w:ascii="楷体" w:hAnsi="楷体" w:eastAsia="楷体" w:cs="楷体"/>
          <w:szCs w:val="30"/>
          <w:lang w:val="en-US" w:eastAsia="zh-CN"/>
        </w:rPr>
        <w:t>（二）绩效目标实现情况</w:t>
      </w:r>
      <w:bookmarkEnd w:id="49"/>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bookmarkStart w:id="50" w:name="_Hlk525314457"/>
      <w:r>
        <w:rPr>
          <w:rFonts w:hint="eastAsia" w:ascii="仿宋" w:hAnsi="仿宋" w:eastAsia="仿宋" w:cs="仿宋"/>
          <w:bCs/>
          <w:color w:val="auto"/>
          <w:spacing w:val="6"/>
          <w:sz w:val="30"/>
          <w:szCs w:val="30"/>
          <w:highlight w:val="none"/>
          <w:lang w:val="en-US" w:eastAsia="zh-CN"/>
        </w:rPr>
        <w:t>根据评价情况，昆明市晋宁区秋冬季新冠肺炎疫情防控物资储备补助资金项目绩效目标全部实现，,完成比例为100.00%。各指标完成情况详见下表：</w:t>
      </w:r>
    </w:p>
    <w:p>
      <w:pPr>
        <w:keepNext w:val="0"/>
        <w:keepLines w:val="0"/>
        <w:pageBreakBefore w:val="0"/>
        <w:kinsoku/>
        <w:wordWrap/>
        <w:bidi w:val="0"/>
        <w:spacing w:line="579" w:lineRule="exact"/>
        <w:jc w:val="center"/>
        <w:rPr>
          <w:sz w:val="24"/>
          <w:szCs w:val="24"/>
          <w:highlight w:val="none"/>
        </w:rPr>
      </w:pPr>
      <w:r>
        <w:rPr>
          <w:rFonts w:hint="eastAsia" w:ascii="黑体" w:hAnsi="黑体" w:eastAsia="黑体" w:cs="宋体"/>
          <w:bCs/>
          <w:color w:val="auto"/>
          <w:sz w:val="24"/>
          <w:szCs w:val="24"/>
          <w:highlight w:val="none"/>
        </w:rPr>
        <w:t>表</w:t>
      </w:r>
      <w:r>
        <w:rPr>
          <w:rFonts w:ascii="黑体" w:hAnsi="黑体" w:eastAsia="黑体" w:cs="宋体"/>
          <w:bCs/>
          <w:color w:val="auto"/>
          <w:sz w:val="24"/>
          <w:szCs w:val="24"/>
          <w:highlight w:val="none"/>
        </w:rPr>
        <w:t>2</w:t>
      </w:r>
      <w:r>
        <w:rPr>
          <w:rFonts w:hint="eastAsia" w:ascii="黑体" w:hAnsi="黑体" w:eastAsia="黑体" w:cs="宋体"/>
          <w:bCs/>
          <w:color w:val="auto"/>
          <w:sz w:val="24"/>
          <w:szCs w:val="24"/>
          <w:highlight w:val="none"/>
        </w:rPr>
        <w:t>：绩效指标完成情况表</w:t>
      </w:r>
    </w:p>
    <w:tbl>
      <w:tblPr>
        <w:tblStyle w:val="16"/>
        <w:tblW w:w="884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7" w:type="dxa"/>
          <w:left w:w="57" w:type="dxa"/>
          <w:bottom w:w="57" w:type="dxa"/>
          <w:right w:w="57" w:type="dxa"/>
        </w:tblCellMar>
      </w:tblPr>
      <w:tblGrid>
        <w:gridCol w:w="1111"/>
        <w:gridCol w:w="1062"/>
        <w:gridCol w:w="953"/>
        <w:gridCol w:w="844"/>
        <w:gridCol w:w="1106"/>
        <w:gridCol w:w="37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1052" w:hRule="atLeast"/>
          <w:tblHeader/>
        </w:trPr>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二级指标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三级指标</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指标性质</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指标值</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完成情况</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
                <w:bCs/>
                <w:i w:val="0"/>
                <w:iCs w:val="0"/>
                <w:color w:val="000000"/>
                <w:sz w:val="18"/>
                <w:szCs w:val="18"/>
                <w:u w:val="none"/>
              </w:rPr>
            </w:pPr>
            <w:r>
              <w:rPr>
                <w:rFonts w:hint="eastAsia" w:ascii="仿宋" w:hAnsi="仿宋" w:eastAsia="仿宋" w:cs="仿宋"/>
                <w:b/>
                <w:bCs/>
                <w:i w:val="0"/>
                <w:iCs w:val="0"/>
                <w:color w:val="000000"/>
                <w:kern w:val="0"/>
                <w:sz w:val="18"/>
                <w:szCs w:val="18"/>
                <w:u w:val="none"/>
                <w:lang w:val="en-US" w:eastAsia="zh-CN" w:bidi="ar"/>
              </w:rPr>
              <w:t>完成情况说明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720" w:hRule="atLeast"/>
        </w:trPr>
        <w:tc>
          <w:tcPr>
            <w:tcW w:w="111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数量指标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防控物资储备</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&gt;=</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sz w:val="18"/>
                <w:szCs w:val="18"/>
                <w:u w:val="none"/>
              </w:rPr>
              <w:t>129.36</w:t>
            </w:r>
            <w:r>
              <w:rPr>
                <w:rFonts w:hint="eastAsia" w:ascii="仿宋" w:hAnsi="仿宋" w:eastAsia="仿宋" w:cs="仿宋"/>
                <w:i w:val="0"/>
                <w:iCs w:val="0"/>
                <w:color w:val="000000"/>
                <w:kern w:val="0"/>
                <w:sz w:val="18"/>
                <w:szCs w:val="18"/>
                <w:u w:val="none"/>
                <w:lang w:val="en-US" w:eastAsia="zh-CN" w:bidi="ar"/>
              </w:rPr>
              <w:t>万元</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已完成</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sz w:val="18"/>
                <w:szCs w:val="18"/>
                <w:u w:val="none"/>
                <w:lang w:val="en-US" w:eastAsia="zh-CN"/>
              </w:rPr>
            </w:pPr>
            <w:r>
              <w:rPr>
                <w:rFonts w:hint="eastAsia" w:hAnsi="仿宋" w:cs="仿宋"/>
                <w:color w:val="000000"/>
                <w:kern w:val="0"/>
                <w:sz w:val="21"/>
                <w:lang w:bidi="ar"/>
              </w:rPr>
              <w:t>疾控中心实际采购防控物资金额129.36万元</w:t>
            </w:r>
            <w:r>
              <w:rPr>
                <w:rFonts w:hint="eastAsia" w:hAnsi="仿宋" w:cs="仿宋"/>
                <w:color w:val="000000"/>
                <w:kern w:val="0"/>
                <w:sz w:val="21"/>
                <w:lang w:eastAsia="zh-CN" w:bidi="ar"/>
              </w:rPr>
              <w:t>，</w:t>
            </w:r>
            <w:r>
              <w:rPr>
                <w:rFonts w:hint="eastAsia" w:hAnsi="仿宋" w:cs="仿宋"/>
                <w:color w:val="000000"/>
                <w:kern w:val="0"/>
                <w:sz w:val="21"/>
                <w:lang w:val="en-US" w:eastAsia="zh-CN" w:bidi="ar"/>
              </w:rPr>
              <w:t>已完成指标值。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96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bidi w:val="0"/>
              <w:spacing w:line="240" w:lineRule="auto"/>
              <w:jc w:val="center"/>
              <w:rPr>
                <w:rFonts w:hint="eastAsia" w:ascii="仿宋" w:hAnsi="仿宋" w:eastAsia="仿宋" w:cs="仿宋"/>
                <w:i w:val="0"/>
                <w:iCs w:val="0"/>
                <w:color w:val="000000"/>
                <w:sz w:val="18"/>
                <w:szCs w:val="18"/>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区级传染病能力建设设备设施</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&gt;=</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525万元</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已完成</w:t>
            </w:r>
          </w:p>
        </w:tc>
        <w:tc>
          <w:tcPr>
            <w:tcW w:w="376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晋宁区疾病预防控制中心实验室采购了水质检测实验室设备，各卫生院和社区服务中心采购了救护车6辆，采购金额总计525万元，已完成指标值。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660" w:hRule="atLeast"/>
        </w:trPr>
        <w:tc>
          <w:tcPr>
            <w:tcW w:w="111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kinsoku/>
              <w:wordWrap/>
              <w:bidi w:val="0"/>
              <w:spacing w:line="240" w:lineRule="auto"/>
              <w:jc w:val="center"/>
              <w:rPr>
                <w:rFonts w:hint="eastAsia" w:ascii="仿宋" w:hAnsi="仿宋" w:eastAsia="仿宋" w:cs="仿宋"/>
                <w:i w:val="0"/>
                <w:iCs w:val="0"/>
                <w:color w:val="000000"/>
                <w:sz w:val="18"/>
                <w:szCs w:val="18"/>
                <w:u w:val="none"/>
              </w:rPr>
            </w:pP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医疗卫生机构防控物资</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&gt;=</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344.427万元</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已完成</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昆明市晋宁区卫生健康局下拨给晋宁区人民医院207.075万元用于防疫物资储备，下拨给晋宁区第二人民医院137.352万元用于疫情防控物资采购，项目下拨资金都已全部用于购置疫情防控物资及设备。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780" w:hRule="atLeast"/>
        </w:trPr>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经济效益指标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新冠肺炎疫情控制率</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&gt;=</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w:t>
            </w:r>
            <w:r>
              <w:rPr>
                <w:rFonts w:hint="eastAsia" w:hAnsi="仿宋" w:cs="仿宋"/>
                <w:i w:val="0"/>
                <w:iCs w:val="0"/>
                <w:color w:val="000000"/>
                <w:kern w:val="0"/>
                <w:sz w:val="18"/>
                <w:szCs w:val="18"/>
                <w:u w:val="none"/>
                <w:lang w:val="en-US" w:eastAsia="zh-CN" w:bidi="ar"/>
              </w:rPr>
              <w:t>%</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已完成</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项目实施期间，晋宁区新冠肺炎疫情防疫工作效果显著，新冠肺炎疫情控制率大于80%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57" w:type="dxa"/>
            <w:left w:w="57" w:type="dxa"/>
            <w:bottom w:w="57" w:type="dxa"/>
            <w:right w:w="57" w:type="dxa"/>
          </w:tblCellMar>
        </w:tblPrEx>
        <w:trPr>
          <w:trHeight w:val="720" w:hRule="atLeast"/>
        </w:trPr>
        <w:tc>
          <w:tcPr>
            <w:tcW w:w="11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sz w:val="18"/>
                <w:szCs w:val="18"/>
                <w:u w:val="none"/>
              </w:rPr>
            </w:pPr>
            <w:r>
              <w:rPr>
                <w:rFonts w:hint="eastAsia" w:ascii="仿宋" w:hAnsi="仿宋" w:eastAsia="仿宋" w:cs="仿宋"/>
                <w:i w:val="0"/>
                <w:iCs w:val="0"/>
                <w:color w:val="000000"/>
                <w:kern w:val="0"/>
                <w:sz w:val="18"/>
                <w:szCs w:val="18"/>
                <w:u w:val="none"/>
                <w:lang w:val="en-US" w:eastAsia="zh-CN" w:bidi="ar"/>
              </w:rPr>
              <w:t>服务对象满意度指标</w:t>
            </w:r>
          </w:p>
        </w:tc>
        <w:tc>
          <w:tcPr>
            <w:tcW w:w="10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居民满意度</w:t>
            </w:r>
          </w:p>
        </w:tc>
        <w:tc>
          <w:tcPr>
            <w:tcW w:w="9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w:t>
            </w:r>
          </w:p>
        </w:tc>
        <w:tc>
          <w:tcPr>
            <w:tcW w:w="84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80</w:t>
            </w:r>
            <w:r>
              <w:rPr>
                <w:rFonts w:hint="eastAsia" w:hAnsi="仿宋" w:cs="仿宋"/>
                <w:i w:val="0"/>
                <w:iCs w:val="0"/>
                <w:color w:val="000000"/>
                <w:kern w:val="0"/>
                <w:sz w:val="18"/>
                <w:szCs w:val="18"/>
                <w:u w:val="none"/>
                <w:lang w:val="en-US" w:eastAsia="zh-CN" w:bidi="ar"/>
              </w:rPr>
              <w:t>%</w:t>
            </w:r>
          </w:p>
        </w:tc>
        <w:tc>
          <w:tcPr>
            <w:tcW w:w="11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已完成</w:t>
            </w:r>
          </w:p>
        </w:tc>
        <w:tc>
          <w:tcPr>
            <w:tcW w:w="37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通过发放社会问卷对项目实施效果进行评价，综合满意度达到了84.39%</w:t>
            </w:r>
          </w:p>
        </w:tc>
      </w:tr>
      <w:bookmarkEnd w:id="50"/>
    </w:tbl>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0"/>
        <w:rPr>
          <w:rFonts w:hint="eastAsia" w:ascii="黑体" w:hAnsi="黑体" w:eastAsia="黑体" w:cs="黑体"/>
          <w:szCs w:val="30"/>
        </w:rPr>
      </w:pPr>
      <w:bookmarkStart w:id="51" w:name="_Toc29894"/>
      <w:r>
        <w:rPr>
          <w:rFonts w:hint="eastAsia" w:ascii="黑体" w:hAnsi="黑体" w:eastAsia="黑体" w:cs="黑体"/>
          <w:szCs w:val="30"/>
        </w:rPr>
        <w:t>四、绩效评价指标分析</w:t>
      </w:r>
      <w:bookmarkEnd w:id="51"/>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52" w:name="_Toc2408"/>
      <w:bookmarkStart w:id="53" w:name="_Toc517260975"/>
      <w:bookmarkStart w:id="54" w:name="_Toc518317811"/>
      <w:r>
        <w:rPr>
          <w:rFonts w:hint="eastAsia" w:ascii="楷体" w:hAnsi="楷体" w:eastAsia="楷体" w:cs="楷体"/>
          <w:szCs w:val="30"/>
          <w:lang w:val="en-US" w:eastAsia="zh-CN"/>
        </w:rPr>
        <w:t>（一）项目决策情况</w:t>
      </w:r>
      <w:bookmarkEnd w:id="52"/>
      <w:bookmarkEnd w:id="53"/>
      <w:bookmarkEnd w:id="54"/>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 xml:space="preserve">项目决策类指标，包括项目立项、绩效目标、资金投入三个方面的内容，由6个三级指标构成。该项指标评价满分15分，实际得分10.5分，得分率70%，具体分析如下： </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1、</w:t>
      </w:r>
      <w:r>
        <w:rPr>
          <w:rFonts w:hint="eastAsia" w:ascii="仿宋" w:hAnsi="仿宋" w:eastAsia="仿宋" w:cs="仿宋"/>
          <w:bCs/>
          <w:color w:val="auto"/>
          <w:spacing w:val="6"/>
          <w:sz w:val="30"/>
          <w:szCs w:val="30"/>
          <w:highlight w:val="none"/>
          <w:lang w:val="en-US" w:eastAsia="zh-CN"/>
        </w:rPr>
        <w:t>项目立项方面</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ascii="仿宋" w:hAnsi="仿宋" w:eastAsia="仿宋" w:cs="仿宋"/>
          <w:bCs/>
          <w:color w:val="auto"/>
          <w:spacing w:val="6"/>
          <w:sz w:val="30"/>
          <w:szCs w:val="30"/>
          <w:highlight w:val="none"/>
          <w:lang w:val="en-US" w:eastAsia="zh-CN"/>
        </w:rPr>
      </w:pPr>
      <w:r>
        <w:rPr>
          <w:rFonts w:hint="eastAsia" w:ascii="仿宋" w:hAnsi="仿宋" w:eastAsia="仿宋" w:cs="仿宋"/>
          <w:bCs/>
          <w:color w:val="auto"/>
          <w:spacing w:val="6"/>
          <w:sz w:val="30"/>
          <w:szCs w:val="30"/>
          <w:highlight w:val="none"/>
          <w:lang w:val="en-US" w:eastAsia="zh-CN"/>
        </w:rPr>
        <w:t>该部分主要考察项目立项是否有充分的依据，符合国家、省、市相关规定，以及项目的申请、设立过程是否符合相关要求。各指标的业绩值和绩效分值详见表4-1：</w:t>
      </w:r>
    </w:p>
    <w:p>
      <w:pPr>
        <w:keepNext w:val="0"/>
        <w:keepLines w:val="0"/>
        <w:pageBreakBefore w:val="0"/>
        <w:widowControl/>
        <w:kinsoku/>
        <w:wordWrap/>
        <w:bidi w:val="0"/>
        <w:adjustRightInd w:val="0"/>
        <w:spacing w:line="579" w:lineRule="exact"/>
        <w:jc w:val="center"/>
        <w:rPr>
          <w:rFonts w:ascii="黑体" w:hAnsi="黑体" w:eastAsia="黑体"/>
          <w:bCs/>
          <w:color w:val="auto"/>
          <w:sz w:val="24"/>
          <w:szCs w:val="24"/>
          <w:highlight w:val="none"/>
        </w:rPr>
      </w:pPr>
      <w:r>
        <w:rPr>
          <w:rFonts w:hint="eastAsia" w:ascii="黑体" w:hAnsi="黑体" w:eastAsia="黑体"/>
          <w:bCs/>
          <w:color w:val="auto"/>
          <w:sz w:val="24"/>
          <w:szCs w:val="24"/>
          <w:highlight w:val="none"/>
        </w:rPr>
        <w:t>表</w:t>
      </w:r>
      <w:r>
        <w:rPr>
          <w:rFonts w:ascii="黑体" w:hAnsi="黑体" w:eastAsia="黑体"/>
          <w:bCs/>
          <w:color w:val="auto"/>
          <w:sz w:val="24"/>
          <w:szCs w:val="24"/>
          <w:highlight w:val="none"/>
        </w:rPr>
        <w:t>4</w:t>
      </w:r>
      <w:r>
        <w:rPr>
          <w:rFonts w:hint="eastAsia" w:ascii="黑体" w:hAnsi="黑体" w:eastAsia="黑体"/>
          <w:bCs/>
          <w:color w:val="auto"/>
          <w:sz w:val="24"/>
          <w:szCs w:val="24"/>
          <w:highlight w:val="none"/>
        </w:rPr>
        <w:t>-</w:t>
      </w:r>
      <w:r>
        <w:rPr>
          <w:rFonts w:ascii="黑体" w:hAnsi="黑体" w:eastAsia="黑体"/>
          <w:bCs/>
          <w:color w:val="auto"/>
          <w:sz w:val="24"/>
          <w:szCs w:val="24"/>
          <w:highlight w:val="none"/>
        </w:rPr>
        <w:t>1</w:t>
      </w:r>
      <w:r>
        <w:rPr>
          <w:rFonts w:hint="eastAsia" w:ascii="黑体" w:hAnsi="黑体" w:eastAsia="黑体"/>
          <w:bCs/>
          <w:color w:val="auto"/>
          <w:sz w:val="24"/>
          <w:szCs w:val="24"/>
          <w:highlight w:val="none"/>
        </w:rPr>
        <w:t>：“项目立项”指标评价</w:t>
      </w:r>
      <w:r>
        <w:rPr>
          <w:rFonts w:ascii="黑体" w:hAnsi="黑体" w:eastAsia="黑体"/>
          <w:bCs/>
          <w:color w:val="auto"/>
          <w:sz w:val="24"/>
          <w:szCs w:val="24"/>
          <w:highlight w:val="none"/>
        </w:rPr>
        <w:t>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3"/>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tblHeader/>
          <w:jc w:val="center"/>
        </w:trPr>
        <w:tc>
          <w:tcPr>
            <w:tcW w:w="4873"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
                <w:bCs w:val="0"/>
                <w:color w:val="auto"/>
                <w:sz w:val="18"/>
                <w:szCs w:val="18"/>
                <w:highlight w:val="none"/>
              </w:rPr>
            </w:pPr>
            <w:r>
              <w:rPr>
                <w:rFonts w:hint="eastAsia" w:ascii="仿宋" w:hAnsi="仿宋" w:eastAsia="仿宋" w:cs="仿宋"/>
                <w:b/>
                <w:bCs w:val="0"/>
                <w:color w:val="auto"/>
                <w:sz w:val="18"/>
                <w:szCs w:val="18"/>
                <w:highlight w:val="none"/>
              </w:rPr>
              <w:t>指标名称</w:t>
            </w:r>
          </w:p>
        </w:tc>
        <w:tc>
          <w:tcPr>
            <w:tcW w:w="1598"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
                <w:bCs w:val="0"/>
                <w:color w:val="auto"/>
                <w:sz w:val="18"/>
                <w:szCs w:val="18"/>
                <w:highlight w:val="none"/>
              </w:rPr>
            </w:pPr>
            <w:r>
              <w:rPr>
                <w:rFonts w:hint="eastAsia" w:ascii="仿宋" w:hAnsi="仿宋" w:eastAsia="仿宋" w:cs="仿宋"/>
                <w:b/>
                <w:bCs w:val="0"/>
                <w:color w:val="auto"/>
                <w:sz w:val="18"/>
                <w:szCs w:val="18"/>
                <w:highlight w:val="none"/>
              </w:rPr>
              <w:t>指标权重</w:t>
            </w:r>
          </w:p>
        </w:tc>
        <w:tc>
          <w:tcPr>
            <w:tcW w:w="1153"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
                <w:bCs w:val="0"/>
                <w:color w:val="auto"/>
                <w:sz w:val="18"/>
                <w:szCs w:val="18"/>
                <w:highlight w:val="none"/>
              </w:rPr>
            </w:pPr>
            <w:r>
              <w:rPr>
                <w:rFonts w:hint="eastAsia" w:ascii="仿宋" w:hAnsi="仿宋" w:eastAsia="仿宋" w:cs="仿宋"/>
                <w:b/>
                <w:bCs w:val="0"/>
                <w:color w:val="auto"/>
                <w:sz w:val="18"/>
                <w:szCs w:val="18"/>
                <w:highlight w:val="none"/>
              </w:rPr>
              <w:t>业绩值</w:t>
            </w:r>
          </w:p>
        </w:tc>
        <w:tc>
          <w:tcPr>
            <w:tcW w:w="1220"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
                <w:bCs w:val="0"/>
                <w:color w:val="auto"/>
                <w:sz w:val="18"/>
                <w:szCs w:val="18"/>
                <w:highlight w:val="none"/>
              </w:rPr>
            </w:pPr>
            <w:r>
              <w:rPr>
                <w:rFonts w:hint="eastAsia" w:ascii="仿宋" w:hAnsi="仿宋" w:eastAsia="仿宋" w:cs="仿宋"/>
                <w:b/>
                <w:bCs w:val="0"/>
                <w:color w:val="auto"/>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873" w:type="dxa"/>
            <w:vAlign w:val="center"/>
          </w:tcPr>
          <w:p>
            <w:pPr>
              <w:keepNext w:val="0"/>
              <w:keepLines w:val="0"/>
              <w:pageBreakBefore w:val="0"/>
              <w:tabs>
                <w:tab w:val="left" w:pos="1276"/>
              </w:tabs>
              <w:kinsoku/>
              <w:wordWrap/>
              <w:bidi w:val="0"/>
              <w:adjustRightInd w:val="0"/>
              <w:spacing w:line="240" w:lineRule="auto"/>
              <w:jc w:val="both"/>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立项依据充分性</w:t>
            </w:r>
          </w:p>
        </w:tc>
        <w:tc>
          <w:tcPr>
            <w:tcW w:w="1598"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lang w:eastAsia="zh-CN"/>
              </w:rPr>
            </w:pPr>
            <w:r>
              <w:rPr>
                <w:rFonts w:hint="eastAsia" w:ascii="仿宋" w:hAnsi="仿宋" w:eastAsia="仿宋" w:cs="仿宋"/>
                <w:bCs/>
                <w:color w:val="auto"/>
                <w:sz w:val="18"/>
                <w:szCs w:val="18"/>
                <w:highlight w:val="none"/>
                <w:lang w:val="en-US" w:eastAsia="zh-CN"/>
              </w:rPr>
              <w:t>2</w:t>
            </w:r>
          </w:p>
        </w:tc>
        <w:tc>
          <w:tcPr>
            <w:tcW w:w="1153"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100.00%</w:t>
            </w:r>
          </w:p>
        </w:tc>
        <w:tc>
          <w:tcPr>
            <w:tcW w:w="1220"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lang w:eastAsia="zh-CN"/>
              </w:rPr>
            </w:pPr>
            <w:r>
              <w:rPr>
                <w:rFonts w:hint="eastAsia" w:ascii="仿宋" w:hAnsi="仿宋" w:eastAsia="仿宋" w:cs="仿宋"/>
                <w:bCs/>
                <w:color w:val="auto"/>
                <w:sz w:val="18"/>
                <w:szCs w:val="18"/>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873" w:type="dxa"/>
            <w:vAlign w:val="center"/>
          </w:tcPr>
          <w:p>
            <w:pPr>
              <w:keepNext w:val="0"/>
              <w:keepLines w:val="0"/>
              <w:pageBreakBefore w:val="0"/>
              <w:tabs>
                <w:tab w:val="left" w:pos="1276"/>
              </w:tabs>
              <w:kinsoku/>
              <w:wordWrap/>
              <w:bidi w:val="0"/>
              <w:adjustRightInd w:val="0"/>
              <w:spacing w:line="240" w:lineRule="auto"/>
              <w:jc w:val="both"/>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项目立项规范性</w:t>
            </w:r>
          </w:p>
        </w:tc>
        <w:tc>
          <w:tcPr>
            <w:tcW w:w="1598"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3</w:t>
            </w:r>
          </w:p>
        </w:tc>
        <w:tc>
          <w:tcPr>
            <w:tcW w:w="1153"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100.00%</w:t>
            </w:r>
          </w:p>
        </w:tc>
        <w:tc>
          <w:tcPr>
            <w:tcW w:w="1220"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873"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小  计</w:t>
            </w:r>
          </w:p>
        </w:tc>
        <w:tc>
          <w:tcPr>
            <w:tcW w:w="1598"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5</w:t>
            </w:r>
          </w:p>
        </w:tc>
        <w:tc>
          <w:tcPr>
            <w:tcW w:w="1153"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100.00%</w:t>
            </w:r>
          </w:p>
        </w:tc>
        <w:tc>
          <w:tcPr>
            <w:tcW w:w="1220" w:type="dxa"/>
            <w:vAlign w:val="center"/>
          </w:tcPr>
          <w:p>
            <w:pPr>
              <w:keepNext w:val="0"/>
              <w:keepLines w:val="0"/>
              <w:pageBreakBefore w:val="0"/>
              <w:tabs>
                <w:tab w:val="left" w:pos="1276"/>
              </w:tabs>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5</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（1）立项依据充分性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晋宁区卫健局严格按照《昆明市工业和信息化局关于做好应对秋冬季疫情防控医疗卫生物资储备工作的通知》昆工信通</w:t>
      </w:r>
      <w:r>
        <w:rPr>
          <w:rFonts w:hint="eastAsia" w:hAnsi="仿宋"/>
          <w:szCs w:val="30"/>
          <w:highlight w:val="none"/>
          <w:lang w:eastAsia="zh-CN"/>
        </w:rPr>
        <w:t>〔</w:t>
      </w:r>
      <w:r>
        <w:rPr>
          <w:rFonts w:hint="eastAsia" w:hAnsi="仿宋" w:cs="仿宋"/>
          <w:bCs/>
          <w:color w:val="auto"/>
          <w:spacing w:val="6"/>
          <w:sz w:val="30"/>
          <w:szCs w:val="30"/>
          <w:highlight w:val="none"/>
          <w:lang w:val="en-US" w:eastAsia="zh-CN"/>
        </w:rPr>
        <w:t>2020</w:t>
      </w:r>
      <w:r>
        <w:rPr>
          <w:rFonts w:hint="eastAsia" w:hAnsi="仿宋"/>
          <w:szCs w:val="30"/>
          <w:highlight w:val="none"/>
          <w:lang w:eastAsia="zh-CN"/>
        </w:rPr>
        <w:t>〕</w:t>
      </w:r>
      <w:r>
        <w:rPr>
          <w:rFonts w:hint="eastAsia" w:hAnsi="仿宋" w:cs="仿宋"/>
          <w:bCs/>
          <w:color w:val="auto"/>
          <w:spacing w:val="6"/>
          <w:sz w:val="30"/>
          <w:szCs w:val="30"/>
          <w:highlight w:val="none"/>
          <w:lang w:val="en-US" w:eastAsia="zh-CN"/>
        </w:rPr>
        <w:t>87号文件要求，加强晋宁区疫情防控和医疗应急物资储备工作，加强卫生应急体系建设，设立了本项目。项目立项符合国家法律法规、国民经济发展规划、国家疫情防控政策规定的相关政策和政策要求，项目内容与晋宁区卫生健康局职责范围相符，属于卫生健康局履职所需。</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该项指标满分为2分，根据评分标准得2分。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（2）项目立项规范性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项目所设定的绩效目标依据充分，严格按照规定的程序申请设立，程序完备，项目立项、资金请示、资金批复文件、材料符合相关要求，项目立项规范。</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该项指标满分为3分，根据评分标准得3分。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2、绩效目标方面</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该部分主要考察所设定的项目绩效目标是否依据充分、完整且与预算相匹配，细化分解的绩效指标是否与绩效目标相适应。各指标的业绩值和绩效分值详见表4-2：</w:t>
      </w:r>
    </w:p>
    <w:p>
      <w:pPr>
        <w:keepNext w:val="0"/>
        <w:keepLines w:val="0"/>
        <w:pageBreakBefore w:val="0"/>
        <w:widowControl/>
        <w:kinsoku/>
        <w:wordWrap/>
        <w:bidi w:val="0"/>
        <w:adjustRightInd w:val="0"/>
        <w:spacing w:line="579" w:lineRule="exact"/>
        <w:jc w:val="center"/>
        <w:rPr>
          <w:rFonts w:ascii="黑体" w:hAnsi="黑体" w:eastAsia="黑体"/>
          <w:bCs/>
          <w:color w:val="auto"/>
          <w:sz w:val="24"/>
          <w:szCs w:val="24"/>
          <w:highlight w:val="none"/>
        </w:rPr>
      </w:pPr>
      <w:r>
        <w:rPr>
          <w:rFonts w:hint="eastAsia" w:ascii="黑体" w:hAnsi="黑体" w:eastAsia="黑体"/>
          <w:bCs/>
          <w:color w:val="auto"/>
          <w:sz w:val="24"/>
          <w:szCs w:val="24"/>
          <w:highlight w:val="none"/>
        </w:rPr>
        <w:t>表</w:t>
      </w:r>
      <w:r>
        <w:rPr>
          <w:rFonts w:ascii="黑体" w:hAnsi="黑体" w:eastAsia="黑体"/>
          <w:bCs/>
          <w:color w:val="auto"/>
          <w:sz w:val="24"/>
          <w:szCs w:val="24"/>
          <w:highlight w:val="none"/>
        </w:rPr>
        <w:t>4</w:t>
      </w:r>
      <w:r>
        <w:rPr>
          <w:rFonts w:hint="eastAsia" w:ascii="黑体" w:hAnsi="黑体" w:eastAsia="黑体"/>
          <w:bCs/>
          <w:color w:val="auto"/>
          <w:sz w:val="24"/>
          <w:szCs w:val="24"/>
          <w:highlight w:val="none"/>
        </w:rPr>
        <w:t>-</w:t>
      </w:r>
      <w:r>
        <w:rPr>
          <w:rFonts w:ascii="黑体" w:hAnsi="黑体" w:eastAsia="黑体"/>
          <w:bCs/>
          <w:color w:val="auto"/>
          <w:sz w:val="24"/>
          <w:szCs w:val="24"/>
          <w:highlight w:val="none"/>
        </w:rPr>
        <w:t>2</w:t>
      </w:r>
      <w:r>
        <w:rPr>
          <w:rFonts w:hint="eastAsia" w:ascii="黑体" w:hAnsi="黑体" w:eastAsia="黑体"/>
          <w:bCs/>
          <w:color w:val="auto"/>
          <w:sz w:val="24"/>
          <w:szCs w:val="24"/>
          <w:highlight w:val="none"/>
        </w:rPr>
        <w:t>：“绩效目标”指标评价</w:t>
      </w:r>
      <w:r>
        <w:rPr>
          <w:rFonts w:ascii="黑体" w:hAnsi="黑体" w:eastAsia="黑体"/>
          <w:bCs/>
          <w:color w:val="auto"/>
          <w:sz w:val="24"/>
          <w:szCs w:val="24"/>
          <w:highlight w:val="none"/>
        </w:rPr>
        <w:t>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3"/>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blHeader/>
          <w:jc w:val="center"/>
        </w:trPr>
        <w:tc>
          <w:tcPr>
            <w:tcW w:w="4873"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指标名称</w:t>
            </w:r>
          </w:p>
        </w:tc>
        <w:tc>
          <w:tcPr>
            <w:tcW w:w="1598"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指标权重</w:t>
            </w:r>
          </w:p>
        </w:tc>
        <w:tc>
          <w:tcPr>
            <w:tcW w:w="1153"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业绩值</w:t>
            </w:r>
          </w:p>
        </w:tc>
        <w:tc>
          <w:tcPr>
            <w:tcW w:w="1220"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绩效目标设定的合理性</w:t>
            </w:r>
          </w:p>
        </w:tc>
        <w:tc>
          <w:tcPr>
            <w:tcW w:w="1598"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2</w:t>
            </w:r>
          </w:p>
        </w:tc>
        <w:tc>
          <w:tcPr>
            <w:tcW w:w="1153"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u w:val="none"/>
                <w:lang w:val="en-US" w:eastAsia="zh-CN" w:bidi="ar"/>
              </w:rPr>
              <w:t>50.00%</w:t>
            </w:r>
          </w:p>
        </w:tc>
        <w:tc>
          <w:tcPr>
            <w:tcW w:w="1220"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绩效指标设定的明确性</w:t>
            </w:r>
          </w:p>
        </w:tc>
        <w:tc>
          <w:tcPr>
            <w:tcW w:w="1598"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u w:val="none"/>
                <w:lang w:val="en-US" w:eastAsia="zh-CN" w:bidi="ar"/>
              </w:rPr>
              <w:t>3</w:t>
            </w:r>
          </w:p>
        </w:tc>
        <w:tc>
          <w:tcPr>
            <w:tcW w:w="1153"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u w:val="none"/>
                <w:lang w:val="en-US" w:eastAsia="zh-CN" w:bidi="ar"/>
              </w:rPr>
              <w:t>50.00%</w:t>
            </w:r>
          </w:p>
        </w:tc>
        <w:tc>
          <w:tcPr>
            <w:tcW w:w="1220"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小  计</w:t>
            </w:r>
          </w:p>
        </w:tc>
        <w:tc>
          <w:tcPr>
            <w:tcW w:w="1598"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5</w:t>
            </w:r>
          </w:p>
        </w:tc>
        <w:tc>
          <w:tcPr>
            <w:tcW w:w="1153" w:type="dxa"/>
            <w:vAlign w:val="top"/>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50.00%</w:t>
            </w:r>
          </w:p>
        </w:tc>
        <w:tc>
          <w:tcPr>
            <w:tcW w:w="1220" w:type="dxa"/>
            <w:vAlign w:val="center"/>
          </w:tcPr>
          <w:p>
            <w:pPr>
              <w:keepNext w:val="0"/>
              <w:keepLines w:val="0"/>
              <w:pageBreakBefore w:val="0"/>
              <w:widowControl/>
              <w:suppressLineNumbers w:val="0"/>
              <w:kinsoku/>
              <w:wordWrap/>
              <w:bidi w:val="0"/>
              <w:spacing w:line="240" w:lineRule="auto"/>
              <w:jc w:val="center"/>
              <w:textAlignment w:val="top"/>
              <w:rPr>
                <w:rFonts w:hint="eastAsia" w:ascii="仿宋" w:hAnsi="仿宋" w:eastAsia="仿宋" w:cs="仿宋"/>
                <w:i w:val="0"/>
                <w:iCs w:val="0"/>
                <w:color w:val="000000"/>
                <w:kern w:val="0"/>
                <w:sz w:val="18"/>
                <w:szCs w:val="18"/>
                <w:u w:val="none"/>
                <w:lang w:val="en-US" w:eastAsia="zh-CN" w:bidi="ar"/>
              </w:rPr>
            </w:pPr>
            <w:r>
              <w:rPr>
                <w:rFonts w:hint="eastAsia" w:ascii="仿宋" w:hAnsi="仿宋" w:eastAsia="仿宋" w:cs="仿宋"/>
                <w:i w:val="0"/>
                <w:iCs w:val="0"/>
                <w:color w:val="000000"/>
                <w:kern w:val="0"/>
                <w:sz w:val="18"/>
                <w:szCs w:val="18"/>
                <w:u w:val="none"/>
                <w:lang w:val="en-US" w:eastAsia="zh-CN" w:bidi="ar"/>
              </w:rPr>
              <w:t>2.5</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（1）绩效目标合理性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本项目设定的绩效目标符合部门发展政策与规划、党委政府决策，但未能全面体现出卫生健康局职责任务和工作内容，未列明各执行单位的履职目标，未对项目预期产出和效益的业绩水平进行详细设定，未体现出资金量和业务量的相关数据和对应关系，得分扣1分。该项指标满分为2分，根据评分标准得1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2）绩效指标明确性，①绩效标细化、量化程度：晋宁区卫生健康局并未将项目绩效目标细化分解为具体的绩效指标，绩效目标在数量、质量、成本、时效、效益等方面未设置细化、可量化的绩效指标，未体现实际工作内容，该项指标得1分，扣0.5分；②各项指标值不够清晰，数据可获取、可衡量性不高，该项指标得1分，扣0.5分；③绩效申报表并未体现出资金量和业务量的相关数据和对应关系，绩效目标与预算确定的项目资金量匹配性无从考证，无法对应目标任务书与计划数，该项指标得1分，扣0.5分。绩效目标明确性总计扣1.5分，得1.5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该项指标满分为3分，根据评分标准得1.5分。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3、资金投入方面</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cs="仿宋"/>
          <w:bCs/>
          <w:color w:val="auto"/>
          <w:spacing w:val="6"/>
          <w:sz w:val="30"/>
          <w:szCs w:val="30"/>
          <w:highlight w:val="none"/>
          <w:lang w:val="en-US" w:eastAsia="zh-CN"/>
        </w:rPr>
      </w:pPr>
      <w:r>
        <w:rPr>
          <w:rFonts w:hint="eastAsia" w:hAnsi="仿宋" w:cs="仿宋"/>
          <w:bCs/>
          <w:color w:val="auto"/>
          <w:spacing w:val="6"/>
          <w:sz w:val="30"/>
          <w:szCs w:val="30"/>
          <w:highlight w:val="none"/>
          <w:lang w:val="en-US" w:eastAsia="zh-CN"/>
        </w:rPr>
        <w:t>该部分主要考察项目资金投入的预算编制及资金分配是否合理。各指标的业绩值和绩效分值详见表4-3：</w:t>
      </w:r>
    </w:p>
    <w:p>
      <w:pPr>
        <w:keepNext w:val="0"/>
        <w:keepLines w:val="0"/>
        <w:pageBreakBefore w:val="0"/>
        <w:widowControl/>
        <w:kinsoku/>
        <w:wordWrap/>
        <w:bidi w:val="0"/>
        <w:adjustRightInd w:val="0"/>
        <w:spacing w:line="579" w:lineRule="exact"/>
        <w:jc w:val="center"/>
        <w:rPr>
          <w:rFonts w:ascii="黑体" w:hAnsi="黑体" w:eastAsia="黑体"/>
          <w:bCs/>
          <w:color w:val="auto"/>
          <w:sz w:val="24"/>
          <w:szCs w:val="24"/>
          <w:highlight w:val="none"/>
        </w:rPr>
      </w:pPr>
      <w:r>
        <w:rPr>
          <w:rFonts w:hint="eastAsia" w:ascii="黑体" w:hAnsi="黑体" w:eastAsia="黑体"/>
          <w:bCs/>
          <w:color w:val="auto"/>
          <w:sz w:val="24"/>
          <w:szCs w:val="24"/>
          <w:highlight w:val="none"/>
        </w:rPr>
        <w:t>表</w:t>
      </w:r>
      <w:r>
        <w:rPr>
          <w:rFonts w:ascii="黑体" w:hAnsi="黑体" w:eastAsia="黑体"/>
          <w:bCs/>
          <w:color w:val="auto"/>
          <w:sz w:val="24"/>
          <w:szCs w:val="24"/>
          <w:highlight w:val="none"/>
        </w:rPr>
        <w:t>4</w:t>
      </w:r>
      <w:r>
        <w:rPr>
          <w:rFonts w:hint="eastAsia" w:ascii="黑体" w:hAnsi="黑体" w:eastAsia="黑体"/>
          <w:bCs/>
          <w:color w:val="auto"/>
          <w:sz w:val="24"/>
          <w:szCs w:val="24"/>
          <w:highlight w:val="none"/>
        </w:rPr>
        <w:t>-</w:t>
      </w:r>
      <w:r>
        <w:rPr>
          <w:rFonts w:ascii="黑体" w:hAnsi="黑体" w:eastAsia="黑体"/>
          <w:bCs/>
          <w:color w:val="auto"/>
          <w:sz w:val="24"/>
          <w:szCs w:val="24"/>
          <w:highlight w:val="none"/>
        </w:rPr>
        <w:t>3</w:t>
      </w:r>
      <w:r>
        <w:rPr>
          <w:rFonts w:hint="eastAsia" w:ascii="黑体" w:hAnsi="黑体" w:eastAsia="黑体"/>
          <w:bCs/>
          <w:color w:val="auto"/>
          <w:sz w:val="24"/>
          <w:szCs w:val="24"/>
          <w:highlight w:val="none"/>
        </w:rPr>
        <w:t>：“资金投入”指标评价</w:t>
      </w:r>
      <w:r>
        <w:rPr>
          <w:rFonts w:ascii="黑体" w:hAnsi="黑体" w:eastAsia="黑体"/>
          <w:bCs/>
          <w:color w:val="auto"/>
          <w:sz w:val="24"/>
          <w:szCs w:val="24"/>
          <w:highlight w:val="none"/>
        </w:rPr>
        <w:t>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4873"/>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blHeader/>
          <w:jc w:val="center"/>
        </w:trPr>
        <w:tc>
          <w:tcPr>
            <w:tcW w:w="4873"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指标名称</w:t>
            </w:r>
          </w:p>
        </w:tc>
        <w:tc>
          <w:tcPr>
            <w:tcW w:w="1598"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指标权重</w:t>
            </w:r>
          </w:p>
        </w:tc>
        <w:tc>
          <w:tcPr>
            <w:tcW w:w="1153"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业绩值</w:t>
            </w:r>
          </w:p>
        </w:tc>
        <w:tc>
          <w:tcPr>
            <w:tcW w:w="1220"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预算编制</w:t>
            </w:r>
            <w:r>
              <w:rPr>
                <w:rFonts w:hint="eastAsia" w:ascii="仿宋" w:hAnsi="仿宋" w:eastAsia="仿宋" w:cs="仿宋"/>
                <w:bCs/>
                <w:color w:val="auto"/>
                <w:kern w:val="0"/>
                <w:sz w:val="18"/>
                <w:szCs w:val="18"/>
                <w:highlight w:val="none"/>
                <w:lang w:eastAsia="zh-CN"/>
              </w:rPr>
              <w:t>科学</w:t>
            </w:r>
            <w:r>
              <w:rPr>
                <w:rFonts w:hint="eastAsia" w:ascii="仿宋" w:hAnsi="仿宋" w:eastAsia="仿宋" w:cs="仿宋"/>
                <w:bCs/>
                <w:color w:val="auto"/>
                <w:kern w:val="0"/>
                <w:sz w:val="18"/>
                <w:szCs w:val="18"/>
                <w:highlight w:val="none"/>
              </w:rPr>
              <w:t>性</w:t>
            </w:r>
          </w:p>
        </w:tc>
        <w:tc>
          <w:tcPr>
            <w:tcW w:w="1598"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3</w:t>
            </w:r>
          </w:p>
        </w:tc>
        <w:tc>
          <w:tcPr>
            <w:tcW w:w="1153"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66.67</w:t>
            </w:r>
            <w:r>
              <w:rPr>
                <w:rFonts w:hint="eastAsia" w:ascii="仿宋" w:hAnsi="仿宋" w:eastAsia="仿宋" w:cs="仿宋"/>
                <w:bCs/>
                <w:color w:val="auto"/>
                <w:kern w:val="0"/>
                <w:sz w:val="18"/>
                <w:szCs w:val="18"/>
                <w:highlight w:val="none"/>
              </w:rPr>
              <w:t>%</w:t>
            </w:r>
          </w:p>
        </w:tc>
        <w:tc>
          <w:tcPr>
            <w:tcW w:w="1220"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资金分配的合理性</w:t>
            </w:r>
          </w:p>
        </w:tc>
        <w:tc>
          <w:tcPr>
            <w:tcW w:w="1598"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2</w:t>
            </w:r>
          </w:p>
        </w:tc>
        <w:tc>
          <w:tcPr>
            <w:tcW w:w="1153"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50</w:t>
            </w:r>
            <w:r>
              <w:rPr>
                <w:rFonts w:hint="eastAsia" w:ascii="仿宋" w:hAnsi="仿宋" w:eastAsia="仿宋" w:cs="仿宋"/>
                <w:bCs/>
                <w:color w:val="auto"/>
                <w:kern w:val="0"/>
                <w:sz w:val="18"/>
                <w:szCs w:val="18"/>
                <w:highlight w:val="none"/>
              </w:rPr>
              <w:t>.00%</w:t>
            </w:r>
          </w:p>
        </w:tc>
        <w:tc>
          <w:tcPr>
            <w:tcW w:w="1220"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小  计</w:t>
            </w:r>
          </w:p>
        </w:tc>
        <w:tc>
          <w:tcPr>
            <w:tcW w:w="1598"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5</w:t>
            </w:r>
          </w:p>
        </w:tc>
        <w:tc>
          <w:tcPr>
            <w:tcW w:w="1153"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60</w:t>
            </w:r>
            <w:r>
              <w:rPr>
                <w:rFonts w:hint="eastAsia" w:ascii="仿宋" w:hAnsi="仿宋" w:eastAsia="仿宋" w:cs="仿宋"/>
                <w:bCs/>
                <w:color w:val="auto"/>
                <w:kern w:val="0"/>
                <w:sz w:val="18"/>
                <w:szCs w:val="18"/>
                <w:highlight w:val="none"/>
              </w:rPr>
              <w:t>.00%</w:t>
            </w:r>
          </w:p>
        </w:tc>
        <w:tc>
          <w:tcPr>
            <w:tcW w:w="1220"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bookmarkStart w:id="55" w:name="_Toc517260976"/>
      <w:bookmarkStart w:id="56" w:name="_Toc518317812"/>
      <w:r>
        <w:rPr>
          <w:rFonts w:hint="eastAsia" w:hAnsi="仿宋"/>
          <w:bCs/>
          <w:color w:val="auto"/>
          <w:spacing w:val="6"/>
          <w:szCs w:val="30"/>
          <w:highlight w:val="none"/>
          <w:lang w:eastAsia="zh-CN"/>
        </w:rPr>
        <w:t>（</w:t>
      </w:r>
      <w:r>
        <w:rPr>
          <w:rFonts w:hint="eastAsia" w:hAnsi="仿宋"/>
          <w:bCs/>
          <w:color w:val="auto"/>
          <w:spacing w:val="6"/>
          <w:szCs w:val="30"/>
          <w:highlight w:val="none"/>
          <w:lang w:val="en-US" w:eastAsia="zh-CN"/>
        </w:rPr>
        <w:t>1</w:t>
      </w:r>
      <w:r>
        <w:rPr>
          <w:rFonts w:hint="eastAsia" w:hAnsi="仿宋"/>
          <w:bCs/>
          <w:color w:val="auto"/>
          <w:spacing w:val="6"/>
          <w:szCs w:val="30"/>
          <w:highlight w:val="none"/>
          <w:lang w:eastAsia="zh-CN"/>
        </w:rPr>
        <w:t>）</w:t>
      </w:r>
      <w:r>
        <w:rPr>
          <w:rFonts w:hint="eastAsia" w:hAnsi="仿宋"/>
          <w:bCs/>
          <w:color w:val="auto"/>
          <w:spacing w:val="6"/>
          <w:szCs w:val="30"/>
          <w:highlight w:val="none"/>
        </w:rPr>
        <w:t>预算编制科学性</w:t>
      </w:r>
      <w:r>
        <w:rPr>
          <w:rFonts w:hint="eastAsia" w:hAnsi="仿宋"/>
          <w:bCs/>
          <w:color w:val="auto"/>
          <w:spacing w:val="6"/>
          <w:szCs w:val="30"/>
          <w:highlight w:val="none"/>
          <w:lang w:eastAsia="zh-CN"/>
        </w:rPr>
        <w:t>，</w:t>
      </w:r>
      <w:r>
        <w:rPr>
          <w:rFonts w:hint="eastAsia" w:hAnsi="仿宋"/>
          <w:bCs/>
          <w:color w:val="auto"/>
          <w:spacing w:val="6"/>
          <w:szCs w:val="30"/>
          <w:highlight w:val="none"/>
          <w:lang w:val="en-US" w:eastAsia="zh-CN"/>
        </w:rPr>
        <w:t>晋宁区卫生健康局在预算编制时将项目预算资金按照用途进行了划分：①昆明市晋宁区防控物资预算采购资金为108.86万元；②区级传染病能力建设设备设施采购预算资金为525万元；③医疗卫生机构防控物资采购预算资金为364.927万元。项目总体预算较为合理，但未对项目实际实施单位所需采购金额进行合理测算，预算额度测算依据不够充分，未结合项目具体实施过程进行测算。</w:t>
      </w:r>
    </w:p>
    <w:p>
      <w:pPr>
        <w:keepNext w:val="0"/>
        <w:keepLines w:val="0"/>
        <w:pageBreakBefore w:val="0"/>
        <w:widowControl w:val="0"/>
        <w:numPr>
          <w:ilvl w:val="0"/>
          <w:numId w:val="0"/>
        </w:numPr>
        <w:kinsoku/>
        <w:wordWrap/>
        <w:overflowPunct/>
        <w:topLinePunct w:val="0"/>
        <w:autoSpaceDE/>
        <w:autoSpaceDN/>
        <w:bidi w:val="0"/>
        <w:adjustRightInd w:val="0"/>
        <w:snapToGrid/>
        <w:spacing w:line="579" w:lineRule="exact"/>
        <w:ind w:firstLine="654" w:firstLineChars="200"/>
        <w:textAlignment w:val="auto"/>
        <w:rPr>
          <w:rFonts w:hint="eastAsia" w:hAnsi="仿宋"/>
          <w:bCs/>
          <w:color w:val="auto"/>
          <w:spacing w:val="6"/>
          <w:szCs w:val="30"/>
          <w:highlight w:val="none"/>
        </w:rPr>
      </w:pPr>
      <w:r>
        <w:rPr>
          <w:rFonts w:hint="eastAsia" w:hAnsi="仿宋"/>
          <w:bCs/>
          <w:color w:val="auto"/>
          <w:spacing w:val="6"/>
          <w:szCs w:val="30"/>
          <w:highlight w:val="none"/>
        </w:rPr>
        <w:t>该项指标满分为</w:t>
      </w:r>
      <w:r>
        <w:rPr>
          <w:rFonts w:hint="eastAsia" w:hAnsi="仿宋"/>
          <w:bCs/>
          <w:color w:val="auto"/>
          <w:spacing w:val="6"/>
          <w:szCs w:val="30"/>
          <w:highlight w:val="none"/>
          <w:lang w:val="en-US" w:eastAsia="zh-CN"/>
        </w:rPr>
        <w:t>3</w:t>
      </w:r>
      <w:r>
        <w:rPr>
          <w:rFonts w:hint="eastAsia" w:hAnsi="仿宋"/>
          <w:bCs/>
          <w:color w:val="auto"/>
          <w:spacing w:val="6"/>
          <w:szCs w:val="30"/>
          <w:highlight w:val="none"/>
        </w:rPr>
        <w:t>分，根据评分标准得</w:t>
      </w:r>
      <w:r>
        <w:rPr>
          <w:rFonts w:hint="eastAsia" w:hAnsi="仿宋"/>
          <w:bCs/>
          <w:color w:val="auto"/>
          <w:spacing w:val="6"/>
          <w:szCs w:val="30"/>
          <w:highlight w:val="none"/>
          <w:lang w:val="en-US" w:eastAsia="zh-CN"/>
        </w:rPr>
        <w:t>2</w:t>
      </w:r>
      <w:r>
        <w:rPr>
          <w:rFonts w:hint="eastAsia" w:hAnsi="仿宋"/>
          <w:bCs/>
          <w:color w:val="auto"/>
          <w:spacing w:val="6"/>
          <w:szCs w:val="30"/>
          <w:highlight w:val="none"/>
        </w:rPr>
        <w:t>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（2）资金分配合理性，卫生健康局对于该项目预算资金下拨单位拨付分配的金额，无明确的分配依据，但资金分配较为合理，与项目单位、地方实际大致适应。</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default" w:hAnsi="仿宋"/>
          <w:bCs/>
          <w:color w:val="auto"/>
          <w:spacing w:val="6"/>
          <w:szCs w:val="30"/>
          <w:highlight w:val="none"/>
          <w:lang w:val="en-US" w:eastAsia="zh-CN"/>
        </w:rPr>
      </w:pPr>
      <w:r>
        <w:rPr>
          <w:rFonts w:hint="eastAsia" w:hAnsi="仿宋"/>
          <w:bCs/>
          <w:color w:val="auto"/>
          <w:spacing w:val="6"/>
          <w:szCs w:val="30"/>
          <w:highlight w:val="none"/>
          <w:lang w:eastAsia="zh-CN"/>
        </w:rPr>
        <w:t>该项指标满分为</w:t>
      </w:r>
      <w:r>
        <w:rPr>
          <w:rFonts w:hint="eastAsia" w:hAnsi="仿宋"/>
          <w:bCs/>
          <w:color w:val="auto"/>
          <w:spacing w:val="6"/>
          <w:szCs w:val="30"/>
          <w:highlight w:val="none"/>
          <w:lang w:val="en-US" w:eastAsia="zh-CN"/>
        </w:rPr>
        <w:t>2</w:t>
      </w:r>
      <w:r>
        <w:rPr>
          <w:rFonts w:hint="eastAsia" w:hAnsi="仿宋"/>
          <w:bCs/>
          <w:color w:val="auto"/>
          <w:spacing w:val="6"/>
          <w:szCs w:val="30"/>
          <w:highlight w:val="none"/>
          <w:lang w:eastAsia="zh-CN"/>
        </w:rPr>
        <w:t>分，根据评分标准得</w:t>
      </w:r>
      <w:r>
        <w:rPr>
          <w:rFonts w:hint="eastAsia" w:hAnsi="仿宋"/>
          <w:bCs/>
          <w:color w:val="auto"/>
          <w:spacing w:val="6"/>
          <w:szCs w:val="30"/>
          <w:highlight w:val="none"/>
          <w:lang w:val="en-US" w:eastAsia="zh-CN"/>
        </w:rPr>
        <w:t>1</w:t>
      </w:r>
      <w:r>
        <w:rPr>
          <w:rFonts w:hint="eastAsia" w:hAnsi="仿宋"/>
          <w:bCs/>
          <w:color w:val="auto"/>
          <w:spacing w:val="6"/>
          <w:szCs w:val="30"/>
          <w:highlight w:val="none"/>
          <w:lang w:eastAsia="zh-CN"/>
        </w:rPr>
        <w:t>分。</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57" w:name="_Toc13780"/>
      <w:r>
        <w:rPr>
          <w:rFonts w:hint="eastAsia" w:ascii="楷体" w:hAnsi="楷体" w:eastAsia="楷体" w:cs="楷体"/>
          <w:szCs w:val="30"/>
          <w:lang w:val="en-US" w:eastAsia="zh-CN"/>
        </w:rPr>
        <w:t>（二）项目过程情况</w:t>
      </w:r>
      <w:bookmarkEnd w:id="55"/>
      <w:bookmarkEnd w:id="56"/>
      <w:bookmarkEnd w:id="57"/>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项目过程类指标，包括项目管理和财务管理两方面的内容，由8个三级指标构成。该指标评价满分20分，实际得分17.5分，得分率87.5%。</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1.项目管理方面</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该部分主要考察项目实施单位财务管理制度与项目管理制度是否健全，项目实施单位管理制度执行情况是否合规。各指标分值和得分情况详见表4-4：</w:t>
      </w:r>
    </w:p>
    <w:p>
      <w:pPr>
        <w:keepNext w:val="0"/>
        <w:keepLines w:val="0"/>
        <w:pageBreakBefore w:val="0"/>
        <w:widowControl/>
        <w:kinsoku/>
        <w:wordWrap/>
        <w:bidi w:val="0"/>
        <w:adjustRightInd w:val="0"/>
        <w:spacing w:line="579" w:lineRule="exact"/>
        <w:jc w:val="center"/>
        <w:rPr>
          <w:rFonts w:ascii="黑体" w:hAnsi="黑体" w:eastAsia="黑体"/>
          <w:bCs/>
          <w:color w:val="auto"/>
          <w:sz w:val="24"/>
          <w:szCs w:val="24"/>
          <w:highlight w:val="none"/>
        </w:rPr>
      </w:pPr>
      <w:r>
        <w:rPr>
          <w:rFonts w:hint="eastAsia" w:ascii="黑体" w:hAnsi="黑体" w:eastAsia="黑体"/>
          <w:bCs/>
          <w:color w:val="auto"/>
          <w:sz w:val="24"/>
          <w:szCs w:val="24"/>
          <w:highlight w:val="none"/>
        </w:rPr>
        <w:t>表4-</w:t>
      </w:r>
      <w:r>
        <w:rPr>
          <w:rFonts w:ascii="黑体" w:hAnsi="黑体" w:eastAsia="黑体"/>
          <w:bCs/>
          <w:color w:val="auto"/>
          <w:sz w:val="24"/>
          <w:szCs w:val="24"/>
          <w:highlight w:val="none"/>
        </w:rPr>
        <w:t>4</w:t>
      </w:r>
      <w:r>
        <w:rPr>
          <w:rFonts w:hint="eastAsia" w:ascii="黑体" w:hAnsi="黑体" w:eastAsia="黑体"/>
          <w:bCs/>
          <w:color w:val="auto"/>
          <w:sz w:val="24"/>
          <w:szCs w:val="24"/>
          <w:highlight w:val="none"/>
        </w:rPr>
        <w:t>：“项目管理”指标评价</w:t>
      </w:r>
      <w:r>
        <w:rPr>
          <w:rFonts w:ascii="黑体" w:hAnsi="黑体" w:eastAsia="黑体"/>
          <w:bCs/>
          <w:color w:val="auto"/>
          <w:sz w:val="24"/>
          <w:szCs w:val="24"/>
          <w:highlight w:val="none"/>
        </w:rPr>
        <w:t>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57" w:type="dxa"/>
          <w:left w:w="57" w:type="dxa"/>
          <w:bottom w:w="57" w:type="dxa"/>
          <w:right w:w="57" w:type="dxa"/>
        </w:tblCellMar>
      </w:tblPr>
      <w:tblGrid>
        <w:gridCol w:w="4873"/>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57" w:type="dxa"/>
            <w:left w:w="57" w:type="dxa"/>
            <w:bottom w:w="57" w:type="dxa"/>
            <w:right w:w="57" w:type="dxa"/>
          </w:tblCellMar>
        </w:tblPrEx>
        <w:trPr>
          <w:tblHeader/>
          <w:jc w:val="center"/>
        </w:trPr>
        <w:tc>
          <w:tcPr>
            <w:tcW w:w="487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指标名称</w:t>
            </w:r>
          </w:p>
        </w:tc>
        <w:tc>
          <w:tcPr>
            <w:tcW w:w="1598"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指标权重</w:t>
            </w:r>
          </w:p>
        </w:tc>
        <w:tc>
          <w:tcPr>
            <w:tcW w:w="115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业绩值</w:t>
            </w:r>
          </w:p>
        </w:tc>
        <w:tc>
          <w:tcPr>
            <w:tcW w:w="1220"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rPr>
            </w:pPr>
            <w:r>
              <w:rPr>
                <w:rFonts w:hint="eastAsia" w:ascii="仿宋" w:hAnsi="仿宋" w:eastAsia="仿宋" w:cs="仿宋"/>
                <w:color w:val="auto"/>
                <w:sz w:val="18"/>
                <w:szCs w:val="18"/>
                <w:highlight w:val="none"/>
              </w:rPr>
              <w:t>管理制度健全性</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2</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100.00</w:t>
            </w:r>
            <w:r>
              <w:rPr>
                <w:rFonts w:hint="eastAsia" w:ascii="仿宋" w:hAnsi="仿宋" w:eastAsia="仿宋" w:cs="仿宋"/>
                <w:bCs/>
                <w:color w:val="auto"/>
                <w:kern w:val="0"/>
                <w:sz w:val="18"/>
                <w:szCs w:val="18"/>
                <w:highlight w:val="none"/>
              </w:rPr>
              <w:t>%</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rPr>
            </w:pPr>
            <w:r>
              <w:rPr>
                <w:rFonts w:hint="eastAsia" w:ascii="仿宋" w:hAnsi="仿宋" w:eastAsia="仿宋" w:cs="仿宋"/>
                <w:color w:val="auto"/>
                <w:sz w:val="18"/>
                <w:szCs w:val="18"/>
                <w:highlight w:val="none"/>
              </w:rPr>
              <w:t>项目管理制度健全性</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100.00%</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监督检查</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3</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50</w:t>
            </w:r>
            <w:r>
              <w:rPr>
                <w:rFonts w:hint="eastAsia" w:ascii="仿宋" w:hAnsi="仿宋" w:eastAsia="仿宋" w:cs="仿宋"/>
                <w:bCs/>
                <w:color w:val="auto"/>
                <w:kern w:val="0"/>
                <w:sz w:val="18"/>
                <w:szCs w:val="18"/>
                <w:highlight w:val="none"/>
              </w:rPr>
              <w:t>.00%</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档案管理</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100.00%</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小  计</w:t>
            </w:r>
          </w:p>
        </w:tc>
        <w:tc>
          <w:tcPr>
            <w:tcW w:w="1598"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10</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hAnsi="仿宋" w:cs="仿宋"/>
                <w:bCs/>
                <w:color w:val="auto"/>
                <w:kern w:val="0"/>
                <w:sz w:val="18"/>
                <w:szCs w:val="18"/>
                <w:highlight w:val="none"/>
                <w:lang w:val="en-US" w:eastAsia="zh-CN"/>
              </w:rPr>
              <w:t>85</w:t>
            </w:r>
            <w:r>
              <w:rPr>
                <w:rFonts w:hint="eastAsia" w:ascii="仿宋" w:hAnsi="仿宋" w:eastAsia="仿宋" w:cs="仿宋"/>
                <w:bCs/>
                <w:color w:val="auto"/>
                <w:kern w:val="0"/>
                <w:sz w:val="18"/>
                <w:szCs w:val="18"/>
                <w:highlight w:val="none"/>
              </w:rPr>
              <w:t>.</w:t>
            </w:r>
            <w:r>
              <w:rPr>
                <w:rFonts w:hint="eastAsia" w:ascii="仿宋" w:hAnsi="仿宋" w:eastAsia="仿宋" w:cs="仿宋"/>
                <w:bCs/>
                <w:color w:val="auto"/>
                <w:kern w:val="0"/>
                <w:sz w:val="18"/>
                <w:szCs w:val="18"/>
                <w:highlight w:val="none"/>
                <w:lang w:val="en-US" w:eastAsia="zh-CN"/>
              </w:rPr>
              <w:t>00</w:t>
            </w:r>
            <w:r>
              <w:rPr>
                <w:rFonts w:hint="eastAsia" w:ascii="仿宋" w:hAnsi="仿宋" w:eastAsia="仿宋" w:cs="仿宋"/>
                <w:bCs/>
                <w:color w:val="auto"/>
                <w:kern w:val="0"/>
                <w:sz w:val="18"/>
                <w:szCs w:val="18"/>
                <w:highlight w:val="none"/>
              </w:rPr>
              <w:t>%</w:t>
            </w:r>
          </w:p>
        </w:tc>
        <w:tc>
          <w:tcPr>
            <w:tcW w:w="1220"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hAnsi="仿宋" w:cs="仿宋"/>
                <w:bCs/>
                <w:color w:val="auto"/>
                <w:kern w:val="0"/>
                <w:sz w:val="18"/>
                <w:szCs w:val="18"/>
                <w:highlight w:val="none"/>
                <w:lang w:val="en-US" w:eastAsia="zh-CN"/>
              </w:rPr>
              <w:t>8</w:t>
            </w:r>
            <w:r>
              <w:rPr>
                <w:rFonts w:hint="eastAsia" w:ascii="仿宋" w:hAnsi="仿宋" w:eastAsia="仿宋" w:cs="仿宋"/>
                <w:bCs/>
                <w:color w:val="auto"/>
                <w:kern w:val="0"/>
                <w:sz w:val="18"/>
                <w:szCs w:val="18"/>
                <w:highlight w:val="none"/>
                <w:lang w:val="en-US" w:eastAsia="zh-CN"/>
              </w:rPr>
              <w:t>.5</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（1）管理制度健全性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在项目实施过程中，晋宁区卫生健康局为了规范下属财政资金的拨款单位，加强医院财务财务管理和监督，规范医院财务行为，印发了《昆明市晋宁区卫生健康系统财务管理办法》（晋卫政〔2021〕31号），规范项目资金使用，满足了项目管理需要。</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该项指标满分为2分，根据评分标准得2分。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（2）制度执行有效性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在实地评价过程中，晋宁区卫生健康局严格按照《昆明市晋宁区卫生健康系统财务管理办法》的内容对秋冬疫情防疫物资专项资金拨款单位进行管理，项目资金支出有严格的支出管理制度，①区医院、区二院、服务类（不包括人员工资、药品等支出）支出10万元以上，需经单位按程序研究讨论后报区卫健局审批后执行；②晋宁区妇幼健康服务中心、晋宁区疾病预防控制中心，各乡镇卫生院、社区卫生服务中心货物、服务类（不包括人员工资、药品等支出）支出5万元以上，经单位按程序研究讨论后报区卫健局审批后执行，经实地评价，本项目拨款单位资金支出符合资金管理制度，有严格的审批程序，并未发现执行不到位的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该项指标满分为3分，根据评分标准得3分。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（3）项目监督检查</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在实地评价过程中，晋宁区卫健局并未对秋冬疫情防疫物资专项资金拨款单位进行定期或不定期抽查，并未全程监督资金使用情况，也未形成相应的痕迹资料，只开展了绩效自评工作，出具了自评报告。</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该项指标满分为3分，根据评分标准得1.5分。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（4）档案管理情况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在实地评价过程中，晋宁区卫生健康局及项目资金拨付单位有专人管理相应的财务档案，项目档案资料、工作台帐完整、齐全、规范。</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该项指标满分为2分，根据评分标准得2分。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2.财务管理方面</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该部分主要考察项目资金使用情况，项目资金拨付程序是否完整，会计核算是否合规。各指标分值和得分情况详见表4-5：</w:t>
      </w:r>
    </w:p>
    <w:p>
      <w:pPr>
        <w:keepNext w:val="0"/>
        <w:keepLines w:val="0"/>
        <w:pageBreakBefore w:val="0"/>
        <w:widowControl/>
        <w:kinsoku/>
        <w:wordWrap/>
        <w:bidi w:val="0"/>
        <w:adjustRightInd w:val="0"/>
        <w:spacing w:line="579" w:lineRule="exact"/>
        <w:jc w:val="center"/>
        <w:rPr>
          <w:rFonts w:ascii="黑体" w:hAnsi="黑体" w:eastAsia="黑体"/>
          <w:bCs/>
          <w:color w:val="auto"/>
          <w:sz w:val="24"/>
          <w:szCs w:val="24"/>
          <w:highlight w:val="none"/>
        </w:rPr>
      </w:pPr>
      <w:r>
        <w:rPr>
          <w:rFonts w:hint="eastAsia" w:ascii="黑体" w:hAnsi="黑体" w:eastAsia="黑体"/>
          <w:bCs/>
          <w:color w:val="auto"/>
          <w:sz w:val="24"/>
          <w:szCs w:val="24"/>
          <w:highlight w:val="none"/>
        </w:rPr>
        <w:t>表</w:t>
      </w:r>
      <w:r>
        <w:rPr>
          <w:rFonts w:ascii="黑体" w:hAnsi="黑体" w:eastAsia="黑体"/>
          <w:bCs/>
          <w:color w:val="auto"/>
          <w:sz w:val="24"/>
          <w:szCs w:val="24"/>
          <w:highlight w:val="none"/>
        </w:rPr>
        <w:t>4</w:t>
      </w:r>
      <w:r>
        <w:rPr>
          <w:rFonts w:hint="eastAsia" w:ascii="黑体" w:hAnsi="黑体" w:eastAsia="黑体"/>
          <w:bCs/>
          <w:color w:val="auto"/>
          <w:sz w:val="24"/>
          <w:szCs w:val="24"/>
          <w:highlight w:val="none"/>
        </w:rPr>
        <w:t>-5：“资金管理”指标评价</w:t>
      </w:r>
      <w:r>
        <w:rPr>
          <w:rFonts w:ascii="黑体" w:hAnsi="黑体" w:eastAsia="黑体"/>
          <w:bCs/>
          <w:color w:val="auto"/>
          <w:sz w:val="24"/>
          <w:szCs w:val="24"/>
          <w:highlight w:val="none"/>
        </w:rPr>
        <w:t>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57" w:type="dxa"/>
          <w:left w:w="57" w:type="dxa"/>
          <w:bottom w:w="57" w:type="dxa"/>
          <w:right w:w="57" w:type="dxa"/>
        </w:tblCellMar>
      </w:tblPr>
      <w:tblGrid>
        <w:gridCol w:w="4873"/>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57" w:type="dxa"/>
            <w:left w:w="57" w:type="dxa"/>
            <w:bottom w:w="57" w:type="dxa"/>
            <w:right w:w="57" w:type="dxa"/>
          </w:tblCellMar>
        </w:tblPrEx>
        <w:trPr>
          <w:tblHeader/>
          <w:jc w:val="center"/>
        </w:trPr>
        <w:tc>
          <w:tcPr>
            <w:tcW w:w="487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指标名称</w:t>
            </w:r>
          </w:p>
        </w:tc>
        <w:tc>
          <w:tcPr>
            <w:tcW w:w="1598"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指标权重</w:t>
            </w:r>
          </w:p>
        </w:tc>
        <w:tc>
          <w:tcPr>
            <w:tcW w:w="115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业绩值</w:t>
            </w:r>
          </w:p>
        </w:tc>
        <w:tc>
          <w:tcPr>
            <w:tcW w:w="1220"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资金到位率</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100.00%</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预算执行率</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66</w:t>
            </w:r>
            <w:r>
              <w:rPr>
                <w:rFonts w:hint="eastAsia" w:ascii="仿宋" w:hAnsi="仿宋" w:eastAsia="仿宋" w:cs="仿宋"/>
                <w:bCs/>
                <w:color w:val="auto"/>
                <w:kern w:val="0"/>
                <w:sz w:val="18"/>
                <w:szCs w:val="18"/>
                <w:highlight w:val="none"/>
              </w:rPr>
              <w:t>.</w:t>
            </w:r>
            <w:r>
              <w:rPr>
                <w:rFonts w:hint="eastAsia" w:ascii="仿宋" w:hAnsi="仿宋" w:eastAsia="仿宋" w:cs="仿宋"/>
                <w:bCs/>
                <w:color w:val="auto"/>
                <w:kern w:val="0"/>
                <w:sz w:val="18"/>
                <w:szCs w:val="18"/>
                <w:highlight w:val="none"/>
                <w:lang w:val="en-US" w:eastAsia="zh-CN"/>
              </w:rPr>
              <w:t>67</w:t>
            </w:r>
            <w:r>
              <w:rPr>
                <w:rFonts w:hint="eastAsia" w:ascii="仿宋" w:hAnsi="仿宋" w:eastAsia="仿宋" w:cs="仿宋"/>
                <w:bCs/>
                <w:color w:val="auto"/>
                <w:kern w:val="0"/>
                <w:sz w:val="18"/>
                <w:szCs w:val="18"/>
                <w:highlight w:val="none"/>
              </w:rPr>
              <w:t>%</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90" w:hRule="atLeast"/>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资金使用合规性</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100.00%</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会计核算规范性</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2</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100.00%</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小  计</w:t>
            </w:r>
          </w:p>
        </w:tc>
        <w:tc>
          <w:tcPr>
            <w:tcW w:w="1598"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10</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90</w:t>
            </w:r>
            <w:r>
              <w:rPr>
                <w:rFonts w:hint="eastAsia" w:ascii="仿宋" w:hAnsi="仿宋" w:eastAsia="仿宋" w:cs="仿宋"/>
                <w:bCs/>
                <w:color w:val="auto"/>
                <w:kern w:val="0"/>
                <w:sz w:val="18"/>
                <w:szCs w:val="18"/>
                <w:highlight w:val="none"/>
              </w:rPr>
              <w:t>.00%</w:t>
            </w:r>
          </w:p>
        </w:tc>
        <w:tc>
          <w:tcPr>
            <w:tcW w:w="1220"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9</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（1）资金到位率</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根据预算批复，2021年晋宁区新冠疫情肺炎疫情防控物资储备项目预算资金998.787万元，卫生健康局在2021年2月就全额把资金拨付给区医院、区二院、下属区妇幼健康服务中心中心、二街卫生院、夕阳彝族乡卫生院、双河彝族乡卫生院、化乐卫生院、昆阳社区卫生服务中心，实际拨付998.787万元。资金到位率为100.00%。</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该项指标满分为3分，根据评分标准得3分。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（2）预算执行率</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default" w:hAnsi="仿宋"/>
          <w:bCs/>
          <w:color w:val="auto"/>
          <w:spacing w:val="6"/>
          <w:szCs w:val="30"/>
          <w:highlight w:val="none"/>
          <w:lang w:val="en-US" w:eastAsia="zh-CN"/>
        </w:rPr>
      </w:pPr>
      <w:r>
        <w:rPr>
          <w:rFonts w:hint="eastAsia" w:hAnsi="仿宋"/>
          <w:bCs/>
          <w:color w:val="auto"/>
          <w:spacing w:val="6"/>
          <w:szCs w:val="30"/>
          <w:highlight w:val="none"/>
          <w:lang w:val="en-US" w:eastAsia="zh-CN"/>
        </w:rPr>
        <w:t>该项目实际到位资金998.787万元，卫健局实际拨付各采购单位资金998.787万元，资金下拨单位实际实施支出998.787万元，预算执行率100%，但各项资金支出与年初设定的各项资金预算内容上存在差异，项目初期给昆明市晋宁区防控物资储备预算金额是108.86万元，给医疗卫生机构防控物资储备预算是364.927万元，在项目实施过程中实际用于昆明市晋宁区防控物资储备（疾控中心）项目资金为129.36万元，实际用于医疗卫生机构防控物资项目资金为344.427万元，与年初预算设定规划存在差异。</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该项指标满分为3分，根据评分标准得2分。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（3）资金使用合规性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根据实地评价，各采购单位的资金使用具有完整的审批程序和手续，未发现未按批复用途使用资金的情况，资金使用符合国家财经法规和财务管理制度规定以及有关专项资金管理办法的规定。未发现存在截留、挤占、挪用、虚列支出等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该项指标满分为2分，根据评分标准得2分。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（4）会计核算规范性</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根据实地评价，卫生健康局和各项目实施单位的会计核算符合相关财务会计制度的规定，资金使用有完整的审批程序和手续，未发现存在虚列支出等情况，能清晰的反映专项资金的收支情况。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Ansi="仿宋"/>
          <w:bCs/>
          <w:color w:val="auto"/>
          <w:spacing w:val="6"/>
          <w:szCs w:val="30"/>
          <w:highlight w:val="none"/>
        </w:rPr>
      </w:pPr>
      <w:r>
        <w:rPr>
          <w:rFonts w:hint="eastAsia" w:hAnsi="仿宋"/>
          <w:bCs/>
          <w:color w:val="auto"/>
          <w:spacing w:val="6"/>
          <w:szCs w:val="30"/>
          <w:highlight w:val="none"/>
          <w:lang w:val="en-US" w:eastAsia="zh-CN"/>
        </w:rPr>
        <w:t>该项指标满分为2分，根据评分标准得2分。</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58" w:name="_Toc518317813"/>
      <w:bookmarkStart w:id="59" w:name="_Toc517260977"/>
      <w:bookmarkStart w:id="60" w:name="_Toc29451"/>
      <w:r>
        <w:rPr>
          <w:rFonts w:hint="eastAsia" w:ascii="楷体" w:hAnsi="楷体" w:eastAsia="楷体" w:cs="楷体"/>
          <w:szCs w:val="30"/>
          <w:lang w:val="en-US" w:eastAsia="zh-CN"/>
        </w:rPr>
        <w:t>（三）项目产出情况</w:t>
      </w:r>
      <w:bookmarkEnd w:id="58"/>
      <w:bookmarkEnd w:id="59"/>
      <w:bookmarkEnd w:id="60"/>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项目产出类指标，包括数量指标、质量指标、时效指标和成本指标四个方面的内容，由6个三级指标构成。指标得分满分35分，实际得分32分，得分率91.43%。各指标分值和得分情况详见表4-6：</w:t>
      </w:r>
    </w:p>
    <w:p>
      <w:pPr>
        <w:keepNext w:val="0"/>
        <w:keepLines w:val="0"/>
        <w:pageBreakBefore w:val="0"/>
        <w:widowControl/>
        <w:kinsoku/>
        <w:wordWrap/>
        <w:bidi w:val="0"/>
        <w:adjustRightInd w:val="0"/>
        <w:spacing w:line="579" w:lineRule="exact"/>
        <w:jc w:val="center"/>
        <w:rPr>
          <w:rFonts w:ascii="黑体" w:hAnsi="黑体" w:eastAsia="黑体"/>
          <w:bCs/>
          <w:color w:val="auto"/>
          <w:sz w:val="24"/>
          <w:szCs w:val="24"/>
          <w:highlight w:val="none"/>
        </w:rPr>
      </w:pPr>
      <w:r>
        <w:rPr>
          <w:rFonts w:hint="eastAsia" w:ascii="黑体" w:hAnsi="黑体" w:eastAsia="黑体"/>
          <w:bCs/>
          <w:color w:val="auto"/>
          <w:sz w:val="24"/>
          <w:szCs w:val="24"/>
          <w:highlight w:val="none"/>
        </w:rPr>
        <w:t>表4-</w:t>
      </w:r>
      <w:r>
        <w:rPr>
          <w:rFonts w:hint="eastAsia" w:ascii="黑体" w:hAnsi="黑体" w:eastAsia="黑体"/>
          <w:bCs/>
          <w:color w:val="auto"/>
          <w:sz w:val="24"/>
          <w:szCs w:val="24"/>
          <w:highlight w:val="none"/>
          <w:lang w:val="en-US" w:eastAsia="zh-CN"/>
        </w:rPr>
        <w:t>6</w:t>
      </w:r>
      <w:r>
        <w:rPr>
          <w:rFonts w:hint="eastAsia" w:ascii="黑体" w:hAnsi="黑体" w:eastAsia="黑体"/>
          <w:bCs/>
          <w:color w:val="auto"/>
          <w:sz w:val="24"/>
          <w:szCs w:val="24"/>
          <w:highlight w:val="none"/>
        </w:rPr>
        <w:t>：“项目管理”指标评价</w:t>
      </w:r>
      <w:r>
        <w:rPr>
          <w:rFonts w:ascii="黑体" w:hAnsi="黑体" w:eastAsia="黑体"/>
          <w:bCs/>
          <w:color w:val="auto"/>
          <w:sz w:val="24"/>
          <w:szCs w:val="24"/>
          <w:highlight w:val="none"/>
        </w:rPr>
        <w:t>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57" w:type="dxa"/>
          <w:left w:w="57" w:type="dxa"/>
          <w:bottom w:w="57" w:type="dxa"/>
          <w:right w:w="57" w:type="dxa"/>
        </w:tblCellMar>
      </w:tblPr>
      <w:tblGrid>
        <w:gridCol w:w="4873"/>
        <w:gridCol w:w="1598"/>
        <w:gridCol w:w="1153"/>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57" w:type="dxa"/>
            <w:left w:w="57" w:type="dxa"/>
            <w:bottom w:w="57" w:type="dxa"/>
            <w:right w:w="57" w:type="dxa"/>
          </w:tblCellMar>
        </w:tblPrEx>
        <w:trPr>
          <w:tblHeader/>
          <w:jc w:val="center"/>
        </w:trPr>
        <w:tc>
          <w:tcPr>
            <w:tcW w:w="487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指标名称</w:t>
            </w:r>
          </w:p>
        </w:tc>
        <w:tc>
          <w:tcPr>
            <w:tcW w:w="1598"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指标权重</w:t>
            </w:r>
          </w:p>
        </w:tc>
        <w:tc>
          <w:tcPr>
            <w:tcW w:w="115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业绩值</w:t>
            </w:r>
          </w:p>
        </w:tc>
        <w:tc>
          <w:tcPr>
            <w:tcW w:w="1220"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数量指标</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15</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100.00</w:t>
            </w:r>
            <w:r>
              <w:rPr>
                <w:rFonts w:hint="eastAsia" w:ascii="仿宋" w:hAnsi="仿宋" w:eastAsia="仿宋" w:cs="仿宋"/>
                <w:bCs/>
                <w:color w:val="auto"/>
                <w:kern w:val="0"/>
                <w:sz w:val="18"/>
                <w:szCs w:val="18"/>
                <w:highlight w:val="none"/>
              </w:rPr>
              <w:t>%</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553" w:hRule="atLeast"/>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质量指标</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6</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100.00%</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时效指标</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7</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57</w:t>
            </w:r>
            <w:r>
              <w:rPr>
                <w:rFonts w:hint="eastAsia" w:ascii="仿宋" w:hAnsi="仿宋" w:eastAsia="仿宋" w:cs="仿宋"/>
                <w:bCs/>
                <w:color w:val="auto"/>
                <w:kern w:val="0"/>
                <w:sz w:val="18"/>
                <w:szCs w:val="18"/>
                <w:highlight w:val="none"/>
              </w:rPr>
              <w:t>.</w:t>
            </w:r>
            <w:r>
              <w:rPr>
                <w:rFonts w:hint="eastAsia" w:ascii="仿宋" w:hAnsi="仿宋" w:eastAsia="仿宋" w:cs="仿宋"/>
                <w:bCs/>
                <w:color w:val="auto"/>
                <w:kern w:val="0"/>
                <w:sz w:val="18"/>
                <w:szCs w:val="18"/>
                <w:highlight w:val="none"/>
                <w:lang w:val="en-US" w:eastAsia="zh-CN"/>
              </w:rPr>
              <w:t>14</w:t>
            </w:r>
            <w:r>
              <w:rPr>
                <w:rFonts w:hint="eastAsia" w:ascii="仿宋" w:hAnsi="仿宋" w:eastAsia="仿宋" w:cs="仿宋"/>
                <w:bCs/>
                <w:color w:val="auto"/>
                <w:kern w:val="0"/>
                <w:sz w:val="18"/>
                <w:szCs w:val="18"/>
                <w:highlight w:val="none"/>
              </w:rPr>
              <w:t>%</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成本指标</w:t>
            </w:r>
          </w:p>
        </w:tc>
        <w:tc>
          <w:tcPr>
            <w:tcW w:w="1598"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7</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28</w:t>
            </w:r>
            <w:r>
              <w:rPr>
                <w:rFonts w:hint="eastAsia" w:ascii="仿宋" w:hAnsi="仿宋" w:eastAsia="仿宋" w:cs="仿宋"/>
                <w:bCs/>
                <w:color w:val="auto"/>
                <w:kern w:val="0"/>
                <w:sz w:val="18"/>
                <w:szCs w:val="18"/>
                <w:highlight w:val="none"/>
              </w:rPr>
              <w:t>.</w:t>
            </w:r>
            <w:r>
              <w:rPr>
                <w:rFonts w:hint="eastAsia" w:ascii="仿宋" w:hAnsi="仿宋" w:eastAsia="仿宋" w:cs="仿宋"/>
                <w:bCs/>
                <w:color w:val="auto"/>
                <w:kern w:val="0"/>
                <w:sz w:val="18"/>
                <w:szCs w:val="18"/>
                <w:highlight w:val="none"/>
                <w:lang w:val="en-US" w:eastAsia="zh-CN"/>
              </w:rPr>
              <w:t>57</w:t>
            </w:r>
            <w:r>
              <w:rPr>
                <w:rFonts w:hint="eastAsia" w:ascii="仿宋" w:hAnsi="仿宋" w:eastAsia="仿宋" w:cs="仿宋"/>
                <w:bCs/>
                <w:color w:val="auto"/>
                <w:kern w:val="0"/>
                <w:sz w:val="18"/>
                <w:szCs w:val="18"/>
                <w:highlight w:val="none"/>
              </w:rPr>
              <w:t>%</w:t>
            </w:r>
          </w:p>
        </w:tc>
        <w:tc>
          <w:tcPr>
            <w:tcW w:w="1220" w:type="dxa"/>
            <w:shd w:val="clear" w:color="auto" w:fill="auto"/>
            <w:vAlign w:val="bottom"/>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bCs/>
                <w:color w:val="auto"/>
                <w:kern w:val="0"/>
                <w:sz w:val="18"/>
                <w:szCs w:val="18"/>
                <w:highlight w:val="none"/>
              </w:rPr>
            </w:pPr>
            <w:r>
              <w:rPr>
                <w:rFonts w:hint="eastAsia" w:ascii="仿宋" w:hAnsi="仿宋" w:eastAsia="仿宋" w:cs="仿宋"/>
                <w:i w:val="0"/>
                <w:iCs w:val="0"/>
                <w:color w:val="000000"/>
                <w:kern w:val="0"/>
                <w:sz w:val="18"/>
                <w:szCs w:val="18"/>
                <w:highlight w:val="none"/>
                <w:u w:val="none"/>
                <w:lang w:val="en-US" w:eastAsia="zh-CN" w:bidi="ar"/>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4873" w:type="dxa"/>
            <w:shd w:val="clear" w:color="auto" w:fill="auto"/>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小  计</w:t>
            </w:r>
          </w:p>
        </w:tc>
        <w:tc>
          <w:tcPr>
            <w:tcW w:w="1598"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35</w:t>
            </w:r>
          </w:p>
        </w:tc>
        <w:tc>
          <w:tcPr>
            <w:tcW w:w="1153"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91.43</w:t>
            </w:r>
            <w:r>
              <w:rPr>
                <w:rFonts w:hint="eastAsia" w:ascii="仿宋" w:hAnsi="仿宋" w:eastAsia="仿宋" w:cs="仿宋"/>
                <w:bCs/>
                <w:color w:val="auto"/>
                <w:kern w:val="0"/>
                <w:sz w:val="18"/>
                <w:szCs w:val="18"/>
                <w:highlight w:val="none"/>
              </w:rPr>
              <w:t>%</w:t>
            </w:r>
          </w:p>
        </w:tc>
        <w:tc>
          <w:tcPr>
            <w:tcW w:w="1220" w:type="dxa"/>
            <w:shd w:val="clear" w:color="auto" w:fill="auto"/>
            <w:vAlign w:val="bottom"/>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32</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default" w:hAnsi="仿宋"/>
          <w:bCs/>
          <w:color w:val="auto"/>
          <w:spacing w:val="6"/>
          <w:szCs w:val="30"/>
          <w:highlight w:val="none"/>
          <w:lang w:val="en-US" w:eastAsia="zh-CN"/>
        </w:rPr>
      </w:pPr>
      <w:r>
        <w:rPr>
          <w:rFonts w:hint="eastAsia" w:hAnsi="仿宋"/>
          <w:bCs/>
          <w:color w:val="auto"/>
          <w:spacing w:val="6"/>
          <w:szCs w:val="30"/>
          <w:highlight w:val="none"/>
          <w:lang w:val="en-US" w:eastAsia="zh-CN"/>
        </w:rPr>
        <w:t>1、数量指标</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该部分主要考察项目产出数量的目标完成情况。各指标分值和得分情况详见表4-7：</w:t>
      </w:r>
    </w:p>
    <w:p>
      <w:pPr>
        <w:keepNext w:val="0"/>
        <w:keepLines w:val="0"/>
        <w:pageBreakBefore w:val="0"/>
        <w:widowControl/>
        <w:kinsoku/>
        <w:wordWrap/>
        <w:bidi w:val="0"/>
        <w:adjustRightInd w:val="0"/>
        <w:spacing w:line="579" w:lineRule="exact"/>
        <w:jc w:val="center"/>
        <w:rPr>
          <w:rFonts w:ascii="黑体" w:hAnsi="黑体" w:eastAsia="黑体"/>
          <w:bCs/>
          <w:color w:val="auto"/>
          <w:sz w:val="24"/>
          <w:szCs w:val="24"/>
          <w:highlight w:val="none"/>
        </w:rPr>
      </w:pPr>
      <w:r>
        <w:rPr>
          <w:rFonts w:hint="eastAsia" w:ascii="黑体" w:hAnsi="黑体" w:eastAsia="黑体"/>
          <w:bCs/>
          <w:color w:val="auto"/>
          <w:sz w:val="24"/>
          <w:szCs w:val="24"/>
          <w:highlight w:val="none"/>
        </w:rPr>
        <w:t>表</w:t>
      </w:r>
      <w:r>
        <w:rPr>
          <w:rFonts w:ascii="黑体" w:hAnsi="黑体" w:eastAsia="黑体"/>
          <w:bCs/>
          <w:color w:val="auto"/>
          <w:sz w:val="24"/>
          <w:szCs w:val="24"/>
          <w:highlight w:val="none"/>
        </w:rPr>
        <w:t>4</w:t>
      </w:r>
      <w:r>
        <w:rPr>
          <w:rFonts w:hint="eastAsia" w:ascii="黑体" w:hAnsi="黑体" w:eastAsia="黑体"/>
          <w:bCs/>
          <w:color w:val="auto"/>
          <w:sz w:val="24"/>
          <w:szCs w:val="24"/>
          <w:highlight w:val="none"/>
        </w:rPr>
        <w:t>-</w:t>
      </w:r>
      <w:r>
        <w:rPr>
          <w:rFonts w:hint="eastAsia" w:ascii="黑体" w:hAnsi="黑体" w:eastAsia="黑体"/>
          <w:bCs/>
          <w:color w:val="auto"/>
          <w:sz w:val="24"/>
          <w:szCs w:val="24"/>
          <w:highlight w:val="none"/>
          <w:lang w:val="en-US" w:eastAsia="zh-CN"/>
        </w:rPr>
        <w:t>7</w:t>
      </w:r>
      <w:r>
        <w:rPr>
          <w:rFonts w:hint="eastAsia" w:ascii="黑体" w:hAnsi="黑体" w:eastAsia="黑体"/>
          <w:bCs/>
          <w:color w:val="auto"/>
          <w:sz w:val="24"/>
          <w:szCs w:val="24"/>
          <w:highlight w:val="none"/>
        </w:rPr>
        <w:t>：“数量</w:t>
      </w:r>
      <w:r>
        <w:rPr>
          <w:rFonts w:hint="eastAsia" w:ascii="黑体" w:hAnsi="黑体" w:eastAsia="黑体"/>
          <w:bCs/>
          <w:color w:val="auto"/>
          <w:sz w:val="24"/>
          <w:szCs w:val="24"/>
          <w:highlight w:val="none"/>
          <w:lang w:val="en-US" w:eastAsia="zh-CN"/>
        </w:rPr>
        <w:t>指标</w:t>
      </w:r>
      <w:r>
        <w:rPr>
          <w:rFonts w:hint="eastAsia" w:ascii="黑体" w:hAnsi="黑体" w:eastAsia="黑体"/>
          <w:bCs/>
          <w:color w:val="auto"/>
          <w:sz w:val="24"/>
          <w:szCs w:val="24"/>
          <w:highlight w:val="none"/>
        </w:rPr>
        <w:t>”指标评价</w:t>
      </w:r>
      <w:r>
        <w:rPr>
          <w:rFonts w:ascii="黑体" w:hAnsi="黑体" w:eastAsia="黑体"/>
          <w:bCs/>
          <w:color w:val="auto"/>
          <w:sz w:val="24"/>
          <w:szCs w:val="24"/>
          <w:highlight w:val="none"/>
        </w:rPr>
        <w:t>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195"/>
        <w:gridCol w:w="1226"/>
        <w:gridCol w:w="1226"/>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blHeader/>
          <w:jc w:val="center"/>
        </w:trPr>
        <w:tc>
          <w:tcPr>
            <w:tcW w:w="5195"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指标名称</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指标权重</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业绩值</w:t>
            </w:r>
          </w:p>
        </w:tc>
        <w:tc>
          <w:tcPr>
            <w:tcW w:w="1197"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rPr>
              <w:t>昆明市晋宁区防控物资（疾控中心）</w:t>
            </w:r>
            <w:r>
              <w:rPr>
                <w:rFonts w:hint="eastAsia" w:ascii="仿宋" w:hAnsi="仿宋" w:eastAsia="仿宋" w:cs="仿宋"/>
                <w:bCs/>
                <w:color w:val="auto"/>
                <w:kern w:val="0"/>
                <w:sz w:val="18"/>
                <w:szCs w:val="18"/>
                <w:highlight w:val="none"/>
                <w:lang w:val="en-US" w:eastAsia="zh-CN"/>
              </w:rPr>
              <w:t>储备完成情况</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color w:val="auto"/>
                <w:sz w:val="18"/>
                <w:szCs w:val="18"/>
                <w:highlight w:val="none"/>
              </w:rPr>
              <w:t>5</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100</w:t>
            </w:r>
            <w:r>
              <w:rPr>
                <w:rFonts w:hint="eastAsia" w:ascii="仿宋" w:hAnsi="仿宋" w:eastAsia="仿宋" w:cs="仿宋"/>
                <w:bCs/>
                <w:color w:val="auto"/>
                <w:kern w:val="0"/>
                <w:sz w:val="18"/>
                <w:szCs w:val="18"/>
                <w:highlight w:val="none"/>
              </w:rPr>
              <w:t>.00%</w:t>
            </w:r>
          </w:p>
        </w:tc>
        <w:tc>
          <w:tcPr>
            <w:tcW w:w="1197"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eastAsia="zh-CN"/>
              </w:rPr>
            </w:pPr>
            <w:r>
              <w:rPr>
                <w:rFonts w:hint="eastAsia" w:ascii="仿宋" w:hAnsi="仿宋" w:eastAsia="仿宋" w:cs="仿宋"/>
                <w:bCs/>
                <w:color w:val="auto"/>
                <w:kern w:val="0"/>
                <w:sz w:val="18"/>
                <w:szCs w:val="18"/>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rPr>
              <w:t>区级传染病能力建设设备设施</w:t>
            </w:r>
            <w:r>
              <w:rPr>
                <w:rFonts w:hint="eastAsia" w:ascii="仿宋" w:hAnsi="仿宋" w:eastAsia="仿宋" w:cs="仿宋"/>
                <w:bCs/>
                <w:color w:val="auto"/>
                <w:kern w:val="0"/>
                <w:sz w:val="18"/>
                <w:szCs w:val="18"/>
                <w:highlight w:val="none"/>
                <w:lang w:val="en-US" w:eastAsia="zh-CN"/>
              </w:rPr>
              <w:t>建设和储备情况</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color w:val="auto"/>
                <w:sz w:val="18"/>
                <w:szCs w:val="18"/>
                <w:highlight w:val="none"/>
              </w:rPr>
              <w:t>5</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100</w:t>
            </w:r>
            <w:r>
              <w:rPr>
                <w:rFonts w:hint="eastAsia" w:ascii="仿宋" w:hAnsi="仿宋" w:eastAsia="仿宋" w:cs="仿宋"/>
                <w:bCs/>
                <w:color w:val="auto"/>
                <w:kern w:val="0"/>
                <w:sz w:val="18"/>
                <w:szCs w:val="18"/>
                <w:highlight w:val="none"/>
              </w:rPr>
              <w:t>.00%</w:t>
            </w:r>
          </w:p>
        </w:tc>
        <w:tc>
          <w:tcPr>
            <w:tcW w:w="1197"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eastAsia="zh-CN"/>
              </w:rPr>
            </w:pPr>
            <w:r>
              <w:rPr>
                <w:rFonts w:hint="eastAsia" w:ascii="仿宋" w:hAnsi="仿宋" w:eastAsia="仿宋" w:cs="仿宋"/>
                <w:bCs/>
                <w:color w:val="auto"/>
                <w:kern w:val="0"/>
                <w:sz w:val="18"/>
                <w:szCs w:val="18"/>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各</w:t>
            </w:r>
            <w:r>
              <w:rPr>
                <w:rFonts w:hint="eastAsia" w:ascii="仿宋" w:hAnsi="仿宋" w:eastAsia="仿宋" w:cs="仿宋"/>
                <w:bCs/>
                <w:color w:val="auto"/>
                <w:kern w:val="0"/>
                <w:sz w:val="18"/>
                <w:szCs w:val="18"/>
                <w:highlight w:val="none"/>
              </w:rPr>
              <w:t>医疗卫生机构防控物资</w:t>
            </w:r>
            <w:r>
              <w:rPr>
                <w:rFonts w:hint="eastAsia" w:ascii="仿宋" w:hAnsi="仿宋" w:eastAsia="仿宋" w:cs="仿宋"/>
                <w:bCs/>
                <w:color w:val="auto"/>
                <w:kern w:val="0"/>
                <w:sz w:val="18"/>
                <w:szCs w:val="18"/>
                <w:highlight w:val="none"/>
                <w:lang w:val="en-US" w:eastAsia="zh-CN"/>
              </w:rPr>
              <w:t>储备情况</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color w:val="auto"/>
                <w:sz w:val="18"/>
                <w:szCs w:val="18"/>
                <w:highlight w:val="none"/>
              </w:rPr>
              <w:t>5</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100</w:t>
            </w:r>
            <w:r>
              <w:rPr>
                <w:rFonts w:hint="eastAsia" w:ascii="仿宋" w:hAnsi="仿宋" w:eastAsia="仿宋" w:cs="仿宋"/>
                <w:bCs/>
                <w:color w:val="auto"/>
                <w:kern w:val="0"/>
                <w:sz w:val="18"/>
                <w:szCs w:val="18"/>
                <w:highlight w:val="none"/>
              </w:rPr>
              <w:t>.</w:t>
            </w:r>
            <w:r>
              <w:rPr>
                <w:rFonts w:hint="eastAsia" w:ascii="仿宋" w:hAnsi="仿宋" w:eastAsia="仿宋" w:cs="仿宋"/>
                <w:bCs/>
                <w:color w:val="auto"/>
                <w:kern w:val="0"/>
                <w:sz w:val="18"/>
                <w:szCs w:val="18"/>
                <w:highlight w:val="none"/>
                <w:lang w:val="en-US" w:eastAsia="zh-CN"/>
              </w:rPr>
              <w:t>0</w:t>
            </w:r>
            <w:r>
              <w:rPr>
                <w:rFonts w:hint="eastAsia" w:ascii="仿宋" w:hAnsi="仿宋" w:eastAsia="仿宋" w:cs="仿宋"/>
                <w:bCs/>
                <w:color w:val="auto"/>
                <w:kern w:val="0"/>
                <w:sz w:val="18"/>
                <w:szCs w:val="18"/>
                <w:highlight w:val="none"/>
              </w:rPr>
              <w:t>0%</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小  计</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15</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lang w:val="en-US" w:eastAsia="zh-CN"/>
              </w:rPr>
              <w:t>100.00</w:t>
            </w:r>
            <w:r>
              <w:rPr>
                <w:rFonts w:hint="eastAsia" w:ascii="仿宋" w:hAnsi="仿宋" w:eastAsia="仿宋" w:cs="仿宋"/>
                <w:bCs/>
                <w:color w:val="auto"/>
                <w:kern w:val="0"/>
                <w:sz w:val="18"/>
                <w:szCs w:val="18"/>
                <w:highlight w:val="none"/>
              </w:rPr>
              <w:t>%</w:t>
            </w:r>
          </w:p>
        </w:tc>
        <w:tc>
          <w:tcPr>
            <w:tcW w:w="1197"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15</w:t>
            </w:r>
          </w:p>
        </w:tc>
      </w:tr>
    </w:tbl>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（1）昆明市晋宁区防控物资（疾控中心）储备完成情况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疾控中心实际采购防控物资金额129.36万元，预算采购下拨资金129.36万元。实际完成率=129.36/129.36×100%=100.00%。</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该项指标满分为5分，根据评分标准得5分。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（2）区级传染病能力建设设备设施建设和储备情况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各乡镇卫生院、社区服务中心及疾控中心实际采购设备金额525万元（疾控中心采购水质检测实验室设备297万元，乡镇卫生院和社区服务中心采购救护车6辆，共228万元），预算采购资金525万元。实际完成率=525/525×100%=100.00%。</w:t>
      </w:r>
    </w:p>
    <w:p>
      <w:pPr>
        <w:keepNext w:val="0"/>
        <w:keepLines w:val="0"/>
        <w:pageBreakBefore w:val="0"/>
        <w:kinsoku/>
        <w:wordWrap/>
        <w:bidi w:val="0"/>
        <w:adjustRightInd w:val="0"/>
        <w:spacing w:line="579" w:lineRule="exact"/>
        <w:ind w:firstLine="624"/>
        <w:rPr>
          <w:rFonts w:hAnsi="仿宋"/>
          <w:bCs/>
          <w:color w:val="auto"/>
          <w:spacing w:val="6"/>
          <w:szCs w:val="30"/>
          <w:highlight w:val="none"/>
        </w:rPr>
      </w:pPr>
      <w:r>
        <w:rPr>
          <w:rFonts w:hint="eastAsia" w:hAnsi="仿宋"/>
          <w:bCs/>
          <w:color w:val="auto"/>
          <w:spacing w:val="6"/>
          <w:szCs w:val="30"/>
          <w:highlight w:val="none"/>
        </w:rPr>
        <w:t>该项指标满分为</w:t>
      </w:r>
      <w:r>
        <w:rPr>
          <w:rFonts w:hAnsi="仿宋"/>
          <w:bCs/>
          <w:color w:val="auto"/>
          <w:spacing w:val="6"/>
          <w:szCs w:val="30"/>
          <w:highlight w:val="none"/>
        </w:rPr>
        <w:t>5</w:t>
      </w:r>
      <w:r>
        <w:rPr>
          <w:rFonts w:hint="eastAsia" w:hAnsi="仿宋"/>
          <w:bCs/>
          <w:color w:val="auto"/>
          <w:spacing w:val="6"/>
          <w:szCs w:val="30"/>
          <w:highlight w:val="none"/>
        </w:rPr>
        <w:t>分，根据评分标准得</w:t>
      </w:r>
      <w:r>
        <w:rPr>
          <w:rFonts w:hint="eastAsia" w:hAnsi="仿宋"/>
          <w:bCs/>
          <w:color w:val="auto"/>
          <w:spacing w:val="6"/>
          <w:szCs w:val="30"/>
          <w:highlight w:val="none"/>
          <w:lang w:val="en-US" w:eastAsia="zh-CN"/>
        </w:rPr>
        <w:t>5</w:t>
      </w:r>
      <w:r>
        <w:rPr>
          <w:rFonts w:hint="eastAsia" w:hAnsi="仿宋"/>
          <w:bCs/>
          <w:color w:val="auto"/>
          <w:spacing w:val="6"/>
          <w:szCs w:val="30"/>
          <w:highlight w:val="none"/>
        </w:rPr>
        <w:t>分。</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（3）各医疗卫生机构防控物资储备情况</w:t>
      </w:r>
    </w:p>
    <w:p>
      <w:pPr>
        <w:keepNext w:val="0"/>
        <w:keepLines w:val="0"/>
        <w:pageBreakBefore w:val="0"/>
        <w:widowControl w:val="0"/>
        <w:kinsoku/>
        <w:wordWrap/>
        <w:overflowPunct/>
        <w:topLinePunct w:val="0"/>
        <w:autoSpaceDE/>
        <w:autoSpaceDN/>
        <w:bidi w:val="0"/>
        <w:adjustRightInd w:val="0"/>
        <w:snapToGrid/>
        <w:spacing w:line="579" w:lineRule="exact"/>
        <w:ind w:firstLine="654" w:firstLineChars="200"/>
        <w:jc w:val="both"/>
        <w:textAlignment w:val="auto"/>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各医疗机构实际采购防控物资金额344.427万元，预算采购下拨资金344.427万元。实际完成率=344.427/344.427×100%=100.00%</w:t>
      </w:r>
    </w:p>
    <w:p>
      <w:pPr>
        <w:keepNext w:val="0"/>
        <w:keepLines w:val="0"/>
        <w:pageBreakBefore w:val="0"/>
        <w:kinsoku/>
        <w:wordWrap/>
        <w:bidi w:val="0"/>
        <w:adjustRightInd w:val="0"/>
        <w:spacing w:line="579" w:lineRule="exact"/>
        <w:ind w:firstLine="624"/>
        <w:rPr>
          <w:rFonts w:hAnsi="仿宋"/>
          <w:bCs/>
          <w:color w:val="auto"/>
          <w:spacing w:val="6"/>
          <w:szCs w:val="30"/>
          <w:highlight w:val="none"/>
        </w:rPr>
      </w:pPr>
      <w:r>
        <w:rPr>
          <w:rFonts w:hint="eastAsia" w:hAnsi="仿宋"/>
          <w:bCs/>
          <w:color w:val="auto"/>
          <w:spacing w:val="6"/>
          <w:szCs w:val="30"/>
          <w:highlight w:val="none"/>
        </w:rPr>
        <w:t>该项指标满分为</w:t>
      </w:r>
      <w:r>
        <w:rPr>
          <w:rFonts w:hAnsi="仿宋"/>
          <w:bCs/>
          <w:color w:val="auto"/>
          <w:spacing w:val="6"/>
          <w:szCs w:val="30"/>
          <w:highlight w:val="none"/>
        </w:rPr>
        <w:t>5</w:t>
      </w:r>
      <w:r>
        <w:rPr>
          <w:rFonts w:hint="eastAsia" w:hAnsi="仿宋"/>
          <w:bCs/>
          <w:color w:val="auto"/>
          <w:spacing w:val="6"/>
          <w:szCs w:val="30"/>
          <w:highlight w:val="none"/>
        </w:rPr>
        <w:t>分，根据评分标准得</w:t>
      </w:r>
      <w:r>
        <w:rPr>
          <w:rFonts w:hint="eastAsia" w:hAnsi="仿宋"/>
          <w:bCs/>
          <w:color w:val="auto"/>
          <w:spacing w:val="6"/>
          <w:szCs w:val="30"/>
          <w:highlight w:val="none"/>
          <w:lang w:val="en-US" w:eastAsia="zh-CN"/>
        </w:rPr>
        <w:t>5</w:t>
      </w:r>
      <w:r>
        <w:rPr>
          <w:rFonts w:hint="eastAsia" w:hAnsi="仿宋"/>
          <w:bCs/>
          <w:color w:val="auto"/>
          <w:spacing w:val="6"/>
          <w:szCs w:val="30"/>
          <w:highlight w:val="none"/>
        </w:rPr>
        <w:t>分。</w:t>
      </w:r>
    </w:p>
    <w:p>
      <w:pPr>
        <w:keepNext w:val="0"/>
        <w:keepLines w:val="0"/>
        <w:pageBreakBefore w:val="0"/>
        <w:kinsoku/>
        <w:wordWrap/>
        <w:bidi w:val="0"/>
        <w:adjustRightInd w:val="0"/>
        <w:spacing w:line="579" w:lineRule="exact"/>
        <w:ind w:firstLine="654" w:firstLineChars="200"/>
        <w:rPr>
          <w:rFonts w:hint="default" w:hAnsi="仿宋" w:eastAsia="仿宋"/>
          <w:bCs/>
          <w:color w:val="auto"/>
          <w:spacing w:val="6"/>
          <w:szCs w:val="30"/>
          <w:highlight w:val="none"/>
          <w:lang w:val="en-US" w:eastAsia="zh-CN"/>
        </w:rPr>
      </w:pPr>
      <w:r>
        <w:rPr>
          <w:rFonts w:hAnsi="仿宋"/>
          <w:bCs/>
          <w:color w:val="auto"/>
          <w:spacing w:val="6"/>
          <w:szCs w:val="30"/>
          <w:highlight w:val="none"/>
        </w:rPr>
        <w:t>2</w:t>
      </w:r>
      <w:r>
        <w:rPr>
          <w:rFonts w:hint="eastAsia" w:hAnsi="仿宋"/>
          <w:bCs/>
          <w:color w:val="auto"/>
          <w:spacing w:val="6"/>
          <w:szCs w:val="30"/>
          <w:highlight w:val="none"/>
        </w:rPr>
        <w:t>、</w:t>
      </w:r>
      <w:r>
        <w:rPr>
          <w:rFonts w:hint="eastAsia" w:hAnsi="仿宋"/>
          <w:bCs/>
          <w:color w:val="auto"/>
          <w:spacing w:val="6"/>
          <w:szCs w:val="30"/>
          <w:highlight w:val="none"/>
          <w:lang w:val="en-US" w:eastAsia="zh-CN"/>
        </w:rPr>
        <w:t>质量指标</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eastAsia="zh-CN"/>
        </w:rPr>
        <w:t>该指标</w:t>
      </w:r>
      <w:r>
        <w:rPr>
          <w:rFonts w:hint="eastAsia" w:hAnsi="仿宋"/>
          <w:bCs/>
          <w:color w:val="auto"/>
          <w:spacing w:val="6"/>
          <w:szCs w:val="30"/>
          <w:highlight w:val="none"/>
        </w:rPr>
        <w:t>反映的是项目产出质量情况，主要是考察采购医疗物资是否符合国家标准，是否存在过期的防疫物资储备，是否满足疫情防控要求。</w:t>
      </w:r>
      <w:r>
        <w:rPr>
          <w:rFonts w:hint="eastAsia" w:hAnsi="仿宋"/>
          <w:bCs/>
          <w:color w:val="auto"/>
          <w:spacing w:val="6"/>
          <w:szCs w:val="30"/>
          <w:highlight w:val="none"/>
          <w:lang w:val="en-US" w:eastAsia="zh-CN"/>
        </w:rPr>
        <w:t>经实地检查，利用专项资金储备防疫物资及设备，区传染设备能满足疫情防控需求。</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rPr>
      </w:pPr>
      <w:r>
        <w:rPr>
          <w:rFonts w:hint="eastAsia" w:hAnsi="仿宋"/>
          <w:bCs/>
          <w:color w:val="auto"/>
          <w:spacing w:val="6"/>
          <w:szCs w:val="30"/>
          <w:highlight w:val="none"/>
        </w:rPr>
        <w:t>该项指标满分为</w:t>
      </w:r>
      <w:r>
        <w:rPr>
          <w:rFonts w:hint="eastAsia" w:hAnsi="仿宋"/>
          <w:bCs/>
          <w:color w:val="auto"/>
          <w:spacing w:val="6"/>
          <w:szCs w:val="30"/>
          <w:highlight w:val="none"/>
          <w:lang w:val="en-US" w:eastAsia="zh-CN"/>
        </w:rPr>
        <w:t>6</w:t>
      </w:r>
      <w:r>
        <w:rPr>
          <w:rFonts w:hint="eastAsia" w:hAnsi="仿宋"/>
          <w:bCs/>
          <w:color w:val="auto"/>
          <w:spacing w:val="6"/>
          <w:szCs w:val="30"/>
          <w:highlight w:val="none"/>
        </w:rPr>
        <w:t>分，根据评分标准得</w:t>
      </w:r>
      <w:r>
        <w:rPr>
          <w:rFonts w:hint="eastAsia" w:hAnsi="仿宋"/>
          <w:bCs/>
          <w:color w:val="auto"/>
          <w:spacing w:val="6"/>
          <w:szCs w:val="30"/>
          <w:highlight w:val="none"/>
          <w:lang w:val="en-US" w:eastAsia="zh-CN"/>
        </w:rPr>
        <w:t>6</w:t>
      </w:r>
      <w:r>
        <w:rPr>
          <w:rFonts w:hint="eastAsia" w:hAnsi="仿宋"/>
          <w:bCs/>
          <w:color w:val="auto"/>
          <w:spacing w:val="6"/>
          <w:szCs w:val="30"/>
          <w:highlight w:val="none"/>
        </w:rPr>
        <w:t>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rPr>
        <w:t>3、时效</w:t>
      </w:r>
      <w:r>
        <w:rPr>
          <w:rFonts w:hint="eastAsia" w:hAnsi="仿宋"/>
          <w:bCs/>
          <w:color w:val="auto"/>
          <w:spacing w:val="6"/>
          <w:szCs w:val="30"/>
          <w:highlight w:val="none"/>
          <w:lang w:val="en-US" w:eastAsia="zh-CN"/>
        </w:rPr>
        <w:t>指标</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rPr>
        <w:t>反映的是项目产出时效，主要是考察预算资金是否按照计划支出，用以反映预算资金使用的及时性。</w:t>
      </w:r>
      <w:r>
        <w:rPr>
          <w:rFonts w:hint="eastAsia" w:hAnsi="仿宋"/>
          <w:bCs/>
          <w:color w:val="auto"/>
          <w:spacing w:val="6"/>
          <w:szCs w:val="30"/>
          <w:highlight w:val="none"/>
          <w:lang w:val="en-US" w:eastAsia="zh-CN"/>
        </w:rPr>
        <w:t>该项目资金在2021年度由卫健局全额下达拨付给了各采购单位，项目资金到位及时，但卫生健康局未对项目具体实施节点进行设定，导致资金使用进度较慢。</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eastAsia="zh-CN"/>
        </w:rPr>
      </w:pPr>
      <w:r>
        <w:rPr>
          <w:rFonts w:hint="eastAsia" w:hAnsi="仿宋"/>
          <w:bCs/>
          <w:color w:val="auto"/>
          <w:spacing w:val="6"/>
          <w:szCs w:val="30"/>
          <w:highlight w:val="none"/>
          <w:lang w:eastAsia="zh-CN"/>
        </w:rPr>
        <w:t>该项指标满分为</w:t>
      </w:r>
      <w:r>
        <w:rPr>
          <w:rFonts w:hint="eastAsia" w:hAnsi="仿宋"/>
          <w:bCs/>
          <w:color w:val="auto"/>
          <w:spacing w:val="6"/>
          <w:szCs w:val="30"/>
          <w:highlight w:val="none"/>
          <w:lang w:val="en-US" w:eastAsia="zh-CN"/>
        </w:rPr>
        <w:t>7</w:t>
      </w:r>
      <w:r>
        <w:rPr>
          <w:rFonts w:hint="eastAsia" w:hAnsi="仿宋"/>
          <w:bCs/>
          <w:color w:val="auto"/>
          <w:spacing w:val="6"/>
          <w:szCs w:val="30"/>
          <w:highlight w:val="none"/>
          <w:lang w:eastAsia="zh-CN"/>
        </w:rPr>
        <w:t>分，根据评分标准得</w:t>
      </w:r>
      <w:r>
        <w:rPr>
          <w:rFonts w:hint="eastAsia" w:hAnsi="仿宋"/>
          <w:bCs/>
          <w:color w:val="auto"/>
          <w:spacing w:val="6"/>
          <w:szCs w:val="30"/>
          <w:highlight w:val="none"/>
          <w:lang w:val="en-US" w:eastAsia="zh-CN"/>
        </w:rPr>
        <w:t>4</w:t>
      </w:r>
      <w:r>
        <w:rPr>
          <w:rFonts w:hint="eastAsia" w:hAnsi="仿宋"/>
          <w:bCs/>
          <w:color w:val="auto"/>
          <w:spacing w:val="6"/>
          <w:szCs w:val="30"/>
          <w:highlight w:val="none"/>
          <w:lang w:eastAsia="zh-CN"/>
        </w:rPr>
        <w:t>分。</w:t>
      </w:r>
    </w:p>
    <w:p>
      <w:pPr>
        <w:keepNext w:val="0"/>
        <w:keepLines w:val="0"/>
        <w:pageBreakBefore w:val="0"/>
        <w:kinsoku/>
        <w:wordWrap/>
        <w:bidi w:val="0"/>
        <w:adjustRightInd w:val="0"/>
        <w:spacing w:line="579" w:lineRule="exact"/>
        <w:ind w:firstLine="654" w:firstLineChars="200"/>
        <w:rPr>
          <w:rFonts w:hAnsi="仿宋"/>
          <w:bCs/>
          <w:color w:val="auto"/>
          <w:spacing w:val="6"/>
          <w:szCs w:val="30"/>
          <w:highlight w:val="none"/>
        </w:rPr>
      </w:pPr>
      <w:r>
        <w:rPr>
          <w:rFonts w:hAnsi="仿宋"/>
          <w:bCs/>
          <w:color w:val="auto"/>
          <w:spacing w:val="6"/>
          <w:szCs w:val="30"/>
          <w:highlight w:val="none"/>
        </w:rPr>
        <w:t>4</w:t>
      </w:r>
      <w:r>
        <w:rPr>
          <w:rFonts w:hint="eastAsia" w:hAnsi="仿宋"/>
          <w:bCs/>
          <w:color w:val="auto"/>
          <w:spacing w:val="6"/>
          <w:szCs w:val="30"/>
          <w:highlight w:val="none"/>
        </w:rPr>
        <w:t>、成本指标</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反映的是项目产出成本指标，主要是考察单位对工作经费的实际控制程度，该项目专项资金2021年度由卫健局全额拨给了各采购单位，且资金已全部用于疫情防疫物资及设备采购，成本控制在年初预算内。</w:t>
      </w:r>
    </w:p>
    <w:p>
      <w:pPr>
        <w:keepNext w:val="0"/>
        <w:keepLines w:val="0"/>
        <w:pageBreakBefore w:val="0"/>
        <w:kinsoku/>
        <w:wordWrap/>
        <w:bidi w:val="0"/>
        <w:adjustRightInd w:val="0"/>
        <w:spacing w:line="579" w:lineRule="exact"/>
        <w:ind w:firstLine="624"/>
        <w:rPr>
          <w:rFonts w:hint="default"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该项指标满分为7分，根据评分标准得7分。</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61" w:name="_Toc12197"/>
      <w:bookmarkStart w:id="62" w:name="_Toc518317814"/>
      <w:bookmarkStart w:id="63" w:name="_Toc517260978"/>
      <w:r>
        <w:rPr>
          <w:rFonts w:hint="eastAsia" w:ascii="楷体" w:hAnsi="楷体" w:eastAsia="楷体" w:cs="楷体"/>
          <w:szCs w:val="30"/>
          <w:lang w:val="en-US" w:eastAsia="zh-CN"/>
        </w:rPr>
        <w:t>（四）项目效益情况</w:t>
      </w:r>
      <w:bookmarkEnd w:id="61"/>
      <w:bookmarkEnd w:id="62"/>
      <w:bookmarkEnd w:id="63"/>
    </w:p>
    <w:p>
      <w:pPr>
        <w:keepNext w:val="0"/>
        <w:keepLines w:val="0"/>
        <w:pageBreakBefore w:val="0"/>
        <w:kinsoku/>
        <w:wordWrap/>
        <w:bidi w:val="0"/>
        <w:adjustRightInd w:val="0"/>
        <w:spacing w:line="579" w:lineRule="exact"/>
        <w:ind w:firstLine="624"/>
        <w:rPr>
          <w:rFonts w:hAnsi="仿宋" w:cs="仿宋_GB2312"/>
          <w:bCs/>
          <w:color w:val="auto"/>
          <w:spacing w:val="6"/>
          <w:szCs w:val="30"/>
          <w:highlight w:val="yellow"/>
        </w:rPr>
      </w:pPr>
      <w:r>
        <w:rPr>
          <w:rFonts w:hint="eastAsia" w:hAnsi="仿宋"/>
          <w:bCs/>
          <w:color w:val="auto"/>
          <w:spacing w:val="6"/>
          <w:szCs w:val="30"/>
          <w:highlight w:val="none"/>
          <w:lang w:val="en-US" w:eastAsia="zh-CN"/>
        </w:rPr>
        <w:t>项目效益类指标，包括经济效益、社会效益、可持续影响和服务对象满意度四个方面的内容，由7个三级指标构成。指标得分满分30分，实际得分27.06分，得分率90.2%。该部分主要考察项目经济效益、社会效益、可持续影响和服务对象满意度等方面的实现情况。各指标分值和得分情况详见表4-8：</w:t>
      </w:r>
    </w:p>
    <w:p>
      <w:pPr>
        <w:keepNext w:val="0"/>
        <w:keepLines w:val="0"/>
        <w:pageBreakBefore w:val="0"/>
        <w:widowControl/>
        <w:kinsoku/>
        <w:wordWrap/>
        <w:bidi w:val="0"/>
        <w:adjustRightInd w:val="0"/>
        <w:spacing w:line="579" w:lineRule="exact"/>
        <w:jc w:val="center"/>
        <w:rPr>
          <w:rFonts w:hint="eastAsia" w:ascii="黑体" w:hAnsi="黑体" w:eastAsia="黑体" w:cs="黑体"/>
          <w:bCs/>
          <w:color w:val="auto"/>
          <w:sz w:val="24"/>
          <w:szCs w:val="24"/>
          <w:highlight w:val="none"/>
        </w:rPr>
      </w:pPr>
      <w:r>
        <w:rPr>
          <w:rFonts w:hint="eastAsia" w:ascii="黑体" w:hAnsi="黑体" w:eastAsia="黑体" w:cs="黑体"/>
          <w:bCs/>
          <w:color w:val="auto"/>
          <w:sz w:val="24"/>
          <w:szCs w:val="24"/>
          <w:highlight w:val="none"/>
        </w:rPr>
        <w:t>表4-</w:t>
      </w:r>
      <w:r>
        <w:rPr>
          <w:rFonts w:hint="eastAsia" w:ascii="黑体" w:hAnsi="黑体" w:eastAsia="黑体" w:cs="黑体"/>
          <w:bCs/>
          <w:color w:val="auto"/>
          <w:sz w:val="24"/>
          <w:szCs w:val="24"/>
          <w:highlight w:val="none"/>
          <w:lang w:val="en-US" w:eastAsia="zh-CN"/>
        </w:rPr>
        <w:t>8</w:t>
      </w:r>
      <w:r>
        <w:rPr>
          <w:rFonts w:hint="eastAsia" w:ascii="黑体" w:hAnsi="黑体" w:eastAsia="黑体" w:cs="黑体"/>
          <w:bCs/>
          <w:color w:val="auto"/>
          <w:sz w:val="24"/>
          <w:szCs w:val="24"/>
          <w:highlight w:val="none"/>
        </w:rPr>
        <w:t>：“项目效益”指标评价分析及绩效得分情况</w:t>
      </w:r>
    </w:p>
    <w:tbl>
      <w:tblPr>
        <w:tblStyle w:val="16"/>
        <w:tblW w:w="88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57" w:type="dxa"/>
          <w:bottom w:w="57" w:type="dxa"/>
          <w:right w:w="57" w:type="dxa"/>
        </w:tblCellMar>
      </w:tblPr>
      <w:tblGrid>
        <w:gridCol w:w="5195"/>
        <w:gridCol w:w="1226"/>
        <w:gridCol w:w="1226"/>
        <w:gridCol w:w="11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blHeader/>
          <w:jc w:val="center"/>
        </w:trPr>
        <w:tc>
          <w:tcPr>
            <w:tcW w:w="5195"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指标名称</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指标权重</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业绩值</w:t>
            </w:r>
          </w:p>
        </w:tc>
        <w:tc>
          <w:tcPr>
            <w:tcW w:w="1197" w:type="dxa"/>
          </w:tcPr>
          <w:p>
            <w:pPr>
              <w:keepNext w:val="0"/>
              <w:keepLines w:val="0"/>
              <w:pageBreakBefore w:val="0"/>
              <w:widowControl/>
              <w:kinsoku/>
              <w:wordWrap/>
              <w:bidi w:val="0"/>
              <w:adjustRightInd w:val="0"/>
              <w:spacing w:line="240" w:lineRule="auto"/>
              <w:jc w:val="center"/>
              <w:rPr>
                <w:rFonts w:hint="eastAsia" w:ascii="仿宋" w:hAnsi="仿宋" w:eastAsia="仿宋" w:cs="仿宋"/>
                <w:b/>
                <w:bCs w:val="0"/>
                <w:color w:val="auto"/>
                <w:kern w:val="0"/>
                <w:sz w:val="18"/>
                <w:szCs w:val="18"/>
                <w:highlight w:val="none"/>
              </w:rPr>
            </w:pPr>
            <w:r>
              <w:rPr>
                <w:rFonts w:hint="eastAsia" w:ascii="仿宋" w:hAnsi="仿宋" w:eastAsia="仿宋" w:cs="仿宋"/>
                <w:b/>
                <w:bCs w:val="0"/>
                <w:color w:val="auto"/>
                <w:kern w:val="0"/>
                <w:sz w:val="18"/>
                <w:szCs w:val="18"/>
                <w:highlight w:val="none"/>
              </w:rPr>
              <w:t>实际得分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kern w:val="0"/>
                <w:sz w:val="18"/>
                <w:szCs w:val="18"/>
                <w:highlight w:val="none"/>
              </w:rPr>
            </w:pPr>
            <w:r>
              <w:rPr>
                <w:rFonts w:hint="eastAsia" w:ascii="仿宋" w:hAnsi="仿宋" w:eastAsia="仿宋" w:cs="仿宋"/>
                <w:bCs/>
                <w:color w:val="auto"/>
                <w:kern w:val="0"/>
                <w:sz w:val="18"/>
                <w:szCs w:val="18"/>
                <w:highlight w:val="none"/>
              </w:rPr>
              <w:t>1.经济效益</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4</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100.00%</w:t>
            </w:r>
          </w:p>
        </w:tc>
        <w:tc>
          <w:tcPr>
            <w:tcW w:w="1197"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2.社会效益</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12</w:t>
            </w:r>
          </w:p>
        </w:tc>
        <w:tc>
          <w:tcPr>
            <w:tcW w:w="1226" w:type="dxa"/>
            <w:vAlign w:val="top"/>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bidi="ar-SA"/>
              </w:rPr>
            </w:pPr>
            <w:r>
              <w:rPr>
                <w:rFonts w:hint="eastAsia" w:ascii="仿宋" w:hAnsi="仿宋" w:eastAsia="仿宋" w:cs="仿宋"/>
                <w:bCs/>
                <w:color w:val="auto"/>
                <w:kern w:val="0"/>
                <w:sz w:val="18"/>
                <w:szCs w:val="18"/>
                <w:highlight w:val="none"/>
                <w:lang w:val="en-US" w:eastAsia="zh-CN"/>
              </w:rPr>
              <w:t>100.00%</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kern w:val="0"/>
                <w:sz w:val="18"/>
                <w:szCs w:val="18"/>
                <w:highlight w:val="none"/>
                <w:lang w:val="en-US" w:eastAsia="zh-CN"/>
              </w:rPr>
            </w:pPr>
            <w:r>
              <w:rPr>
                <w:rFonts w:hint="eastAsia" w:ascii="仿宋" w:hAnsi="仿宋" w:eastAsia="仿宋" w:cs="仿宋"/>
                <w:bCs/>
                <w:color w:val="auto"/>
                <w:kern w:val="0"/>
                <w:sz w:val="18"/>
                <w:szCs w:val="18"/>
                <w:highlight w:val="none"/>
                <w:lang w:val="en-US" w:eastAsia="zh-CN"/>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2.1核酸检测职能</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3</w:t>
            </w:r>
          </w:p>
        </w:tc>
        <w:tc>
          <w:tcPr>
            <w:tcW w:w="1226" w:type="dxa"/>
            <w:vAlign w:val="top"/>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100.00%</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2.2流调溯源职能</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3</w:t>
            </w:r>
          </w:p>
        </w:tc>
        <w:tc>
          <w:tcPr>
            <w:tcW w:w="1226" w:type="dxa"/>
            <w:vAlign w:val="top"/>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100.00%</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2.3医疗救助职能</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3</w:t>
            </w:r>
          </w:p>
        </w:tc>
        <w:tc>
          <w:tcPr>
            <w:tcW w:w="1226" w:type="dxa"/>
            <w:vAlign w:val="top"/>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100.00%</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2.4防疫物资储备职能</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rPr>
              <w:t>3</w:t>
            </w:r>
          </w:p>
        </w:tc>
        <w:tc>
          <w:tcPr>
            <w:tcW w:w="1226" w:type="dxa"/>
            <w:vAlign w:val="top"/>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100.00%</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rPr>
            </w:pPr>
            <w:r>
              <w:rPr>
                <w:rFonts w:hint="eastAsia" w:ascii="仿宋" w:hAnsi="仿宋" w:eastAsia="仿宋" w:cs="仿宋"/>
                <w:bCs/>
                <w:color w:val="auto"/>
                <w:sz w:val="18"/>
                <w:szCs w:val="18"/>
                <w:highlight w:val="no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3.可持续影响</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8</w:t>
            </w:r>
          </w:p>
        </w:tc>
        <w:tc>
          <w:tcPr>
            <w:tcW w:w="1226" w:type="dxa"/>
            <w:vAlign w:val="top"/>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75.00%</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vAlign w:val="center"/>
          </w:tcPr>
          <w:p>
            <w:pPr>
              <w:keepNext w:val="0"/>
              <w:keepLines w:val="0"/>
              <w:pageBreakBefore w:val="0"/>
              <w:widowControl/>
              <w:kinsoku/>
              <w:wordWrap/>
              <w:bidi w:val="0"/>
              <w:adjustRightInd w:val="0"/>
              <w:spacing w:line="240" w:lineRule="auto"/>
              <w:jc w:val="left"/>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4.服务对象满意度</w:t>
            </w:r>
          </w:p>
        </w:tc>
        <w:tc>
          <w:tcPr>
            <w:tcW w:w="1226"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6</w:t>
            </w:r>
          </w:p>
        </w:tc>
        <w:tc>
          <w:tcPr>
            <w:tcW w:w="1226" w:type="dxa"/>
            <w:vAlign w:val="top"/>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84.33%</w:t>
            </w:r>
          </w:p>
        </w:tc>
        <w:tc>
          <w:tcPr>
            <w:tcW w:w="1197" w:type="dxa"/>
            <w:vAlign w:val="center"/>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5.06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jc w:val="center"/>
        </w:trPr>
        <w:tc>
          <w:tcPr>
            <w:tcW w:w="5195" w:type="dxa"/>
          </w:tcPr>
          <w:p>
            <w:pPr>
              <w:keepNext w:val="0"/>
              <w:keepLines w:val="0"/>
              <w:pageBreakBefore w:val="0"/>
              <w:widowControl/>
              <w:suppressLineNumbers w:val="0"/>
              <w:kinsoku/>
              <w:wordWrap/>
              <w:bidi w:val="0"/>
              <w:spacing w:line="240" w:lineRule="auto"/>
              <w:jc w:val="center"/>
              <w:textAlignment w:val="center"/>
              <w:rPr>
                <w:rFonts w:hint="eastAsia" w:ascii="仿宋" w:hAnsi="仿宋" w:eastAsia="仿宋" w:cs="仿宋"/>
                <w:i w:val="0"/>
                <w:iCs w:val="0"/>
                <w:color w:val="000000"/>
                <w:kern w:val="0"/>
                <w:sz w:val="18"/>
                <w:szCs w:val="18"/>
                <w:highlight w:val="none"/>
                <w:u w:val="none"/>
                <w:lang w:val="en-US" w:eastAsia="zh-CN" w:bidi="ar"/>
              </w:rPr>
            </w:pPr>
            <w:r>
              <w:rPr>
                <w:rFonts w:hint="eastAsia" w:ascii="仿宋" w:hAnsi="仿宋" w:eastAsia="仿宋" w:cs="仿宋"/>
                <w:i w:val="0"/>
                <w:iCs w:val="0"/>
                <w:color w:val="000000"/>
                <w:kern w:val="0"/>
                <w:sz w:val="18"/>
                <w:szCs w:val="18"/>
                <w:highlight w:val="none"/>
                <w:u w:val="none"/>
                <w:lang w:val="en-US" w:eastAsia="zh-CN" w:bidi="ar"/>
              </w:rPr>
              <w:t>小  计</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30</w:t>
            </w:r>
          </w:p>
        </w:tc>
        <w:tc>
          <w:tcPr>
            <w:tcW w:w="1226"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90.2</w:t>
            </w:r>
            <w:r>
              <w:rPr>
                <w:rFonts w:hint="eastAsia" w:hAnsi="仿宋" w:cs="仿宋"/>
                <w:bCs/>
                <w:color w:val="auto"/>
                <w:sz w:val="18"/>
                <w:szCs w:val="18"/>
                <w:highlight w:val="none"/>
                <w:lang w:val="en-US" w:eastAsia="zh-CN"/>
              </w:rPr>
              <w:t>0</w:t>
            </w:r>
            <w:r>
              <w:rPr>
                <w:rFonts w:hint="eastAsia" w:ascii="仿宋" w:hAnsi="仿宋" w:eastAsia="仿宋" w:cs="仿宋"/>
                <w:bCs/>
                <w:color w:val="auto"/>
                <w:sz w:val="18"/>
                <w:szCs w:val="18"/>
                <w:highlight w:val="none"/>
                <w:lang w:val="en-US" w:eastAsia="zh-CN"/>
              </w:rPr>
              <w:t>%</w:t>
            </w:r>
          </w:p>
        </w:tc>
        <w:tc>
          <w:tcPr>
            <w:tcW w:w="1197" w:type="dxa"/>
          </w:tcPr>
          <w:p>
            <w:pPr>
              <w:keepNext w:val="0"/>
              <w:keepLines w:val="0"/>
              <w:pageBreakBefore w:val="0"/>
              <w:widowControl/>
              <w:kinsoku/>
              <w:wordWrap/>
              <w:bidi w:val="0"/>
              <w:adjustRightInd w:val="0"/>
              <w:spacing w:line="240" w:lineRule="auto"/>
              <w:jc w:val="center"/>
              <w:rPr>
                <w:rFonts w:hint="eastAsia" w:ascii="仿宋" w:hAnsi="仿宋" w:eastAsia="仿宋" w:cs="仿宋"/>
                <w:bCs/>
                <w:color w:val="auto"/>
                <w:sz w:val="18"/>
                <w:szCs w:val="18"/>
                <w:highlight w:val="none"/>
                <w:lang w:val="en-US" w:eastAsia="zh-CN"/>
              </w:rPr>
            </w:pPr>
            <w:r>
              <w:rPr>
                <w:rFonts w:hint="eastAsia" w:ascii="仿宋" w:hAnsi="仿宋" w:eastAsia="仿宋" w:cs="仿宋"/>
                <w:bCs/>
                <w:color w:val="auto"/>
                <w:sz w:val="18"/>
                <w:szCs w:val="18"/>
                <w:highlight w:val="none"/>
                <w:lang w:val="en-US" w:eastAsia="zh-CN"/>
              </w:rPr>
              <w:t>27.06</w:t>
            </w:r>
          </w:p>
        </w:tc>
      </w:tr>
    </w:tbl>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1.经济效益，该指标分值4分，评价得分4分，得分率为100%。</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新型冠状病毒肺炎疫情发生后，习近平总书记就疫情防控工作作出批示，指出必须高度重视疫情，全力做好防控工作，要求各级党委和政府及有关部门把人民群众生命安全和身体健康放在第一位，坚决遏制疫情蔓延势头。</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晋宁区严格参照《云南省疫情疫情常态化重要医疗防控物资保障供应工作方案》，制定长、中、短期储备计划，充分发挥财政资金效益，搭建常态化疫情防控物资保障体系，为社会经济稳定运行提供了健康可靠的环境。</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该项指标满分为4分，根据评分标准得4分。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2.社会效益，该指标分值12分，评价得分12分，得分率为100%。</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①核酸检测职能。项目实施提升了区域内核酸检测能力，实现采样扩面、人员扩量、检测扩增、信息扩容，做到核酸检测愿检尽检、应检尽检、不漏一人。</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该项指标满分为3分，根据评分标准得3分。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②流调溯源职能，项目实施加快了疾控中心建设，专业设备的买入有利于区域内疫情防控做到流调盯准、溯源找准、追阳瞄准、管控精准。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该项指标满分为3分，根据评分标准得3分。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③医疗救助职能，新购入负压救护车六辆，项目资金保障到位，医院防疫物资储备充足，大大完善了救治体系机制，实现基层有抓手、公卫有好手、业务有能手、救治有高手的医疗救治职能。</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该项指标满分为3分，根据评分标准得3分。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④防疫物资储备职能。项目实施过程中，项目资金保障到位，医疗等各类物资储备充足，做到了物资供应品类齐全、质量安全、体系健全。</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该项指标满分为3分，根据评分标准得3分。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3.可持续影响</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项目实施过程中，项目资金保障到位，保证了医疗等各类物资储备充足，做到了物资供应品类齐全，提升了医疗救助能力，明显提升了突发公共卫生事件应急能力，可持续影响深远。</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但是该项目在成本效益分析工作方面仍有待加强，建议加强各类费用的分类核算和成本分析，为以后类似工作的预算编制提供科学依据，为开展全面预算绩效分析提供可靠数据，进一步提高资金使用效益，优化了资源配置。</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该项指标满分为8分，根据评分标准得6分。</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4.社会公众满意度。</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通过发放调查问卷，了解社会公众的满意程度，本次绩效评价共发放问卷458份，收回有效问卷458份，综合满意度为84.39%，普遍认为项目的实施对晋宁区疫情防控有很大的帮助、明显提升了突发公共卫生事件应急能力，对提升居民生活幸福指数有很大的帮助。</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该项指标满分为6分，根据评分标准得5.06分。</w:t>
      </w:r>
    </w:p>
    <w:p>
      <w:pPr>
        <w:keepNext w:val="0"/>
        <w:keepLines w:val="0"/>
        <w:pageBreakBefore w:val="0"/>
        <w:kinsoku/>
        <w:wordWrap/>
        <w:topLinePunct/>
        <w:bidi w:val="0"/>
        <w:spacing w:line="579" w:lineRule="exact"/>
        <w:ind w:firstLine="787" w:firstLineChars="250"/>
        <w:outlineLvl w:val="0"/>
        <w:rPr>
          <w:rFonts w:hint="eastAsia" w:ascii="楷体" w:hAnsi="楷体" w:eastAsia="楷体" w:cs="楷体"/>
          <w:color w:val="auto"/>
          <w:sz w:val="30"/>
          <w:szCs w:val="30"/>
          <w:highlight w:val="none"/>
          <w:lang w:val="en-US" w:eastAsia="zh-CN"/>
        </w:rPr>
      </w:pPr>
      <w:bookmarkStart w:id="64" w:name="_Toc10762"/>
      <w:bookmarkStart w:id="65" w:name="_Hlk528850248"/>
      <w:r>
        <w:rPr>
          <w:rFonts w:hint="eastAsia" w:ascii="黑体" w:hAnsi="黑体" w:eastAsia="黑体" w:cs="黑体"/>
          <w:szCs w:val="30"/>
          <w:lang w:val="en-US" w:eastAsia="zh-CN"/>
        </w:rPr>
        <w:t>五、存在问题及原因分析</w:t>
      </w:r>
      <w:bookmarkEnd w:id="64"/>
      <w:r>
        <w:rPr>
          <w:rFonts w:hint="eastAsia" w:ascii="楷体" w:hAnsi="楷体" w:eastAsia="楷体" w:cs="楷体"/>
          <w:color w:val="auto"/>
          <w:sz w:val="30"/>
          <w:szCs w:val="30"/>
          <w:highlight w:val="none"/>
          <w:lang w:val="en-US" w:eastAsia="zh-CN"/>
        </w:rPr>
        <w:tab/>
      </w:r>
    </w:p>
    <w:bookmarkEnd w:id="65"/>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66" w:name="_Toc17262"/>
      <w:bookmarkStart w:id="67" w:name="_Hlk528850280"/>
      <w:r>
        <w:rPr>
          <w:rFonts w:hint="eastAsia" w:ascii="楷体" w:hAnsi="楷体" w:eastAsia="楷体" w:cs="楷体"/>
          <w:szCs w:val="30"/>
          <w:lang w:val="en-US" w:eastAsia="zh-CN"/>
        </w:rPr>
        <w:t>（一）全过程预算绩效管理工作不到位</w:t>
      </w:r>
      <w:bookmarkEnd w:id="66"/>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项目的绩效目标在设置时未体现出资金量和业务量的相关数据和对应关系，未将项目绩效目标细化分解为具体的绩效指标，绩效目标在数量、质量、成本、时效、效益等方面未设置细化、可量化的绩效指标，未体现实际工作内容，存在指标设置不合理、细化量化不足的问题。</w:t>
      </w:r>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项目自评表填报不详实，没有客观全面反映项目开展的实际情况。项目自评报告主要是对工作内容的总结，没有深入开展绩效分析，不能如实反映项目实施中存在的问题，不利于及时采取纠偏改进措施。</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68" w:name="_Toc20988"/>
      <w:r>
        <w:rPr>
          <w:rFonts w:hint="eastAsia" w:ascii="楷体" w:hAnsi="楷体" w:eastAsia="楷体" w:cs="楷体"/>
          <w:szCs w:val="30"/>
          <w:lang w:val="en-US" w:eastAsia="zh-CN"/>
        </w:rPr>
        <w:t>（二）缺乏有效的预算绩效监管机制</w:t>
      </w:r>
      <w:bookmarkEnd w:id="68"/>
    </w:p>
    <w:p>
      <w:pPr>
        <w:keepNext w:val="0"/>
        <w:keepLines w:val="0"/>
        <w:pageBreakBefore w:val="0"/>
        <w:kinsoku/>
        <w:wordWrap/>
        <w:bidi w:val="0"/>
        <w:adjustRightInd w:val="0"/>
        <w:spacing w:line="579" w:lineRule="exact"/>
        <w:ind w:firstLine="624"/>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预算绩效管理工作与预算的编制、预算执行、预算结果的评价等过程息息相关。每个过程都需要有效监管，而预算绩效运行监控手段难以全面辐射，监控平台不够完善，把监控的侧重点放在资金使用的规范化、合规化层面上，对资金管理存在的问题未采取相应的监控措施，预算绩效管理主体责任落实不到位，未全面发挥部门职责。</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69" w:name="_Toc30935"/>
      <w:r>
        <w:rPr>
          <w:rFonts w:hint="eastAsia" w:ascii="楷体" w:hAnsi="楷体" w:eastAsia="楷体" w:cs="楷体"/>
          <w:szCs w:val="30"/>
          <w:lang w:val="en-US" w:eastAsia="zh-CN"/>
        </w:rPr>
        <w:t>（三）预算执行力度不足</w:t>
      </w:r>
      <w:bookmarkEnd w:id="69"/>
    </w:p>
    <w:p>
      <w:pPr>
        <w:keepNext w:val="0"/>
        <w:keepLines w:val="0"/>
        <w:pageBreakBefore w:val="0"/>
        <w:kinsoku/>
        <w:wordWrap/>
        <w:bidi w:val="0"/>
        <w:adjustRightInd w:val="0"/>
        <w:spacing w:line="579" w:lineRule="exact"/>
        <w:ind w:firstLine="624"/>
        <w:rPr>
          <w:rFonts w:hint="default" w:hAnsi="仿宋"/>
          <w:bCs/>
          <w:color w:val="auto"/>
          <w:spacing w:val="6"/>
          <w:szCs w:val="30"/>
          <w:highlight w:val="none"/>
          <w:lang w:val="en-US" w:eastAsia="zh-CN"/>
        </w:rPr>
      </w:pPr>
      <w:r>
        <w:rPr>
          <w:rFonts w:hint="eastAsia" w:hAnsi="仿宋"/>
          <w:bCs/>
          <w:color w:val="auto"/>
          <w:spacing w:val="6"/>
          <w:szCs w:val="30"/>
          <w:highlight w:val="none"/>
          <w:lang w:val="en-US" w:eastAsia="zh-CN"/>
        </w:rPr>
        <w:t>预算执行是在完成相应的法定程序的审查和批准后，根据预算计划来逐步实施，晋宁区卫生健康局在项目实施过程中，及时高效的保证了资金到位率，但在后续执行过程中，未严格按照一开始的预算设定计划执行，存在少部分结余，造成了预算执行力度不足。</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0"/>
        <w:rPr>
          <w:rFonts w:hint="eastAsia" w:ascii="黑体" w:hAnsi="黑体" w:eastAsia="黑体" w:cs="黑体"/>
          <w:szCs w:val="30"/>
        </w:rPr>
      </w:pPr>
      <w:bookmarkStart w:id="70" w:name="_Toc9382"/>
      <w:r>
        <w:rPr>
          <w:rFonts w:hint="eastAsia" w:ascii="黑体" w:hAnsi="黑体" w:eastAsia="黑体" w:cs="黑体"/>
          <w:szCs w:val="30"/>
          <w:lang w:eastAsia="zh-CN"/>
        </w:rPr>
        <w:t>六</w:t>
      </w:r>
      <w:r>
        <w:rPr>
          <w:rFonts w:hint="eastAsia" w:ascii="黑体" w:hAnsi="黑体" w:eastAsia="黑体" w:cs="黑体"/>
          <w:szCs w:val="30"/>
        </w:rPr>
        <w:t>、建议</w:t>
      </w:r>
      <w:bookmarkEnd w:id="70"/>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71" w:name="_Toc14408"/>
      <w:r>
        <w:rPr>
          <w:rFonts w:hint="eastAsia" w:ascii="楷体" w:hAnsi="楷体" w:eastAsia="楷体" w:cs="楷体"/>
          <w:szCs w:val="30"/>
          <w:lang w:val="en-US" w:eastAsia="zh-CN"/>
        </w:rPr>
        <w:t>（一）加强项目预算绩效的全过程管理</w:t>
      </w:r>
      <w:bookmarkEnd w:id="71"/>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根据国家、省级相关要求，根据新冠疫情防控项目内涵的变化，结合晋宁区人口结构、经济发展状况，科学合理制定成本测算标准，结合项目实施过程，制定资金精细化测算方案，提高新冠疫情防控资金项目的预算编制科学性，促进资源的合理配置。各项任务单位成本计算的精准度，直接影响项目预算测算的科学性，也会影响年终成本效益考核的准确性。夯实目标管理，加强绩效目标审核，完善相关工作标准体系，例如绩效目标和指标体系，提高科学性、规范性和完整性，发挥绩效目标的“契约”控制作用，使其真正成为全过程绩效管理的重要依据。</w:t>
      </w: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强化结果应用，深化绩效自评、部门评价和财政评价结果向人大报告机制，扩大预算绩效信息公开范围，丰富公开内容和形式，主动接受社会监督。除此之外，还需进一步完善制度体系和指标标准体系。</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72" w:name="_Toc4003"/>
      <w:r>
        <w:rPr>
          <w:rFonts w:hint="eastAsia" w:ascii="楷体" w:hAnsi="楷体" w:eastAsia="楷体" w:cs="楷体"/>
          <w:szCs w:val="30"/>
          <w:lang w:val="en-US" w:eastAsia="zh-CN"/>
        </w:rPr>
        <w:t>（二）完善预算绩效监督机制，确保运行监控落实到位</w:t>
      </w:r>
      <w:bookmarkEnd w:id="72"/>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建议项目实施主体单位把全面预算绩效管理工作作为各项业务开展的常规性考核工作，建立健全全面预算绩效管理相关考核机制和监督管理机制，强化运行监控，落实项目实施主体单位和管理职责，开展实时动态监控，严格根据计划目标对项目执行情况进行监督管理，并加强质量控制，保障项目能在预定时间内，高质量完成，及时发现并反馈问题，督促限期整改。</w:t>
      </w: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对预算执行工作和绩效目标完成度进行“双监管”，有效掌握资金使用中的缺陷，在绩效执行出现偏差时，及时进行调整，并促进其有效落实，保证财政资金使用安全和高效。</w:t>
      </w:r>
    </w:p>
    <w:p>
      <w:pPr>
        <w:keepNext w:val="0"/>
        <w:keepLines w:val="0"/>
        <w:pageBreakBefore w:val="0"/>
        <w:widowControl w:val="0"/>
        <w:kinsoku/>
        <w:wordWrap/>
        <w:overflowPunct/>
        <w:topLinePunct w:val="0"/>
        <w:autoSpaceDE/>
        <w:autoSpaceDN/>
        <w:bidi w:val="0"/>
        <w:adjustRightInd/>
        <w:snapToGrid/>
        <w:spacing w:line="579" w:lineRule="exact"/>
        <w:ind w:firstLine="630" w:firstLineChars="200"/>
        <w:textAlignment w:val="auto"/>
        <w:outlineLvl w:val="1"/>
        <w:rPr>
          <w:rFonts w:hint="eastAsia" w:ascii="楷体" w:hAnsi="楷体" w:eastAsia="楷体" w:cs="楷体"/>
          <w:szCs w:val="30"/>
          <w:lang w:val="en-US" w:eastAsia="zh-CN"/>
        </w:rPr>
      </w:pPr>
      <w:bookmarkStart w:id="73" w:name="_Toc3194"/>
      <w:r>
        <w:rPr>
          <w:rFonts w:hint="eastAsia" w:ascii="楷体" w:hAnsi="楷体" w:eastAsia="楷体" w:cs="楷体"/>
          <w:szCs w:val="30"/>
          <w:lang w:val="en-US" w:eastAsia="zh-CN"/>
        </w:rPr>
        <w:t>（三）加强预算管理执行力度</w:t>
      </w:r>
      <w:bookmarkEnd w:id="73"/>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预算管理执行是整个财务预算管理重要的一步，是预算管理工作的开始，预算执行力度的加强主要从以下几方面入手。</w:t>
      </w: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首先，在预算管理工作下达后，需要进行层层分解，准确分析预算编制的内容，将其运用到项目实施部门、各实施环节，在执行时运用岗位预算执行责任制并结合运用相应的预算管理考核体制，使各实施单位明确自己的职责。</w:t>
      </w: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然后，在接受有关部门的监督审核后，及时、全面地对执行情况进行评价与审核，使实际执行情况与预计划保持致或不出现重大差异，能够及时合理分析特殊情况，做出有效的判断。若出现擅白改变资金用途、挪用预算款等情况必须要进行严肃处理，这正是刚性约束的表现与作用。加强预算执行的信息化管理是十分重要的。</w:t>
      </w: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最后，要将预算管理时指标的确立、执行步骤情况、及时进行汇报，及时反映预算执行信息，对于其中的错误偏差能够</w:t>
      </w:r>
    </w:p>
    <w:p>
      <w:pPr>
        <w:keepNext w:val="0"/>
        <w:keepLines w:val="0"/>
        <w:pageBreakBefore w:val="0"/>
        <w:kinsoku/>
        <w:wordWrap/>
        <w:bidi w:val="0"/>
        <w:adjustRightInd w:val="0"/>
        <w:snapToGrid w:val="0"/>
        <w:spacing w:line="579" w:lineRule="exact"/>
        <w:rPr>
          <w:rFonts w:hint="eastAsia" w:hAnsi="仿宋"/>
          <w:bCs/>
          <w:color w:val="auto"/>
          <w:spacing w:val="6"/>
          <w:szCs w:val="30"/>
          <w:highlight w:val="none"/>
          <w:lang w:val="en-US" w:eastAsia="zh-CN"/>
        </w:rPr>
      </w:pPr>
      <w:r>
        <w:rPr>
          <w:rFonts w:hint="eastAsia" w:hAnsi="仿宋"/>
          <w:bCs/>
          <w:color w:val="auto"/>
          <w:spacing w:val="6"/>
          <w:szCs w:val="30"/>
          <w:highlight w:val="none"/>
          <w:lang w:val="en-US" w:eastAsia="zh-CN"/>
        </w:rPr>
        <w:t>及时的反馈和修正，提高执行工作效率。</w:t>
      </w: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p>
    <w:p>
      <w:pPr>
        <w:keepNext w:val="0"/>
        <w:keepLines w:val="0"/>
        <w:pageBreakBefore w:val="0"/>
        <w:kinsoku/>
        <w:wordWrap/>
        <w:bidi w:val="0"/>
        <w:adjustRightInd w:val="0"/>
        <w:snapToGrid w:val="0"/>
        <w:spacing w:line="579" w:lineRule="exact"/>
        <w:ind w:firstLine="654" w:firstLineChars="200"/>
        <w:rPr>
          <w:rFonts w:hint="eastAsia" w:hAnsi="仿宋"/>
          <w:bCs/>
          <w:color w:val="auto"/>
          <w:spacing w:val="6"/>
          <w:szCs w:val="30"/>
          <w:highlight w:val="none"/>
          <w:lang w:val="en-US" w:eastAsia="zh-CN"/>
        </w:rPr>
      </w:pPr>
    </w:p>
    <w:p>
      <w:pPr>
        <w:keepNext w:val="0"/>
        <w:keepLines w:val="0"/>
        <w:pageBreakBefore w:val="0"/>
        <w:kinsoku/>
        <w:wordWrap/>
        <w:bidi w:val="0"/>
        <w:spacing w:line="579" w:lineRule="exact"/>
        <w:ind w:firstLine="630" w:firstLineChars="200"/>
        <w:rPr>
          <w:rFonts w:hAnsi="仿宋"/>
          <w:color w:val="auto"/>
          <w:szCs w:val="30"/>
          <w:highlight w:val="yellow"/>
        </w:rPr>
      </w:pPr>
    </w:p>
    <w:bookmarkEnd w:id="67"/>
    <w:tbl>
      <w:tblPr>
        <w:tblStyle w:val="16"/>
        <w:tblW w:w="8812" w:type="dxa"/>
        <w:jc w:val="center"/>
        <w:tblLayout w:type="fixed"/>
        <w:tblCellMar>
          <w:top w:w="0" w:type="dxa"/>
          <w:left w:w="108" w:type="dxa"/>
          <w:bottom w:w="0" w:type="dxa"/>
          <w:right w:w="108" w:type="dxa"/>
        </w:tblCellMar>
      </w:tblPr>
      <w:tblGrid>
        <w:gridCol w:w="4936"/>
        <w:gridCol w:w="2667"/>
        <w:gridCol w:w="1209"/>
      </w:tblGrid>
      <w:tr>
        <w:tblPrEx>
          <w:tblCellMar>
            <w:top w:w="0" w:type="dxa"/>
            <w:left w:w="108" w:type="dxa"/>
            <w:bottom w:w="0" w:type="dxa"/>
            <w:right w:w="108" w:type="dxa"/>
          </w:tblCellMar>
        </w:tblPrEx>
        <w:trPr>
          <w:trHeight w:val="1064" w:hRule="exact"/>
          <w:jc w:val="center"/>
        </w:trPr>
        <w:tc>
          <w:tcPr>
            <w:tcW w:w="4936" w:type="dxa"/>
            <w:vAlign w:val="center"/>
          </w:tcPr>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大华会计师事务所(特殊普通合伙)</w:t>
            </w:r>
          </w:p>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云南分所</w:t>
            </w:r>
          </w:p>
        </w:tc>
        <w:tc>
          <w:tcPr>
            <w:tcW w:w="2667" w:type="dxa"/>
            <w:vAlign w:val="center"/>
          </w:tcPr>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中国注册会计师：</w:t>
            </w:r>
          </w:p>
        </w:tc>
        <w:tc>
          <w:tcPr>
            <w:tcW w:w="1209" w:type="dxa"/>
            <w:tcBorders>
              <w:bottom w:val="single" w:color="auto" w:sz="4" w:space="0"/>
            </w:tcBorders>
            <w:vAlign w:val="center"/>
          </w:tcPr>
          <w:p>
            <w:pPr>
              <w:snapToGrid w:val="0"/>
              <w:jc w:val="center"/>
              <w:rPr>
                <w:rFonts w:hint="eastAsia" w:ascii="仿宋" w:hAnsi="仿宋" w:eastAsia="仿宋" w:cs="仿宋"/>
                <w:sz w:val="28"/>
                <w:szCs w:val="28"/>
              </w:rPr>
            </w:pPr>
          </w:p>
        </w:tc>
      </w:tr>
      <w:tr>
        <w:tblPrEx>
          <w:tblCellMar>
            <w:top w:w="0" w:type="dxa"/>
            <w:left w:w="108" w:type="dxa"/>
            <w:bottom w:w="0" w:type="dxa"/>
            <w:right w:w="108" w:type="dxa"/>
          </w:tblCellMar>
        </w:tblPrEx>
        <w:trPr>
          <w:trHeight w:val="649" w:hRule="exact"/>
          <w:jc w:val="center"/>
        </w:trPr>
        <w:tc>
          <w:tcPr>
            <w:tcW w:w="4936" w:type="dxa"/>
            <w:vMerge w:val="restart"/>
            <w:vAlign w:val="center"/>
          </w:tcPr>
          <w:p>
            <w:pPr>
              <w:snapToGrid w:val="0"/>
              <w:jc w:val="center"/>
              <w:rPr>
                <w:rFonts w:hint="eastAsia" w:ascii="仿宋" w:hAnsi="仿宋" w:eastAsia="仿宋" w:cs="仿宋"/>
                <w:b/>
                <w:sz w:val="28"/>
                <w:szCs w:val="28"/>
              </w:rPr>
            </w:pPr>
            <w:r>
              <w:rPr>
                <w:rFonts w:hint="eastAsia" w:ascii="仿宋" w:hAnsi="仿宋" w:eastAsia="仿宋" w:cs="仿宋"/>
                <w:sz w:val="28"/>
                <w:szCs w:val="28"/>
              </w:rPr>
              <w:t>中国</w:t>
            </w:r>
            <w:r>
              <w:rPr>
                <w:rFonts w:hint="eastAsia" w:ascii="仿宋" w:hAnsi="仿宋" w:eastAsia="仿宋" w:cs="仿宋"/>
                <w:b/>
                <w:sz w:val="28"/>
                <w:szCs w:val="28"/>
              </w:rPr>
              <w:t>·</w:t>
            </w:r>
            <w:r>
              <w:rPr>
                <w:rFonts w:hint="eastAsia" w:ascii="仿宋" w:hAnsi="仿宋" w:eastAsia="仿宋" w:cs="仿宋"/>
                <w:bCs/>
                <w:sz w:val="28"/>
                <w:szCs w:val="28"/>
              </w:rPr>
              <w:t>昆明</w:t>
            </w:r>
          </w:p>
        </w:tc>
        <w:tc>
          <w:tcPr>
            <w:tcW w:w="2667" w:type="dxa"/>
            <w:vAlign w:val="center"/>
          </w:tcPr>
          <w:p>
            <w:pPr>
              <w:snapToGrid w:val="0"/>
              <w:spacing w:after="180" w:afterLines="75"/>
              <w:jc w:val="center"/>
              <w:rPr>
                <w:rFonts w:hint="eastAsia" w:ascii="仿宋" w:hAnsi="仿宋" w:eastAsia="仿宋" w:cs="仿宋"/>
                <w:sz w:val="28"/>
                <w:szCs w:val="28"/>
              </w:rPr>
            </w:pPr>
          </w:p>
        </w:tc>
        <w:tc>
          <w:tcPr>
            <w:tcW w:w="1209" w:type="dxa"/>
            <w:tcBorders>
              <w:top w:val="single" w:color="auto" w:sz="4" w:space="0"/>
            </w:tcBorders>
            <w:vAlign w:val="center"/>
          </w:tcPr>
          <w:p>
            <w:pPr>
              <w:snapToGrid w:val="0"/>
              <w:spacing w:after="180" w:afterLines="75"/>
              <w:jc w:val="cente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扶成柏</w:t>
            </w:r>
          </w:p>
        </w:tc>
      </w:tr>
      <w:tr>
        <w:tblPrEx>
          <w:tblCellMar>
            <w:top w:w="0" w:type="dxa"/>
            <w:left w:w="108" w:type="dxa"/>
            <w:bottom w:w="0" w:type="dxa"/>
            <w:right w:w="108" w:type="dxa"/>
          </w:tblCellMar>
        </w:tblPrEx>
        <w:trPr>
          <w:trHeight w:val="634" w:hRule="exact"/>
          <w:jc w:val="center"/>
        </w:trPr>
        <w:tc>
          <w:tcPr>
            <w:tcW w:w="4936" w:type="dxa"/>
            <w:vMerge w:val="continue"/>
            <w:vAlign w:val="center"/>
          </w:tcPr>
          <w:p>
            <w:pPr>
              <w:snapToGrid w:val="0"/>
              <w:jc w:val="center"/>
              <w:rPr>
                <w:rFonts w:hint="eastAsia" w:ascii="仿宋" w:hAnsi="仿宋" w:eastAsia="仿宋" w:cs="仿宋"/>
                <w:sz w:val="28"/>
                <w:szCs w:val="28"/>
              </w:rPr>
            </w:pPr>
          </w:p>
        </w:tc>
        <w:tc>
          <w:tcPr>
            <w:tcW w:w="2667" w:type="dxa"/>
            <w:vAlign w:val="center"/>
          </w:tcPr>
          <w:p>
            <w:pPr>
              <w:snapToGrid w:val="0"/>
              <w:ind w:left="-78" w:leftChars="-25" w:right="-78" w:rightChars="-25"/>
              <w:jc w:val="center"/>
              <w:rPr>
                <w:rFonts w:hint="eastAsia" w:ascii="仿宋" w:hAnsi="仿宋" w:eastAsia="仿宋" w:cs="仿宋"/>
                <w:sz w:val="28"/>
                <w:szCs w:val="28"/>
              </w:rPr>
            </w:pPr>
            <w:r>
              <w:rPr>
                <w:rFonts w:hint="eastAsia" w:ascii="仿宋" w:hAnsi="仿宋" w:eastAsia="仿宋" w:cs="仿宋"/>
                <w:sz w:val="28"/>
                <w:szCs w:val="28"/>
              </w:rPr>
              <w:t>中国注册会计师：</w:t>
            </w:r>
          </w:p>
        </w:tc>
        <w:tc>
          <w:tcPr>
            <w:tcW w:w="1209" w:type="dxa"/>
            <w:tcBorders>
              <w:bottom w:val="single" w:color="auto" w:sz="4" w:space="0"/>
            </w:tcBorders>
            <w:vAlign w:val="center"/>
          </w:tcPr>
          <w:p>
            <w:pPr>
              <w:snapToGrid w:val="0"/>
              <w:jc w:val="center"/>
              <w:rPr>
                <w:rFonts w:hint="eastAsia" w:ascii="仿宋" w:hAnsi="仿宋" w:eastAsia="仿宋" w:cs="仿宋"/>
                <w:sz w:val="28"/>
                <w:szCs w:val="28"/>
              </w:rPr>
            </w:pPr>
          </w:p>
        </w:tc>
      </w:tr>
      <w:tr>
        <w:tblPrEx>
          <w:tblCellMar>
            <w:top w:w="0" w:type="dxa"/>
            <w:left w:w="108" w:type="dxa"/>
            <w:bottom w:w="0" w:type="dxa"/>
            <w:right w:w="108" w:type="dxa"/>
          </w:tblCellMar>
        </w:tblPrEx>
        <w:trPr>
          <w:trHeight w:val="634" w:hRule="exact"/>
          <w:jc w:val="center"/>
        </w:trPr>
        <w:tc>
          <w:tcPr>
            <w:tcW w:w="4936" w:type="dxa"/>
            <w:vMerge w:val="continue"/>
            <w:vAlign w:val="center"/>
          </w:tcPr>
          <w:p>
            <w:pPr>
              <w:snapToGrid w:val="0"/>
              <w:jc w:val="center"/>
              <w:rPr>
                <w:rFonts w:hint="eastAsia" w:ascii="仿宋" w:hAnsi="仿宋" w:eastAsia="仿宋" w:cs="仿宋"/>
                <w:sz w:val="28"/>
                <w:szCs w:val="28"/>
              </w:rPr>
            </w:pPr>
          </w:p>
        </w:tc>
        <w:tc>
          <w:tcPr>
            <w:tcW w:w="2667" w:type="dxa"/>
            <w:vAlign w:val="center"/>
          </w:tcPr>
          <w:p>
            <w:pPr>
              <w:snapToGrid w:val="0"/>
              <w:spacing w:after="180" w:afterLines="75"/>
              <w:jc w:val="center"/>
              <w:rPr>
                <w:rFonts w:hint="eastAsia" w:ascii="仿宋" w:hAnsi="仿宋" w:eastAsia="仿宋" w:cs="仿宋"/>
                <w:sz w:val="28"/>
                <w:szCs w:val="28"/>
              </w:rPr>
            </w:pPr>
          </w:p>
        </w:tc>
        <w:tc>
          <w:tcPr>
            <w:tcW w:w="1209" w:type="dxa"/>
            <w:tcBorders>
              <w:top w:val="single" w:color="auto" w:sz="4" w:space="0"/>
            </w:tcBorders>
            <w:vAlign w:val="center"/>
          </w:tcPr>
          <w:p>
            <w:pPr>
              <w:snapToGrid w:val="0"/>
              <w:spacing w:after="180" w:afterLines="75"/>
              <w:jc w:val="center"/>
              <w:rPr>
                <w:rFonts w:hint="eastAsia" w:ascii="仿宋" w:hAnsi="仿宋" w:eastAsia="仿宋" w:cs="仿宋"/>
                <w:sz w:val="28"/>
                <w:szCs w:val="28"/>
              </w:rPr>
            </w:pPr>
            <w:r>
              <w:rPr>
                <w:rFonts w:hint="eastAsia" w:ascii="仿宋" w:hAnsi="仿宋" w:eastAsia="仿宋" w:cs="仿宋"/>
                <w:sz w:val="28"/>
                <w:szCs w:val="28"/>
              </w:rPr>
              <w:t>陈红霞</w:t>
            </w:r>
          </w:p>
        </w:tc>
      </w:tr>
      <w:tr>
        <w:tblPrEx>
          <w:tblCellMar>
            <w:top w:w="0" w:type="dxa"/>
            <w:left w:w="108" w:type="dxa"/>
            <w:bottom w:w="0" w:type="dxa"/>
            <w:right w:w="108" w:type="dxa"/>
          </w:tblCellMar>
        </w:tblPrEx>
        <w:trPr>
          <w:trHeight w:val="567" w:hRule="exact"/>
          <w:jc w:val="center"/>
        </w:trPr>
        <w:tc>
          <w:tcPr>
            <w:tcW w:w="4936" w:type="dxa"/>
            <w:vAlign w:val="center"/>
          </w:tcPr>
          <w:p>
            <w:pPr>
              <w:snapToGrid w:val="0"/>
              <w:jc w:val="center"/>
              <w:rPr>
                <w:rFonts w:hint="eastAsia" w:ascii="仿宋" w:hAnsi="仿宋" w:eastAsia="仿宋" w:cs="仿宋"/>
                <w:sz w:val="28"/>
                <w:szCs w:val="28"/>
              </w:rPr>
            </w:pPr>
          </w:p>
        </w:tc>
        <w:tc>
          <w:tcPr>
            <w:tcW w:w="3876" w:type="dxa"/>
            <w:gridSpan w:val="2"/>
            <w:vAlign w:val="center"/>
          </w:tcPr>
          <w:p>
            <w:pPr>
              <w:snapToGrid w:val="0"/>
              <w:jc w:val="center"/>
              <w:rPr>
                <w:rFonts w:hint="eastAsia" w:ascii="仿宋" w:hAnsi="仿宋" w:eastAsia="仿宋" w:cs="仿宋"/>
                <w:sz w:val="28"/>
                <w:szCs w:val="28"/>
              </w:rPr>
            </w:pPr>
            <w:r>
              <w:rPr>
                <w:rFonts w:hint="eastAsia" w:ascii="仿宋" w:hAnsi="仿宋" w:eastAsia="仿宋" w:cs="仿宋"/>
                <w:sz w:val="28"/>
                <w:szCs w:val="28"/>
              </w:rPr>
              <w:t>二〇二</w:t>
            </w:r>
            <w:r>
              <w:rPr>
                <w:rFonts w:hint="eastAsia" w:ascii="仿宋" w:hAnsi="仿宋" w:eastAsia="仿宋" w:cs="仿宋"/>
                <w:sz w:val="28"/>
                <w:szCs w:val="28"/>
                <w:lang w:val="en-US" w:eastAsia="zh-CN"/>
              </w:rPr>
              <w:t>二</w:t>
            </w:r>
            <w:r>
              <w:rPr>
                <w:rFonts w:hint="eastAsia" w:ascii="仿宋" w:hAnsi="仿宋" w:eastAsia="仿宋" w:cs="仿宋"/>
                <w:sz w:val="28"/>
                <w:szCs w:val="28"/>
              </w:rPr>
              <w:t>年</w:t>
            </w:r>
            <w:r>
              <w:rPr>
                <w:rFonts w:hint="eastAsia" w:ascii="仿宋" w:hAnsi="仿宋" w:eastAsia="仿宋" w:cs="仿宋"/>
                <w:sz w:val="28"/>
                <w:szCs w:val="28"/>
                <w:lang w:val="en-US" w:eastAsia="zh-CN"/>
              </w:rPr>
              <w:t>十一</w:t>
            </w:r>
            <w:r>
              <w:rPr>
                <w:rFonts w:hint="eastAsia" w:ascii="仿宋" w:hAnsi="仿宋" w:eastAsia="仿宋" w:cs="仿宋"/>
                <w:sz w:val="28"/>
                <w:szCs w:val="28"/>
              </w:rPr>
              <w:t>月二十</w:t>
            </w:r>
            <w:r>
              <w:rPr>
                <w:rFonts w:hint="eastAsia" w:ascii="仿宋" w:hAnsi="仿宋" w:eastAsia="仿宋" w:cs="仿宋"/>
                <w:sz w:val="28"/>
                <w:szCs w:val="28"/>
                <w:lang w:val="en-US" w:eastAsia="zh-CN"/>
              </w:rPr>
              <w:t>二</w:t>
            </w:r>
            <w:r>
              <w:rPr>
                <w:rFonts w:hint="eastAsia" w:ascii="仿宋" w:hAnsi="仿宋" w:eastAsia="仿宋" w:cs="仿宋"/>
                <w:sz w:val="28"/>
                <w:szCs w:val="28"/>
              </w:rPr>
              <w:t>日</w:t>
            </w:r>
          </w:p>
        </w:tc>
      </w:tr>
    </w:tbl>
    <w:p>
      <w:pPr>
        <w:keepNext w:val="0"/>
        <w:keepLines w:val="0"/>
        <w:pageBreakBefore w:val="0"/>
        <w:kinsoku/>
        <w:wordWrap/>
        <w:bidi w:val="0"/>
        <w:adjustRightInd w:val="0"/>
        <w:snapToGrid w:val="0"/>
        <w:spacing w:line="579" w:lineRule="exact"/>
        <w:ind w:firstLine="630" w:firstLineChars="200"/>
        <w:rPr>
          <w:rFonts w:ascii="黑体" w:hAnsi="宋体" w:eastAsia="黑体" w:cs="宋体"/>
          <w:color w:val="auto"/>
          <w:szCs w:val="30"/>
          <w:highlight w:val="yellow"/>
        </w:rPr>
      </w:pPr>
    </w:p>
    <w:p>
      <w:pPr>
        <w:keepNext w:val="0"/>
        <w:keepLines w:val="0"/>
        <w:pageBreakBefore w:val="0"/>
        <w:kinsoku/>
        <w:wordWrap/>
        <w:bidi w:val="0"/>
        <w:spacing w:line="579" w:lineRule="exact"/>
        <w:ind w:firstLine="630" w:firstLineChars="200"/>
        <w:rPr>
          <w:rFonts w:hint="eastAsia" w:hAnsi="仿宋"/>
          <w:color w:val="auto"/>
          <w:szCs w:val="30"/>
          <w:highlight w:val="none"/>
        </w:rPr>
      </w:pPr>
      <w:bookmarkStart w:id="74" w:name="_Hlk525314575"/>
      <w:r>
        <w:rPr>
          <w:rFonts w:hint="eastAsia" w:hAnsi="仿宋"/>
          <w:color w:val="auto"/>
          <w:szCs w:val="30"/>
          <w:highlight w:val="none"/>
        </w:rPr>
        <w:t>附件：</w:t>
      </w:r>
      <w:bookmarkEnd w:id="74"/>
      <w:r>
        <w:rPr>
          <w:rFonts w:hint="eastAsia" w:hAnsi="仿宋"/>
          <w:color w:val="auto"/>
          <w:szCs w:val="30"/>
          <w:highlight w:val="none"/>
        </w:rPr>
        <w:t>1.</w:t>
      </w:r>
      <w:bookmarkStart w:id="75" w:name="_Hlk527019547"/>
      <w:r>
        <w:rPr>
          <w:rFonts w:hint="eastAsia" w:hAnsi="仿宋"/>
          <w:color w:val="auto"/>
          <w:szCs w:val="30"/>
          <w:highlight w:val="none"/>
        </w:rPr>
        <w:t>绩效评价指标体系及评分表</w:t>
      </w:r>
      <w:bookmarkEnd w:id="75"/>
    </w:p>
    <w:p>
      <w:pPr>
        <w:keepNext w:val="0"/>
        <w:keepLines w:val="0"/>
        <w:pageBreakBefore w:val="0"/>
        <w:kinsoku/>
        <w:wordWrap/>
        <w:bidi w:val="0"/>
        <w:spacing w:line="579" w:lineRule="exact"/>
        <w:ind w:firstLine="1575" w:firstLineChars="500"/>
        <w:rPr>
          <w:rFonts w:hAnsi="仿宋"/>
          <w:color w:val="auto"/>
          <w:szCs w:val="30"/>
          <w:highlight w:val="none"/>
        </w:rPr>
      </w:pPr>
      <w:r>
        <w:rPr>
          <w:rFonts w:hint="eastAsia" w:hAnsi="仿宋"/>
          <w:color w:val="auto"/>
          <w:szCs w:val="30"/>
          <w:highlight w:val="none"/>
        </w:rPr>
        <w:t>2</w:t>
      </w:r>
      <w:r>
        <w:rPr>
          <w:rFonts w:hAnsi="仿宋"/>
          <w:color w:val="auto"/>
          <w:szCs w:val="30"/>
          <w:highlight w:val="none"/>
        </w:rPr>
        <w:t>.</w:t>
      </w:r>
      <w:r>
        <w:rPr>
          <w:rFonts w:hint="eastAsia" w:hAnsi="仿宋"/>
          <w:color w:val="auto"/>
          <w:szCs w:val="30"/>
          <w:highlight w:val="none"/>
        </w:rPr>
        <w:t>调查问卷结果汇总报告</w:t>
      </w:r>
    </w:p>
    <w:p>
      <w:pPr>
        <w:keepNext w:val="0"/>
        <w:keepLines w:val="0"/>
        <w:pageBreakBefore w:val="0"/>
        <w:kinsoku/>
        <w:wordWrap/>
        <w:bidi w:val="0"/>
        <w:spacing w:line="579" w:lineRule="exact"/>
        <w:ind w:firstLine="1575" w:firstLineChars="500"/>
        <w:rPr>
          <w:rFonts w:hint="eastAsia" w:hAnsi="仿宋"/>
          <w:color w:val="auto"/>
          <w:szCs w:val="30"/>
          <w:highlight w:val="none"/>
          <w:lang w:val="en-US" w:eastAsia="zh-CN"/>
        </w:rPr>
      </w:pPr>
      <w:bookmarkStart w:id="76" w:name="_Hlk527019673"/>
      <w:r>
        <w:rPr>
          <w:rFonts w:hint="eastAsia" w:hAnsi="仿宋"/>
          <w:color w:val="auto"/>
          <w:szCs w:val="30"/>
          <w:highlight w:val="none"/>
          <w:lang w:val="en-US" w:eastAsia="zh-CN"/>
        </w:rPr>
        <w:t>3.绩效目标完成情况表</w:t>
      </w:r>
    </w:p>
    <w:bookmarkEnd w:id="76"/>
    <w:p>
      <w:pPr>
        <w:keepNext w:val="0"/>
        <w:keepLines w:val="0"/>
        <w:pageBreakBefore w:val="0"/>
        <w:kinsoku/>
        <w:wordWrap/>
        <w:bidi w:val="0"/>
        <w:spacing w:line="579" w:lineRule="exact"/>
        <w:ind w:firstLine="1575" w:firstLineChars="500"/>
        <w:rPr>
          <w:rFonts w:ascii="方正小标宋简体" w:eastAsia="方正小标宋简体" w:hAnsiTheme="minorHAnsi"/>
          <w:color w:val="auto"/>
          <w:spacing w:val="6"/>
          <w:kern w:val="0"/>
          <w:sz w:val="40"/>
          <w:szCs w:val="40"/>
          <w:highlight w:val="yellow"/>
        </w:rPr>
      </w:pPr>
      <w:r>
        <w:rPr>
          <w:rFonts w:hint="eastAsia" w:hAnsi="仿宋"/>
          <w:color w:val="auto"/>
          <w:szCs w:val="30"/>
          <w:highlight w:val="none"/>
          <w:lang w:val="en-US" w:eastAsia="zh-CN"/>
        </w:rPr>
        <w:t>4</w:t>
      </w:r>
      <w:r>
        <w:rPr>
          <w:rFonts w:hint="eastAsia" w:hAnsi="仿宋"/>
          <w:color w:val="auto"/>
          <w:szCs w:val="30"/>
          <w:highlight w:val="none"/>
        </w:rPr>
        <w:t>.绩效评价报告意见反馈表（部门）</w:t>
      </w:r>
    </w:p>
    <w:sectPr>
      <w:headerReference r:id="rId7" w:type="first"/>
      <w:footerReference r:id="rId9" w:type="first"/>
      <w:headerReference r:id="rId6" w:type="default"/>
      <w:footerReference r:id="rId8" w:type="default"/>
      <w:pgSz w:w="11906" w:h="16838"/>
      <w:pgMar w:top="2098" w:right="1474" w:bottom="1984" w:left="1588" w:header="851" w:footer="1757" w:gutter="0"/>
      <w:pgNumType w:fmt="decimal" w:start="1"/>
      <w:cols w:space="0" w:num="1"/>
      <w:titlePg/>
      <w:rtlGutter w:val="0"/>
      <w:docGrid w:type="linesAndChars" w:linePitch="579" w:charSpace="324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Arial Narrow">
    <w:altName w:val="Arial"/>
    <w:panose1 w:val="020B0606020202030204"/>
    <w:charset w:val="00"/>
    <w:family w:val="swiss"/>
    <w:pitch w:val="default"/>
    <w:sig w:usb0="00000000" w:usb1="00000000" w:usb2="00000000" w:usb3="00000000" w:csb0="2000009F" w:csb1="DFD70000"/>
  </w:font>
  <w:font w:name="楷体">
    <w:panose1 w:val="02010609060101010101"/>
    <w:charset w:val="86"/>
    <w:family w:val="modern"/>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仿宋" w:hAnsi="仿宋" w:eastAsia="仿宋"/>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仿宋" w:hAnsi="仿宋" w:eastAsia="仿宋"/>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center" w:pos="4422"/>
        <w:tab w:val="right" w:pos="8964"/>
      </w:tabs>
      <w:jc w:val="left"/>
      <w:rPr>
        <w:rFonts w:ascii="仿宋" w:hAnsi="仿宋" w:eastAsia="仿宋"/>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III</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III</w:t>
                    </w:r>
                    <w:r>
                      <w:rPr>
                        <w:rFonts w:hint="eastAsia" w:asciiTheme="minorEastAsia" w:hAnsiTheme="minorEastAsia" w:eastAsiaTheme="minorEastAsia" w:cstheme="minorEastAsia"/>
                        <w:sz w:val="28"/>
                        <w:szCs w:val="28"/>
                      </w:rPr>
                      <w:fldChar w:fldCharType="end"/>
                    </w:r>
                  </w:p>
                </w:txbxContent>
              </v:textbox>
            </v:shape>
          </w:pict>
        </mc:Fallback>
      </mc:AlternateContent>
    </w:r>
    <w:r>
      <w:rPr>
        <w:rFonts w:hint="eastAsia" w:ascii="仿宋" w:hAnsi="仿宋" w:eastAsia="仿宋"/>
        <w:sz w:val="28"/>
        <w:szCs w:val="28"/>
        <w:lang w:eastAsia="zh-CN"/>
      </w:rPr>
      <w:tab/>
    </w:r>
    <w:r>
      <w:rPr>
        <w:rFonts w:hint="eastAsia" w:ascii="仿宋" w:hAnsi="仿宋" w:eastAsia="仿宋"/>
        <w:sz w:val="28"/>
        <w:szCs w:val="28"/>
        <w:lang w:eastAsia="zh-CN"/>
      </w:rPr>
      <w:tab/>
    </w:r>
    <w:r>
      <w:rPr>
        <w:rFonts w:hint="eastAsia" w:ascii="仿宋" w:hAnsi="仿宋" w:eastAsia="仿宋"/>
        <w:sz w:val="28"/>
        <w:szCs w:val="28"/>
        <w:lang w:eastAsia="zh-CN"/>
      </w:rPr>
      <w:tab/>
    </w:r>
    <w:r>
      <w:rPr>
        <w:rFonts w:hint="eastAsia" w:ascii="仿宋" w:hAnsi="仿宋" w:eastAsia="仿宋"/>
        <w:sz w:val="28"/>
        <w:szCs w:val="28"/>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right"/>
      <w:rPr>
        <w:rFonts w:ascii="仿宋" w:hAnsi="仿宋" w:eastAsia="仿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III</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III</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I</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pPr>
                      <w:pStyle w:val="10"/>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I</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right"/>
    </w:pPr>
    <w:r>
      <w:rPr>
        <w:rFonts w:hint="eastAsia"/>
      </w:rPr>
      <w:t>大华</w:t>
    </w:r>
    <w:r>
      <w:rPr>
        <w:rFonts w:hint="eastAsia"/>
        <w:lang w:val="en-US" w:eastAsia="zh-CN"/>
      </w:rPr>
      <w:t>核</w:t>
    </w:r>
    <w:r>
      <w:rPr>
        <w:rFonts w:hint="eastAsia"/>
      </w:rPr>
      <w:t>字[20</w:t>
    </w:r>
    <w:r>
      <w:t>22]2006</w:t>
    </w:r>
    <w:r>
      <w:rPr>
        <w:rFonts w:hint="eastAsia"/>
        <w:lang w:val="en-US" w:eastAsia="zh-CN"/>
      </w:rPr>
      <w:t>30</w:t>
    </w:r>
    <w:r>
      <w:rPr>
        <w:rFonts w:hint="eastAsia"/>
      </w:rPr>
      <w:t>号</w:t>
    </w:r>
    <w:r>
      <w:rPr>
        <w:rFonts w:hint="eastAsia"/>
        <w:color w:val="000000"/>
      </w:rPr>
      <w:t>审计报告</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jc w:val="left"/>
      <w:rPr>
        <w:rFonts w:ascii="等线" w:hAnsi="等线" w:eastAsia="等线" w:cs="黑体"/>
        <w:kern w:val="0"/>
        <w:sz w:val="13"/>
        <w:szCs w:val="13"/>
      </w:rPr>
    </w:pPr>
    <w:r>
      <w:rPr>
        <w:rFonts w:ascii="等线" w:hAnsi="等线" w:eastAsia="等线"/>
        <w:sz w:val="16"/>
        <w:szCs w:val="22"/>
      </w:rPr>
      <w:drawing>
        <wp:inline distT="0" distB="0" distL="0" distR="0">
          <wp:extent cx="2399665" cy="409575"/>
          <wp:effectExtent l="0" t="0" r="0" b="0"/>
          <wp:docPr id="3" name="图片 3" descr="张着嘴&#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张着嘴&#10;&#10;低可信度描述已自动生成"/>
                  <pic:cNvPicPr>
                    <a:picLocks noChangeAspect="1" noChangeArrowheads="1"/>
                  </pic:cNvPicPr>
                </pic:nvPicPr>
                <pic:blipFill>
                  <a:blip r:embed="rId1">
                    <a:extLst>
                      <a:ext uri="{28A0092B-C50C-407E-A947-70E740481C1C}">
                        <a14:useLocalDpi xmlns:a14="http://schemas.microsoft.com/office/drawing/2010/main" val="0"/>
                      </a:ext>
                    </a:extLst>
                  </a:blip>
                  <a:srcRect l="7217" t="2675" r="51215" b="92336"/>
                  <a:stretch>
                    <a:fillRect/>
                  </a:stretch>
                </pic:blipFill>
                <pic:spPr>
                  <a:xfrm>
                    <a:off x="0" y="0"/>
                    <a:ext cx="2399665" cy="409575"/>
                  </a:xfrm>
                  <a:prstGeom prst="rect">
                    <a:avLst/>
                  </a:prstGeom>
                  <a:noFill/>
                  <a:ln>
                    <a:noFill/>
                  </a:ln>
                </pic:spPr>
              </pic:pic>
            </a:graphicData>
          </a:graphic>
        </wp:inline>
      </w:drawing>
    </w:r>
  </w:p>
  <w:p>
    <w:pPr>
      <w:pStyle w:val="11"/>
      <w:pBdr>
        <w:bottom w:val="none" w:color="auto" w:sz="0" w:space="0"/>
      </w:pBdr>
      <w:spacing w:line="240" w:lineRule="atLeast"/>
      <w:jc w:val="right"/>
      <w:rPr>
        <w:rFonts w:ascii="等线" w:hAnsi="等线" w:eastAsia="等线" w:cs="黑体"/>
        <w:b/>
        <w:bCs/>
        <w:sz w:val="15"/>
        <w:szCs w:val="15"/>
      </w:rPr>
    </w:pPr>
    <w:r>
      <w:rPr>
        <w:rFonts w:hint="eastAsia" w:ascii="等线" w:hAnsi="等线" w:eastAsia="等线" w:cs="黑体"/>
        <w:b/>
        <w:bCs/>
        <w:sz w:val="16"/>
        <w:szCs w:val="16"/>
      </w:rPr>
      <w:t xml:space="preserve"> </w:t>
    </w:r>
    <w:r>
      <w:rPr>
        <w:rFonts w:ascii="等线" w:hAnsi="等线" w:eastAsia="等线" w:cs="黑体"/>
        <w:b/>
        <w:bCs/>
        <w:sz w:val="16"/>
        <w:szCs w:val="16"/>
      </w:rPr>
      <w:t xml:space="preserve"> </w:t>
    </w:r>
    <w:r>
      <w:rPr>
        <w:rFonts w:hint="eastAsia" w:ascii="等线" w:hAnsi="等线" w:eastAsia="等线" w:cs="黑体"/>
        <w:b/>
        <w:bCs/>
        <w:sz w:val="15"/>
        <w:szCs w:val="15"/>
      </w:rPr>
      <w:t>大华会计师事务所（特殊普通合伙）云南分所</w:t>
    </w:r>
  </w:p>
  <w:p>
    <w:pPr>
      <w:pStyle w:val="11"/>
      <w:pBdr>
        <w:bottom w:val="none" w:color="auto" w:sz="0" w:space="0"/>
      </w:pBdr>
      <w:spacing w:line="240" w:lineRule="atLeast"/>
      <w:jc w:val="right"/>
      <w:rPr>
        <w:rFonts w:ascii="等线" w:hAnsi="等线" w:eastAsia="等线" w:cs="黑体"/>
        <w:bCs/>
        <w:sz w:val="15"/>
        <w:szCs w:val="15"/>
      </w:rPr>
    </w:pPr>
    <w:r>
      <w:rPr>
        <w:rFonts w:hint="eastAsia" w:ascii="等线" w:hAnsi="等线" w:eastAsia="等线" w:cs="黑体"/>
        <w:bCs/>
        <w:sz w:val="15"/>
        <w:szCs w:val="15"/>
      </w:rPr>
      <w:t>云南省昆明市西山区前福路229号广福城A8写字楼7层（650228）</w:t>
    </w:r>
  </w:p>
  <w:p>
    <w:pPr>
      <w:pStyle w:val="11"/>
      <w:pBdr>
        <w:bottom w:val="none" w:color="auto" w:sz="0" w:space="0"/>
      </w:pBdr>
      <w:jc w:val="right"/>
      <w:rPr>
        <w:rFonts w:ascii="等线" w:hAnsi="等线" w:eastAsia="等线" w:cs="黑体"/>
        <w:bCs/>
        <w:sz w:val="15"/>
        <w:szCs w:val="15"/>
      </w:rPr>
    </w:pPr>
    <w:r>
      <w:rPr>
        <w:rFonts w:hint="eastAsia" w:ascii="等线" w:hAnsi="等线" w:eastAsia="等线" w:cs="黑体"/>
        <w:bCs/>
        <w:sz w:val="15"/>
        <w:szCs w:val="15"/>
      </w:rPr>
      <w:t>电话：86（871）6395  5266 传真：86（871）6823  6561</w:t>
    </w:r>
  </w:p>
  <w:p>
    <w:pPr>
      <w:pStyle w:val="11"/>
      <w:pBdr>
        <w:bottom w:val="none" w:color="auto" w:sz="0" w:space="0"/>
      </w:pBdr>
      <w:jc w:val="right"/>
    </w:pPr>
    <w:r>
      <w:fldChar w:fldCharType="begin"/>
    </w:r>
    <w:r>
      <w:instrText xml:space="preserve"> HYPERLINK "http://www.dahua-cpa.com" </w:instrText>
    </w:r>
    <w:r>
      <w:fldChar w:fldCharType="separate"/>
    </w:r>
    <w:r>
      <w:rPr>
        <w:rStyle w:val="21"/>
        <w:rFonts w:hint="eastAsia" w:ascii="等线 Light" w:hAnsi="等线 Light" w:eastAsia="等线" w:cs="等线 Light"/>
        <w:b/>
        <w:bCs/>
        <w:i/>
        <w:iCs/>
        <w:sz w:val="15"/>
        <w:szCs w:val="15"/>
      </w:rPr>
      <w:t>www.dahua-cpa.com</w:t>
    </w:r>
    <w:r>
      <w:rPr>
        <w:rStyle w:val="21"/>
        <w:rFonts w:hint="eastAsia" w:ascii="等线 Light" w:hAnsi="等线 Light" w:eastAsia="等线" w:cs="等线 Light"/>
        <w:b/>
        <w:bCs/>
        <w:i/>
        <w:iCs/>
        <w:sz w:val="15"/>
        <w:szCs w:val="15"/>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91FE51"/>
    <w:multiLevelType w:val="singleLevel"/>
    <w:tmpl w:val="9291FE5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removePersonalInformation/>
  <w:bordersDoNotSurroundHeader w:val="0"/>
  <w:bordersDoNotSurroundFooter w:val="0"/>
  <w:documentProtection w:edit="readOnly" w:enforcement="0"/>
  <w:defaultTabStop w:val="420"/>
  <w:drawingGridHorizontalSpacing w:val="158"/>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BmYWNlYmEyODc2N2U3NGQ2YjlhOTk3NDVhYjM2MmUifQ=="/>
    <w:docVar w:name="KSO_WPS_MARK_KEY" w:val="8f4e1d09-a531-457c-9dc6-c97f83b47f36"/>
  </w:docVars>
  <w:rsids>
    <w:rsidRoot w:val="00763D8D"/>
    <w:rsid w:val="00001E42"/>
    <w:rsid w:val="000027B8"/>
    <w:rsid w:val="00002F0B"/>
    <w:rsid w:val="000032EE"/>
    <w:rsid w:val="00003457"/>
    <w:rsid w:val="00005269"/>
    <w:rsid w:val="000053D4"/>
    <w:rsid w:val="0000541A"/>
    <w:rsid w:val="00005612"/>
    <w:rsid w:val="000061F3"/>
    <w:rsid w:val="000079FB"/>
    <w:rsid w:val="000109E6"/>
    <w:rsid w:val="00011162"/>
    <w:rsid w:val="00012FD6"/>
    <w:rsid w:val="00012FE6"/>
    <w:rsid w:val="00013835"/>
    <w:rsid w:val="00013B21"/>
    <w:rsid w:val="000163D2"/>
    <w:rsid w:val="00021B6D"/>
    <w:rsid w:val="000221CA"/>
    <w:rsid w:val="00022371"/>
    <w:rsid w:val="00022B2B"/>
    <w:rsid w:val="00022FFA"/>
    <w:rsid w:val="00023FF0"/>
    <w:rsid w:val="000302F4"/>
    <w:rsid w:val="00031E88"/>
    <w:rsid w:val="00032A27"/>
    <w:rsid w:val="00032A3F"/>
    <w:rsid w:val="000333B0"/>
    <w:rsid w:val="00034210"/>
    <w:rsid w:val="000342E8"/>
    <w:rsid w:val="000352D9"/>
    <w:rsid w:val="0003594B"/>
    <w:rsid w:val="000377E6"/>
    <w:rsid w:val="00040985"/>
    <w:rsid w:val="00042B1B"/>
    <w:rsid w:val="00044EEC"/>
    <w:rsid w:val="00044EFF"/>
    <w:rsid w:val="00045931"/>
    <w:rsid w:val="00046291"/>
    <w:rsid w:val="00046463"/>
    <w:rsid w:val="00047BDF"/>
    <w:rsid w:val="00050813"/>
    <w:rsid w:val="00051B77"/>
    <w:rsid w:val="0005214A"/>
    <w:rsid w:val="00052BF6"/>
    <w:rsid w:val="00052D7F"/>
    <w:rsid w:val="00053024"/>
    <w:rsid w:val="0005327F"/>
    <w:rsid w:val="00053457"/>
    <w:rsid w:val="0005644F"/>
    <w:rsid w:val="000565E6"/>
    <w:rsid w:val="00057354"/>
    <w:rsid w:val="00057AB2"/>
    <w:rsid w:val="00057E6F"/>
    <w:rsid w:val="0006106E"/>
    <w:rsid w:val="000614D5"/>
    <w:rsid w:val="00061FA9"/>
    <w:rsid w:val="00062C5A"/>
    <w:rsid w:val="00064652"/>
    <w:rsid w:val="00066FEA"/>
    <w:rsid w:val="00071FB9"/>
    <w:rsid w:val="000726F3"/>
    <w:rsid w:val="00072A8D"/>
    <w:rsid w:val="00072CEC"/>
    <w:rsid w:val="00072DE3"/>
    <w:rsid w:val="000731C8"/>
    <w:rsid w:val="000737BA"/>
    <w:rsid w:val="00073C73"/>
    <w:rsid w:val="00075F9B"/>
    <w:rsid w:val="000761D2"/>
    <w:rsid w:val="00076B13"/>
    <w:rsid w:val="00077511"/>
    <w:rsid w:val="00077515"/>
    <w:rsid w:val="00077684"/>
    <w:rsid w:val="0008001E"/>
    <w:rsid w:val="0008006D"/>
    <w:rsid w:val="00080072"/>
    <w:rsid w:val="0008270C"/>
    <w:rsid w:val="00082777"/>
    <w:rsid w:val="00082DC6"/>
    <w:rsid w:val="00084022"/>
    <w:rsid w:val="000848EC"/>
    <w:rsid w:val="00085697"/>
    <w:rsid w:val="00085F32"/>
    <w:rsid w:val="0008688C"/>
    <w:rsid w:val="00086A62"/>
    <w:rsid w:val="000910C9"/>
    <w:rsid w:val="0009229C"/>
    <w:rsid w:val="000926D7"/>
    <w:rsid w:val="000929CD"/>
    <w:rsid w:val="00093656"/>
    <w:rsid w:val="0009376E"/>
    <w:rsid w:val="00093BD7"/>
    <w:rsid w:val="00094628"/>
    <w:rsid w:val="0009497D"/>
    <w:rsid w:val="0009510D"/>
    <w:rsid w:val="00095539"/>
    <w:rsid w:val="0009571D"/>
    <w:rsid w:val="00096C2D"/>
    <w:rsid w:val="00097033"/>
    <w:rsid w:val="000A0E47"/>
    <w:rsid w:val="000A0F6A"/>
    <w:rsid w:val="000A1F97"/>
    <w:rsid w:val="000A2945"/>
    <w:rsid w:val="000A3182"/>
    <w:rsid w:val="000A3ED9"/>
    <w:rsid w:val="000A4562"/>
    <w:rsid w:val="000A4B78"/>
    <w:rsid w:val="000A4D4E"/>
    <w:rsid w:val="000A60AC"/>
    <w:rsid w:val="000A6407"/>
    <w:rsid w:val="000A69CD"/>
    <w:rsid w:val="000B18D8"/>
    <w:rsid w:val="000B3526"/>
    <w:rsid w:val="000B45A8"/>
    <w:rsid w:val="000B4DCE"/>
    <w:rsid w:val="000B54C2"/>
    <w:rsid w:val="000B577B"/>
    <w:rsid w:val="000B6BB5"/>
    <w:rsid w:val="000B7FBF"/>
    <w:rsid w:val="000C04DE"/>
    <w:rsid w:val="000C0984"/>
    <w:rsid w:val="000C1646"/>
    <w:rsid w:val="000C1832"/>
    <w:rsid w:val="000C1909"/>
    <w:rsid w:val="000C1973"/>
    <w:rsid w:val="000C25D3"/>
    <w:rsid w:val="000C2641"/>
    <w:rsid w:val="000C2861"/>
    <w:rsid w:val="000C3CE0"/>
    <w:rsid w:val="000C4C79"/>
    <w:rsid w:val="000C6072"/>
    <w:rsid w:val="000C7789"/>
    <w:rsid w:val="000C77BF"/>
    <w:rsid w:val="000C7A97"/>
    <w:rsid w:val="000D071E"/>
    <w:rsid w:val="000D1FBB"/>
    <w:rsid w:val="000D54E1"/>
    <w:rsid w:val="000D61CE"/>
    <w:rsid w:val="000D6B9B"/>
    <w:rsid w:val="000D6F0C"/>
    <w:rsid w:val="000D71DD"/>
    <w:rsid w:val="000E04E3"/>
    <w:rsid w:val="000E0C09"/>
    <w:rsid w:val="000E1691"/>
    <w:rsid w:val="000E21D8"/>
    <w:rsid w:val="000E31B7"/>
    <w:rsid w:val="000E3EF2"/>
    <w:rsid w:val="000E45C3"/>
    <w:rsid w:val="000E5DFF"/>
    <w:rsid w:val="000E702E"/>
    <w:rsid w:val="000E7A95"/>
    <w:rsid w:val="000F3E60"/>
    <w:rsid w:val="000F3EBB"/>
    <w:rsid w:val="000F4570"/>
    <w:rsid w:val="000F6595"/>
    <w:rsid w:val="000F6D94"/>
    <w:rsid w:val="001005CB"/>
    <w:rsid w:val="0010134E"/>
    <w:rsid w:val="0010278B"/>
    <w:rsid w:val="00102884"/>
    <w:rsid w:val="001028D7"/>
    <w:rsid w:val="00104612"/>
    <w:rsid w:val="00104EDC"/>
    <w:rsid w:val="00106279"/>
    <w:rsid w:val="001062CB"/>
    <w:rsid w:val="00106A8B"/>
    <w:rsid w:val="00106FBD"/>
    <w:rsid w:val="001075E2"/>
    <w:rsid w:val="00110119"/>
    <w:rsid w:val="001107F6"/>
    <w:rsid w:val="00110F10"/>
    <w:rsid w:val="00111234"/>
    <w:rsid w:val="001114A3"/>
    <w:rsid w:val="001140C2"/>
    <w:rsid w:val="0011424C"/>
    <w:rsid w:val="00114580"/>
    <w:rsid w:val="001148ED"/>
    <w:rsid w:val="00114B67"/>
    <w:rsid w:val="00116139"/>
    <w:rsid w:val="00116445"/>
    <w:rsid w:val="00117C31"/>
    <w:rsid w:val="00122361"/>
    <w:rsid w:val="001234F1"/>
    <w:rsid w:val="00124FFE"/>
    <w:rsid w:val="001254E8"/>
    <w:rsid w:val="00125D9C"/>
    <w:rsid w:val="00126C74"/>
    <w:rsid w:val="0012764C"/>
    <w:rsid w:val="001308E4"/>
    <w:rsid w:val="00133BDC"/>
    <w:rsid w:val="00135009"/>
    <w:rsid w:val="00136949"/>
    <w:rsid w:val="00137CA9"/>
    <w:rsid w:val="00137EA3"/>
    <w:rsid w:val="00143359"/>
    <w:rsid w:val="00143563"/>
    <w:rsid w:val="0014378E"/>
    <w:rsid w:val="001439E1"/>
    <w:rsid w:val="0014485A"/>
    <w:rsid w:val="00144939"/>
    <w:rsid w:val="00144A2C"/>
    <w:rsid w:val="00147856"/>
    <w:rsid w:val="00147F84"/>
    <w:rsid w:val="00150676"/>
    <w:rsid w:val="0015079A"/>
    <w:rsid w:val="00150F3E"/>
    <w:rsid w:val="001513E5"/>
    <w:rsid w:val="001523A5"/>
    <w:rsid w:val="00152B2B"/>
    <w:rsid w:val="001537D8"/>
    <w:rsid w:val="00153BC6"/>
    <w:rsid w:val="00156F74"/>
    <w:rsid w:val="00156F91"/>
    <w:rsid w:val="0016036C"/>
    <w:rsid w:val="00161317"/>
    <w:rsid w:val="00161605"/>
    <w:rsid w:val="00161DC3"/>
    <w:rsid w:val="0016290B"/>
    <w:rsid w:val="0016384F"/>
    <w:rsid w:val="00165E43"/>
    <w:rsid w:val="00165F06"/>
    <w:rsid w:val="00167243"/>
    <w:rsid w:val="001675E7"/>
    <w:rsid w:val="001722F7"/>
    <w:rsid w:val="001735D6"/>
    <w:rsid w:val="00174235"/>
    <w:rsid w:val="0017453B"/>
    <w:rsid w:val="0017515E"/>
    <w:rsid w:val="001755B5"/>
    <w:rsid w:val="001756CC"/>
    <w:rsid w:val="00175976"/>
    <w:rsid w:val="001764D5"/>
    <w:rsid w:val="00176AE7"/>
    <w:rsid w:val="00177445"/>
    <w:rsid w:val="00180E68"/>
    <w:rsid w:val="00182303"/>
    <w:rsid w:val="00182613"/>
    <w:rsid w:val="00182C96"/>
    <w:rsid w:val="001836BB"/>
    <w:rsid w:val="00183D89"/>
    <w:rsid w:val="001844AE"/>
    <w:rsid w:val="001846CE"/>
    <w:rsid w:val="00185F8D"/>
    <w:rsid w:val="001862BA"/>
    <w:rsid w:val="0018683E"/>
    <w:rsid w:val="00186B58"/>
    <w:rsid w:val="00187306"/>
    <w:rsid w:val="001874A4"/>
    <w:rsid w:val="001905A5"/>
    <w:rsid w:val="00190961"/>
    <w:rsid w:val="001925C9"/>
    <w:rsid w:val="00193665"/>
    <w:rsid w:val="001942DF"/>
    <w:rsid w:val="00194653"/>
    <w:rsid w:val="00196581"/>
    <w:rsid w:val="0019737A"/>
    <w:rsid w:val="001A01E4"/>
    <w:rsid w:val="001A2410"/>
    <w:rsid w:val="001A2656"/>
    <w:rsid w:val="001A2D6F"/>
    <w:rsid w:val="001A4150"/>
    <w:rsid w:val="001A4B57"/>
    <w:rsid w:val="001A5378"/>
    <w:rsid w:val="001A644B"/>
    <w:rsid w:val="001A69FE"/>
    <w:rsid w:val="001A6EEB"/>
    <w:rsid w:val="001A77EE"/>
    <w:rsid w:val="001A7B0F"/>
    <w:rsid w:val="001A7E46"/>
    <w:rsid w:val="001B1A67"/>
    <w:rsid w:val="001B338F"/>
    <w:rsid w:val="001B3F40"/>
    <w:rsid w:val="001B4784"/>
    <w:rsid w:val="001B485E"/>
    <w:rsid w:val="001C2398"/>
    <w:rsid w:val="001C2D6D"/>
    <w:rsid w:val="001C44C3"/>
    <w:rsid w:val="001C5D76"/>
    <w:rsid w:val="001C649A"/>
    <w:rsid w:val="001D1888"/>
    <w:rsid w:val="001D1B0B"/>
    <w:rsid w:val="001D28EF"/>
    <w:rsid w:val="001D4E03"/>
    <w:rsid w:val="001D588C"/>
    <w:rsid w:val="001D58D7"/>
    <w:rsid w:val="001D5FBA"/>
    <w:rsid w:val="001D6BAE"/>
    <w:rsid w:val="001D7010"/>
    <w:rsid w:val="001D71EF"/>
    <w:rsid w:val="001E07CC"/>
    <w:rsid w:val="001E085F"/>
    <w:rsid w:val="001E091F"/>
    <w:rsid w:val="001E1C7F"/>
    <w:rsid w:val="001E1FC4"/>
    <w:rsid w:val="001E410D"/>
    <w:rsid w:val="001E53F4"/>
    <w:rsid w:val="001E6E29"/>
    <w:rsid w:val="001E713D"/>
    <w:rsid w:val="001E74DD"/>
    <w:rsid w:val="001F02C9"/>
    <w:rsid w:val="001F039B"/>
    <w:rsid w:val="001F1267"/>
    <w:rsid w:val="001F1285"/>
    <w:rsid w:val="001F1844"/>
    <w:rsid w:val="001F264E"/>
    <w:rsid w:val="001F26A7"/>
    <w:rsid w:val="001F3BD6"/>
    <w:rsid w:val="001F3D69"/>
    <w:rsid w:val="001F46E7"/>
    <w:rsid w:val="001F566D"/>
    <w:rsid w:val="001F59A3"/>
    <w:rsid w:val="001F5F2E"/>
    <w:rsid w:val="001F68BC"/>
    <w:rsid w:val="00200263"/>
    <w:rsid w:val="00200E37"/>
    <w:rsid w:val="0020171F"/>
    <w:rsid w:val="00201989"/>
    <w:rsid w:val="00201C2D"/>
    <w:rsid w:val="00201EF3"/>
    <w:rsid w:val="002039F0"/>
    <w:rsid w:val="0020414B"/>
    <w:rsid w:val="00205765"/>
    <w:rsid w:val="00205DF7"/>
    <w:rsid w:val="002076CB"/>
    <w:rsid w:val="00210C02"/>
    <w:rsid w:val="00212FA7"/>
    <w:rsid w:val="002131B9"/>
    <w:rsid w:val="002162BD"/>
    <w:rsid w:val="00216901"/>
    <w:rsid w:val="00217869"/>
    <w:rsid w:val="0021797F"/>
    <w:rsid w:val="00217AA8"/>
    <w:rsid w:val="00220068"/>
    <w:rsid w:val="00220AD6"/>
    <w:rsid w:val="00221280"/>
    <w:rsid w:val="00222652"/>
    <w:rsid w:val="002229E2"/>
    <w:rsid w:val="0022365E"/>
    <w:rsid w:val="00224780"/>
    <w:rsid w:val="00225F68"/>
    <w:rsid w:val="002260C9"/>
    <w:rsid w:val="00226E95"/>
    <w:rsid w:val="002274FB"/>
    <w:rsid w:val="00227EAF"/>
    <w:rsid w:val="00230719"/>
    <w:rsid w:val="00230C67"/>
    <w:rsid w:val="00234AFB"/>
    <w:rsid w:val="00235C5D"/>
    <w:rsid w:val="00235D66"/>
    <w:rsid w:val="00237192"/>
    <w:rsid w:val="00240B85"/>
    <w:rsid w:val="002422DC"/>
    <w:rsid w:val="0024279E"/>
    <w:rsid w:val="00242C8A"/>
    <w:rsid w:val="0024302C"/>
    <w:rsid w:val="002430D5"/>
    <w:rsid w:val="00246276"/>
    <w:rsid w:val="00246E99"/>
    <w:rsid w:val="0024742B"/>
    <w:rsid w:val="0024764F"/>
    <w:rsid w:val="00250B79"/>
    <w:rsid w:val="00251346"/>
    <w:rsid w:val="002532A4"/>
    <w:rsid w:val="00254804"/>
    <w:rsid w:val="00254B91"/>
    <w:rsid w:val="002554E5"/>
    <w:rsid w:val="0025669F"/>
    <w:rsid w:val="002567D8"/>
    <w:rsid w:val="002567E0"/>
    <w:rsid w:val="00256D4E"/>
    <w:rsid w:val="002606F4"/>
    <w:rsid w:val="00261621"/>
    <w:rsid w:val="00261B36"/>
    <w:rsid w:val="002620E4"/>
    <w:rsid w:val="002625DF"/>
    <w:rsid w:val="00266468"/>
    <w:rsid w:val="00270FAC"/>
    <w:rsid w:val="002724F2"/>
    <w:rsid w:val="00274648"/>
    <w:rsid w:val="002758C7"/>
    <w:rsid w:val="00277ACC"/>
    <w:rsid w:val="00277FCA"/>
    <w:rsid w:val="00280FFD"/>
    <w:rsid w:val="0028281F"/>
    <w:rsid w:val="00282CC8"/>
    <w:rsid w:val="00283F38"/>
    <w:rsid w:val="00285265"/>
    <w:rsid w:val="002862D6"/>
    <w:rsid w:val="002866C2"/>
    <w:rsid w:val="00286C80"/>
    <w:rsid w:val="00287A4C"/>
    <w:rsid w:val="00290595"/>
    <w:rsid w:val="002934AD"/>
    <w:rsid w:val="0029356B"/>
    <w:rsid w:val="00294FDE"/>
    <w:rsid w:val="00295FDB"/>
    <w:rsid w:val="002A0059"/>
    <w:rsid w:val="002A0197"/>
    <w:rsid w:val="002A020A"/>
    <w:rsid w:val="002A06D4"/>
    <w:rsid w:val="002A1DF7"/>
    <w:rsid w:val="002A2389"/>
    <w:rsid w:val="002A2654"/>
    <w:rsid w:val="002A3BDB"/>
    <w:rsid w:val="002A5AD2"/>
    <w:rsid w:val="002A5C67"/>
    <w:rsid w:val="002A6C0A"/>
    <w:rsid w:val="002A6EAA"/>
    <w:rsid w:val="002B2BFC"/>
    <w:rsid w:val="002B3F00"/>
    <w:rsid w:val="002B40EA"/>
    <w:rsid w:val="002B5300"/>
    <w:rsid w:val="002B6F01"/>
    <w:rsid w:val="002B7A27"/>
    <w:rsid w:val="002B7B5E"/>
    <w:rsid w:val="002C2CAE"/>
    <w:rsid w:val="002C46F4"/>
    <w:rsid w:val="002C50DD"/>
    <w:rsid w:val="002C555C"/>
    <w:rsid w:val="002C6AE3"/>
    <w:rsid w:val="002C6F22"/>
    <w:rsid w:val="002D1A05"/>
    <w:rsid w:val="002D1D67"/>
    <w:rsid w:val="002D2317"/>
    <w:rsid w:val="002D3A7A"/>
    <w:rsid w:val="002D498A"/>
    <w:rsid w:val="002D4E21"/>
    <w:rsid w:val="002D55A2"/>
    <w:rsid w:val="002D5D1E"/>
    <w:rsid w:val="002D73C2"/>
    <w:rsid w:val="002E06C9"/>
    <w:rsid w:val="002E0F87"/>
    <w:rsid w:val="002E1041"/>
    <w:rsid w:val="002E20E8"/>
    <w:rsid w:val="002E280F"/>
    <w:rsid w:val="002E4429"/>
    <w:rsid w:val="002E44E2"/>
    <w:rsid w:val="002E4F0D"/>
    <w:rsid w:val="002E5A37"/>
    <w:rsid w:val="002E6F0D"/>
    <w:rsid w:val="002E6FAE"/>
    <w:rsid w:val="002F05E7"/>
    <w:rsid w:val="002F0B5C"/>
    <w:rsid w:val="002F0E14"/>
    <w:rsid w:val="002F2027"/>
    <w:rsid w:val="002F3A58"/>
    <w:rsid w:val="002F4221"/>
    <w:rsid w:val="002F516E"/>
    <w:rsid w:val="002F571B"/>
    <w:rsid w:val="002F59F0"/>
    <w:rsid w:val="002F5F78"/>
    <w:rsid w:val="002F65B6"/>
    <w:rsid w:val="002F7BE7"/>
    <w:rsid w:val="0030030F"/>
    <w:rsid w:val="003006BD"/>
    <w:rsid w:val="00301E20"/>
    <w:rsid w:val="003020B9"/>
    <w:rsid w:val="003057F0"/>
    <w:rsid w:val="00305854"/>
    <w:rsid w:val="00307209"/>
    <w:rsid w:val="00307963"/>
    <w:rsid w:val="00307A5C"/>
    <w:rsid w:val="00307B63"/>
    <w:rsid w:val="00307D79"/>
    <w:rsid w:val="0031132F"/>
    <w:rsid w:val="003116BB"/>
    <w:rsid w:val="003124B3"/>
    <w:rsid w:val="003133EF"/>
    <w:rsid w:val="00313C52"/>
    <w:rsid w:val="0031406D"/>
    <w:rsid w:val="00314557"/>
    <w:rsid w:val="00314A18"/>
    <w:rsid w:val="00314AF8"/>
    <w:rsid w:val="003219A7"/>
    <w:rsid w:val="00321A43"/>
    <w:rsid w:val="003226AA"/>
    <w:rsid w:val="003241BB"/>
    <w:rsid w:val="003242F3"/>
    <w:rsid w:val="003270CD"/>
    <w:rsid w:val="00327DCF"/>
    <w:rsid w:val="003305B8"/>
    <w:rsid w:val="0033130B"/>
    <w:rsid w:val="00333886"/>
    <w:rsid w:val="00333FE4"/>
    <w:rsid w:val="00334636"/>
    <w:rsid w:val="0033489A"/>
    <w:rsid w:val="0033762E"/>
    <w:rsid w:val="0034011D"/>
    <w:rsid w:val="0034081C"/>
    <w:rsid w:val="0034153B"/>
    <w:rsid w:val="003427AC"/>
    <w:rsid w:val="003427BE"/>
    <w:rsid w:val="0034304B"/>
    <w:rsid w:val="0034415B"/>
    <w:rsid w:val="003446BE"/>
    <w:rsid w:val="00344D52"/>
    <w:rsid w:val="00345149"/>
    <w:rsid w:val="00345478"/>
    <w:rsid w:val="00345E5B"/>
    <w:rsid w:val="00345F75"/>
    <w:rsid w:val="00347579"/>
    <w:rsid w:val="00347950"/>
    <w:rsid w:val="00347C48"/>
    <w:rsid w:val="00347CEB"/>
    <w:rsid w:val="00347E96"/>
    <w:rsid w:val="00350301"/>
    <w:rsid w:val="00351D75"/>
    <w:rsid w:val="00353796"/>
    <w:rsid w:val="00355733"/>
    <w:rsid w:val="00356D1E"/>
    <w:rsid w:val="00357576"/>
    <w:rsid w:val="003579A4"/>
    <w:rsid w:val="00357E6E"/>
    <w:rsid w:val="00361B06"/>
    <w:rsid w:val="00362CCC"/>
    <w:rsid w:val="003647C0"/>
    <w:rsid w:val="00364941"/>
    <w:rsid w:val="0036565B"/>
    <w:rsid w:val="00365AA5"/>
    <w:rsid w:val="00365B28"/>
    <w:rsid w:val="00365E94"/>
    <w:rsid w:val="00367117"/>
    <w:rsid w:val="00370B41"/>
    <w:rsid w:val="00371A8F"/>
    <w:rsid w:val="00371BB6"/>
    <w:rsid w:val="00371CAA"/>
    <w:rsid w:val="00371D06"/>
    <w:rsid w:val="00371D2B"/>
    <w:rsid w:val="00373EC0"/>
    <w:rsid w:val="0037449E"/>
    <w:rsid w:val="00375A44"/>
    <w:rsid w:val="00375AF4"/>
    <w:rsid w:val="003761AE"/>
    <w:rsid w:val="00376534"/>
    <w:rsid w:val="00376A60"/>
    <w:rsid w:val="00380118"/>
    <w:rsid w:val="003807BD"/>
    <w:rsid w:val="00381F0D"/>
    <w:rsid w:val="00382931"/>
    <w:rsid w:val="0038325E"/>
    <w:rsid w:val="0038336A"/>
    <w:rsid w:val="00383899"/>
    <w:rsid w:val="00383FAD"/>
    <w:rsid w:val="00384495"/>
    <w:rsid w:val="00384980"/>
    <w:rsid w:val="00385C35"/>
    <w:rsid w:val="003864AB"/>
    <w:rsid w:val="00387976"/>
    <w:rsid w:val="00390C5A"/>
    <w:rsid w:val="00392745"/>
    <w:rsid w:val="00392B65"/>
    <w:rsid w:val="0039305B"/>
    <w:rsid w:val="00393295"/>
    <w:rsid w:val="00393456"/>
    <w:rsid w:val="00393862"/>
    <w:rsid w:val="00397F49"/>
    <w:rsid w:val="003A1010"/>
    <w:rsid w:val="003A2287"/>
    <w:rsid w:val="003A243A"/>
    <w:rsid w:val="003A26F2"/>
    <w:rsid w:val="003A3987"/>
    <w:rsid w:val="003A43BD"/>
    <w:rsid w:val="003A561E"/>
    <w:rsid w:val="003A5711"/>
    <w:rsid w:val="003A6AB4"/>
    <w:rsid w:val="003A6B05"/>
    <w:rsid w:val="003A6BDB"/>
    <w:rsid w:val="003B2603"/>
    <w:rsid w:val="003B3B16"/>
    <w:rsid w:val="003B4212"/>
    <w:rsid w:val="003B50A6"/>
    <w:rsid w:val="003B5E81"/>
    <w:rsid w:val="003B5FE1"/>
    <w:rsid w:val="003B6544"/>
    <w:rsid w:val="003B6E6E"/>
    <w:rsid w:val="003B74B5"/>
    <w:rsid w:val="003C06AD"/>
    <w:rsid w:val="003C1B1C"/>
    <w:rsid w:val="003C1FB1"/>
    <w:rsid w:val="003C2D15"/>
    <w:rsid w:val="003C3146"/>
    <w:rsid w:val="003C4390"/>
    <w:rsid w:val="003C4985"/>
    <w:rsid w:val="003C4B64"/>
    <w:rsid w:val="003C6827"/>
    <w:rsid w:val="003C703D"/>
    <w:rsid w:val="003D1053"/>
    <w:rsid w:val="003D112A"/>
    <w:rsid w:val="003D12B5"/>
    <w:rsid w:val="003D1944"/>
    <w:rsid w:val="003D2104"/>
    <w:rsid w:val="003D2F2D"/>
    <w:rsid w:val="003D2FF0"/>
    <w:rsid w:val="003D34DA"/>
    <w:rsid w:val="003D35C0"/>
    <w:rsid w:val="003D4A5B"/>
    <w:rsid w:val="003D5145"/>
    <w:rsid w:val="003D5A12"/>
    <w:rsid w:val="003D6830"/>
    <w:rsid w:val="003E0BF9"/>
    <w:rsid w:val="003E0E49"/>
    <w:rsid w:val="003E1627"/>
    <w:rsid w:val="003E28AB"/>
    <w:rsid w:val="003E3D0B"/>
    <w:rsid w:val="003E559F"/>
    <w:rsid w:val="003E5D2F"/>
    <w:rsid w:val="003E6416"/>
    <w:rsid w:val="003E66AA"/>
    <w:rsid w:val="003E6E10"/>
    <w:rsid w:val="003E6F5A"/>
    <w:rsid w:val="003E7848"/>
    <w:rsid w:val="003F0777"/>
    <w:rsid w:val="003F10F1"/>
    <w:rsid w:val="003F1515"/>
    <w:rsid w:val="003F16E7"/>
    <w:rsid w:val="003F3902"/>
    <w:rsid w:val="003F3B25"/>
    <w:rsid w:val="003F3E12"/>
    <w:rsid w:val="003F402E"/>
    <w:rsid w:val="003F54F5"/>
    <w:rsid w:val="003F6354"/>
    <w:rsid w:val="003F6CC1"/>
    <w:rsid w:val="00400CBC"/>
    <w:rsid w:val="00400D06"/>
    <w:rsid w:val="00401C88"/>
    <w:rsid w:val="0040239B"/>
    <w:rsid w:val="00402FE1"/>
    <w:rsid w:val="004041A6"/>
    <w:rsid w:val="00405226"/>
    <w:rsid w:val="00405496"/>
    <w:rsid w:val="00405C75"/>
    <w:rsid w:val="00406CB9"/>
    <w:rsid w:val="00406D6A"/>
    <w:rsid w:val="00406DEF"/>
    <w:rsid w:val="00411585"/>
    <w:rsid w:val="00411819"/>
    <w:rsid w:val="00413311"/>
    <w:rsid w:val="0041352A"/>
    <w:rsid w:val="00413CED"/>
    <w:rsid w:val="00414379"/>
    <w:rsid w:val="00416222"/>
    <w:rsid w:val="00416BFD"/>
    <w:rsid w:val="0042007D"/>
    <w:rsid w:val="00420BEC"/>
    <w:rsid w:val="004216D6"/>
    <w:rsid w:val="004221FE"/>
    <w:rsid w:val="0042251D"/>
    <w:rsid w:val="00426FE5"/>
    <w:rsid w:val="004272A6"/>
    <w:rsid w:val="00427F98"/>
    <w:rsid w:val="0043119F"/>
    <w:rsid w:val="00431AE7"/>
    <w:rsid w:val="004326BB"/>
    <w:rsid w:val="00432D33"/>
    <w:rsid w:val="00432EC4"/>
    <w:rsid w:val="004330E4"/>
    <w:rsid w:val="00433CAA"/>
    <w:rsid w:val="00435047"/>
    <w:rsid w:val="00435F44"/>
    <w:rsid w:val="00437980"/>
    <w:rsid w:val="00437CF7"/>
    <w:rsid w:val="004401ED"/>
    <w:rsid w:val="00440843"/>
    <w:rsid w:val="004410A4"/>
    <w:rsid w:val="0044349C"/>
    <w:rsid w:val="00443FFD"/>
    <w:rsid w:val="00444B09"/>
    <w:rsid w:val="00445BB4"/>
    <w:rsid w:val="00446B14"/>
    <w:rsid w:val="004513A5"/>
    <w:rsid w:val="00451EE6"/>
    <w:rsid w:val="00451F9E"/>
    <w:rsid w:val="00452585"/>
    <w:rsid w:val="00452895"/>
    <w:rsid w:val="00453319"/>
    <w:rsid w:val="004542C8"/>
    <w:rsid w:val="004549D1"/>
    <w:rsid w:val="00455F06"/>
    <w:rsid w:val="004563C7"/>
    <w:rsid w:val="00457099"/>
    <w:rsid w:val="0046070E"/>
    <w:rsid w:val="00460B90"/>
    <w:rsid w:val="00460E4C"/>
    <w:rsid w:val="00462343"/>
    <w:rsid w:val="00463FC3"/>
    <w:rsid w:val="00464A91"/>
    <w:rsid w:val="00465037"/>
    <w:rsid w:val="00465B8C"/>
    <w:rsid w:val="004671F2"/>
    <w:rsid w:val="00467F0A"/>
    <w:rsid w:val="00470AA2"/>
    <w:rsid w:val="00470BEE"/>
    <w:rsid w:val="00472258"/>
    <w:rsid w:val="0047352C"/>
    <w:rsid w:val="004735EB"/>
    <w:rsid w:val="00474787"/>
    <w:rsid w:val="0047544B"/>
    <w:rsid w:val="004766AE"/>
    <w:rsid w:val="0048081D"/>
    <w:rsid w:val="004811D4"/>
    <w:rsid w:val="004816BE"/>
    <w:rsid w:val="0048198D"/>
    <w:rsid w:val="00481C10"/>
    <w:rsid w:val="00481EDD"/>
    <w:rsid w:val="00482129"/>
    <w:rsid w:val="00482BF5"/>
    <w:rsid w:val="004830A8"/>
    <w:rsid w:val="004839EA"/>
    <w:rsid w:val="00483BA5"/>
    <w:rsid w:val="00484612"/>
    <w:rsid w:val="00485D8E"/>
    <w:rsid w:val="004860CD"/>
    <w:rsid w:val="0048614F"/>
    <w:rsid w:val="0048637D"/>
    <w:rsid w:val="00486CF6"/>
    <w:rsid w:val="00490530"/>
    <w:rsid w:val="00490A77"/>
    <w:rsid w:val="00491824"/>
    <w:rsid w:val="00491F19"/>
    <w:rsid w:val="004949AC"/>
    <w:rsid w:val="004949F6"/>
    <w:rsid w:val="00494A9B"/>
    <w:rsid w:val="004A0A75"/>
    <w:rsid w:val="004A3612"/>
    <w:rsid w:val="004A3D8A"/>
    <w:rsid w:val="004A3DDB"/>
    <w:rsid w:val="004A4700"/>
    <w:rsid w:val="004A4B25"/>
    <w:rsid w:val="004A4CEC"/>
    <w:rsid w:val="004A5DF6"/>
    <w:rsid w:val="004A618B"/>
    <w:rsid w:val="004A6FD0"/>
    <w:rsid w:val="004A711A"/>
    <w:rsid w:val="004A744C"/>
    <w:rsid w:val="004A7B19"/>
    <w:rsid w:val="004B2569"/>
    <w:rsid w:val="004B34FB"/>
    <w:rsid w:val="004B3CC4"/>
    <w:rsid w:val="004B448D"/>
    <w:rsid w:val="004B5339"/>
    <w:rsid w:val="004B6C19"/>
    <w:rsid w:val="004C3AAF"/>
    <w:rsid w:val="004C4FF1"/>
    <w:rsid w:val="004C51F5"/>
    <w:rsid w:val="004C5D7B"/>
    <w:rsid w:val="004C5E22"/>
    <w:rsid w:val="004C6BF0"/>
    <w:rsid w:val="004D0338"/>
    <w:rsid w:val="004D1C23"/>
    <w:rsid w:val="004D2649"/>
    <w:rsid w:val="004D31B0"/>
    <w:rsid w:val="004D34AD"/>
    <w:rsid w:val="004D38B9"/>
    <w:rsid w:val="004D38BB"/>
    <w:rsid w:val="004D4189"/>
    <w:rsid w:val="004D48CD"/>
    <w:rsid w:val="004D663A"/>
    <w:rsid w:val="004D678B"/>
    <w:rsid w:val="004D7A7E"/>
    <w:rsid w:val="004E013B"/>
    <w:rsid w:val="004E0906"/>
    <w:rsid w:val="004E11D0"/>
    <w:rsid w:val="004E1F3D"/>
    <w:rsid w:val="004E3362"/>
    <w:rsid w:val="004E36B0"/>
    <w:rsid w:val="004E3F39"/>
    <w:rsid w:val="004E536F"/>
    <w:rsid w:val="004E548F"/>
    <w:rsid w:val="004E57D9"/>
    <w:rsid w:val="004E5E85"/>
    <w:rsid w:val="004E6B85"/>
    <w:rsid w:val="004E6E48"/>
    <w:rsid w:val="004F0288"/>
    <w:rsid w:val="004F0B47"/>
    <w:rsid w:val="004F2DE8"/>
    <w:rsid w:val="004F303B"/>
    <w:rsid w:val="004F400E"/>
    <w:rsid w:val="004F4191"/>
    <w:rsid w:val="004F43AA"/>
    <w:rsid w:val="004F4657"/>
    <w:rsid w:val="004F6A18"/>
    <w:rsid w:val="004F71D6"/>
    <w:rsid w:val="004F764F"/>
    <w:rsid w:val="004F7E59"/>
    <w:rsid w:val="005007F9"/>
    <w:rsid w:val="0050185C"/>
    <w:rsid w:val="005020E2"/>
    <w:rsid w:val="005060C3"/>
    <w:rsid w:val="005102A2"/>
    <w:rsid w:val="00510BAB"/>
    <w:rsid w:val="005128C5"/>
    <w:rsid w:val="005128F3"/>
    <w:rsid w:val="00514671"/>
    <w:rsid w:val="00514C29"/>
    <w:rsid w:val="0051607A"/>
    <w:rsid w:val="0051643E"/>
    <w:rsid w:val="0051652E"/>
    <w:rsid w:val="00517420"/>
    <w:rsid w:val="00517BBF"/>
    <w:rsid w:val="00520FFA"/>
    <w:rsid w:val="005212B1"/>
    <w:rsid w:val="0052179A"/>
    <w:rsid w:val="00521EBA"/>
    <w:rsid w:val="00522C77"/>
    <w:rsid w:val="00523D7C"/>
    <w:rsid w:val="0052439E"/>
    <w:rsid w:val="00526431"/>
    <w:rsid w:val="00526748"/>
    <w:rsid w:val="00526CD7"/>
    <w:rsid w:val="005302DA"/>
    <w:rsid w:val="005305DF"/>
    <w:rsid w:val="00532108"/>
    <w:rsid w:val="005335E4"/>
    <w:rsid w:val="005369B8"/>
    <w:rsid w:val="00536F5B"/>
    <w:rsid w:val="00537501"/>
    <w:rsid w:val="00537CE5"/>
    <w:rsid w:val="00537E77"/>
    <w:rsid w:val="00537F54"/>
    <w:rsid w:val="00540F1C"/>
    <w:rsid w:val="00542670"/>
    <w:rsid w:val="005429B9"/>
    <w:rsid w:val="00545908"/>
    <w:rsid w:val="00546A10"/>
    <w:rsid w:val="00550736"/>
    <w:rsid w:val="00550937"/>
    <w:rsid w:val="00551E41"/>
    <w:rsid w:val="00551F74"/>
    <w:rsid w:val="00554DBD"/>
    <w:rsid w:val="00554F02"/>
    <w:rsid w:val="00560548"/>
    <w:rsid w:val="00560677"/>
    <w:rsid w:val="00561513"/>
    <w:rsid w:val="00561795"/>
    <w:rsid w:val="00562BA8"/>
    <w:rsid w:val="0056376A"/>
    <w:rsid w:val="00564552"/>
    <w:rsid w:val="00564F4A"/>
    <w:rsid w:val="00565E48"/>
    <w:rsid w:val="00566921"/>
    <w:rsid w:val="00566D9F"/>
    <w:rsid w:val="005671F0"/>
    <w:rsid w:val="0057050B"/>
    <w:rsid w:val="00570BA3"/>
    <w:rsid w:val="0057129A"/>
    <w:rsid w:val="005723B5"/>
    <w:rsid w:val="005750C4"/>
    <w:rsid w:val="005753DF"/>
    <w:rsid w:val="00575A6A"/>
    <w:rsid w:val="00576CB6"/>
    <w:rsid w:val="00577FAD"/>
    <w:rsid w:val="005812CA"/>
    <w:rsid w:val="00582010"/>
    <w:rsid w:val="0058219A"/>
    <w:rsid w:val="00585784"/>
    <w:rsid w:val="00585FEE"/>
    <w:rsid w:val="005868E5"/>
    <w:rsid w:val="00587462"/>
    <w:rsid w:val="005879CA"/>
    <w:rsid w:val="00587C8D"/>
    <w:rsid w:val="0059021A"/>
    <w:rsid w:val="00591EF2"/>
    <w:rsid w:val="00591F6F"/>
    <w:rsid w:val="00592198"/>
    <w:rsid w:val="00592ED5"/>
    <w:rsid w:val="0059320E"/>
    <w:rsid w:val="00593994"/>
    <w:rsid w:val="005941AB"/>
    <w:rsid w:val="00596270"/>
    <w:rsid w:val="0059657A"/>
    <w:rsid w:val="00597A69"/>
    <w:rsid w:val="005A0E1E"/>
    <w:rsid w:val="005A158B"/>
    <w:rsid w:val="005A2E6F"/>
    <w:rsid w:val="005A3510"/>
    <w:rsid w:val="005A3998"/>
    <w:rsid w:val="005A4381"/>
    <w:rsid w:val="005A50E5"/>
    <w:rsid w:val="005A57C2"/>
    <w:rsid w:val="005B0482"/>
    <w:rsid w:val="005B0F43"/>
    <w:rsid w:val="005B18B5"/>
    <w:rsid w:val="005B49E1"/>
    <w:rsid w:val="005B5643"/>
    <w:rsid w:val="005B6066"/>
    <w:rsid w:val="005B6D5F"/>
    <w:rsid w:val="005B6D83"/>
    <w:rsid w:val="005B70F0"/>
    <w:rsid w:val="005B72FA"/>
    <w:rsid w:val="005B7C20"/>
    <w:rsid w:val="005B7CD7"/>
    <w:rsid w:val="005C3A31"/>
    <w:rsid w:val="005C40D3"/>
    <w:rsid w:val="005C4545"/>
    <w:rsid w:val="005C4E5C"/>
    <w:rsid w:val="005C52A7"/>
    <w:rsid w:val="005C5913"/>
    <w:rsid w:val="005C7969"/>
    <w:rsid w:val="005C7E49"/>
    <w:rsid w:val="005D00EB"/>
    <w:rsid w:val="005D0408"/>
    <w:rsid w:val="005D06E4"/>
    <w:rsid w:val="005D0E12"/>
    <w:rsid w:val="005D17D4"/>
    <w:rsid w:val="005D2983"/>
    <w:rsid w:val="005D2B5C"/>
    <w:rsid w:val="005D447B"/>
    <w:rsid w:val="005D4F41"/>
    <w:rsid w:val="005D590F"/>
    <w:rsid w:val="005D69B1"/>
    <w:rsid w:val="005E0F3C"/>
    <w:rsid w:val="005E37FA"/>
    <w:rsid w:val="005E6172"/>
    <w:rsid w:val="005E79B4"/>
    <w:rsid w:val="005F1102"/>
    <w:rsid w:val="005F187A"/>
    <w:rsid w:val="005F280A"/>
    <w:rsid w:val="005F40CD"/>
    <w:rsid w:val="005F434A"/>
    <w:rsid w:val="005F5EB1"/>
    <w:rsid w:val="005F63FE"/>
    <w:rsid w:val="005F707C"/>
    <w:rsid w:val="005F7734"/>
    <w:rsid w:val="005F7A24"/>
    <w:rsid w:val="00603438"/>
    <w:rsid w:val="00603673"/>
    <w:rsid w:val="00603AEC"/>
    <w:rsid w:val="00603CC2"/>
    <w:rsid w:val="00604743"/>
    <w:rsid w:val="00604E40"/>
    <w:rsid w:val="00606113"/>
    <w:rsid w:val="00606859"/>
    <w:rsid w:val="00610C80"/>
    <w:rsid w:val="00611134"/>
    <w:rsid w:val="00613763"/>
    <w:rsid w:val="00614060"/>
    <w:rsid w:val="00614A17"/>
    <w:rsid w:val="00614D78"/>
    <w:rsid w:val="00615001"/>
    <w:rsid w:val="006152E3"/>
    <w:rsid w:val="006155DB"/>
    <w:rsid w:val="006169E6"/>
    <w:rsid w:val="00616BBD"/>
    <w:rsid w:val="00617AA4"/>
    <w:rsid w:val="00617D6E"/>
    <w:rsid w:val="006200A8"/>
    <w:rsid w:val="00620526"/>
    <w:rsid w:val="00621602"/>
    <w:rsid w:val="00621669"/>
    <w:rsid w:val="0062201C"/>
    <w:rsid w:val="006227F6"/>
    <w:rsid w:val="00622964"/>
    <w:rsid w:val="00624F17"/>
    <w:rsid w:val="006251E6"/>
    <w:rsid w:val="00625864"/>
    <w:rsid w:val="0062592E"/>
    <w:rsid w:val="00626CD7"/>
    <w:rsid w:val="006276B7"/>
    <w:rsid w:val="00627AC0"/>
    <w:rsid w:val="00630652"/>
    <w:rsid w:val="0063103D"/>
    <w:rsid w:val="0063152E"/>
    <w:rsid w:val="00631A30"/>
    <w:rsid w:val="006323C6"/>
    <w:rsid w:val="00634466"/>
    <w:rsid w:val="00635517"/>
    <w:rsid w:val="0063603C"/>
    <w:rsid w:val="00640904"/>
    <w:rsid w:val="00640AAC"/>
    <w:rsid w:val="00640DBE"/>
    <w:rsid w:val="0064117F"/>
    <w:rsid w:val="00641428"/>
    <w:rsid w:val="00641B71"/>
    <w:rsid w:val="00643CC5"/>
    <w:rsid w:val="0064402F"/>
    <w:rsid w:val="00645E03"/>
    <w:rsid w:val="00646AEA"/>
    <w:rsid w:val="00650847"/>
    <w:rsid w:val="00651D8C"/>
    <w:rsid w:val="00652C8C"/>
    <w:rsid w:val="00653AF2"/>
    <w:rsid w:val="0065445B"/>
    <w:rsid w:val="00654781"/>
    <w:rsid w:val="00655674"/>
    <w:rsid w:val="00656020"/>
    <w:rsid w:val="00656A9A"/>
    <w:rsid w:val="00656F7D"/>
    <w:rsid w:val="006571CA"/>
    <w:rsid w:val="00657FEB"/>
    <w:rsid w:val="006600AE"/>
    <w:rsid w:val="006613C2"/>
    <w:rsid w:val="006617F2"/>
    <w:rsid w:val="006633E2"/>
    <w:rsid w:val="00663464"/>
    <w:rsid w:val="00663BBB"/>
    <w:rsid w:val="0066407C"/>
    <w:rsid w:val="0066432A"/>
    <w:rsid w:val="00664545"/>
    <w:rsid w:val="00664A3C"/>
    <w:rsid w:val="0066577C"/>
    <w:rsid w:val="00666226"/>
    <w:rsid w:val="00673BD9"/>
    <w:rsid w:val="006747F7"/>
    <w:rsid w:val="00674B5A"/>
    <w:rsid w:val="00674DB5"/>
    <w:rsid w:val="0067548D"/>
    <w:rsid w:val="00675895"/>
    <w:rsid w:val="0068089A"/>
    <w:rsid w:val="00680A6D"/>
    <w:rsid w:val="006818DA"/>
    <w:rsid w:val="00682BA0"/>
    <w:rsid w:val="00683440"/>
    <w:rsid w:val="0068495B"/>
    <w:rsid w:val="00686138"/>
    <w:rsid w:val="00687D46"/>
    <w:rsid w:val="00690FD3"/>
    <w:rsid w:val="0069302A"/>
    <w:rsid w:val="00693295"/>
    <w:rsid w:val="0069483A"/>
    <w:rsid w:val="00694D3C"/>
    <w:rsid w:val="00694EAF"/>
    <w:rsid w:val="006958C2"/>
    <w:rsid w:val="006960BB"/>
    <w:rsid w:val="0069748C"/>
    <w:rsid w:val="006A28E5"/>
    <w:rsid w:val="006A2942"/>
    <w:rsid w:val="006A2A32"/>
    <w:rsid w:val="006A2D0D"/>
    <w:rsid w:val="006A3962"/>
    <w:rsid w:val="006A3C87"/>
    <w:rsid w:val="006A5995"/>
    <w:rsid w:val="006A5FFB"/>
    <w:rsid w:val="006A6752"/>
    <w:rsid w:val="006B1196"/>
    <w:rsid w:val="006B5BCF"/>
    <w:rsid w:val="006B7C51"/>
    <w:rsid w:val="006C0244"/>
    <w:rsid w:val="006C033A"/>
    <w:rsid w:val="006C0E35"/>
    <w:rsid w:val="006C1B1A"/>
    <w:rsid w:val="006C22FD"/>
    <w:rsid w:val="006C33CB"/>
    <w:rsid w:val="006C4793"/>
    <w:rsid w:val="006C4876"/>
    <w:rsid w:val="006C61CA"/>
    <w:rsid w:val="006C69D7"/>
    <w:rsid w:val="006D0105"/>
    <w:rsid w:val="006D012E"/>
    <w:rsid w:val="006D0AC3"/>
    <w:rsid w:val="006D1347"/>
    <w:rsid w:val="006D198F"/>
    <w:rsid w:val="006D2836"/>
    <w:rsid w:val="006D68A4"/>
    <w:rsid w:val="006D759A"/>
    <w:rsid w:val="006E02CA"/>
    <w:rsid w:val="006E0555"/>
    <w:rsid w:val="006E1C00"/>
    <w:rsid w:val="006E1CDE"/>
    <w:rsid w:val="006E1E94"/>
    <w:rsid w:val="006E302D"/>
    <w:rsid w:val="006E342B"/>
    <w:rsid w:val="006E36CF"/>
    <w:rsid w:val="006E3A18"/>
    <w:rsid w:val="006E3A23"/>
    <w:rsid w:val="006E4BB4"/>
    <w:rsid w:val="006E4F64"/>
    <w:rsid w:val="006E54D4"/>
    <w:rsid w:val="006E55D1"/>
    <w:rsid w:val="006E606C"/>
    <w:rsid w:val="006E6DDC"/>
    <w:rsid w:val="006E76CA"/>
    <w:rsid w:val="006E77B8"/>
    <w:rsid w:val="006F09DA"/>
    <w:rsid w:val="006F0F7B"/>
    <w:rsid w:val="006F1226"/>
    <w:rsid w:val="006F33FA"/>
    <w:rsid w:val="006F46CE"/>
    <w:rsid w:val="006F6194"/>
    <w:rsid w:val="006F66D7"/>
    <w:rsid w:val="006F6C45"/>
    <w:rsid w:val="006F6F80"/>
    <w:rsid w:val="006F7172"/>
    <w:rsid w:val="006F7451"/>
    <w:rsid w:val="006F78C5"/>
    <w:rsid w:val="00700394"/>
    <w:rsid w:val="00700C82"/>
    <w:rsid w:val="00700F27"/>
    <w:rsid w:val="00701599"/>
    <w:rsid w:val="00703419"/>
    <w:rsid w:val="00703A62"/>
    <w:rsid w:val="00703CDD"/>
    <w:rsid w:val="00703E15"/>
    <w:rsid w:val="00703FD5"/>
    <w:rsid w:val="00704906"/>
    <w:rsid w:val="00704B20"/>
    <w:rsid w:val="0070532D"/>
    <w:rsid w:val="00705964"/>
    <w:rsid w:val="00706028"/>
    <w:rsid w:val="007061AB"/>
    <w:rsid w:val="00706BD3"/>
    <w:rsid w:val="00706C0E"/>
    <w:rsid w:val="00707272"/>
    <w:rsid w:val="00707D42"/>
    <w:rsid w:val="00707EF8"/>
    <w:rsid w:val="00710E23"/>
    <w:rsid w:val="00711BD6"/>
    <w:rsid w:val="0071248F"/>
    <w:rsid w:val="00712568"/>
    <w:rsid w:val="00714765"/>
    <w:rsid w:val="007159B6"/>
    <w:rsid w:val="007174C1"/>
    <w:rsid w:val="00720FB9"/>
    <w:rsid w:val="00722A24"/>
    <w:rsid w:val="00723885"/>
    <w:rsid w:val="00723BA5"/>
    <w:rsid w:val="00723E2A"/>
    <w:rsid w:val="00726320"/>
    <w:rsid w:val="0072647A"/>
    <w:rsid w:val="007271E2"/>
    <w:rsid w:val="007301B8"/>
    <w:rsid w:val="00730753"/>
    <w:rsid w:val="00730A32"/>
    <w:rsid w:val="00731470"/>
    <w:rsid w:val="007319A2"/>
    <w:rsid w:val="00731A17"/>
    <w:rsid w:val="00731C5F"/>
    <w:rsid w:val="00731F2F"/>
    <w:rsid w:val="00733D12"/>
    <w:rsid w:val="00733E02"/>
    <w:rsid w:val="0073677A"/>
    <w:rsid w:val="007418DD"/>
    <w:rsid w:val="00741E28"/>
    <w:rsid w:val="00742520"/>
    <w:rsid w:val="007431B7"/>
    <w:rsid w:val="007446DA"/>
    <w:rsid w:val="00744D3A"/>
    <w:rsid w:val="0074594C"/>
    <w:rsid w:val="00746C6D"/>
    <w:rsid w:val="0075085D"/>
    <w:rsid w:val="00751985"/>
    <w:rsid w:val="0075260E"/>
    <w:rsid w:val="007526FB"/>
    <w:rsid w:val="00753514"/>
    <w:rsid w:val="00753CC5"/>
    <w:rsid w:val="007541CB"/>
    <w:rsid w:val="00754346"/>
    <w:rsid w:val="00754B81"/>
    <w:rsid w:val="00755156"/>
    <w:rsid w:val="007565FC"/>
    <w:rsid w:val="007573D2"/>
    <w:rsid w:val="00760A26"/>
    <w:rsid w:val="007637C3"/>
    <w:rsid w:val="00763D8D"/>
    <w:rsid w:val="00763F0B"/>
    <w:rsid w:val="007645A1"/>
    <w:rsid w:val="00764F32"/>
    <w:rsid w:val="00765743"/>
    <w:rsid w:val="00771BBE"/>
    <w:rsid w:val="00771DBA"/>
    <w:rsid w:val="007721D5"/>
    <w:rsid w:val="00772A8F"/>
    <w:rsid w:val="00773A18"/>
    <w:rsid w:val="00774689"/>
    <w:rsid w:val="00777EF3"/>
    <w:rsid w:val="00780354"/>
    <w:rsid w:val="00780EAF"/>
    <w:rsid w:val="00780F68"/>
    <w:rsid w:val="007822D6"/>
    <w:rsid w:val="00782844"/>
    <w:rsid w:val="00783983"/>
    <w:rsid w:val="00784B3C"/>
    <w:rsid w:val="007854FB"/>
    <w:rsid w:val="00785671"/>
    <w:rsid w:val="00786B54"/>
    <w:rsid w:val="0079024C"/>
    <w:rsid w:val="00790E7D"/>
    <w:rsid w:val="00791030"/>
    <w:rsid w:val="007911AF"/>
    <w:rsid w:val="00791C0A"/>
    <w:rsid w:val="007927E5"/>
    <w:rsid w:val="00792BB9"/>
    <w:rsid w:val="007949C6"/>
    <w:rsid w:val="00795893"/>
    <w:rsid w:val="00796264"/>
    <w:rsid w:val="00796558"/>
    <w:rsid w:val="007A0D22"/>
    <w:rsid w:val="007A0D31"/>
    <w:rsid w:val="007A1594"/>
    <w:rsid w:val="007A1C7C"/>
    <w:rsid w:val="007A2475"/>
    <w:rsid w:val="007A2BCD"/>
    <w:rsid w:val="007A38B7"/>
    <w:rsid w:val="007A3D48"/>
    <w:rsid w:val="007A4862"/>
    <w:rsid w:val="007A58C0"/>
    <w:rsid w:val="007A5BA5"/>
    <w:rsid w:val="007A6474"/>
    <w:rsid w:val="007A703D"/>
    <w:rsid w:val="007A7277"/>
    <w:rsid w:val="007B059E"/>
    <w:rsid w:val="007B064B"/>
    <w:rsid w:val="007B143A"/>
    <w:rsid w:val="007B2138"/>
    <w:rsid w:val="007B2B46"/>
    <w:rsid w:val="007B2D33"/>
    <w:rsid w:val="007B2D40"/>
    <w:rsid w:val="007B5289"/>
    <w:rsid w:val="007B5C5A"/>
    <w:rsid w:val="007B64E0"/>
    <w:rsid w:val="007B72C4"/>
    <w:rsid w:val="007C0131"/>
    <w:rsid w:val="007C092B"/>
    <w:rsid w:val="007C1BF6"/>
    <w:rsid w:val="007C2580"/>
    <w:rsid w:val="007C2CA2"/>
    <w:rsid w:val="007C38FA"/>
    <w:rsid w:val="007C3BD4"/>
    <w:rsid w:val="007C3CB2"/>
    <w:rsid w:val="007C4DBF"/>
    <w:rsid w:val="007C6D82"/>
    <w:rsid w:val="007C7A81"/>
    <w:rsid w:val="007C7E73"/>
    <w:rsid w:val="007D027A"/>
    <w:rsid w:val="007D051F"/>
    <w:rsid w:val="007D0BBA"/>
    <w:rsid w:val="007D1727"/>
    <w:rsid w:val="007D23D9"/>
    <w:rsid w:val="007D3332"/>
    <w:rsid w:val="007D333C"/>
    <w:rsid w:val="007D3F72"/>
    <w:rsid w:val="007D588D"/>
    <w:rsid w:val="007D5CE4"/>
    <w:rsid w:val="007D5F21"/>
    <w:rsid w:val="007D5F83"/>
    <w:rsid w:val="007D6583"/>
    <w:rsid w:val="007D7023"/>
    <w:rsid w:val="007D7213"/>
    <w:rsid w:val="007D72DF"/>
    <w:rsid w:val="007D778F"/>
    <w:rsid w:val="007E0AAC"/>
    <w:rsid w:val="007E18FC"/>
    <w:rsid w:val="007E281D"/>
    <w:rsid w:val="007E290D"/>
    <w:rsid w:val="007E3797"/>
    <w:rsid w:val="007E4724"/>
    <w:rsid w:val="007E56CC"/>
    <w:rsid w:val="007E5C52"/>
    <w:rsid w:val="007E68BF"/>
    <w:rsid w:val="007E70C4"/>
    <w:rsid w:val="007E726E"/>
    <w:rsid w:val="007F0634"/>
    <w:rsid w:val="007F0B94"/>
    <w:rsid w:val="007F0BEF"/>
    <w:rsid w:val="007F10A1"/>
    <w:rsid w:val="007F1C66"/>
    <w:rsid w:val="007F26DD"/>
    <w:rsid w:val="007F2884"/>
    <w:rsid w:val="007F3515"/>
    <w:rsid w:val="007F4419"/>
    <w:rsid w:val="007F73E5"/>
    <w:rsid w:val="007F7DA1"/>
    <w:rsid w:val="00801696"/>
    <w:rsid w:val="00803FFB"/>
    <w:rsid w:val="0080512A"/>
    <w:rsid w:val="008056A0"/>
    <w:rsid w:val="008058A0"/>
    <w:rsid w:val="008067F9"/>
    <w:rsid w:val="00807246"/>
    <w:rsid w:val="008116C9"/>
    <w:rsid w:val="00812AFF"/>
    <w:rsid w:val="00812BB6"/>
    <w:rsid w:val="00813F50"/>
    <w:rsid w:val="00814803"/>
    <w:rsid w:val="00816B49"/>
    <w:rsid w:val="008173DF"/>
    <w:rsid w:val="00822129"/>
    <w:rsid w:val="00825EBD"/>
    <w:rsid w:val="00826FDA"/>
    <w:rsid w:val="00827322"/>
    <w:rsid w:val="00827E7F"/>
    <w:rsid w:val="00830F98"/>
    <w:rsid w:val="00832C5F"/>
    <w:rsid w:val="00833991"/>
    <w:rsid w:val="00834B6A"/>
    <w:rsid w:val="0083582E"/>
    <w:rsid w:val="00835C1C"/>
    <w:rsid w:val="008362ED"/>
    <w:rsid w:val="0083681E"/>
    <w:rsid w:val="008369B8"/>
    <w:rsid w:val="00837064"/>
    <w:rsid w:val="00837E6A"/>
    <w:rsid w:val="008429AF"/>
    <w:rsid w:val="008443E4"/>
    <w:rsid w:val="00844DAD"/>
    <w:rsid w:val="00844E5C"/>
    <w:rsid w:val="00846B79"/>
    <w:rsid w:val="0084721E"/>
    <w:rsid w:val="0085048D"/>
    <w:rsid w:val="00851B24"/>
    <w:rsid w:val="00851CB8"/>
    <w:rsid w:val="00851F54"/>
    <w:rsid w:val="00853FE2"/>
    <w:rsid w:val="00855FF4"/>
    <w:rsid w:val="0085758D"/>
    <w:rsid w:val="00861906"/>
    <w:rsid w:val="00861BFE"/>
    <w:rsid w:val="008639D7"/>
    <w:rsid w:val="00863F2E"/>
    <w:rsid w:val="008652CA"/>
    <w:rsid w:val="00866544"/>
    <w:rsid w:val="0087193F"/>
    <w:rsid w:val="008735D5"/>
    <w:rsid w:val="008736BC"/>
    <w:rsid w:val="0087382A"/>
    <w:rsid w:val="00873D83"/>
    <w:rsid w:val="0087466F"/>
    <w:rsid w:val="00874B4B"/>
    <w:rsid w:val="0087555F"/>
    <w:rsid w:val="008765B2"/>
    <w:rsid w:val="00876F0F"/>
    <w:rsid w:val="00877854"/>
    <w:rsid w:val="008814E6"/>
    <w:rsid w:val="00882E11"/>
    <w:rsid w:val="0088340E"/>
    <w:rsid w:val="0088438B"/>
    <w:rsid w:val="00884635"/>
    <w:rsid w:val="00885598"/>
    <w:rsid w:val="00885EF1"/>
    <w:rsid w:val="0088652D"/>
    <w:rsid w:val="008876F7"/>
    <w:rsid w:val="00890F31"/>
    <w:rsid w:val="00892DD2"/>
    <w:rsid w:val="0089323F"/>
    <w:rsid w:val="00894AEB"/>
    <w:rsid w:val="00896267"/>
    <w:rsid w:val="00896F65"/>
    <w:rsid w:val="00897172"/>
    <w:rsid w:val="008974FD"/>
    <w:rsid w:val="008A057B"/>
    <w:rsid w:val="008A096F"/>
    <w:rsid w:val="008A0A94"/>
    <w:rsid w:val="008A3471"/>
    <w:rsid w:val="008A37DE"/>
    <w:rsid w:val="008A4437"/>
    <w:rsid w:val="008A4E24"/>
    <w:rsid w:val="008A52AE"/>
    <w:rsid w:val="008A589C"/>
    <w:rsid w:val="008A5EF0"/>
    <w:rsid w:val="008A60E2"/>
    <w:rsid w:val="008A63FB"/>
    <w:rsid w:val="008A703B"/>
    <w:rsid w:val="008A7B0A"/>
    <w:rsid w:val="008B035B"/>
    <w:rsid w:val="008B3369"/>
    <w:rsid w:val="008B3483"/>
    <w:rsid w:val="008B37D7"/>
    <w:rsid w:val="008B4790"/>
    <w:rsid w:val="008B54D3"/>
    <w:rsid w:val="008B5CB6"/>
    <w:rsid w:val="008B5FDF"/>
    <w:rsid w:val="008B6DB1"/>
    <w:rsid w:val="008C134F"/>
    <w:rsid w:val="008C1413"/>
    <w:rsid w:val="008C32F7"/>
    <w:rsid w:val="008C3699"/>
    <w:rsid w:val="008C386B"/>
    <w:rsid w:val="008C3AB1"/>
    <w:rsid w:val="008C4654"/>
    <w:rsid w:val="008C5477"/>
    <w:rsid w:val="008C5D1B"/>
    <w:rsid w:val="008C5DDD"/>
    <w:rsid w:val="008C60D4"/>
    <w:rsid w:val="008D007F"/>
    <w:rsid w:val="008D1196"/>
    <w:rsid w:val="008D1B98"/>
    <w:rsid w:val="008D2A15"/>
    <w:rsid w:val="008D591C"/>
    <w:rsid w:val="008D5ECA"/>
    <w:rsid w:val="008D6A78"/>
    <w:rsid w:val="008D6C00"/>
    <w:rsid w:val="008D7D2E"/>
    <w:rsid w:val="008E021D"/>
    <w:rsid w:val="008E077D"/>
    <w:rsid w:val="008E0BB9"/>
    <w:rsid w:val="008E0C7B"/>
    <w:rsid w:val="008E0E1C"/>
    <w:rsid w:val="008E0FBB"/>
    <w:rsid w:val="008E2B4C"/>
    <w:rsid w:val="008E2BB1"/>
    <w:rsid w:val="008E3595"/>
    <w:rsid w:val="008E3EA9"/>
    <w:rsid w:val="008E5628"/>
    <w:rsid w:val="008E5FD6"/>
    <w:rsid w:val="008E70EF"/>
    <w:rsid w:val="008E7777"/>
    <w:rsid w:val="008F0F5E"/>
    <w:rsid w:val="008F169E"/>
    <w:rsid w:val="008F1F58"/>
    <w:rsid w:val="008F2F92"/>
    <w:rsid w:val="008F35A5"/>
    <w:rsid w:val="008F3B4C"/>
    <w:rsid w:val="008F3E7D"/>
    <w:rsid w:val="008F4983"/>
    <w:rsid w:val="008F57B0"/>
    <w:rsid w:val="008F6079"/>
    <w:rsid w:val="008F60A2"/>
    <w:rsid w:val="008F6EB3"/>
    <w:rsid w:val="008F7698"/>
    <w:rsid w:val="008F7EDF"/>
    <w:rsid w:val="00900057"/>
    <w:rsid w:val="00901077"/>
    <w:rsid w:val="00901D0E"/>
    <w:rsid w:val="009024C9"/>
    <w:rsid w:val="00902627"/>
    <w:rsid w:val="009034E6"/>
    <w:rsid w:val="00903B27"/>
    <w:rsid w:val="00903C2E"/>
    <w:rsid w:val="00905C8E"/>
    <w:rsid w:val="00906630"/>
    <w:rsid w:val="0090678C"/>
    <w:rsid w:val="0090712D"/>
    <w:rsid w:val="009071D5"/>
    <w:rsid w:val="00907D5F"/>
    <w:rsid w:val="0091204F"/>
    <w:rsid w:val="00912CC4"/>
    <w:rsid w:val="0091351A"/>
    <w:rsid w:val="0091369F"/>
    <w:rsid w:val="00913E66"/>
    <w:rsid w:val="00914C1E"/>
    <w:rsid w:val="00915956"/>
    <w:rsid w:val="00920E07"/>
    <w:rsid w:val="0092106C"/>
    <w:rsid w:val="009215ED"/>
    <w:rsid w:val="0092364E"/>
    <w:rsid w:val="0092374D"/>
    <w:rsid w:val="00923BAA"/>
    <w:rsid w:val="00924970"/>
    <w:rsid w:val="00927173"/>
    <w:rsid w:val="00930FA3"/>
    <w:rsid w:val="00931171"/>
    <w:rsid w:val="009317C0"/>
    <w:rsid w:val="00931B5C"/>
    <w:rsid w:val="009326BF"/>
    <w:rsid w:val="0093787B"/>
    <w:rsid w:val="009415F0"/>
    <w:rsid w:val="00942659"/>
    <w:rsid w:val="00942AFA"/>
    <w:rsid w:val="00942C8E"/>
    <w:rsid w:val="009433E4"/>
    <w:rsid w:val="00943ABC"/>
    <w:rsid w:val="00945962"/>
    <w:rsid w:val="00946116"/>
    <w:rsid w:val="00947396"/>
    <w:rsid w:val="0095111A"/>
    <w:rsid w:val="009529F5"/>
    <w:rsid w:val="00952B4F"/>
    <w:rsid w:val="00953F74"/>
    <w:rsid w:val="009578F0"/>
    <w:rsid w:val="009607A3"/>
    <w:rsid w:val="009607C1"/>
    <w:rsid w:val="00961330"/>
    <w:rsid w:val="00961BEE"/>
    <w:rsid w:val="00962193"/>
    <w:rsid w:val="00962B5A"/>
    <w:rsid w:val="00963095"/>
    <w:rsid w:val="00964F1C"/>
    <w:rsid w:val="00965869"/>
    <w:rsid w:val="009672A4"/>
    <w:rsid w:val="00967889"/>
    <w:rsid w:val="00967E9B"/>
    <w:rsid w:val="009701BE"/>
    <w:rsid w:val="00971093"/>
    <w:rsid w:val="00973859"/>
    <w:rsid w:val="00974627"/>
    <w:rsid w:val="00974A70"/>
    <w:rsid w:val="00975CE2"/>
    <w:rsid w:val="009766E0"/>
    <w:rsid w:val="00977673"/>
    <w:rsid w:val="00980A5A"/>
    <w:rsid w:val="00982E9E"/>
    <w:rsid w:val="00983C33"/>
    <w:rsid w:val="00983E74"/>
    <w:rsid w:val="00983EB5"/>
    <w:rsid w:val="0098451B"/>
    <w:rsid w:val="00985C30"/>
    <w:rsid w:val="00985DFF"/>
    <w:rsid w:val="009900E6"/>
    <w:rsid w:val="009912B5"/>
    <w:rsid w:val="009914DC"/>
    <w:rsid w:val="009917C6"/>
    <w:rsid w:val="00992096"/>
    <w:rsid w:val="00993E30"/>
    <w:rsid w:val="009969D9"/>
    <w:rsid w:val="00997BBB"/>
    <w:rsid w:val="009A1863"/>
    <w:rsid w:val="009A3DA3"/>
    <w:rsid w:val="009A3DE0"/>
    <w:rsid w:val="009A4FBD"/>
    <w:rsid w:val="009B0E9E"/>
    <w:rsid w:val="009B1109"/>
    <w:rsid w:val="009B1D6E"/>
    <w:rsid w:val="009B2564"/>
    <w:rsid w:val="009B4A54"/>
    <w:rsid w:val="009B4C1C"/>
    <w:rsid w:val="009B6C04"/>
    <w:rsid w:val="009B7499"/>
    <w:rsid w:val="009B7AB6"/>
    <w:rsid w:val="009B7C10"/>
    <w:rsid w:val="009C009C"/>
    <w:rsid w:val="009C029E"/>
    <w:rsid w:val="009C0656"/>
    <w:rsid w:val="009C07AA"/>
    <w:rsid w:val="009C2DC5"/>
    <w:rsid w:val="009C395E"/>
    <w:rsid w:val="009C3ECB"/>
    <w:rsid w:val="009C55A3"/>
    <w:rsid w:val="009C5FAB"/>
    <w:rsid w:val="009C6BDC"/>
    <w:rsid w:val="009C6D8D"/>
    <w:rsid w:val="009D207C"/>
    <w:rsid w:val="009D25F6"/>
    <w:rsid w:val="009D2740"/>
    <w:rsid w:val="009D2F80"/>
    <w:rsid w:val="009D3119"/>
    <w:rsid w:val="009D3B4B"/>
    <w:rsid w:val="009D423F"/>
    <w:rsid w:val="009D4D5E"/>
    <w:rsid w:val="009D5331"/>
    <w:rsid w:val="009D7F8A"/>
    <w:rsid w:val="009E115F"/>
    <w:rsid w:val="009E16C7"/>
    <w:rsid w:val="009E3151"/>
    <w:rsid w:val="009E31C7"/>
    <w:rsid w:val="009E4779"/>
    <w:rsid w:val="009E5140"/>
    <w:rsid w:val="009E662A"/>
    <w:rsid w:val="009E66F6"/>
    <w:rsid w:val="009E7780"/>
    <w:rsid w:val="009E7A09"/>
    <w:rsid w:val="009F0463"/>
    <w:rsid w:val="009F0623"/>
    <w:rsid w:val="009F0910"/>
    <w:rsid w:val="009F1029"/>
    <w:rsid w:val="009F17BE"/>
    <w:rsid w:val="009F2679"/>
    <w:rsid w:val="009F404C"/>
    <w:rsid w:val="009F41F3"/>
    <w:rsid w:val="009F5219"/>
    <w:rsid w:val="009F584F"/>
    <w:rsid w:val="009F70AD"/>
    <w:rsid w:val="009F7F02"/>
    <w:rsid w:val="00A000D9"/>
    <w:rsid w:val="00A00612"/>
    <w:rsid w:val="00A00AE2"/>
    <w:rsid w:val="00A00D32"/>
    <w:rsid w:val="00A01111"/>
    <w:rsid w:val="00A02D03"/>
    <w:rsid w:val="00A02E94"/>
    <w:rsid w:val="00A039A3"/>
    <w:rsid w:val="00A046A5"/>
    <w:rsid w:val="00A04E95"/>
    <w:rsid w:val="00A05675"/>
    <w:rsid w:val="00A057DC"/>
    <w:rsid w:val="00A0684F"/>
    <w:rsid w:val="00A0725B"/>
    <w:rsid w:val="00A07E73"/>
    <w:rsid w:val="00A10153"/>
    <w:rsid w:val="00A11EC9"/>
    <w:rsid w:val="00A120CC"/>
    <w:rsid w:val="00A121FB"/>
    <w:rsid w:val="00A12F69"/>
    <w:rsid w:val="00A13D87"/>
    <w:rsid w:val="00A15B55"/>
    <w:rsid w:val="00A1757C"/>
    <w:rsid w:val="00A17A74"/>
    <w:rsid w:val="00A21092"/>
    <w:rsid w:val="00A21597"/>
    <w:rsid w:val="00A22A04"/>
    <w:rsid w:val="00A23CC3"/>
    <w:rsid w:val="00A23FCD"/>
    <w:rsid w:val="00A24E49"/>
    <w:rsid w:val="00A25264"/>
    <w:rsid w:val="00A2538A"/>
    <w:rsid w:val="00A25F38"/>
    <w:rsid w:val="00A27303"/>
    <w:rsid w:val="00A27411"/>
    <w:rsid w:val="00A27C51"/>
    <w:rsid w:val="00A31322"/>
    <w:rsid w:val="00A33005"/>
    <w:rsid w:val="00A34C99"/>
    <w:rsid w:val="00A353F8"/>
    <w:rsid w:val="00A36910"/>
    <w:rsid w:val="00A370A6"/>
    <w:rsid w:val="00A375F1"/>
    <w:rsid w:val="00A4120A"/>
    <w:rsid w:val="00A41822"/>
    <w:rsid w:val="00A41AE2"/>
    <w:rsid w:val="00A41B24"/>
    <w:rsid w:val="00A41C20"/>
    <w:rsid w:val="00A42F50"/>
    <w:rsid w:val="00A43390"/>
    <w:rsid w:val="00A43696"/>
    <w:rsid w:val="00A43DC7"/>
    <w:rsid w:val="00A447D2"/>
    <w:rsid w:val="00A44D72"/>
    <w:rsid w:val="00A46066"/>
    <w:rsid w:val="00A46F24"/>
    <w:rsid w:val="00A50F84"/>
    <w:rsid w:val="00A5151C"/>
    <w:rsid w:val="00A523AA"/>
    <w:rsid w:val="00A53093"/>
    <w:rsid w:val="00A55137"/>
    <w:rsid w:val="00A554BE"/>
    <w:rsid w:val="00A559BD"/>
    <w:rsid w:val="00A55B54"/>
    <w:rsid w:val="00A55B7A"/>
    <w:rsid w:val="00A56D54"/>
    <w:rsid w:val="00A57436"/>
    <w:rsid w:val="00A60237"/>
    <w:rsid w:val="00A60411"/>
    <w:rsid w:val="00A605F9"/>
    <w:rsid w:val="00A60E45"/>
    <w:rsid w:val="00A61E23"/>
    <w:rsid w:val="00A638A6"/>
    <w:rsid w:val="00A63BA5"/>
    <w:rsid w:val="00A64EED"/>
    <w:rsid w:val="00A64FA2"/>
    <w:rsid w:val="00A66C29"/>
    <w:rsid w:val="00A6714F"/>
    <w:rsid w:val="00A67C5B"/>
    <w:rsid w:val="00A7047C"/>
    <w:rsid w:val="00A70770"/>
    <w:rsid w:val="00A70ABC"/>
    <w:rsid w:val="00A71567"/>
    <w:rsid w:val="00A7287F"/>
    <w:rsid w:val="00A72CCE"/>
    <w:rsid w:val="00A73767"/>
    <w:rsid w:val="00A73844"/>
    <w:rsid w:val="00A74712"/>
    <w:rsid w:val="00A74717"/>
    <w:rsid w:val="00A804D1"/>
    <w:rsid w:val="00A80D20"/>
    <w:rsid w:val="00A80DAD"/>
    <w:rsid w:val="00A81E87"/>
    <w:rsid w:val="00A83104"/>
    <w:rsid w:val="00A83F2E"/>
    <w:rsid w:val="00A8504E"/>
    <w:rsid w:val="00A86EA4"/>
    <w:rsid w:val="00A90F08"/>
    <w:rsid w:val="00A91968"/>
    <w:rsid w:val="00A92139"/>
    <w:rsid w:val="00A92941"/>
    <w:rsid w:val="00A939F6"/>
    <w:rsid w:val="00A93C83"/>
    <w:rsid w:val="00A9535F"/>
    <w:rsid w:val="00A958B8"/>
    <w:rsid w:val="00A95E98"/>
    <w:rsid w:val="00A9689A"/>
    <w:rsid w:val="00A96D78"/>
    <w:rsid w:val="00A97110"/>
    <w:rsid w:val="00A97297"/>
    <w:rsid w:val="00A97EF6"/>
    <w:rsid w:val="00A97F6B"/>
    <w:rsid w:val="00AA0389"/>
    <w:rsid w:val="00AA05DC"/>
    <w:rsid w:val="00AA2D96"/>
    <w:rsid w:val="00AA580E"/>
    <w:rsid w:val="00AA5A78"/>
    <w:rsid w:val="00AA7142"/>
    <w:rsid w:val="00AA7FDA"/>
    <w:rsid w:val="00AB0097"/>
    <w:rsid w:val="00AB0B37"/>
    <w:rsid w:val="00AB0EC4"/>
    <w:rsid w:val="00AB0EEC"/>
    <w:rsid w:val="00AB1A79"/>
    <w:rsid w:val="00AB1C09"/>
    <w:rsid w:val="00AB312A"/>
    <w:rsid w:val="00AB3A73"/>
    <w:rsid w:val="00AB3D2F"/>
    <w:rsid w:val="00AB46FB"/>
    <w:rsid w:val="00AB5265"/>
    <w:rsid w:val="00AB5B2F"/>
    <w:rsid w:val="00AB611E"/>
    <w:rsid w:val="00AB6649"/>
    <w:rsid w:val="00AB69E3"/>
    <w:rsid w:val="00AB6C0C"/>
    <w:rsid w:val="00AB738C"/>
    <w:rsid w:val="00AC0440"/>
    <w:rsid w:val="00AC0A6D"/>
    <w:rsid w:val="00AC318C"/>
    <w:rsid w:val="00AC35DB"/>
    <w:rsid w:val="00AC3F10"/>
    <w:rsid w:val="00AC5633"/>
    <w:rsid w:val="00AC5A44"/>
    <w:rsid w:val="00AC5D5D"/>
    <w:rsid w:val="00AC66C5"/>
    <w:rsid w:val="00AC674B"/>
    <w:rsid w:val="00AC7752"/>
    <w:rsid w:val="00AD0E64"/>
    <w:rsid w:val="00AD11D7"/>
    <w:rsid w:val="00AD2308"/>
    <w:rsid w:val="00AD2EBD"/>
    <w:rsid w:val="00AD2F91"/>
    <w:rsid w:val="00AD3221"/>
    <w:rsid w:val="00AD3B4A"/>
    <w:rsid w:val="00AD40B3"/>
    <w:rsid w:val="00AD456C"/>
    <w:rsid w:val="00AD4854"/>
    <w:rsid w:val="00AD619D"/>
    <w:rsid w:val="00AD62B9"/>
    <w:rsid w:val="00AD660F"/>
    <w:rsid w:val="00AD6A9E"/>
    <w:rsid w:val="00AD6AB3"/>
    <w:rsid w:val="00AD6DA0"/>
    <w:rsid w:val="00AD712B"/>
    <w:rsid w:val="00AD7FB8"/>
    <w:rsid w:val="00AE0A63"/>
    <w:rsid w:val="00AE1D02"/>
    <w:rsid w:val="00AE2B1F"/>
    <w:rsid w:val="00AE37E3"/>
    <w:rsid w:val="00AE4EBF"/>
    <w:rsid w:val="00AE6CBF"/>
    <w:rsid w:val="00AE76DC"/>
    <w:rsid w:val="00AF0B62"/>
    <w:rsid w:val="00AF1B89"/>
    <w:rsid w:val="00AF4B32"/>
    <w:rsid w:val="00AF4FF8"/>
    <w:rsid w:val="00AF6ED3"/>
    <w:rsid w:val="00B0032D"/>
    <w:rsid w:val="00B01826"/>
    <w:rsid w:val="00B020FB"/>
    <w:rsid w:val="00B021D6"/>
    <w:rsid w:val="00B02A20"/>
    <w:rsid w:val="00B0556F"/>
    <w:rsid w:val="00B05600"/>
    <w:rsid w:val="00B05E3A"/>
    <w:rsid w:val="00B063AB"/>
    <w:rsid w:val="00B06A9C"/>
    <w:rsid w:val="00B06B5A"/>
    <w:rsid w:val="00B0708E"/>
    <w:rsid w:val="00B07143"/>
    <w:rsid w:val="00B07B88"/>
    <w:rsid w:val="00B10C1D"/>
    <w:rsid w:val="00B11475"/>
    <w:rsid w:val="00B11A61"/>
    <w:rsid w:val="00B11B07"/>
    <w:rsid w:val="00B13CEC"/>
    <w:rsid w:val="00B13ED2"/>
    <w:rsid w:val="00B14018"/>
    <w:rsid w:val="00B173BF"/>
    <w:rsid w:val="00B1775A"/>
    <w:rsid w:val="00B20005"/>
    <w:rsid w:val="00B23D23"/>
    <w:rsid w:val="00B2516C"/>
    <w:rsid w:val="00B26323"/>
    <w:rsid w:val="00B27384"/>
    <w:rsid w:val="00B300AD"/>
    <w:rsid w:val="00B301BB"/>
    <w:rsid w:val="00B304B3"/>
    <w:rsid w:val="00B30FF9"/>
    <w:rsid w:val="00B31DCA"/>
    <w:rsid w:val="00B327D2"/>
    <w:rsid w:val="00B345A8"/>
    <w:rsid w:val="00B34C0E"/>
    <w:rsid w:val="00B35B22"/>
    <w:rsid w:val="00B361F5"/>
    <w:rsid w:val="00B36265"/>
    <w:rsid w:val="00B41817"/>
    <w:rsid w:val="00B42E18"/>
    <w:rsid w:val="00B4358A"/>
    <w:rsid w:val="00B43C9B"/>
    <w:rsid w:val="00B442B1"/>
    <w:rsid w:val="00B4436C"/>
    <w:rsid w:val="00B446E4"/>
    <w:rsid w:val="00B44BDF"/>
    <w:rsid w:val="00B45B74"/>
    <w:rsid w:val="00B4673C"/>
    <w:rsid w:val="00B46C2D"/>
    <w:rsid w:val="00B47C61"/>
    <w:rsid w:val="00B506A4"/>
    <w:rsid w:val="00B50EBB"/>
    <w:rsid w:val="00B513AB"/>
    <w:rsid w:val="00B52CCD"/>
    <w:rsid w:val="00B52D83"/>
    <w:rsid w:val="00B5337A"/>
    <w:rsid w:val="00B53412"/>
    <w:rsid w:val="00B5367D"/>
    <w:rsid w:val="00B54441"/>
    <w:rsid w:val="00B54DC6"/>
    <w:rsid w:val="00B554A6"/>
    <w:rsid w:val="00B55B49"/>
    <w:rsid w:val="00B55B57"/>
    <w:rsid w:val="00B56C18"/>
    <w:rsid w:val="00B57693"/>
    <w:rsid w:val="00B609A6"/>
    <w:rsid w:val="00B61B4E"/>
    <w:rsid w:val="00B625B1"/>
    <w:rsid w:val="00B62689"/>
    <w:rsid w:val="00B639C9"/>
    <w:rsid w:val="00B63A60"/>
    <w:rsid w:val="00B651E6"/>
    <w:rsid w:val="00B65205"/>
    <w:rsid w:val="00B65D03"/>
    <w:rsid w:val="00B66A71"/>
    <w:rsid w:val="00B70DE9"/>
    <w:rsid w:val="00B7197B"/>
    <w:rsid w:val="00B7255B"/>
    <w:rsid w:val="00B72828"/>
    <w:rsid w:val="00B72FA1"/>
    <w:rsid w:val="00B73940"/>
    <w:rsid w:val="00B75505"/>
    <w:rsid w:val="00B755D6"/>
    <w:rsid w:val="00B778A8"/>
    <w:rsid w:val="00B80467"/>
    <w:rsid w:val="00B80AD5"/>
    <w:rsid w:val="00B81625"/>
    <w:rsid w:val="00B858B0"/>
    <w:rsid w:val="00B85958"/>
    <w:rsid w:val="00B86949"/>
    <w:rsid w:val="00B873B5"/>
    <w:rsid w:val="00B90AE4"/>
    <w:rsid w:val="00B92768"/>
    <w:rsid w:val="00B93260"/>
    <w:rsid w:val="00B93CB7"/>
    <w:rsid w:val="00B95D01"/>
    <w:rsid w:val="00B95D12"/>
    <w:rsid w:val="00B972CB"/>
    <w:rsid w:val="00B977F8"/>
    <w:rsid w:val="00B97D84"/>
    <w:rsid w:val="00BA1D12"/>
    <w:rsid w:val="00BA3002"/>
    <w:rsid w:val="00BA40D9"/>
    <w:rsid w:val="00BA4BB6"/>
    <w:rsid w:val="00BA5A05"/>
    <w:rsid w:val="00BA64D8"/>
    <w:rsid w:val="00BA665F"/>
    <w:rsid w:val="00BA684A"/>
    <w:rsid w:val="00BB0BA8"/>
    <w:rsid w:val="00BB1B0B"/>
    <w:rsid w:val="00BB2925"/>
    <w:rsid w:val="00BB2FC7"/>
    <w:rsid w:val="00BB3DE3"/>
    <w:rsid w:val="00BB4368"/>
    <w:rsid w:val="00BB467B"/>
    <w:rsid w:val="00BB5AEB"/>
    <w:rsid w:val="00BB5F0A"/>
    <w:rsid w:val="00BB6206"/>
    <w:rsid w:val="00BB653F"/>
    <w:rsid w:val="00BB6808"/>
    <w:rsid w:val="00BB6DCA"/>
    <w:rsid w:val="00BC2A4F"/>
    <w:rsid w:val="00BC33EC"/>
    <w:rsid w:val="00BC3449"/>
    <w:rsid w:val="00BC4EAA"/>
    <w:rsid w:val="00BC5152"/>
    <w:rsid w:val="00BC66F9"/>
    <w:rsid w:val="00BC6725"/>
    <w:rsid w:val="00BC6820"/>
    <w:rsid w:val="00BC6C03"/>
    <w:rsid w:val="00BC6F02"/>
    <w:rsid w:val="00BC6F77"/>
    <w:rsid w:val="00BD03A5"/>
    <w:rsid w:val="00BD2B9A"/>
    <w:rsid w:val="00BD3D65"/>
    <w:rsid w:val="00BD4BC8"/>
    <w:rsid w:val="00BD6218"/>
    <w:rsid w:val="00BE1B34"/>
    <w:rsid w:val="00BE2CD8"/>
    <w:rsid w:val="00BE2E79"/>
    <w:rsid w:val="00BE36D4"/>
    <w:rsid w:val="00BE4057"/>
    <w:rsid w:val="00BE645E"/>
    <w:rsid w:val="00BF2641"/>
    <w:rsid w:val="00BF3E95"/>
    <w:rsid w:val="00BF43FA"/>
    <w:rsid w:val="00BF6465"/>
    <w:rsid w:val="00BF652B"/>
    <w:rsid w:val="00BF7284"/>
    <w:rsid w:val="00C00A83"/>
    <w:rsid w:val="00C045BB"/>
    <w:rsid w:val="00C06A3D"/>
    <w:rsid w:val="00C06CB9"/>
    <w:rsid w:val="00C10334"/>
    <w:rsid w:val="00C1193C"/>
    <w:rsid w:val="00C11A3F"/>
    <w:rsid w:val="00C12472"/>
    <w:rsid w:val="00C127E3"/>
    <w:rsid w:val="00C12993"/>
    <w:rsid w:val="00C13889"/>
    <w:rsid w:val="00C14194"/>
    <w:rsid w:val="00C15286"/>
    <w:rsid w:val="00C1559D"/>
    <w:rsid w:val="00C1562E"/>
    <w:rsid w:val="00C15C09"/>
    <w:rsid w:val="00C15C47"/>
    <w:rsid w:val="00C164F1"/>
    <w:rsid w:val="00C16790"/>
    <w:rsid w:val="00C16D4E"/>
    <w:rsid w:val="00C1745D"/>
    <w:rsid w:val="00C17CE4"/>
    <w:rsid w:val="00C20CB4"/>
    <w:rsid w:val="00C20FD7"/>
    <w:rsid w:val="00C21C6A"/>
    <w:rsid w:val="00C226BA"/>
    <w:rsid w:val="00C23F6A"/>
    <w:rsid w:val="00C241CF"/>
    <w:rsid w:val="00C25D38"/>
    <w:rsid w:val="00C25D65"/>
    <w:rsid w:val="00C26DED"/>
    <w:rsid w:val="00C27A4F"/>
    <w:rsid w:val="00C31653"/>
    <w:rsid w:val="00C3196D"/>
    <w:rsid w:val="00C31E63"/>
    <w:rsid w:val="00C3203F"/>
    <w:rsid w:val="00C322A8"/>
    <w:rsid w:val="00C338B8"/>
    <w:rsid w:val="00C33EBC"/>
    <w:rsid w:val="00C342E1"/>
    <w:rsid w:val="00C35BF3"/>
    <w:rsid w:val="00C375AC"/>
    <w:rsid w:val="00C40B0E"/>
    <w:rsid w:val="00C40CCE"/>
    <w:rsid w:val="00C41346"/>
    <w:rsid w:val="00C4210A"/>
    <w:rsid w:val="00C422C0"/>
    <w:rsid w:val="00C42A42"/>
    <w:rsid w:val="00C42DE1"/>
    <w:rsid w:val="00C4375A"/>
    <w:rsid w:val="00C43BD6"/>
    <w:rsid w:val="00C43DD0"/>
    <w:rsid w:val="00C45B16"/>
    <w:rsid w:val="00C45EBD"/>
    <w:rsid w:val="00C466DC"/>
    <w:rsid w:val="00C468DC"/>
    <w:rsid w:val="00C47B12"/>
    <w:rsid w:val="00C47C62"/>
    <w:rsid w:val="00C52349"/>
    <w:rsid w:val="00C52AB1"/>
    <w:rsid w:val="00C52AF6"/>
    <w:rsid w:val="00C534CE"/>
    <w:rsid w:val="00C5415C"/>
    <w:rsid w:val="00C541D9"/>
    <w:rsid w:val="00C55076"/>
    <w:rsid w:val="00C550A6"/>
    <w:rsid w:val="00C551EB"/>
    <w:rsid w:val="00C55225"/>
    <w:rsid w:val="00C5522B"/>
    <w:rsid w:val="00C555AF"/>
    <w:rsid w:val="00C55FA0"/>
    <w:rsid w:val="00C56AB4"/>
    <w:rsid w:val="00C57A45"/>
    <w:rsid w:val="00C57D23"/>
    <w:rsid w:val="00C60050"/>
    <w:rsid w:val="00C60E5D"/>
    <w:rsid w:val="00C61757"/>
    <w:rsid w:val="00C61C93"/>
    <w:rsid w:val="00C62615"/>
    <w:rsid w:val="00C633A8"/>
    <w:rsid w:val="00C6370E"/>
    <w:rsid w:val="00C63735"/>
    <w:rsid w:val="00C638A3"/>
    <w:rsid w:val="00C63F3D"/>
    <w:rsid w:val="00C64168"/>
    <w:rsid w:val="00C645D0"/>
    <w:rsid w:val="00C64ED8"/>
    <w:rsid w:val="00C65119"/>
    <w:rsid w:val="00C66ED6"/>
    <w:rsid w:val="00C67DFA"/>
    <w:rsid w:val="00C7013A"/>
    <w:rsid w:val="00C71AC0"/>
    <w:rsid w:val="00C72787"/>
    <w:rsid w:val="00C7424C"/>
    <w:rsid w:val="00C74334"/>
    <w:rsid w:val="00C74F9A"/>
    <w:rsid w:val="00C75C7D"/>
    <w:rsid w:val="00C776B4"/>
    <w:rsid w:val="00C80468"/>
    <w:rsid w:val="00C81360"/>
    <w:rsid w:val="00C81645"/>
    <w:rsid w:val="00C82505"/>
    <w:rsid w:val="00C83288"/>
    <w:rsid w:val="00C83A49"/>
    <w:rsid w:val="00C8436C"/>
    <w:rsid w:val="00C846E1"/>
    <w:rsid w:val="00C84C32"/>
    <w:rsid w:val="00C863D7"/>
    <w:rsid w:val="00C90211"/>
    <w:rsid w:val="00C90783"/>
    <w:rsid w:val="00C907CE"/>
    <w:rsid w:val="00C92B67"/>
    <w:rsid w:val="00C937C2"/>
    <w:rsid w:val="00C93ABD"/>
    <w:rsid w:val="00C93AF5"/>
    <w:rsid w:val="00C93EE9"/>
    <w:rsid w:val="00C940D0"/>
    <w:rsid w:val="00C95464"/>
    <w:rsid w:val="00C9668C"/>
    <w:rsid w:val="00C96B35"/>
    <w:rsid w:val="00C96BCE"/>
    <w:rsid w:val="00C96EA8"/>
    <w:rsid w:val="00C97B37"/>
    <w:rsid w:val="00CA0E05"/>
    <w:rsid w:val="00CA1A11"/>
    <w:rsid w:val="00CA1F8D"/>
    <w:rsid w:val="00CA238B"/>
    <w:rsid w:val="00CA4623"/>
    <w:rsid w:val="00CA59B1"/>
    <w:rsid w:val="00CA5F83"/>
    <w:rsid w:val="00CA7A9C"/>
    <w:rsid w:val="00CB007D"/>
    <w:rsid w:val="00CB0544"/>
    <w:rsid w:val="00CB140F"/>
    <w:rsid w:val="00CB2443"/>
    <w:rsid w:val="00CB24F3"/>
    <w:rsid w:val="00CB2DF0"/>
    <w:rsid w:val="00CB420B"/>
    <w:rsid w:val="00CB4A9C"/>
    <w:rsid w:val="00CB5E75"/>
    <w:rsid w:val="00CB6399"/>
    <w:rsid w:val="00CB63E7"/>
    <w:rsid w:val="00CB6B8A"/>
    <w:rsid w:val="00CB712D"/>
    <w:rsid w:val="00CB7AED"/>
    <w:rsid w:val="00CC1977"/>
    <w:rsid w:val="00CC2185"/>
    <w:rsid w:val="00CC28DD"/>
    <w:rsid w:val="00CC2B23"/>
    <w:rsid w:val="00CC33EC"/>
    <w:rsid w:val="00CC66A0"/>
    <w:rsid w:val="00CC7EBC"/>
    <w:rsid w:val="00CD2162"/>
    <w:rsid w:val="00CD271F"/>
    <w:rsid w:val="00CD2E86"/>
    <w:rsid w:val="00CD356E"/>
    <w:rsid w:val="00CD4214"/>
    <w:rsid w:val="00CD5E79"/>
    <w:rsid w:val="00CE0348"/>
    <w:rsid w:val="00CE0918"/>
    <w:rsid w:val="00CE1B79"/>
    <w:rsid w:val="00CE1FA4"/>
    <w:rsid w:val="00CE2C3A"/>
    <w:rsid w:val="00CE423E"/>
    <w:rsid w:val="00CE4E1E"/>
    <w:rsid w:val="00CE632D"/>
    <w:rsid w:val="00CE67AF"/>
    <w:rsid w:val="00CE725E"/>
    <w:rsid w:val="00CF0B0B"/>
    <w:rsid w:val="00CF216A"/>
    <w:rsid w:val="00CF5051"/>
    <w:rsid w:val="00CF61AC"/>
    <w:rsid w:val="00CF630B"/>
    <w:rsid w:val="00D009F5"/>
    <w:rsid w:val="00D02609"/>
    <w:rsid w:val="00D02747"/>
    <w:rsid w:val="00D029A4"/>
    <w:rsid w:val="00D03EEC"/>
    <w:rsid w:val="00D03FFF"/>
    <w:rsid w:val="00D0437B"/>
    <w:rsid w:val="00D048A9"/>
    <w:rsid w:val="00D10793"/>
    <w:rsid w:val="00D107B7"/>
    <w:rsid w:val="00D10F86"/>
    <w:rsid w:val="00D11093"/>
    <w:rsid w:val="00D1120B"/>
    <w:rsid w:val="00D11B8A"/>
    <w:rsid w:val="00D124D7"/>
    <w:rsid w:val="00D1615B"/>
    <w:rsid w:val="00D16EBE"/>
    <w:rsid w:val="00D175D4"/>
    <w:rsid w:val="00D17DC4"/>
    <w:rsid w:val="00D2147F"/>
    <w:rsid w:val="00D22695"/>
    <w:rsid w:val="00D2286A"/>
    <w:rsid w:val="00D23858"/>
    <w:rsid w:val="00D244AF"/>
    <w:rsid w:val="00D25926"/>
    <w:rsid w:val="00D266A0"/>
    <w:rsid w:val="00D26F5A"/>
    <w:rsid w:val="00D27175"/>
    <w:rsid w:val="00D27587"/>
    <w:rsid w:val="00D27D04"/>
    <w:rsid w:val="00D304CE"/>
    <w:rsid w:val="00D32626"/>
    <w:rsid w:val="00D33D96"/>
    <w:rsid w:val="00D34520"/>
    <w:rsid w:val="00D35671"/>
    <w:rsid w:val="00D36129"/>
    <w:rsid w:val="00D364E5"/>
    <w:rsid w:val="00D36A75"/>
    <w:rsid w:val="00D36B22"/>
    <w:rsid w:val="00D37658"/>
    <w:rsid w:val="00D3799D"/>
    <w:rsid w:val="00D41A1F"/>
    <w:rsid w:val="00D42666"/>
    <w:rsid w:val="00D42866"/>
    <w:rsid w:val="00D428E9"/>
    <w:rsid w:val="00D432F6"/>
    <w:rsid w:val="00D434B3"/>
    <w:rsid w:val="00D4598F"/>
    <w:rsid w:val="00D479CC"/>
    <w:rsid w:val="00D47CF4"/>
    <w:rsid w:val="00D51909"/>
    <w:rsid w:val="00D51F7E"/>
    <w:rsid w:val="00D5212F"/>
    <w:rsid w:val="00D5223C"/>
    <w:rsid w:val="00D52D57"/>
    <w:rsid w:val="00D52EB8"/>
    <w:rsid w:val="00D53012"/>
    <w:rsid w:val="00D53DC8"/>
    <w:rsid w:val="00D543E3"/>
    <w:rsid w:val="00D557FA"/>
    <w:rsid w:val="00D5658B"/>
    <w:rsid w:val="00D56D8A"/>
    <w:rsid w:val="00D607CE"/>
    <w:rsid w:val="00D61785"/>
    <w:rsid w:val="00D6208B"/>
    <w:rsid w:val="00D6323D"/>
    <w:rsid w:val="00D65736"/>
    <w:rsid w:val="00D66D86"/>
    <w:rsid w:val="00D67916"/>
    <w:rsid w:val="00D70277"/>
    <w:rsid w:val="00D7082A"/>
    <w:rsid w:val="00D71142"/>
    <w:rsid w:val="00D72530"/>
    <w:rsid w:val="00D72A7A"/>
    <w:rsid w:val="00D72E0C"/>
    <w:rsid w:val="00D72FD0"/>
    <w:rsid w:val="00D7316A"/>
    <w:rsid w:val="00D74CBA"/>
    <w:rsid w:val="00D75E56"/>
    <w:rsid w:val="00D76498"/>
    <w:rsid w:val="00D76CC1"/>
    <w:rsid w:val="00D7737D"/>
    <w:rsid w:val="00D77C56"/>
    <w:rsid w:val="00D80FA8"/>
    <w:rsid w:val="00D83AFC"/>
    <w:rsid w:val="00D8406D"/>
    <w:rsid w:val="00D84603"/>
    <w:rsid w:val="00D86780"/>
    <w:rsid w:val="00D86E4E"/>
    <w:rsid w:val="00D878B0"/>
    <w:rsid w:val="00D87FF0"/>
    <w:rsid w:val="00D91165"/>
    <w:rsid w:val="00D93E80"/>
    <w:rsid w:val="00D94191"/>
    <w:rsid w:val="00D94439"/>
    <w:rsid w:val="00D96852"/>
    <w:rsid w:val="00DA1161"/>
    <w:rsid w:val="00DA15E3"/>
    <w:rsid w:val="00DA3568"/>
    <w:rsid w:val="00DA5382"/>
    <w:rsid w:val="00DA5977"/>
    <w:rsid w:val="00DA7AE9"/>
    <w:rsid w:val="00DB0EBE"/>
    <w:rsid w:val="00DB46AA"/>
    <w:rsid w:val="00DB4813"/>
    <w:rsid w:val="00DB55EE"/>
    <w:rsid w:val="00DB6228"/>
    <w:rsid w:val="00DB6801"/>
    <w:rsid w:val="00DB7484"/>
    <w:rsid w:val="00DC0034"/>
    <w:rsid w:val="00DC03A2"/>
    <w:rsid w:val="00DC2021"/>
    <w:rsid w:val="00DC22FE"/>
    <w:rsid w:val="00DC2354"/>
    <w:rsid w:val="00DC29AB"/>
    <w:rsid w:val="00DC4520"/>
    <w:rsid w:val="00DC4683"/>
    <w:rsid w:val="00DC49BB"/>
    <w:rsid w:val="00DC5F49"/>
    <w:rsid w:val="00DC77D8"/>
    <w:rsid w:val="00DC7BEC"/>
    <w:rsid w:val="00DD179C"/>
    <w:rsid w:val="00DD2119"/>
    <w:rsid w:val="00DD3554"/>
    <w:rsid w:val="00DD43BB"/>
    <w:rsid w:val="00DD6AAB"/>
    <w:rsid w:val="00DE01A3"/>
    <w:rsid w:val="00DE073C"/>
    <w:rsid w:val="00DE087E"/>
    <w:rsid w:val="00DE2844"/>
    <w:rsid w:val="00DE3AE3"/>
    <w:rsid w:val="00DE4365"/>
    <w:rsid w:val="00DE478B"/>
    <w:rsid w:val="00DE7081"/>
    <w:rsid w:val="00DE79D0"/>
    <w:rsid w:val="00DF0D80"/>
    <w:rsid w:val="00DF2D73"/>
    <w:rsid w:val="00DF3BD8"/>
    <w:rsid w:val="00DF78E9"/>
    <w:rsid w:val="00E00ED7"/>
    <w:rsid w:val="00E01B46"/>
    <w:rsid w:val="00E02BD8"/>
    <w:rsid w:val="00E037A1"/>
    <w:rsid w:val="00E042A2"/>
    <w:rsid w:val="00E04456"/>
    <w:rsid w:val="00E044DD"/>
    <w:rsid w:val="00E04B58"/>
    <w:rsid w:val="00E05F95"/>
    <w:rsid w:val="00E06324"/>
    <w:rsid w:val="00E07455"/>
    <w:rsid w:val="00E0798F"/>
    <w:rsid w:val="00E1027C"/>
    <w:rsid w:val="00E103E8"/>
    <w:rsid w:val="00E109B2"/>
    <w:rsid w:val="00E1144E"/>
    <w:rsid w:val="00E11C47"/>
    <w:rsid w:val="00E129F8"/>
    <w:rsid w:val="00E12F0B"/>
    <w:rsid w:val="00E13742"/>
    <w:rsid w:val="00E13C07"/>
    <w:rsid w:val="00E1400B"/>
    <w:rsid w:val="00E170F7"/>
    <w:rsid w:val="00E17390"/>
    <w:rsid w:val="00E17B51"/>
    <w:rsid w:val="00E21228"/>
    <w:rsid w:val="00E21DC7"/>
    <w:rsid w:val="00E2249A"/>
    <w:rsid w:val="00E22B52"/>
    <w:rsid w:val="00E22B7C"/>
    <w:rsid w:val="00E2474A"/>
    <w:rsid w:val="00E271BE"/>
    <w:rsid w:val="00E27DF2"/>
    <w:rsid w:val="00E30858"/>
    <w:rsid w:val="00E30C0C"/>
    <w:rsid w:val="00E30C20"/>
    <w:rsid w:val="00E30E91"/>
    <w:rsid w:val="00E30EBB"/>
    <w:rsid w:val="00E31608"/>
    <w:rsid w:val="00E32663"/>
    <w:rsid w:val="00E33420"/>
    <w:rsid w:val="00E33D2F"/>
    <w:rsid w:val="00E348D7"/>
    <w:rsid w:val="00E34B2E"/>
    <w:rsid w:val="00E35E09"/>
    <w:rsid w:val="00E3625F"/>
    <w:rsid w:val="00E363D3"/>
    <w:rsid w:val="00E365AB"/>
    <w:rsid w:val="00E36BB0"/>
    <w:rsid w:val="00E41E7A"/>
    <w:rsid w:val="00E42FD5"/>
    <w:rsid w:val="00E43E6A"/>
    <w:rsid w:val="00E44CFA"/>
    <w:rsid w:val="00E454BB"/>
    <w:rsid w:val="00E45B9F"/>
    <w:rsid w:val="00E467F0"/>
    <w:rsid w:val="00E503CA"/>
    <w:rsid w:val="00E50C81"/>
    <w:rsid w:val="00E55F10"/>
    <w:rsid w:val="00E57717"/>
    <w:rsid w:val="00E610C7"/>
    <w:rsid w:val="00E62663"/>
    <w:rsid w:val="00E63462"/>
    <w:rsid w:val="00E64456"/>
    <w:rsid w:val="00E66C39"/>
    <w:rsid w:val="00E67AC7"/>
    <w:rsid w:val="00E70CC7"/>
    <w:rsid w:val="00E71711"/>
    <w:rsid w:val="00E7212B"/>
    <w:rsid w:val="00E72260"/>
    <w:rsid w:val="00E727B4"/>
    <w:rsid w:val="00E7327C"/>
    <w:rsid w:val="00E76194"/>
    <w:rsid w:val="00E767B6"/>
    <w:rsid w:val="00E773A0"/>
    <w:rsid w:val="00E77F0E"/>
    <w:rsid w:val="00E80325"/>
    <w:rsid w:val="00E81CA6"/>
    <w:rsid w:val="00E82634"/>
    <w:rsid w:val="00E8449A"/>
    <w:rsid w:val="00E84775"/>
    <w:rsid w:val="00E84EC5"/>
    <w:rsid w:val="00E85235"/>
    <w:rsid w:val="00E8544D"/>
    <w:rsid w:val="00E8559C"/>
    <w:rsid w:val="00E85B28"/>
    <w:rsid w:val="00E87746"/>
    <w:rsid w:val="00E90D2D"/>
    <w:rsid w:val="00E90FC0"/>
    <w:rsid w:val="00E9493D"/>
    <w:rsid w:val="00E950EE"/>
    <w:rsid w:val="00E95427"/>
    <w:rsid w:val="00E962BA"/>
    <w:rsid w:val="00EA2B09"/>
    <w:rsid w:val="00EA48FC"/>
    <w:rsid w:val="00EA545D"/>
    <w:rsid w:val="00EA5985"/>
    <w:rsid w:val="00EA6695"/>
    <w:rsid w:val="00EA69C3"/>
    <w:rsid w:val="00EA78BB"/>
    <w:rsid w:val="00EB0A77"/>
    <w:rsid w:val="00EB0D59"/>
    <w:rsid w:val="00EB2203"/>
    <w:rsid w:val="00EB283E"/>
    <w:rsid w:val="00EB3CEA"/>
    <w:rsid w:val="00EB3FD4"/>
    <w:rsid w:val="00EB42F8"/>
    <w:rsid w:val="00EB5501"/>
    <w:rsid w:val="00EB75FE"/>
    <w:rsid w:val="00EC031D"/>
    <w:rsid w:val="00EC0432"/>
    <w:rsid w:val="00EC0B18"/>
    <w:rsid w:val="00EC1D98"/>
    <w:rsid w:val="00EC1DA0"/>
    <w:rsid w:val="00EC2985"/>
    <w:rsid w:val="00EC366B"/>
    <w:rsid w:val="00EC3FF5"/>
    <w:rsid w:val="00EC537A"/>
    <w:rsid w:val="00EC5738"/>
    <w:rsid w:val="00EC5BA4"/>
    <w:rsid w:val="00EC5E31"/>
    <w:rsid w:val="00EC5FE3"/>
    <w:rsid w:val="00EC6007"/>
    <w:rsid w:val="00EC6398"/>
    <w:rsid w:val="00EC78EE"/>
    <w:rsid w:val="00ED0557"/>
    <w:rsid w:val="00ED063F"/>
    <w:rsid w:val="00ED39C3"/>
    <w:rsid w:val="00ED7CDD"/>
    <w:rsid w:val="00ED7FF2"/>
    <w:rsid w:val="00EE146F"/>
    <w:rsid w:val="00EE23D8"/>
    <w:rsid w:val="00EE5856"/>
    <w:rsid w:val="00EE73E4"/>
    <w:rsid w:val="00EE7A3C"/>
    <w:rsid w:val="00EE7F07"/>
    <w:rsid w:val="00EF0BEB"/>
    <w:rsid w:val="00EF18F6"/>
    <w:rsid w:val="00EF274A"/>
    <w:rsid w:val="00EF4EC9"/>
    <w:rsid w:val="00EF50EF"/>
    <w:rsid w:val="00EF522C"/>
    <w:rsid w:val="00EF684E"/>
    <w:rsid w:val="00EF6E58"/>
    <w:rsid w:val="00EF71C7"/>
    <w:rsid w:val="00F00DC9"/>
    <w:rsid w:val="00F0160A"/>
    <w:rsid w:val="00F0184F"/>
    <w:rsid w:val="00F036EA"/>
    <w:rsid w:val="00F03A6F"/>
    <w:rsid w:val="00F03C84"/>
    <w:rsid w:val="00F040C4"/>
    <w:rsid w:val="00F05194"/>
    <w:rsid w:val="00F05987"/>
    <w:rsid w:val="00F06466"/>
    <w:rsid w:val="00F070C8"/>
    <w:rsid w:val="00F078B5"/>
    <w:rsid w:val="00F10B76"/>
    <w:rsid w:val="00F10D9B"/>
    <w:rsid w:val="00F112AE"/>
    <w:rsid w:val="00F11FEF"/>
    <w:rsid w:val="00F1214C"/>
    <w:rsid w:val="00F12E05"/>
    <w:rsid w:val="00F13352"/>
    <w:rsid w:val="00F138A6"/>
    <w:rsid w:val="00F15CC9"/>
    <w:rsid w:val="00F15CE1"/>
    <w:rsid w:val="00F15F42"/>
    <w:rsid w:val="00F1642E"/>
    <w:rsid w:val="00F1677C"/>
    <w:rsid w:val="00F16B7D"/>
    <w:rsid w:val="00F17B52"/>
    <w:rsid w:val="00F218CC"/>
    <w:rsid w:val="00F22DE6"/>
    <w:rsid w:val="00F22E84"/>
    <w:rsid w:val="00F23955"/>
    <w:rsid w:val="00F23BFA"/>
    <w:rsid w:val="00F24F9C"/>
    <w:rsid w:val="00F27B64"/>
    <w:rsid w:val="00F30463"/>
    <w:rsid w:val="00F3271F"/>
    <w:rsid w:val="00F3397C"/>
    <w:rsid w:val="00F3432A"/>
    <w:rsid w:val="00F35063"/>
    <w:rsid w:val="00F35FE3"/>
    <w:rsid w:val="00F361CB"/>
    <w:rsid w:val="00F3751F"/>
    <w:rsid w:val="00F40744"/>
    <w:rsid w:val="00F407C7"/>
    <w:rsid w:val="00F42351"/>
    <w:rsid w:val="00F42744"/>
    <w:rsid w:val="00F43F4C"/>
    <w:rsid w:val="00F44BB8"/>
    <w:rsid w:val="00F45091"/>
    <w:rsid w:val="00F45D9E"/>
    <w:rsid w:val="00F50FEA"/>
    <w:rsid w:val="00F5128B"/>
    <w:rsid w:val="00F51A33"/>
    <w:rsid w:val="00F51BB3"/>
    <w:rsid w:val="00F5245B"/>
    <w:rsid w:val="00F52543"/>
    <w:rsid w:val="00F52C04"/>
    <w:rsid w:val="00F52FD4"/>
    <w:rsid w:val="00F53256"/>
    <w:rsid w:val="00F53823"/>
    <w:rsid w:val="00F53F06"/>
    <w:rsid w:val="00F5645E"/>
    <w:rsid w:val="00F56594"/>
    <w:rsid w:val="00F56C74"/>
    <w:rsid w:val="00F57048"/>
    <w:rsid w:val="00F57207"/>
    <w:rsid w:val="00F5747F"/>
    <w:rsid w:val="00F57FC7"/>
    <w:rsid w:val="00F603C9"/>
    <w:rsid w:val="00F606DB"/>
    <w:rsid w:val="00F609CA"/>
    <w:rsid w:val="00F612E0"/>
    <w:rsid w:val="00F61564"/>
    <w:rsid w:val="00F61B20"/>
    <w:rsid w:val="00F624B7"/>
    <w:rsid w:val="00F63A66"/>
    <w:rsid w:val="00F641A0"/>
    <w:rsid w:val="00F644D9"/>
    <w:rsid w:val="00F656A9"/>
    <w:rsid w:val="00F664D6"/>
    <w:rsid w:val="00F66DF8"/>
    <w:rsid w:val="00F66F84"/>
    <w:rsid w:val="00F6710A"/>
    <w:rsid w:val="00F67937"/>
    <w:rsid w:val="00F67ECF"/>
    <w:rsid w:val="00F67F02"/>
    <w:rsid w:val="00F70120"/>
    <w:rsid w:val="00F70ED8"/>
    <w:rsid w:val="00F711A5"/>
    <w:rsid w:val="00F7144D"/>
    <w:rsid w:val="00F71544"/>
    <w:rsid w:val="00F71A27"/>
    <w:rsid w:val="00F71B0F"/>
    <w:rsid w:val="00F72138"/>
    <w:rsid w:val="00F72439"/>
    <w:rsid w:val="00F729FD"/>
    <w:rsid w:val="00F72B36"/>
    <w:rsid w:val="00F731C3"/>
    <w:rsid w:val="00F737BC"/>
    <w:rsid w:val="00F73E58"/>
    <w:rsid w:val="00F74539"/>
    <w:rsid w:val="00F748F5"/>
    <w:rsid w:val="00F7519B"/>
    <w:rsid w:val="00F7577D"/>
    <w:rsid w:val="00F82853"/>
    <w:rsid w:val="00F82A43"/>
    <w:rsid w:val="00F82D19"/>
    <w:rsid w:val="00F837BF"/>
    <w:rsid w:val="00F842CC"/>
    <w:rsid w:val="00F869E7"/>
    <w:rsid w:val="00F86C2F"/>
    <w:rsid w:val="00F87E97"/>
    <w:rsid w:val="00F90444"/>
    <w:rsid w:val="00F908C4"/>
    <w:rsid w:val="00F91DCC"/>
    <w:rsid w:val="00F92A90"/>
    <w:rsid w:val="00F92C1C"/>
    <w:rsid w:val="00F92F2E"/>
    <w:rsid w:val="00F94553"/>
    <w:rsid w:val="00F9496E"/>
    <w:rsid w:val="00F96741"/>
    <w:rsid w:val="00FA128B"/>
    <w:rsid w:val="00FA211A"/>
    <w:rsid w:val="00FA215F"/>
    <w:rsid w:val="00FA3CED"/>
    <w:rsid w:val="00FA5D32"/>
    <w:rsid w:val="00FA68EA"/>
    <w:rsid w:val="00FB2C3F"/>
    <w:rsid w:val="00FB3C82"/>
    <w:rsid w:val="00FB4A99"/>
    <w:rsid w:val="00FB4D55"/>
    <w:rsid w:val="00FB5172"/>
    <w:rsid w:val="00FB698D"/>
    <w:rsid w:val="00FB7510"/>
    <w:rsid w:val="00FC076E"/>
    <w:rsid w:val="00FC07AD"/>
    <w:rsid w:val="00FC09EA"/>
    <w:rsid w:val="00FC0A9A"/>
    <w:rsid w:val="00FC0C14"/>
    <w:rsid w:val="00FC0FA2"/>
    <w:rsid w:val="00FC11EF"/>
    <w:rsid w:val="00FC2168"/>
    <w:rsid w:val="00FC22C2"/>
    <w:rsid w:val="00FC24B4"/>
    <w:rsid w:val="00FC2B68"/>
    <w:rsid w:val="00FC30A6"/>
    <w:rsid w:val="00FC33E4"/>
    <w:rsid w:val="00FC3536"/>
    <w:rsid w:val="00FC49E1"/>
    <w:rsid w:val="00FC512A"/>
    <w:rsid w:val="00FD1537"/>
    <w:rsid w:val="00FD1C91"/>
    <w:rsid w:val="00FD23FB"/>
    <w:rsid w:val="00FD25CD"/>
    <w:rsid w:val="00FD2CF9"/>
    <w:rsid w:val="00FD348A"/>
    <w:rsid w:val="00FD369F"/>
    <w:rsid w:val="00FD4DFF"/>
    <w:rsid w:val="00FD5FD9"/>
    <w:rsid w:val="00FD7AFE"/>
    <w:rsid w:val="00FE0ABD"/>
    <w:rsid w:val="00FE12EB"/>
    <w:rsid w:val="00FE16FD"/>
    <w:rsid w:val="00FE1A58"/>
    <w:rsid w:val="00FE1A98"/>
    <w:rsid w:val="00FE3AFA"/>
    <w:rsid w:val="00FE4016"/>
    <w:rsid w:val="00FE6D8D"/>
    <w:rsid w:val="00FE79A3"/>
    <w:rsid w:val="00FF27FF"/>
    <w:rsid w:val="00FF2983"/>
    <w:rsid w:val="00FF2CB8"/>
    <w:rsid w:val="00FF362B"/>
    <w:rsid w:val="00FF4340"/>
    <w:rsid w:val="00FF4658"/>
    <w:rsid w:val="00FF51DF"/>
    <w:rsid w:val="00FF604A"/>
    <w:rsid w:val="00FF783E"/>
    <w:rsid w:val="02B84602"/>
    <w:rsid w:val="047343F5"/>
    <w:rsid w:val="04CE5ACF"/>
    <w:rsid w:val="04D52231"/>
    <w:rsid w:val="0664493D"/>
    <w:rsid w:val="074D0F7B"/>
    <w:rsid w:val="07500389"/>
    <w:rsid w:val="08A34B52"/>
    <w:rsid w:val="0A5B12C7"/>
    <w:rsid w:val="0B3C7C36"/>
    <w:rsid w:val="0B743DB3"/>
    <w:rsid w:val="0C3E79DE"/>
    <w:rsid w:val="0CA90DCF"/>
    <w:rsid w:val="0E3254F1"/>
    <w:rsid w:val="106D43EE"/>
    <w:rsid w:val="113E3FDC"/>
    <w:rsid w:val="11F46279"/>
    <w:rsid w:val="12271734"/>
    <w:rsid w:val="12CA3D79"/>
    <w:rsid w:val="14B24AC5"/>
    <w:rsid w:val="154E5A6D"/>
    <w:rsid w:val="173F53D0"/>
    <w:rsid w:val="17FD699F"/>
    <w:rsid w:val="18507902"/>
    <w:rsid w:val="196E6B0A"/>
    <w:rsid w:val="19947D9E"/>
    <w:rsid w:val="19AA115F"/>
    <w:rsid w:val="19CB50AF"/>
    <w:rsid w:val="1A217DB6"/>
    <w:rsid w:val="1CD63A22"/>
    <w:rsid w:val="1E0F08BB"/>
    <w:rsid w:val="1EB9761F"/>
    <w:rsid w:val="200D799B"/>
    <w:rsid w:val="226952EE"/>
    <w:rsid w:val="227355E8"/>
    <w:rsid w:val="236F0B7F"/>
    <w:rsid w:val="239722A8"/>
    <w:rsid w:val="239B617C"/>
    <w:rsid w:val="246F51AD"/>
    <w:rsid w:val="24856C3A"/>
    <w:rsid w:val="24CC1BD3"/>
    <w:rsid w:val="25576756"/>
    <w:rsid w:val="25855399"/>
    <w:rsid w:val="267F0FB7"/>
    <w:rsid w:val="27BB150D"/>
    <w:rsid w:val="28DD721E"/>
    <w:rsid w:val="29402ED8"/>
    <w:rsid w:val="29E9562E"/>
    <w:rsid w:val="2B2838DB"/>
    <w:rsid w:val="2B6761B2"/>
    <w:rsid w:val="2BB77254"/>
    <w:rsid w:val="2BDC583E"/>
    <w:rsid w:val="2BE61D13"/>
    <w:rsid w:val="2C3763F4"/>
    <w:rsid w:val="2C565BF0"/>
    <w:rsid w:val="2C775481"/>
    <w:rsid w:val="2CB01DDA"/>
    <w:rsid w:val="2E263424"/>
    <w:rsid w:val="2EB931C8"/>
    <w:rsid w:val="2EEA1FB9"/>
    <w:rsid w:val="2FAF510A"/>
    <w:rsid w:val="2FC342C5"/>
    <w:rsid w:val="2FFC573B"/>
    <w:rsid w:val="302F1268"/>
    <w:rsid w:val="306F4208"/>
    <w:rsid w:val="320108EF"/>
    <w:rsid w:val="32815F8E"/>
    <w:rsid w:val="328F3DC1"/>
    <w:rsid w:val="32BB5035"/>
    <w:rsid w:val="333675FD"/>
    <w:rsid w:val="348D262D"/>
    <w:rsid w:val="351B1DBB"/>
    <w:rsid w:val="353F0627"/>
    <w:rsid w:val="373C3E9E"/>
    <w:rsid w:val="374D1DC2"/>
    <w:rsid w:val="37A0375D"/>
    <w:rsid w:val="38FE7E8D"/>
    <w:rsid w:val="39356F9C"/>
    <w:rsid w:val="3AD70075"/>
    <w:rsid w:val="3D071976"/>
    <w:rsid w:val="3D820719"/>
    <w:rsid w:val="3D986D8C"/>
    <w:rsid w:val="3DEF342E"/>
    <w:rsid w:val="3E2044E6"/>
    <w:rsid w:val="3E2F7BFE"/>
    <w:rsid w:val="3E3B4692"/>
    <w:rsid w:val="3FE513C9"/>
    <w:rsid w:val="3FFE0F8C"/>
    <w:rsid w:val="400A47AF"/>
    <w:rsid w:val="41B2705E"/>
    <w:rsid w:val="42A969CC"/>
    <w:rsid w:val="44702DC3"/>
    <w:rsid w:val="451900C5"/>
    <w:rsid w:val="4575725E"/>
    <w:rsid w:val="45C01737"/>
    <w:rsid w:val="45F869E7"/>
    <w:rsid w:val="46753A21"/>
    <w:rsid w:val="476D6FA1"/>
    <w:rsid w:val="481A696C"/>
    <w:rsid w:val="4A792EE0"/>
    <w:rsid w:val="4AD71E57"/>
    <w:rsid w:val="4B025A80"/>
    <w:rsid w:val="4B1530DD"/>
    <w:rsid w:val="4D224B8A"/>
    <w:rsid w:val="4D622825"/>
    <w:rsid w:val="4DF9059D"/>
    <w:rsid w:val="4DF924DB"/>
    <w:rsid w:val="4E56172D"/>
    <w:rsid w:val="4F0761D9"/>
    <w:rsid w:val="4FFA6D45"/>
    <w:rsid w:val="51C4760A"/>
    <w:rsid w:val="521E7D5D"/>
    <w:rsid w:val="52440F4D"/>
    <w:rsid w:val="524D6882"/>
    <w:rsid w:val="53D93454"/>
    <w:rsid w:val="54062185"/>
    <w:rsid w:val="54154255"/>
    <w:rsid w:val="564D7431"/>
    <w:rsid w:val="56FA587C"/>
    <w:rsid w:val="575D6863"/>
    <w:rsid w:val="589C308F"/>
    <w:rsid w:val="592B0556"/>
    <w:rsid w:val="59807169"/>
    <w:rsid w:val="5BB26726"/>
    <w:rsid w:val="5C7E485A"/>
    <w:rsid w:val="5CE45005"/>
    <w:rsid w:val="5DF86DA9"/>
    <w:rsid w:val="5ED03F64"/>
    <w:rsid w:val="5F490693"/>
    <w:rsid w:val="5F604B37"/>
    <w:rsid w:val="5F7B3860"/>
    <w:rsid w:val="5FD6366F"/>
    <w:rsid w:val="603D0D2B"/>
    <w:rsid w:val="60412F04"/>
    <w:rsid w:val="61DE64C6"/>
    <w:rsid w:val="62513C04"/>
    <w:rsid w:val="63162130"/>
    <w:rsid w:val="642B52C7"/>
    <w:rsid w:val="64410F8F"/>
    <w:rsid w:val="647455C5"/>
    <w:rsid w:val="64BD0C9C"/>
    <w:rsid w:val="651E59D2"/>
    <w:rsid w:val="66E67E70"/>
    <w:rsid w:val="67751BCC"/>
    <w:rsid w:val="67D22B75"/>
    <w:rsid w:val="67F80AF6"/>
    <w:rsid w:val="68026DC4"/>
    <w:rsid w:val="68BA215E"/>
    <w:rsid w:val="6BAD2823"/>
    <w:rsid w:val="6BB42046"/>
    <w:rsid w:val="6BDB7779"/>
    <w:rsid w:val="6C022DB1"/>
    <w:rsid w:val="6C8033FF"/>
    <w:rsid w:val="6D2862E5"/>
    <w:rsid w:val="6F8674FB"/>
    <w:rsid w:val="704F1D5C"/>
    <w:rsid w:val="70EB1819"/>
    <w:rsid w:val="716A5681"/>
    <w:rsid w:val="718F50E7"/>
    <w:rsid w:val="719C5CD0"/>
    <w:rsid w:val="71BB6314"/>
    <w:rsid w:val="71CE0987"/>
    <w:rsid w:val="72AE04C2"/>
    <w:rsid w:val="72F21EF4"/>
    <w:rsid w:val="747C00C4"/>
    <w:rsid w:val="74B56C06"/>
    <w:rsid w:val="754B4B0E"/>
    <w:rsid w:val="76684DB7"/>
    <w:rsid w:val="76F70533"/>
    <w:rsid w:val="77082AF1"/>
    <w:rsid w:val="77435591"/>
    <w:rsid w:val="786D4046"/>
    <w:rsid w:val="78F35BE9"/>
    <w:rsid w:val="7914265E"/>
    <w:rsid w:val="79277B4C"/>
    <w:rsid w:val="7C4237A4"/>
    <w:rsid w:val="7D593F53"/>
    <w:rsid w:val="7D7245BB"/>
    <w:rsid w:val="7E044C3B"/>
    <w:rsid w:val="7E4A2C43"/>
    <w:rsid w:val="7F6C7696"/>
    <w:rsid w:val="7FCC5CD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qFormat="1" w:uiPriority="99" w:semiHidden="0"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 w:hAnsi="Times New Roman" w:eastAsia="仿宋" w:cs="Times New Roman"/>
      <w:kern w:val="30"/>
      <w:sz w:val="30"/>
      <w:szCs w:val="21"/>
      <w:lang w:val="en-US" w:eastAsia="zh-CN" w:bidi="ar-SA"/>
    </w:rPr>
  </w:style>
  <w:style w:type="paragraph" w:styleId="2">
    <w:name w:val="heading 1"/>
    <w:basedOn w:val="1"/>
    <w:next w:val="1"/>
    <w:link w:val="31"/>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qFormat/>
    <w:uiPriority w:val="99"/>
    <w:pPr>
      <w:keepNext/>
      <w:keepLines/>
      <w:spacing w:before="260" w:after="260" w:line="416" w:lineRule="auto"/>
      <w:outlineLvl w:val="1"/>
    </w:pPr>
    <w:rPr>
      <w:rFonts w:ascii="Cambria" w:hAnsi="Cambria"/>
      <w:b/>
      <w:bCs/>
      <w:kern w:val="0"/>
      <w:sz w:val="32"/>
      <w:szCs w:val="32"/>
    </w:rPr>
  </w:style>
  <w:style w:type="paragraph" w:styleId="4">
    <w:name w:val="heading 3"/>
    <w:basedOn w:val="1"/>
    <w:next w:val="1"/>
    <w:link w:val="26"/>
    <w:qFormat/>
    <w:uiPriority w:val="99"/>
    <w:pPr>
      <w:keepNext/>
      <w:keepLines/>
      <w:spacing w:before="260" w:after="260" w:line="416" w:lineRule="auto"/>
      <w:outlineLvl w:val="2"/>
    </w:pPr>
    <w:rPr>
      <w:b/>
      <w:bCs/>
      <w:kern w:val="0"/>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0"/>
    <w:unhideWhenUsed/>
    <w:qFormat/>
    <w:uiPriority w:val="99"/>
    <w:rPr>
      <w:rFonts w:ascii="宋体"/>
      <w:sz w:val="18"/>
      <w:szCs w:val="18"/>
    </w:rPr>
  </w:style>
  <w:style w:type="paragraph" w:styleId="6">
    <w:name w:val="annotation text"/>
    <w:basedOn w:val="1"/>
    <w:link w:val="28"/>
    <w:unhideWhenUsed/>
    <w:qFormat/>
    <w:uiPriority w:val="99"/>
    <w:pPr>
      <w:jc w:val="left"/>
    </w:pPr>
  </w:style>
  <w:style w:type="paragraph" w:styleId="7">
    <w:name w:val="Body Text"/>
    <w:basedOn w:val="1"/>
    <w:link w:val="36"/>
    <w:qFormat/>
    <w:uiPriority w:val="1"/>
    <w:pPr>
      <w:ind w:left="119"/>
      <w:jc w:val="left"/>
    </w:pPr>
    <w:rPr>
      <w:rFonts w:ascii="仿宋_GB2312" w:hAnsi="仿宋_GB2312" w:eastAsia="仿宋_GB2312" w:cstheme="minorBidi"/>
      <w:kern w:val="0"/>
      <w:szCs w:val="30"/>
      <w:lang w:eastAsia="en-US"/>
    </w:rPr>
  </w:style>
  <w:style w:type="paragraph" w:styleId="8">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szCs w:val="22"/>
    </w:rPr>
  </w:style>
  <w:style w:type="paragraph" w:styleId="9">
    <w:name w:val="Balloon Text"/>
    <w:basedOn w:val="1"/>
    <w:link w:val="27"/>
    <w:unhideWhenUsed/>
    <w:qFormat/>
    <w:uiPriority w:val="99"/>
    <w:rPr>
      <w:sz w:val="18"/>
      <w:szCs w:val="18"/>
    </w:rPr>
  </w:style>
  <w:style w:type="paragraph" w:styleId="10">
    <w:name w:val="footer"/>
    <w:basedOn w:val="1"/>
    <w:link w:val="24"/>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2">
    <w:name w:val="toc 1"/>
    <w:basedOn w:val="1"/>
    <w:next w:val="1"/>
    <w:unhideWhenUsed/>
    <w:qFormat/>
    <w:uiPriority w:val="39"/>
    <w:pPr>
      <w:widowControl/>
      <w:tabs>
        <w:tab w:val="right" w:leader="dot" w:pos="8931"/>
      </w:tabs>
      <w:spacing w:line="420" w:lineRule="exact"/>
      <w:ind w:right="25" w:rightChars="12"/>
      <w:jc w:val="left"/>
    </w:pPr>
    <w:rPr>
      <w:rFonts w:asciiTheme="minorHAnsi" w:hAnsiTheme="minorHAnsi" w:eastAsiaTheme="minorEastAsia"/>
      <w:kern w:val="0"/>
      <w:sz w:val="22"/>
      <w:szCs w:val="22"/>
    </w:rPr>
  </w:style>
  <w:style w:type="paragraph" w:styleId="13">
    <w:name w:val="toc 2"/>
    <w:basedOn w:val="1"/>
    <w:next w:val="1"/>
    <w:unhideWhenUsed/>
    <w:qFormat/>
    <w:uiPriority w:val="39"/>
    <w:pPr>
      <w:widowControl/>
      <w:tabs>
        <w:tab w:val="right" w:leader="dot" w:pos="8789"/>
      </w:tabs>
      <w:spacing w:line="400" w:lineRule="exact"/>
      <w:jc w:val="left"/>
    </w:pPr>
    <w:rPr>
      <w:rFonts w:ascii="仿宋_GB2312" w:eastAsia="仿宋_GB2312" w:hAnsiTheme="minorHAnsi"/>
      <w:b/>
      <w:bCs/>
      <w:kern w:val="0"/>
      <w:sz w:val="24"/>
      <w:szCs w:val="24"/>
      <w:lang w:val="zh-CN"/>
    </w:rPr>
  </w:style>
  <w:style w:type="paragraph" w:styleId="14">
    <w:name w:val="Normal (Web)"/>
    <w:basedOn w:val="1"/>
    <w:qFormat/>
    <w:uiPriority w:val="0"/>
    <w:pPr>
      <w:spacing w:beforeAutospacing="1" w:afterAutospacing="1"/>
      <w:jc w:val="left"/>
    </w:pPr>
    <w:rPr>
      <w:kern w:val="0"/>
      <w:sz w:val="24"/>
    </w:rPr>
  </w:style>
  <w:style w:type="paragraph" w:styleId="15">
    <w:name w:val="annotation subject"/>
    <w:basedOn w:val="6"/>
    <w:next w:val="6"/>
    <w:link w:val="29"/>
    <w:unhideWhenUsed/>
    <w:qFormat/>
    <w:uiPriority w:val="99"/>
    <w:rPr>
      <w:b/>
      <w:bCs/>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Hyperlink"/>
    <w:basedOn w:val="18"/>
    <w:unhideWhenUsed/>
    <w:qFormat/>
    <w:uiPriority w:val="99"/>
    <w:rPr>
      <w:color w:val="0000FF" w:themeColor="hyperlink"/>
      <w:u w:val="single"/>
      <w14:textFill>
        <w14:solidFill>
          <w14:schemeClr w14:val="hlink"/>
        </w14:solidFill>
      </w14:textFill>
    </w:rPr>
  </w:style>
  <w:style w:type="character" w:styleId="22">
    <w:name w:val="annotation reference"/>
    <w:basedOn w:val="18"/>
    <w:unhideWhenUsed/>
    <w:qFormat/>
    <w:uiPriority w:val="99"/>
    <w:rPr>
      <w:sz w:val="21"/>
      <w:szCs w:val="21"/>
    </w:rPr>
  </w:style>
  <w:style w:type="character" w:customStyle="1" w:styleId="23">
    <w:name w:val="页眉 字符"/>
    <w:basedOn w:val="18"/>
    <w:link w:val="11"/>
    <w:qFormat/>
    <w:uiPriority w:val="99"/>
    <w:rPr>
      <w:sz w:val="18"/>
      <w:szCs w:val="18"/>
    </w:rPr>
  </w:style>
  <w:style w:type="character" w:customStyle="1" w:styleId="24">
    <w:name w:val="页脚 字符"/>
    <w:basedOn w:val="18"/>
    <w:link w:val="10"/>
    <w:qFormat/>
    <w:uiPriority w:val="0"/>
    <w:rPr>
      <w:sz w:val="18"/>
      <w:szCs w:val="18"/>
    </w:rPr>
  </w:style>
  <w:style w:type="character" w:customStyle="1" w:styleId="25">
    <w:name w:val="标题 2 字符"/>
    <w:basedOn w:val="18"/>
    <w:link w:val="3"/>
    <w:qFormat/>
    <w:uiPriority w:val="99"/>
    <w:rPr>
      <w:rFonts w:ascii="Cambria" w:hAnsi="Cambria" w:eastAsia="宋体" w:cs="Times New Roman"/>
      <w:b/>
      <w:bCs/>
      <w:kern w:val="0"/>
      <w:sz w:val="32"/>
      <w:szCs w:val="32"/>
    </w:rPr>
  </w:style>
  <w:style w:type="character" w:customStyle="1" w:styleId="26">
    <w:name w:val="标题 3 字符"/>
    <w:basedOn w:val="18"/>
    <w:link w:val="4"/>
    <w:qFormat/>
    <w:uiPriority w:val="99"/>
    <w:rPr>
      <w:rFonts w:ascii="Times New Roman" w:hAnsi="Times New Roman" w:eastAsia="宋体" w:cs="Times New Roman"/>
      <w:b/>
      <w:bCs/>
      <w:kern w:val="0"/>
      <w:sz w:val="32"/>
      <w:szCs w:val="32"/>
    </w:rPr>
  </w:style>
  <w:style w:type="character" w:customStyle="1" w:styleId="27">
    <w:name w:val="批注框文本 字符"/>
    <w:basedOn w:val="18"/>
    <w:link w:val="9"/>
    <w:semiHidden/>
    <w:qFormat/>
    <w:uiPriority w:val="99"/>
    <w:rPr>
      <w:rFonts w:ascii="Times New Roman" w:hAnsi="Times New Roman" w:eastAsia="宋体" w:cs="Times New Roman"/>
      <w:sz w:val="18"/>
      <w:szCs w:val="18"/>
    </w:rPr>
  </w:style>
  <w:style w:type="character" w:customStyle="1" w:styleId="28">
    <w:name w:val="批注文字 字符"/>
    <w:basedOn w:val="18"/>
    <w:link w:val="6"/>
    <w:qFormat/>
    <w:uiPriority w:val="99"/>
    <w:rPr>
      <w:rFonts w:ascii="Times New Roman" w:hAnsi="Times New Roman" w:eastAsia="宋体" w:cs="Times New Roman"/>
      <w:szCs w:val="21"/>
    </w:rPr>
  </w:style>
  <w:style w:type="character" w:customStyle="1" w:styleId="29">
    <w:name w:val="批注主题 字符"/>
    <w:basedOn w:val="28"/>
    <w:link w:val="15"/>
    <w:semiHidden/>
    <w:qFormat/>
    <w:uiPriority w:val="99"/>
    <w:rPr>
      <w:rFonts w:ascii="Times New Roman" w:hAnsi="Times New Roman" w:eastAsia="宋体" w:cs="Times New Roman"/>
      <w:b/>
      <w:bCs/>
      <w:szCs w:val="21"/>
    </w:rPr>
  </w:style>
  <w:style w:type="character" w:customStyle="1" w:styleId="30">
    <w:name w:val="文档结构图 字符"/>
    <w:basedOn w:val="18"/>
    <w:link w:val="5"/>
    <w:semiHidden/>
    <w:qFormat/>
    <w:uiPriority w:val="99"/>
    <w:rPr>
      <w:rFonts w:ascii="宋体" w:hAnsi="Times New Roman" w:eastAsia="宋体" w:cs="Times New Roman"/>
      <w:sz w:val="18"/>
      <w:szCs w:val="18"/>
    </w:rPr>
  </w:style>
  <w:style w:type="character" w:customStyle="1" w:styleId="31">
    <w:name w:val="标题 1 字符"/>
    <w:basedOn w:val="18"/>
    <w:link w:val="2"/>
    <w:qFormat/>
    <w:uiPriority w:val="9"/>
    <w:rPr>
      <w:rFonts w:ascii="Times New Roman" w:hAnsi="Times New Roman" w:eastAsia="宋体" w:cs="Times New Roman"/>
      <w:b/>
      <w:bCs/>
      <w:kern w:val="44"/>
      <w:sz w:val="44"/>
      <w:szCs w:val="44"/>
    </w:rPr>
  </w:style>
  <w:style w:type="paragraph" w:customStyle="1" w:styleId="32">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 w:type="paragraph" w:customStyle="1" w:styleId="33">
    <w:name w:val="修订1"/>
    <w:hidden/>
    <w:semiHidden/>
    <w:qFormat/>
    <w:uiPriority w:val="99"/>
    <w:rPr>
      <w:rFonts w:ascii="Times New Roman" w:hAnsi="Times New Roman" w:eastAsia="宋体" w:cs="Times New Roman"/>
      <w:kern w:val="2"/>
      <w:sz w:val="21"/>
      <w:szCs w:val="21"/>
      <w:lang w:val="en-US" w:eastAsia="zh-CN" w:bidi="ar-SA"/>
    </w:rPr>
  </w:style>
  <w:style w:type="character" w:customStyle="1" w:styleId="34">
    <w:name w:val="页码 New New"/>
    <w:basedOn w:val="18"/>
    <w:qFormat/>
    <w:uiPriority w:val="0"/>
  </w:style>
  <w:style w:type="paragraph" w:customStyle="1" w:styleId="35">
    <w:name w:val="列表段落1"/>
    <w:basedOn w:val="1"/>
    <w:qFormat/>
    <w:uiPriority w:val="34"/>
    <w:pPr>
      <w:ind w:firstLine="420" w:firstLineChars="200"/>
    </w:pPr>
  </w:style>
  <w:style w:type="character" w:customStyle="1" w:styleId="36">
    <w:name w:val="正文文本 字符"/>
    <w:basedOn w:val="18"/>
    <w:link w:val="7"/>
    <w:qFormat/>
    <w:uiPriority w:val="1"/>
    <w:rPr>
      <w:rFonts w:ascii="仿宋_GB2312" w:hAnsi="仿宋_GB2312" w:eastAsia="仿宋_GB2312"/>
      <w:kern w:val="0"/>
      <w:sz w:val="30"/>
      <w:szCs w:val="30"/>
      <w:lang w:eastAsia="en-US"/>
    </w:rPr>
  </w:style>
  <w:style w:type="character" w:customStyle="1" w:styleId="37">
    <w:name w:val="未处理的提及1"/>
    <w:basedOn w:val="18"/>
    <w:unhideWhenUsed/>
    <w:qFormat/>
    <w:uiPriority w:val="99"/>
    <w:rPr>
      <w:color w:val="605E5C"/>
      <w:shd w:val="clear" w:color="auto" w:fill="E1DFDD"/>
    </w:rPr>
  </w:style>
  <w:style w:type="paragraph" w:customStyle="1" w:styleId="38">
    <w:name w:val="修订2"/>
    <w:hidden/>
    <w:semiHidden/>
    <w:qFormat/>
    <w:uiPriority w:val="99"/>
    <w:rPr>
      <w:rFonts w:ascii="仿宋" w:hAnsi="Times New Roman" w:eastAsia="仿宋" w:cs="Times New Roman"/>
      <w:kern w:val="30"/>
      <w:sz w:val="30"/>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9A5C1C-29A2-4641-943E-4689E202BF78}">
  <ds:schemaRefs/>
</ds:datastoreItem>
</file>

<file path=docProps/app.xml><?xml version="1.0" encoding="utf-8"?>
<Properties xmlns="http://schemas.openxmlformats.org/officeDocument/2006/extended-properties" xmlns:vt="http://schemas.openxmlformats.org/officeDocument/2006/docPropsVTypes">
  <Template>Normal</Template>
  <Pages>33</Pages>
  <Words>12526</Words>
  <Characters>13587</Characters>
  <Lines>163</Lines>
  <Paragraphs>45</Paragraphs>
  <TotalTime>2</TotalTime>
  <ScaleCrop>false</ScaleCrop>
  <LinksUpToDate>false</LinksUpToDate>
  <CharactersWithSpaces>13689</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2021-09-18T14:39:00Z</dcterms:created>
  <cp:lastPrinted>2022-12-27T01:56:00Z</cp:lastPrinted>
  <dcterms:modified xsi:type="dcterms:W3CDTF">2023-09-20T08:50:11Z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C830A32C9C3C49E2B8163B6B5A0AC9FD</vt:lpwstr>
  </property>
</Properties>
</file>