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60" w:lineRule="exact"/>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附件</w:t>
      </w:r>
      <w:r>
        <w:rPr>
          <w:rFonts w:hint="eastAsia" w:ascii="仿宋_GB2312" w:hAnsi="仿宋_GB2312" w:eastAsia="仿宋_GB2312" w:cs="仿宋_GB2312"/>
          <w:kern w:val="0"/>
          <w:sz w:val="32"/>
          <w:szCs w:val="32"/>
          <w:lang w:val="en-US" w:eastAsia="zh-CN"/>
        </w:rPr>
        <w:t>1</w:t>
      </w:r>
    </w:p>
    <w:tbl>
      <w:tblPr>
        <w:tblStyle w:val="3"/>
        <w:tblW w:w="15404" w:type="dxa"/>
        <w:tblInd w:w="-459" w:type="dxa"/>
        <w:tblLayout w:type="fixed"/>
        <w:tblCellMar>
          <w:top w:w="0" w:type="dxa"/>
          <w:left w:w="108" w:type="dxa"/>
          <w:bottom w:w="0" w:type="dxa"/>
          <w:right w:w="108" w:type="dxa"/>
        </w:tblCellMar>
      </w:tblPr>
      <w:tblGrid>
        <w:gridCol w:w="803"/>
        <w:gridCol w:w="777"/>
        <w:gridCol w:w="1450"/>
        <w:gridCol w:w="1884"/>
        <w:gridCol w:w="756"/>
        <w:gridCol w:w="1155"/>
        <w:gridCol w:w="1170"/>
        <w:gridCol w:w="1155"/>
        <w:gridCol w:w="3986"/>
        <w:gridCol w:w="708"/>
        <w:gridCol w:w="1560"/>
      </w:tblGrid>
      <w:tr>
        <w:tblPrEx>
          <w:tblCellMar>
            <w:top w:w="0" w:type="dxa"/>
            <w:left w:w="108" w:type="dxa"/>
            <w:bottom w:w="0" w:type="dxa"/>
            <w:right w:w="108" w:type="dxa"/>
          </w:tblCellMar>
        </w:tblPrEx>
        <w:trPr>
          <w:trHeight w:val="420" w:hRule="atLeast"/>
          <w:tblHeader/>
        </w:trPr>
        <w:tc>
          <w:tcPr>
            <w:tcW w:w="15404" w:type="dxa"/>
            <w:gridSpan w:val="11"/>
            <w:tcBorders>
              <w:bottom w:val="single" w:color="auto" w:sz="4" w:space="0"/>
            </w:tcBorders>
            <w:noWrap w:val="0"/>
            <w:vAlign w:val="center"/>
          </w:tcPr>
          <w:p>
            <w:pPr>
              <w:widowControl/>
              <w:spacing w:line="460" w:lineRule="exact"/>
              <w:jc w:val="center"/>
              <w:rPr>
                <w:rFonts w:ascii="方正黑体_GBK" w:hAnsi="宋体" w:eastAsia="方正黑体_GBK" w:cs="宋体"/>
                <w:b/>
                <w:bCs/>
                <w:kern w:val="0"/>
                <w:sz w:val="22"/>
              </w:rPr>
            </w:pPr>
            <w:bookmarkStart w:id="0" w:name="_GoBack"/>
            <w:bookmarkEnd w:id="0"/>
            <w:r>
              <w:rPr>
                <w:rFonts w:hint="eastAsia" w:ascii="方正小标宋_GBK" w:hAnsi="宋体" w:eastAsia="方正小标宋_GBK" w:cs="宋体"/>
                <w:kern w:val="0"/>
                <w:sz w:val="40"/>
                <w:szCs w:val="40"/>
                <w:lang w:eastAsia="zh-CN"/>
              </w:rPr>
              <w:t>晋宁区</w:t>
            </w:r>
            <w:r>
              <w:rPr>
                <w:rFonts w:hint="eastAsia" w:ascii="方正小标宋_GBK" w:hAnsi="宋体" w:eastAsia="方正小标宋_GBK" w:cs="宋体"/>
                <w:kern w:val="0"/>
                <w:sz w:val="40"/>
                <w:szCs w:val="40"/>
                <w:lang w:val="en-US" w:eastAsia="zh-CN"/>
              </w:rPr>
              <w:t>应急管理局</w:t>
            </w:r>
            <w:r>
              <w:rPr>
                <w:rFonts w:hint="eastAsia" w:ascii="方正小标宋_GBK" w:hAnsi="宋体" w:eastAsia="方正小标宋_GBK" w:cs="宋体"/>
                <w:kern w:val="0"/>
                <w:sz w:val="40"/>
                <w:szCs w:val="40"/>
              </w:rPr>
              <w:t>随机抽查事项清单（第</w:t>
            </w:r>
            <w:r>
              <w:rPr>
                <w:rFonts w:hint="eastAsia" w:ascii="方正小标宋_GBK" w:hAnsi="宋体" w:eastAsia="方正小标宋_GBK" w:cs="宋体"/>
                <w:kern w:val="0"/>
                <w:sz w:val="40"/>
                <w:szCs w:val="40"/>
                <w:lang w:eastAsia="zh-CN"/>
              </w:rPr>
              <w:t>三</w:t>
            </w:r>
            <w:r>
              <w:rPr>
                <w:rFonts w:hint="eastAsia" w:ascii="方正小标宋_GBK" w:hAnsi="宋体" w:eastAsia="方正小标宋_GBK" w:cs="宋体"/>
                <w:kern w:val="0"/>
                <w:sz w:val="40"/>
                <w:szCs w:val="40"/>
              </w:rPr>
              <w:t>版）</w:t>
            </w:r>
          </w:p>
        </w:tc>
      </w:tr>
      <w:tr>
        <w:tblPrEx>
          <w:tblCellMar>
            <w:top w:w="0" w:type="dxa"/>
            <w:left w:w="108" w:type="dxa"/>
            <w:bottom w:w="0" w:type="dxa"/>
            <w:right w:w="108" w:type="dxa"/>
          </w:tblCellMar>
        </w:tblPrEx>
        <w:trPr>
          <w:trHeight w:val="395" w:hRule="atLeast"/>
          <w:tblHeader/>
        </w:trPr>
        <w:tc>
          <w:tcPr>
            <w:tcW w:w="80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序号</w:t>
            </w: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部门</w:t>
            </w:r>
          </w:p>
        </w:tc>
        <w:tc>
          <w:tcPr>
            <w:tcW w:w="3334" w:type="dxa"/>
            <w:gridSpan w:val="2"/>
            <w:tcBorders>
              <w:top w:val="single" w:color="auto" w:sz="4" w:space="0"/>
              <w:left w:val="nil"/>
              <w:bottom w:val="single" w:color="auto"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 xml:space="preserve">抽查项目 </w:t>
            </w: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事项类别</w:t>
            </w:r>
          </w:p>
        </w:tc>
        <w:tc>
          <w:tcPr>
            <w:tcW w:w="1155"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检查对象</w:t>
            </w:r>
          </w:p>
        </w:tc>
        <w:tc>
          <w:tcPr>
            <w:tcW w:w="117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检查方式</w:t>
            </w:r>
          </w:p>
        </w:tc>
        <w:tc>
          <w:tcPr>
            <w:tcW w:w="1155"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检查主体</w:t>
            </w:r>
          </w:p>
        </w:tc>
        <w:tc>
          <w:tcPr>
            <w:tcW w:w="3986"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检查依据</w:t>
            </w:r>
          </w:p>
        </w:tc>
        <w:tc>
          <w:tcPr>
            <w:tcW w:w="70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适用区域</w:t>
            </w:r>
          </w:p>
        </w:tc>
        <w:tc>
          <w:tcPr>
            <w:tcW w:w="156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6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备注</w:t>
            </w:r>
          </w:p>
        </w:tc>
      </w:tr>
      <w:tr>
        <w:tblPrEx>
          <w:tblCellMar>
            <w:top w:w="0" w:type="dxa"/>
            <w:left w:w="108" w:type="dxa"/>
            <w:bottom w:w="0" w:type="dxa"/>
            <w:right w:w="108" w:type="dxa"/>
          </w:tblCellMar>
        </w:tblPrEx>
        <w:trPr>
          <w:trHeight w:val="366" w:hRule="atLeast"/>
          <w:tblHeader/>
        </w:trPr>
        <w:tc>
          <w:tcPr>
            <w:tcW w:w="80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1450" w:type="dxa"/>
            <w:tcBorders>
              <w:top w:val="nil"/>
              <w:left w:val="nil"/>
              <w:bottom w:val="single" w:color="auto" w:sz="4" w:space="0"/>
              <w:right w:val="single" w:color="auto" w:sz="4" w:space="0"/>
            </w:tcBorders>
            <w:noWrap w:val="0"/>
            <w:vAlign w:val="center"/>
          </w:tcPr>
          <w:p>
            <w:pPr>
              <w:widowControl/>
              <w:spacing w:line="300" w:lineRule="exact"/>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抽查类别</w:t>
            </w:r>
          </w:p>
        </w:tc>
        <w:tc>
          <w:tcPr>
            <w:tcW w:w="1884" w:type="dxa"/>
            <w:tcBorders>
              <w:top w:val="nil"/>
              <w:left w:val="nil"/>
              <w:bottom w:val="single" w:color="auto" w:sz="4" w:space="0"/>
              <w:right w:val="single" w:color="auto" w:sz="4" w:space="0"/>
            </w:tcBorders>
            <w:noWrap w:val="0"/>
            <w:vAlign w:val="center"/>
          </w:tcPr>
          <w:p>
            <w:pPr>
              <w:widowControl/>
              <w:jc w:val="center"/>
              <w:rPr>
                <w:rFonts w:ascii="方正黑体_GBK" w:hAnsi="宋体" w:eastAsia="方正黑体_GBK" w:cs="宋体"/>
                <w:b/>
                <w:bCs/>
                <w:kern w:val="0"/>
                <w:sz w:val="22"/>
              </w:rPr>
            </w:pPr>
            <w:r>
              <w:rPr>
                <w:rFonts w:hint="eastAsia" w:ascii="方正黑体_GBK" w:hAnsi="宋体" w:eastAsia="方正黑体_GBK" w:cs="宋体"/>
                <w:b/>
                <w:bCs/>
                <w:kern w:val="0"/>
                <w:sz w:val="22"/>
              </w:rPr>
              <w:t>抽查事项</w:t>
            </w: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1155"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117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1155"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3986"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7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方正黑体_GBK" w:hAnsi="宋体" w:eastAsia="方正黑体_GBK" w:cs="宋体"/>
                <w:b/>
                <w:bCs/>
                <w:kern w:val="0"/>
                <w:sz w:val="22"/>
              </w:rPr>
            </w:pPr>
          </w:p>
        </w:tc>
        <w:tc>
          <w:tcPr>
            <w:tcW w:w="15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方正黑体_GBK" w:hAnsi="宋体" w:eastAsia="方正黑体_GBK" w:cs="宋体"/>
                <w:b/>
                <w:bCs/>
                <w:kern w:val="0"/>
                <w:sz w:val="22"/>
              </w:rPr>
            </w:pPr>
          </w:p>
        </w:tc>
      </w:tr>
      <w:tr>
        <w:tblPrEx>
          <w:tblCellMar>
            <w:top w:w="0" w:type="dxa"/>
            <w:left w:w="108" w:type="dxa"/>
            <w:bottom w:w="0" w:type="dxa"/>
            <w:right w:w="108" w:type="dxa"/>
          </w:tblCellMar>
        </w:tblPrEx>
        <w:trPr>
          <w:trHeight w:val="160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tc>
        <w:tc>
          <w:tcPr>
            <w:tcW w:w="14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安全生产检查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对化工和危化品企业人员和资质管理情况的检查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化工企业和危险化学品生产、经营（带仓储设施）企业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现场检查或调阅资料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《危险化学品安全管理条例》（2013年修正本）第七条；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《安全生产培训管理办法》（国家安全监管总局令第44号公布，第80号第二次修正）第三十条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14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对化工和危化品工艺管理情况的检查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化工企业和危险化学品生产、经营（带仓储设施）企业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现场检查或调阅资料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《危险化学品安全管理条例》（2013年修正本）第七条、第二十条、第二十八条；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《安全生产培训管理办法》（国家安全监管总局令第44号公布，第80号第二次修正） 第三十条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355"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对化工和危化品设备设施管理情况的检查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化工企业和危险化学品生产、经营（带仓储设施）企业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现场检查或调阅资料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8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《危险化学品安全管理条例》（2013年修正本）第七条、第二十条、第二十八条；</w:t>
            </w:r>
          </w:p>
          <w:p>
            <w:pPr>
              <w:widowControl/>
              <w:spacing w:line="28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《危险化学品生产企业安全生产许可证实施办法》（国家安全生产监督管理总局令第41号公布，第89号第二次修正）第九条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149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tc>
        <w:tc>
          <w:tcPr>
            <w:tcW w:w="14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安全生产检查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对化工和危化品生产经营企业危险化学品安全技术说明书、安全标签及储存管理情况的检查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危险化学品生产企业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现场检查或调阅资料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《危险化学品安全管理条例》（2013年修正本）第七条、第十五条、第二十条、第二十八条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645"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对管道企业许可条件保持情况的检查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管道企业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现场检查或调阅资料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《危险化学品安全管理条例》（2013年修正本）第七条；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《危险化学品建设项目安全监督管理办法》；</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（国家安全生产监督管理总局令第45号公布，第79修正）第三条、第三十二条；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《危险化学品输送管道安全管理规定》（国家安全生产监督管理总局令第43号公布，第79修正）第三条、第四条、第三十条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对管道企业安全设施竣工验收报告的检查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管道企业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现场检查或调阅资料</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《中华人民共和国安全生产法》第三十一条、第三十六条、六十二条；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《建设项目安全设施“三同时”监督管理办法》；</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（国家安全生产监督管理总局令第36号公布，第77号修正）第六条、第二十三条；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《危险化学品建设项目安全监督管理办法》；</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（国家安全生产监督管理总局令第45号公布，第79修正）第三条、第三十二条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24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tc>
        <w:tc>
          <w:tcPr>
            <w:tcW w:w="14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安全生产检查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对烟花爆竹生产企业许可条件保持情况的检查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烟花爆竹生产企业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《烟花爆竹安全管理条例》（国务院令第455号）第三条、第八条；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《烟花爆竹生产企业安全生产许可证实施办法》；</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（国家安全生产监督管理总局令第54号）第三条、第五条、第三十五条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135"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对烟花爆竹生产企业生产安全情况的检查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烟花爆竹生产企业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《烟花爆竹安全管理条例》（国务院令第455号）第三条、第八条；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《烟花爆竹生产企业安全生产许可证实施办法》；</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（国家安全生产监督管理总局令第54号）第三条、第五条、第三十五条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00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对烟花爆竹经营单位批发安全许可情况的</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烟花爆竹经营单位</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《烟花爆竹安全管理条例》（国务院令第455号）第三条、第四条、第十七条；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《烟花爆竹经营许可实施办法》；</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（国家安全生产监督管理总局令第65号）第五条、第六条、第二十九条、第三十条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tc>
        <w:tc>
          <w:tcPr>
            <w:tcW w:w="14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r>
              <w:rPr>
                <w:rFonts w:hint="eastAsia" w:ascii="宋体" w:hAnsi="宋体" w:cs="宋体"/>
                <w:kern w:val="0"/>
                <w:sz w:val="20"/>
                <w:szCs w:val="20"/>
                <w:lang w:bidi="ar"/>
              </w:rPr>
              <w:t>安全生产检查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对烟花爆竹经营单位零售安全许可情况的检查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烟花爆竹经营单位</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32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《烟花爆竹安全管理条例》（国务院令第455号）第三条、第四条、第十八条；</w:t>
            </w:r>
          </w:p>
          <w:p>
            <w:pPr>
              <w:widowControl/>
              <w:spacing w:line="32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《烟花爆竹经营许可实施办法》；</w:t>
            </w:r>
          </w:p>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（国家安全生产监督管理总局令第65号）第五条、第十六条、第二十九条、第三十条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对烟花爆竹经营单位经营安全情况的检查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烟花爆竹经营单位</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《中华人民共和国安全生产法》第三十六条、六十二条；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《烟花爆竹安全管理条例》（国务院令第455号）第三条、第四条、第十七条、第十八条；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《烟花爆竹经营许可实施办法》（国家安全生产监督管理总局令第65号）第五条、第二十二条、第二十三条、第二十四条、第二十五条、第二十六条、第二十七条、第二十八条、第二十九条、第三十条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对非药品类易制毒化学品生产经营企业许可（备案）情况的检查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重点检查对象</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非药品类易制毒化学品生产、经营企业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8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《易制毒化学品管理条例》（国务院令第445号）第二条、第七条、第九条、第十三条、第三十二条；</w:t>
            </w:r>
          </w:p>
          <w:p>
            <w:pPr>
              <w:widowControl/>
              <w:spacing w:line="28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《非药品类易制毒化学品生产、经营许可办法》；</w:t>
            </w:r>
          </w:p>
          <w:p>
            <w:pPr>
              <w:widowControl/>
              <w:spacing w:line="28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（2006年国家安全生产监督管理总局令第5号</w:t>
            </w:r>
            <w:r>
              <w:rPr>
                <w:rFonts w:hint="eastAsia" w:ascii="宋体" w:hAnsi="宋体" w:cs="宋体"/>
                <w:kern w:val="0"/>
                <w:sz w:val="20"/>
                <w:szCs w:val="20"/>
                <w:lang w:eastAsia="zh-CN" w:bidi="ar"/>
              </w:rPr>
              <w:t>）</w:t>
            </w:r>
            <w:r>
              <w:rPr>
                <w:rFonts w:hint="eastAsia" w:ascii="宋体" w:hAnsi="宋体" w:cs="宋体"/>
                <w:kern w:val="0"/>
                <w:sz w:val="20"/>
                <w:szCs w:val="20"/>
                <w:lang w:bidi="ar"/>
              </w:rPr>
              <w:t>第三条、第五条、第六条、第十七条、第二十五条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135"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tc>
        <w:tc>
          <w:tcPr>
            <w:tcW w:w="14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安全生产检查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对非药品类易制毒化学品生产经营企业管理情况的检查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非药品类易制毒化学品生产、经营企业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现场检查或书面检查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《易制毒化学品管理条例》（国务院令第445号）第二条、第七条、第九条、第十三条、第三十二条；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《非药品类易制毒化学品生产、经营许可办法》；</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（2006年国家安全生产监督管理总局令第5号</w:t>
            </w:r>
            <w:r>
              <w:rPr>
                <w:rFonts w:hint="eastAsia" w:ascii="宋体" w:hAnsi="宋体" w:cs="宋体"/>
                <w:kern w:val="0"/>
                <w:sz w:val="20"/>
                <w:szCs w:val="20"/>
                <w:lang w:eastAsia="zh-CN" w:bidi="ar"/>
              </w:rPr>
              <w:t>）</w:t>
            </w:r>
            <w:r>
              <w:rPr>
                <w:rFonts w:hint="eastAsia" w:ascii="宋体" w:hAnsi="宋体" w:cs="宋体"/>
                <w:kern w:val="0"/>
                <w:sz w:val="20"/>
                <w:szCs w:val="20"/>
                <w:lang w:bidi="ar"/>
              </w:rPr>
              <w:t>第三条、第五条、第六条、第十七条、第二十五条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12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非煤矿山安全生产许可检查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非煤矿山企业</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中华人民共和国安全生产法》第六十条；《安全生产许可证条例》（国务院令第397号，根据2014年7月29日中华人民共和国国务院令第653号修正）第二条；《非煤矿矿山企业安全生产许可证实施办法》（2009年6月8日国家安全监管总局令第20号，根据2015年5月26日国家安全监管总局令第78号修正）第二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2195"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安全生产监督检查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对生产经营单位执行有关安全生产的法律、法规和国家标准或者行业标准的情况进行监督检查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重点检查事项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冶金、有色、建材、机械、轻工、纺织、烟草、商贸等工贸行业生产经营单位</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《安全生产法》第五十九条、第六十二条、第六十六条；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《云南省安全生产条例》第三十六条、第三十九条、第四十二条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1100"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lang w:bidi="ar"/>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p>
            <w:pPr>
              <w:widowControl/>
              <w:spacing w:line="320" w:lineRule="exact"/>
              <w:jc w:val="left"/>
              <w:rPr>
                <w:rFonts w:hint="eastAsia" w:ascii="宋体" w:hAnsi="宋体" w:cs="宋体"/>
                <w:kern w:val="0"/>
                <w:sz w:val="20"/>
                <w:szCs w:val="20"/>
              </w:rPr>
            </w:pPr>
          </w:p>
        </w:tc>
        <w:tc>
          <w:tcPr>
            <w:tcW w:w="14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对安全评价检测检验机构的监督检查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核查资质有效性、认可范围等信息，并对其技术服务实施抽查</w:t>
            </w: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安全评价检测检验机构</w:t>
            </w:r>
          </w:p>
        </w:tc>
        <w:tc>
          <w:tcPr>
            <w:tcW w:w="11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实地检查、书面检查</w:t>
            </w:r>
          </w:p>
        </w:tc>
        <w:tc>
          <w:tcPr>
            <w:tcW w:w="115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部门规章：《安全评价检测检验机构管理办法》（2019年3月20日中华人民共和国应急管理部令第1号公布，2019年5月1日起施行）第二十四条：资质认可机关应当将其认可的安全评价检测检验机构纳入年度安全生产监督检查计划范围。按照国务院有关“双随机、一公开”的规定实施监督检查，并确保每三年至少覆盖一次。</w:t>
            </w:r>
          </w:p>
        </w:tc>
        <w:tc>
          <w:tcPr>
            <w:tcW w:w="70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对机构资质条件保持情况、接受行政处罚和投诉举报等情况进行重点监督检查</w:t>
            </w: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1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398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7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color w:val="000000"/>
                <w:kern w:val="0"/>
                <w:sz w:val="20"/>
                <w:szCs w:val="20"/>
                <w:lang w:bidi="ar"/>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450" w:type="dxa"/>
            <w:vMerge w:val="restart"/>
            <w:tcBorders>
              <w:top w:val="single" w:color="auto" w:sz="4" w:space="0"/>
              <w:left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应急管理检查</w:t>
            </w:r>
          </w:p>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应急管理检查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对事故报告和应急处置情况的检查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负有自然灾害和安全生产应急管理职责的政府有关部门、企事业单位和基层组织</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实地检查和书面检查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《中华人民共和国安全生产法》第八十条、第一百零六条</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45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对应急救援队伍建设情况的检查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负有自然灾害和安全生产应急管理职责的政府有关部门、企事业单位和基层组织</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实地检查和书面检查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《中华人民共和国安全生产法》第七十六条、第九十四条第六款；</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《生产安全事故应急预案管理办法》第三十八条；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《云南省突发事件应对条例》第三十八条第二款</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0"/>
              </w:tabs>
              <w:ind w:left="425" w:hanging="425"/>
              <w:jc w:val="center"/>
              <w:rPr>
                <w:rFonts w:hint="eastAsia" w:ascii="宋体" w:hAnsi="宋体" w:cs="宋体"/>
                <w:kern w:val="0"/>
                <w:sz w:val="20"/>
                <w:szCs w:val="20"/>
              </w:rPr>
            </w:pPr>
          </w:p>
        </w:tc>
        <w:tc>
          <w:tcPr>
            <w:tcW w:w="145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应急管理检查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对应急救援物资装备配备使用管理情况的检查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负有自然灾害和安全生产应急管理职责的政府有关部门、企事业单位和基层组织</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实地检查和书面检查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《中华人民共和国安全生产法》第七十六条、第七十九条；</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《生产安全事故应急预案管理办法》第四十五条第六款；</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《云南省突发事件应对条例》第三十八条第六款</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eastAsia="zh-CN"/>
              </w:rPr>
              <w:t>晋宁区</w:t>
            </w:r>
            <w:r>
              <w:rPr>
                <w:rFonts w:hint="eastAsia" w:ascii="宋体" w:hAnsi="宋体" w:cs="宋体"/>
                <w:kern w:val="0"/>
                <w:sz w:val="20"/>
                <w:szCs w:val="20"/>
              </w:rPr>
              <w:t>应急管理局</w:t>
            </w:r>
            <w:r>
              <w:rPr>
                <w:rFonts w:hint="eastAsia" w:ascii="宋体" w:hAnsi="宋体" w:cs="宋体"/>
                <w:kern w:val="0"/>
                <w:sz w:val="20"/>
                <w:szCs w:val="20"/>
                <w:lang w:bidi="ar"/>
              </w:rPr>
              <w:t xml:space="preserve">  (4类22项</w:t>
            </w:r>
            <w:r>
              <w:rPr>
                <w:rFonts w:hint="eastAsia" w:ascii="宋体" w:hAnsi="宋体" w:cs="宋体"/>
                <w:kern w:val="0"/>
                <w:sz w:val="20"/>
                <w:szCs w:val="20"/>
                <w:lang w:eastAsia="zh-CN" w:bidi="ar"/>
              </w:rPr>
              <w:t>）</w:t>
            </w:r>
          </w:p>
        </w:tc>
        <w:tc>
          <w:tcPr>
            <w:tcW w:w="145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应急管理检查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对应急预案管理情况的检查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负有自然灾害和安全生产应急管理职责的政府有关部门、企事业单位和基层组织</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实地检查和书面检查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《中华人民共和国安全生产法》第九十四条第六款；</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《生产安全事故应急预案管理办法》第四十四条第一款；</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《云南省安全生产条例》第五十二条；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《云南省突发事件应对条例》第三十八条第一款</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r>
        <w:tblPrEx>
          <w:tblCellMar>
            <w:top w:w="0" w:type="dxa"/>
            <w:left w:w="108" w:type="dxa"/>
            <w:bottom w:w="0" w:type="dxa"/>
            <w:right w:w="108" w:type="dxa"/>
          </w:tblCellMar>
        </w:tblPrEx>
        <w:trPr>
          <w:trHeight w:val="787" w:hRule="atLeast"/>
        </w:trPr>
        <w:tc>
          <w:tcPr>
            <w:tcW w:w="803" w:type="dxa"/>
            <w:tcBorders>
              <w:top w:val="single" w:color="auto" w:sz="4" w:space="0"/>
              <w:left w:val="single" w:color="auto" w:sz="4" w:space="0"/>
              <w:bottom w:val="single" w:color="auto" w:sz="4" w:space="0"/>
              <w:right w:val="single" w:color="auto" w:sz="4" w:space="0"/>
            </w:tcBorders>
            <w:noWrap w:val="0"/>
            <w:vAlign w:val="center"/>
          </w:tcPr>
          <w:p>
            <w:pPr>
              <w:numPr>
                <w:ilvl w:val="0"/>
                <w:numId w:val="1"/>
              </w:numPr>
              <w:jc w:val="center"/>
              <w:rPr>
                <w:rFonts w:ascii="宋体" w:hAnsi="宋体" w:cs="宋体"/>
                <w:color w:val="000000"/>
                <w:sz w:val="20"/>
                <w:szCs w:val="20"/>
              </w:rPr>
            </w:pPr>
          </w:p>
        </w:tc>
        <w:tc>
          <w:tcPr>
            <w:tcW w:w="7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20" w:lineRule="exact"/>
              <w:jc w:val="left"/>
              <w:rPr>
                <w:rFonts w:hint="eastAsia" w:ascii="宋体" w:hAnsi="宋体" w:cs="宋体"/>
                <w:kern w:val="0"/>
                <w:sz w:val="20"/>
                <w:szCs w:val="20"/>
              </w:rPr>
            </w:pPr>
          </w:p>
        </w:tc>
        <w:tc>
          <w:tcPr>
            <w:tcW w:w="145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cs="宋体"/>
                <w:kern w:val="0"/>
                <w:sz w:val="20"/>
                <w:szCs w:val="20"/>
              </w:rPr>
            </w:pPr>
            <w:r>
              <w:rPr>
                <w:rFonts w:hint="eastAsia" w:ascii="宋体" w:hAnsi="宋体" w:cs="宋体"/>
                <w:kern w:val="0"/>
                <w:sz w:val="20"/>
                <w:szCs w:val="20"/>
                <w:lang w:bidi="ar"/>
              </w:rPr>
              <w:t>应急管理检查</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对应急演练实施情况的检查</w:t>
            </w:r>
          </w:p>
        </w:tc>
        <w:tc>
          <w:tcPr>
            <w:tcW w:w="75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一般检查事项</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负有自然灾害和安全生产应急管理职责的政府有关部门、企事业单位和基层组织</w:t>
            </w:r>
          </w:p>
        </w:tc>
        <w:tc>
          <w:tcPr>
            <w:tcW w:w="11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实地检查和书面检查</w:t>
            </w:r>
          </w:p>
        </w:tc>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eastAsia="zh-CN" w:bidi="ar"/>
              </w:rPr>
              <w:t>晋宁区</w:t>
            </w:r>
            <w:r>
              <w:rPr>
                <w:rFonts w:hint="eastAsia" w:ascii="宋体" w:hAnsi="宋体" w:cs="宋体"/>
                <w:kern w:val="0"/>
                <w:sz w:val="20"/>
                <w:szCs w:val="20"/>
                <w:lang w:bidi="ar"/>
              </w:rPr>
              <w:t>应急管理局</w:t>
            </w:r>
          </w:p>
        </w:tc>
        <w:tc>
          <w:tcPr>
            <w:tcW w:w="398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《中华人民共和国安全生产法》第九十四条第六款；</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《生产安全事故应急预案管理办法》第三十三条、第四十四条第二款；</w:t>
            </w:r>
          </w:p>
          <w:p>
            <w:pPr>
              <w:widowControl/>
              <w:spacing w:line="240" w:lineRule="exact"/>
              <w:jc w:val="left"/>
              <w:textAlignment w:val="center"/>
              <w:rPr>
                <w:rFonts w:hint="eastAsia" w:ascii="宋体" w:hAnsi="宋体" w:eastAsia="宋体" w:cs="宋体"/>
                <w:kern w:val="0"/>
                <w:sz w:val="20"/>
                <w:szCs w:val="20"/>
                <w:lang w:eastAsia="zh-CN" w:bidi="ar"/>
              </w:rPr>
            </w:pPr>
            <w:r>
              <w:rPr>
                <w:rFonts w:hint="eastAsia" w:ascii="宋体" w:hAnsi="宋体" w:cs="宋体"/>
                <w:kern w:val="0"/>
                <w:sz w:val="20"/>
                <w:szCs w:val="20"/>
                <w:lang w:bidi="ar"/>
              </w:rPr>
              <w:t>《云南省安全生产条例》第五十三条；</w:t>
            </w:r>
          </w:p>
          <w:p>
            <w:pPr>
              <w:widowControl/>
              <w:spacing w:line="240" w:lineRule="exact"/>
              <w:jc w:val="left"/>
              <w:textAlignment w:val="center"/>
              <w:rPr>
                <w:rFonts w:hint="eastAsia" w:ascii="宋体" w:hAnsi="宋体" w:cs="宋体"/>
                <w:kern w:val="0"/>
                <w:sz w:val="20"/>
                <w:szCs w:val="20"/>
              </w:rPr>
            </w:pPr>
            <w:r>
              <w:rPr>
                <w:rFonts w:hint="eastAsia" w:ascii="宋体" w:hAnsi="宋体" w:cs="宋体"/>
                <w:kern w:val="0"/>
                <w:sz w:val="20"/>
                <w:szCs w:val="20"/>
                <w:lang w:bidi="ar"/>
              </w:rPr>
              <w:t>《云南省突发事件应对条例》第三十八条第二款</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textAlignment w:val="center"/>
              <w:rPr>
                <w:rFonts w:hint="eastAsia" w:ascii="宋体" w:hAnsi="宋体" w:eastAsia="宋体" w:cs="宋体"/>
                <w:color w:val="000000"/>
                <w:kern w:val="0"/>
                <w:sz w:val="20"/>
                <w:szCs w:val="20"/>
                <w:lang w:eastAsia="zh-CN" w:bidi="ar"/>
              </w:rPr>
            </w:pPr>
            <w:r>
              <w:rPr>
                <w:rFonts w:hint="eastAsia" w:ascii="宋体" w:hAnsi="宋体" w:cs="宋体"/>
                <w:color w:val="000000"/>
                <w:kern w:val="0"/>
                <w:sz w:val="20"/>
                <w:szCs w:val="20"/>
                <w:lang w:eastAsia="zh-CN" w:bidi="ar"/>
              </w:rPr>
              <w:t>全区</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cs="宋体"/>
                <w:kern w:val="0"/>
                <w:sz w:val="20"/>
                <w:szCs w:val="20"/>
              </w:rPr>
            </w:pPr>
            <w:r>
              <w:rPr>
                <w:rFonts w:hint="eastAsia" w:ascii="宋体" w:hAnsi="宋体" w:cs="宋体"/>
                <w:color w:val="000000"/>
                <w:sz w:val="22"/>
                <w:szCs w:val="22"/>
                <w:lang w:eastAsia="zh-CN"/>
              </w:rPr>
              <w:t>县级监管</w:t>
            </w:r>
          </w:p>
        </w:tc>
      </w:tr>
    </w:tbl>
    <w:p>
      <w:pPr>
        <w:rPr>
          <w:rFonts w:hint="eastAsia"/>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F593DA0A-CCC8-439B-86EA-1C43E194ABFA}"/>
  </w:font>
  <w:font w:name="方正黑体_GBK">
    <w:panose1 w:val="03000509000000000000"/>
    <w:charset w:val="86"/>
    <w:family w:val="auto"/>
    <w:pitch w:val="default"/>
    <w:sig w:usb0="00000001" w:usb1="080E0000" w:usb2="00000000" w:usb3="00000000" w:csb0="00040000" w:csb1="00000000"/>
    <w:embedRegular r:id="rId2" w:fontKey="{FAD81B72-2D32-4780-A7BD-CA173B038244}"/>
  </w:font>
  <w:font w:name="方正小标宋_GBK">
    <w:panose1 w:val="03000509000000000000"/>
    <w:charset w:val="86"/>
    <w:family w:val="script"/>
    <w:pitch w:val="default"/>
    <w:sig w:usb0="00000001" w:usb1="080E0000" w:usb2="00000000" w:usb3="00000000" w:csb0="00040000" w:csb1="00000000"/>
    <w:embedRegular r:id="rId3" w:fontKey="{CC7422E4-0F53-48DA-BC11-2BB4091ADE1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F3ABB"/>
    <w:multiLevelType w:val="singleLevel"/>
    <w:tmpl w:val="60BF3ABB"/>
    <w:lvl w:ilvl="0" w:tentative="0">
      <w:start w:val="1"/>
      <w:numFmt w:val="decimal"/>
      <w:suff w:val="nothing"/>
      <w:lvlText w:val="%1"/>
      <w:lvlJc w:val="left"/>
      <w:pPr>
        <w:tabs>
          <w:tab w:val="left" w:pos="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wZmI0ZGFlZjllYTUxZTNhYjM3OGU0N2JiNTg0MzcifQ=="/>
  </w:docVars>
  <w:rsids>
    <w:rsidRoot w:val="7DC74E1D"/>
    <w:rsid w:val="00151315"/>
    <w:rsid w:val="001E4F82"/>
    <w:rsid w:val="002E3A29"/>
    <w:rsid w:val="003635AC"/>
    <w:rsid w:val="00417132"/>
    <w:rsid w:val="004A0140"/>
    <w:rsid w:val="004E49F1"/>
    <w:rsid w:val="00505652"/>
    <w:rsid w:val="00573426"/>
    <w:rsid w:val="0057728E"/>
    <w:rsid w:val="00644C0C"/>
    <w:rsid w:val="00777DF9"/>
    <w:rsid w:val="007A099D"/>
    <w:rsid w:val="008128BD"/>
    <w:rsid w:val="008870F7"/>
    <w:rsid w:val="008F3B10"/>
    <w:rsid w:val="009A3FD7"/>
    <w:rsid w:val="009D2AD9"/>
    <w:rsid w:val="00A85440"/>
    <w:rsid w:val="00B64E99"/>
    <w:rsid w:val="00C0327D"/>
    <w:rsid w:val="00DD1F8D"/>
    <w:rsid w:val="00DF73A1"/>
    <w:rsid w:val="00E019CF"/>
    <w:rsid w:val="00E50C57"/>
    <w:rsid w:val="00F76AB3"/>
    <w:rsid w:val="06F72626"/>
    <w:rsid w:val="072A5185"/>
    <w:rsid w:val="087C359F"/>
    <w:rsid w:val="08BA556B"/>
    <w:rsid w:val="08CF4D2C"/>
    <w:rsid w:val="091E7FE8"/>
    <w:rsid w:val="097E282F"/>
    <w:rsid w:val="0CE57CAE"/>
    <w:rsid w:val="0D1F7B15"/>
    <w:rsid w:val="0DAC3EBF"/>
    <w:rsid w:val="10B553BA"/>
    <w:rsid w:val="11C03198"/>
    <w:rsid w:val="12512503"/>
    <w:rsid w:val="13A22B01"/>
    <w:rsid w:val="15072958"/>
    <w:rsid w:val="1C726B5E"/>
    <w:rsid w:val="1EE27BB0"/>
    <w:rsid w:val="1FE5662E"/>
    <w:rsid w:val="204A438F"/>
    <w:rsid w:val="20514806"/>
    <w:rsid w:val="23086013"/>
    <w:rsid w:val="2A1735F2"/>
    <w:rsid w:val="32C7424B"/>
    <w:rsid w:val="342220D9"/>
    <w:rsid w:val="350A68EF"/>
    <w:rsid w:val="367A550F"/>
    <w:rsid w:val="36BB3F3F"/>
    <w:rsid w:val="38B706F6"/>
    <w:rsid w:val="38F7625F"/>
    <w:rsid w:val="39A17860"/>
    <w:rsid w:val="3A0B26A0"/>
    <w:rsid w:val="3A6F49C1"/>
    <w:rsid w:val="3B7128E6"/>
    <w:rsid w:val="40CC5087"/>
    <w:rsid w:val="40EE4EFC"/>
    <w:rsid w:val="465D1987"/>
    <w:rsid w:val="47B232C6"/>
    <w:rsid w:val="49A921CC"/>
    <w:rsid w:val="49C97CA8"/>
    <w:rsid w:val="4C232830"/>
    <w:rsid w:val="4FDE4211"/>
    <w:rsid w:val="503373B0"/>
    <w:rsid w:val="51BD4229"/>
    <w:rsid w:val="53EA24C8"/>
    <w:rsid w:val="54E14EA8"/>
    <w:rsid w:val="55FF53DE"/>
    <w:rsid w:val="596C243F"/>
    <w:rsid w:val="5BBF7814"/>
    <w:rsid w:val="5C111F3E"/>
    <w:rsid w:val="5C3939BA"/>
    <w:rsid w:val="60560BE9"/>
    <w:rsid w:val="60C57968"/>
    <w:rsid w:val="6228579D"/>
    <w:rsid w:val="63065889"/>
    <w:rsid w:val="632B3D56"/>
    <w:rsid w:val="667C32DD"/>
    <w:rsid w:val="6A374F7E"/>
    <w:rsid w:val="6B5C14F8"/>
    <w:rsid w:val="6C9B4444"/>
    <w:rsid w:val="6E4F04BB"/>
    <w:rsid w:val="703B0D25"/>
    <w:rsid w:val="712311CE"/>
    <w:rsid w:val="745A72EC"/>
    <w:rsid w:val="74753989"/>
    <w:rsid w:val="7515721C"/>
    <w:rsid w:val="75FC7ED6"/>
    <w:rsid w:val="77D37079"/>
    <w:rsid w:val="7A503585"/>
    <w:rsid w:val="7CC44F4A"/>
    <w:rsid w:val="7DC74E1D"/>
    <w:rsid w:val="7DF2015A"/>
    <w:rsid w:val="7E7E4E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utoSpaceDE w:val="0"/>
      <w:autoSpaceDN w:val="0"/>
      <w:jc w:val="left"/>
    </w:pPr>
    <w:rPr>
      <w:rFonts w:ascii="方正仿宋_GBK" w:hAnsi="方正仿宋_GBK" w:eastAsia="方正仿宋_GBK" w:cs="方正仿宋_GBK"/>
      <w:kern w:val="0"/>
      <w:sz w:val="32"/>
      <w:szCs w:val="32"/>
      <w:lang w:val="zh-CN" w:bidi="zh-CN"/>
    </w:rPr>
  </w:style>
  <w:style w:type="character" w:customStyle="1" w:styleId="5">
    <w:name w:val="font91"/>
    <w:basedOn w:val="4"/>
    <w:qFormat/>
    <w:uiPriority w:val="0"/>
    <w:rPr>
      <w:rFonts w:hint="eastAsia" w:ascii="宋体" w:hAnsi="宋体" w:eastAsia="宋体" w:cs="宋体"/>
      <w:color w:val="000000"/>
      <w:sz w:val="20"/>
      <w:szCs w:val="20"/>
      <w:u w:val="none"/>
    </w:rPr>
  </w:style>
  <w:style w:type="character" w:customStyle="1" w:styleId="6">
    <w:name w:val="font41"/>
    <w:basedOn w:val="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昆明市直属党政机关单位</Company>
  <Pages>8</Pages>
  <Words>3851</Words>
  <Characters>3943</Characters>
  <Lines>709</Lines>
  <Paragraphs>199</Paragraphs>
  <TotalTime>2</TotalTime>
  <ScaleCrop>false</ScaleCrop>
  <LinksUpToDate>false</LinksUpToDate>
  <CharactersWithSpaces>3959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2022-09-19T00:59:00Z</dcterms:created>
  <dc:creator>NTKO</dc:creator>
  <cp:lastModifiedBy>塑料耗子</cp:lastModifiedBy>
  <cp:lastPrinted>2023-02-28T05:49:00Z</cp:lastPrinted>
  <dcterms:modified xsi:type="dcterms:W3CDTF">2023-02-28T05:51:51Z</dcterms:modified>
  <dc:title>昆明市市场监管领域随机抽查事项清单（第二版）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5FE730209B0A4DB1A4E466EC40326916</vt:lpwstr>
  </property>
</Properties>
</file>