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36"/>
        </w:rPr>
      </w:pPr>
      <w:bookmarkStart w:id="0" w:name="_Toc31100"/>
    </w:p>
    <w:p>
      <w:pPr>
        <w:rPr>
          <w:sz w:val="36"/>
          <w:szCs w:val="36"/>
        </w:rPr>
      </w:pPr>
      <w:r>
        <w:rPr>
          <w:rFonts w:hint="eastAsia"/>
          <w:sz w:val="36"/>
          <w:szCs w:val="36"/>
        </w:rPr>
        <w:t xml:space="preserve"> </w:t>
      </w:r>
    </w:p>
    <w:p>
      <w:pPr>
        <w:rPr>
          <w:sz w:val="36"/>
          <w:szCs w:val="36"/>
        </w:rPr>
      </w:pPr>
      <w:r>
        <w:rPr>
          <w:rFonts w:hint="eastAsia"/>
          <w:sz w:val="36"/>
          <w:szCs w:val="36"/>
        </w:rPr>
        <w:t xml:space="preserve">  </w:t>
      </w:r>
    </w:p>
    <w:p>
      <w:pPr>
        <w:rPr>
          <w:sz w:val="36"/>
          <w:szCs w:val="36"/>
        </w:rPr>
      </w:pPr>
      <w:r>
        <w:rPr>
          <w:rFonts w:hint="eastAsia"/>
          <w:sz w:val="36"/>
          <w:szCs w:val="36"/>
        </w:rPr>
        <w:t xml:space="preserve"> </w:t>
      </w:r>
    </w:p>
    <w:p>
      <w:pPr>
        <w:adjustRightInd w:val="0"/>
        <w:snapToGrid w:val="0"/>
        <w:jc w:val="center"/>
        <w:outlineLvl w:val="0"/>
        <w:rPr>
          <w:bCs/>
          <w:sz w:val="72"/>
          <w:szCs w:val="72"/>
        </w:rPr>
      </w:pPr>
      <w:bookmarkStart w:id="1" w:name="_Toc117775762"/>
      <w:r>
        <w:rPr>
          <w:bCs/>
          <w:sz w:val="72"/>
          <w:szCs w:val="72"/>
        </w:rPr>
        <w:t>建设项目环境影响报告表</w:t>
      </w:r>
      <w:bookmarkEnd w:id="1"/>
    </w:p>
    <w:p>
      <w:pPr>
        <w:adjustRightInd w:val="0"/>
        <w:snapToGrid w:val="0"/>
        <w:spacing w:before="192" w:beforeLines="80"/>
        <w:jc w:val="center"/>
        <w:rPr>
          <w:bCs/>
          <w:sz w:val="48"/>
          <w:szCs w:val="48"/>
        </w:rPr>
      </w:pPr>
      <w:r>
        <w:rPr>
          <w:rFonts w:hint="eastAsia"/>
          <w:bCs/>
          <w:sz w:val="48"/>
          <w:szCs w:val="48"/>
        </w:rPr>
        <w:t>（污染影响类）</w:t>
      </w:r>
    </w:p>
    <w:p>
      <w:pPr>
        <w:adjustRightInd w:val="0"/>
        <w:snapToGrid w:val="0"/>
        <w:spacing w:line="288" w:lineRule="auto"/>
        <w:jc w:val="center"/>
        <w:outlineLvl w:val="0"/>
        <w:rPr>
          <w:kern w:val="44"/>
          <w:sz w:val="44"/>
          <w:szCs w:val="44"/>
        </w:rPr>
      </w:pPr>
      <w:r>
        <w:rPr>
          <w:rFonts w:hint="eastAsia"/>
          <w:kern w:val="44"/>
          <w:sz w:val="44"/>
          <w:szCs w:val="44"/>
        </w:rPr>
        <w:t xml:space="preserve"> </w:t>
      </w:r>
    </w:p>
    <w:p>
      <w:pPr>
        <w:jc w:val="center"/>
        <w:rPr>
          <w:sz w:val="52"/>
          <w:szCs w:val="52"/>
        </w:rPr>
      </w:pPr>
      <w:r>
        <w:rPr>
          <w:sz w:val="52"/>
          <w:szCs w:val="52"/>
        </w:rPr>
        <w:t xml:space="preserve"> </w:t>
      </w:r>
    </w:p>
    <w:p>
      <w:pPr>
        <w:ind w:firstLine="1040"/>
        <w:rPr>
          <w:sz w:val="44"/>
          <w:szCs w:val="44"/>
        </w:rPr>
      </w:pPr>
      <w:r>
        <w:rPr>
          <w:sz w:val="44"/>
          <w:szCs w:val="44"/>
        </w:rPr>
        <w:t xml:space="preserve"> </w:t>
      </w:r>
    </w:p>
    <w:p>
      <w:pPr>
        <w:ind w:firstLine="1040"/>
        <w:rPr>
          <w:sz w:val="44"/>
          <w:szCs w:val="44"/>
        </w:rPr>
      </w:pPr>
      <w:r>
        <w:rPr>
          <w:sz w:val="44"/>
          <w:szCs w:val="44"/>
        </w:rPr>
        <w:t xml:space="preserve"> </w:t>
      </w:r>
    </w:p>
    <w:p>
      <w:pPr>
        <w:ind w:firstLine="1040"/>
        <w:rPr>
          <w:sz w:val="44"/>
          <w:szCs w:val="44"/>
        </w:rPr>
      </w:pPr>
      <w:r>
        <w:rPr>
          <w:sz w:val="44"/>
          <w:szCs w:val="44"/>
        </w:rPr>
        <w:t xml:space="preserve"> </w:t>
      </w:r>
    </w:p>
    <w:p>
      <w:pPr>
        <w:ind w:firstLine="1040"/>
        <w:rPr>
          <w:sz w:val="44"/>
          <w:szCs w:val="44"/>
        </w:rPr>
      </w:pPr>
      <w:r>
        <w:rPr>
          <w:sz w:val="44"/>
          <w:szCs w:val="44"/>
        </w:rPr>
        <w:t xml:space="preserve"> </w:t>
      </w:r>
    </w:p>
    <w:p>
      <w:pPr>
        <w:adjustRightInd w:val="0"/>
        <w:snapToGrid w:val="0"/>
        <w:spacing w:line="360" w:lineRule="auto"/>
        <w:ind w:firstLine="720" w:firstLineChars="200"/>
        <w:rPr>
          <w:sz w:val="36"/>
          <w:szCs w:val="36"/>
          <w:u w:val="single"/>
        </w:rPr>
      </w:pPr>
      <w:r>
        <w:rPr>
          <w:rFonts w:hint="eastAsia"/>
          <w:sz w:val="36"/>
          <w:szCs w:val="36"/>
        </w:rPr>
        <w:t>项目名称：</w:t>
      </w:r>
      <w:r>
        <w:rPr>
          <w:rFonts w:hint="eastAsia"/>
          <w:sz w:val="36"/>
          <w:szCs w:val="36"/>
          <w:u w:val="single"/>
        </w:rPr>
        <w:t xml:space="preserve"> 云南磷化集团有限公司磷化工事业部饲钙装置B系列热风炉节能改造项目</w:t>
      </w:r>
    </w:p>
    <w:p>
      <w:pPr>
        <w:adjustRightInd w:val="0"/>
        <w:snapToGrid w:val="0"/>
        <w:spacing w:line="360" w:lineRule="auto"/>
        <w:ind w:firstLine="720" w:firstLineChars="200"/>
        <w:rPr>
          <w:sz w:val="36"/>
          <w:szCs w:val="36"/>
        </w:rPr>
      </w:pPr>
      <w:r>
        <w:rPr>
          <w:rFonts w:hint="eastAsia"/>
          <w:sz w:val="36"/>
          <w:szCs w:val="36"/>
        </w:rPr>
        <w:t>建设单位（盖章）：</w:t>
      </w:r>
      <w:r>
        <w:rPr>
          <w:rFonts w:hint="eastAsia"/>
          <w:sz w:val="36"/>
          <w:szCs w:val="36"/>
          <w:u w:val="single"/>
        </w:rPr>
        <w:t>云南磷化集团有限公司</w:t>
      </w:r>
    </w:p>
    <w:p>
      <w:pPr>
        <w:adjustRightInd w:val="0"/>
        <w:snapToGrid w:val="0"/>
        <w:spacing w:line="288" w:lineRule="auto"/>
        <w:ind w:firstLine="1040"/>
        <w:rPr>
          <w:sz w:val="36"/>
          <w:szCs w:val="36"/>
        </w:rPr>
      </w:pPr>
    </w:p>
    <w:p>
      <w:pPr>
        <w:adjustRightInd w:val="0"/>
        <w:snapToGrid w:val="0"/>
        <w:spacing w:line="288" w:lineRule="auto"/>
        <w:ind w:firstLine="1040"/>
        <w:rPr>
          <w:sz w:val="36"/>
          <w:szCs w:val="36"/>
        </w:rPr>
      </w:pPr>
      <w:r>
        <w:rPr>
          <w:rFonts w:hint="eastAsia"/>
          <w:sz w:val="36"/>
          <w:szCs w:val="36"/>
        </w:rPr>
        <w:t xml:space="preserve"> </w:t>
      </w:r>
    </w:p>
    <w:p>
      <w:pPr>
        <w:adjustRightInd w:val="0"/>
        <w:snapToGrid w:val="0"/>
        <w:spacing w:line="288" w:lineRule="auto"/>
        <w:ind w:firstLine="1040"/>
        <w:rPr>
          <w:sz w:val="36"/>
          <w:szCs w:val="36"/>
        </w:rPr>
      </w:pPr>
      <w:r>
        <w:rPr>
          <w:rFonts w:hint="eastAsia"/>
          <w:sz w:val="36"/>
          <w:szCs w:val="36"/>
        </w:rPr>
        <w:t xml:space="preserve"> </w:t>
      </w:r>
    </w:p>
    <w:p>
      <w:pPr>
        <w:adjustRightInd w:val="0"/>
        <w:snapToGrid w:val="0"/>
        <w:spacing w:line="288" w:lineRule="auto"/>
        <w:ind w:firstLine="1040"/>
        <w:rPr>
          <w:sz w:val="36"/>
          <w:szCs w:val="36"/>
        </w:rPr>
      </w:pPr>
      <w:r>
        <w:rPr>
          <w:rFonts w:hint="eastAsia"/>
          <w:sz w:val="36"/>
          <w:szCs w:val="36"/>
        </w:rPr>
        <w:t xml:space="preserve"> </w:t>
      </w:r>
    </w:p>
    <w:p>
      <w:pPr>
        <w:adjustRightInd w:val="0"/>
        <w:snapToGrid w:val="0"/>
        <w:spacing w:line="288" w:lineRule="auto"/>
        <w:ind w:firstLine="1040"/>
        <w:rPr>
          <w:sz w:val="36"/>
          <w:szCs w:val="36"/>
        </w:rPr>
      </w:pPr>
      <w:r>
        <w:rPr>
          <w:rFonts w:hint="eastAsia"/>
          <w:sz w:val="36"/>
          <w:szCs w:val="36"/>
        </w:rPr>
        <w:t xml:space="preserve"> </w:t>
      </w:r>
    </w:p>
    <w:p>
      <w:pPr>
        <w:adjustRightInd w:val="0"/>
        <w:snapToGrid w:val="0"/>
        <w:spacing w:line="288" w:lineRule="auto"/>
        <w:jc w:val="center"/>
        <w:rPr>
          <w:sz w:val="36"/>
          <w:szCs w:val="36"/>
        </w:rPr>
      </w:pPr>
      <w:r>
        <w:rPr>
          <w:rFonts w:hint="eastAsia"/>
          <w:sz w:val="36"/>
          <w:szCs w:val="36"/>
        </w:rPr>
        <w:t>中华人民共和国生态环境部制</w:t>
      </w:r>
    </w:p>
    <w:p>
      <w:pPr>
        <w:adjustRightInd w:val="0"/>
        <w:snapToGrid w:val="0"/>
        <w:spacing w:line="288" w:lineRule="auto"/>
        <w:ind w:firstLine="1040"/>
        <w:rPr>
          <w:sz w:val="36"/>
          <w:szCs w:val="36"/>
        </w:rPr>
        <w:sectPr>
          <w:pgSz w:w="12240" w:h="15840"/>
          <w:pgMar w:top="1440" w:right="1800" w:bottom="1440" w:left="1800" w:header="720" w:footer="720" w:gutter="0"/>
          <w:cols w:space="720" w:num="1"/>
        </w:sectPr>
      </w:pPr>
    </w:p>
    <w:sdt>
      <w:sdtPr>
        <w:rPr>
          <w:rFonts w:ascii="Times New Roman" w:hAnsi="Times New Roman" w:eastAsia="宋体" w:cs="Times New Roman"/>
          <w:b/>
          <w:bCs/>
          <w:color w:val="auto"/>
          <w:kern w:val="2"/>
          <w:sz w:val="36"/>
          <w:szCs w:val="36"/>
          <w:lang w:val="zh-CN"/>
        </w:rPr>
        <w:id w:val="-1272089456"/>
        <w:docPartObj>
          <w:docPartGallery w:val="Table of Contents"/>
          <w:docPartUnique/>
        </w:docPartObj>
      </w:sdtPr>
      <w:sdtEndPr>
        <w:rPr>
          <w:rFonts w:ascii="Times New Roman" w:hAnsi="Times New Roman" w:eastAsia="宋体" w:cs="Times New Roman"/>
          <w:b/>
          <w:bCs/>
          <w:color w:val="auto"/>
          <w:kern w:val="2"/>
          <w:sz w:val="24"/>
          <w:szCs w:val="24"/>
          <w:lang w:val="zh-CN"/>
        </w:rPr>
      </w:sdtEndPr>
      <w:sdtContent>
        <w:p>
          <w:pPr>
            <w:pStyle w:val="100"/>
            <w:jc w:val="center"/>
            <w:rPr>
              <w:rFonts w:ascii="Times New Roman" w:hAnsi="Times New Roman" w:eastAsia="宋体"/>
              <w:b/>
              <w:bCs/>
              <w:color w:val="auto"/>
              <w:sz w:val="36"/>
              <w:szCs w:val="36"/>
            </w:rPr>
          </w:pPr>
          <w:r>
            <w:rPr>
              <w:rFonts w:ascii="Times New Roman" w:hAnsi="Times New Roman" w:eastAsia="宋体"/>
              <w:b/>
              <w:bCs/>
              <w:color w:val="auto"/>
              <w:sz w:val="36"/>
              <w:szCs w:val="36"/>
              <w:lang w:val="zh-CN"/>
            </w:rPr>
            <w:t>目录</w:t>
          </w:r>
        </w:p>
        <w:p>
          <w:pPr>
            <w:pStyle w:val="17"/>
            <w:tabs>
              <w:tab w:val="right" w:leader="dot" w:pos="8834"/>
            </w:tabs>
            <w:spacing w:line="360" w:lineRule="auto"/>
            <w:rPr>
              <w:sz w:val="24"/>
            </w:rPr>
          </w:pPr>
          <w:r>
            <w:rPr>
              <w:sz w:val="24"/>
            </w:rPr>
            <w:fldChar w:fldCharType="begin"/>
          </w:r>
          <w:r>
            <w:rPr>
              <w:sz w:val="24"/>
            </w:rPr>
            <w:instrText xml:space="preserve"> TOC \o "1-3" \h \z \u </w:instrText>
          </w:r>
          <w:r>
            <w:rPr>
              <w:sz w:val="24"/>
            </w:rPr>
            <w:fldChar w:fldCharType="separate"/>
          </w:r>
          <w:r>
            <w:fldChar w:fldCharType="begin"/>
          </w:r>
          <w:r>
            <w:instrText xml:space="preserve"> HYPERLINK \l "_Toc117775763" </w:instrText>
          </w:r>
          <w:r>
            <w:fldChar w:fldCharType="separate"/>
          </w:r>
          <w:r>
            <w:rPr>
              <w:rStyle w:val="27"/>
              <w:color w:val="auto"/>
              <w:sz w:val="24"/>
            </w:rPr>
            <w:t>一、建设项目基本情况</w:t>
          </w:r>
          <w:r>
            <w:rPr>
              <w:sz w:val="24"/>
            </w:rPr>
            <w:tab/>
          </w:r>
          <w:r>
            <w:rPr>
              <w:sz w:val="24"/>
            </w:rPr>
            <w:fldChar w:fldCharType="begin"/>
          </w:r>
          <w:r>
            <w:rPr>
              <w:sz w:val="24"/>
            </w:rPr>
            <w:instrText xml:space="preserve"> PAGEREF _Toc117775763 \h </w:instrText>
          </w:r>
          <w:r>
            <w:rPr>
              <w:sz w:val="24"/>
            </w:rPr>
            <w:fldChar w:fldCharType="separate"/>
          </w:r>
          <w:r>
            <w:rPr>
              <w:sz w:val="24"/>
            </w:rPr>
            <w:t>2</w:t>
          </w:r>
          <w:r>
            <w:rPr>
              <w:sz w:val="24"/>
            </w:rPr>
            <w:fldChar w:fldCharType="end"/>
          </w:r>
          <w:r>
            <w:rPr>
              <w:sz w:val="24"/>
            </w:rPr>
            <w:fldChar w:fldCharType="end"/>
          </w:r>
        </w:p>
        <w:p>
          <w:pPr>
            <w:pStyle w:val="17"/>
            <w:tabs>
              <w:tab w:val="right" w:leader="dot" w:pos="8834"/>
            </w:tabs>
            <w:spacing w:line="360" w:lineRule="auto"/>
            <w:rPr>
              <w:sz w:val="24"/>
            </w:rPr>
          </w:pPr>
          <w:r>
            <w:fldChar w:fldCharType="begin"/>
          </w:r>
          <w:r>
            <w:instrText xml:space="preserve"> HYPERLINK \l "_Toc117775768" </w:instrText>
          </w:r>
          <w:r>
            <w:fldChar w:fldCharType="separate"/>
          </w:r>
          <w:r>
            <w:rPr>
              <w:rStyle w:val="27"/>
              <w:color w:val="auto"/>
              <w:sz w:val="24"/>
            </w:rPr>
            <w:t>二、建设项目工程分析</w:t>
          </w:r>
          <w:r>
            <w:rPr>
              <w:sz w:val="24"/>
            </w:rPr>
            <w:tab/>
          </w:r>
          <w:r>
            <w:rPr>
              <w:sz w:val="24"/>
            </w:rPr>
            <w:fldChar w:fldCharType="begin"/>
          </w:r>
          <w:r>
            <w:rPr>
              <w:sz w:val="24"/>
            </w:rPr>
            <w:instrText xml:space="preserve"> PAGEREF _Toc117775768 \h </w:instrText>
          </w:r>
          <w:r>
            <w:rPr>
              <w:sz w:val="24"/>
            </w:rPr>
            <w:fldChar w:fldCharType="separate"/>
          </w:r>
          <w:r>
            <w:rPr>
              <w:sz w:val="24"/>
            </w:rPr>
            <w:t>12</w:t>
          </w:r>
          <w:r>
            <w:rPr>
              <w:sz w:val="24"/>
            </w:rPr>
            <w:fldChar w:fldCharType="end"/>
          </w:r>
          <w:r>
            <w:rPr>
              <w:sz w:val="24"/>
            </w:rPr>
            <w:fldChar w:fldCharType="end"/>
          </w:r>
        </w:p>
        <w:p>
          <w:pPr>
            <w:pStyle w:val="17"/>
            <w:tabs>
              <w:tab w:val="right" w:leader="dot" w:pos="8834"/>
            </w:tabs>
            <w:spacing w:line="360" w:lineRule="auto"/>
            <w:rPr>
              <w:sz w:val="24"/>
            </w:rPr>
          </w:pPr>
          <w:r>
            <w:fldChar w:fldCharType="begin"/>
          </w:r>
          <w:r>
            <w:instrText xml:space="preserve"> HYPERLINK \l "_Toc117775781" </w:instrText>
          </w:r>
          <w:r>
            <w:fldChar w:fldCharType="separate"/>
          </w:r>
          <w:r>
            <w:rPr>
              <w:rStyle w:val="27"/>
              <w:color w:val="auto"/>
              <w:sz w:val="24"/>
            </w:rPr>
            <w:t>三、区域环境质量现状、环境保护目标及评价标准</w:t>
          </w:r>
          <w:r>
            <w:rPr>
              <w:sz w:val="24"/>
            </w:rPr>
            <w:tab/>
          </w:r>
          <w:r>
            <w:rPr>
              <w:sz w:val="24"/>
            </w:rPr>
            <w:fldChar w:fldCharType="begin"/>
          </w:r>
          <w:r>
            <w:rPr>
              <w:sz w:val="24"/>
            </w:rPr>
            <w:instrText xml:space="preserve"> PAGEREF _Toc117775781 \h </w:instrText>
          </w:r>
          <w:r>
            <w:rPr>
              <w:sz w:val="24"/>
            </w:rPr>
            <w:fldChar w:fldCharType="separate"/>
          </w:r>
          <w:r>
            <w:rPr>
              <w:sz w:val="24"/>
            </w:rPr>
            <w:t>27</w:t>
          </w:r>
          <w:r>
            <w:rPr>
              <w:sz w:val="24"/>
            </w:rPr>
            <w:fldChar w:fldCharType="end"/>
          </w:r>
          <w:r>
            <w:rPr>
              <w:sz w:val="24"/>
            </w:rPr>
            <w:fldChar w:fldCharType="end"/>
          </w:r>
        </w:p>
        <w:p>
          <w:pPr>
            <w:pStyle w:val="17"/>
            <w:tabs>
              <w:tab w:val="right" w:leader="dot" w:pos="8834"/>
            </w:tabs>
            <w:spacing w:line="360" w:lineRule="auto"/>
            <w:rPr>
              <w:sz w:val="24"/>
            </w:rPr>
          </w:pPr>
          <w:r>
            <w:fldChar w:fldCharType="begin"/>
          </w:r>
          <w:r>
            <w:instrText xml:space="preserve"> HYPERLINK \l "_Toc117775788" </w:instrText>
          </w:r>
          <w:r>
            <w:fldChar w:fldCharType="separate"/>
          </w:r>
          <w:r>
            <w:rPr>
              <w:rStyle w:val="27"/>
              <w:color w:val="auto"/>
              <w:sz w:val="24"/>
            </w:rPr>
            <w:t>四、主要环境影响和保护措施</w:t>
          </w:r>
          <w:r>
            <w:rPr>
              <w:sz w:val="24"/>
            </w:rPr>
            <w:tab/>
          </w:r>
          <w:r>
            <w:rPr>
              <w:sz w:val="24"/>
            </w:rPr>
            <w:fldChar w:fldCharType="begin"/>
          </w:r>
          <w:r>
            <w:rPr>
              <w:sz w:val="24"/>
            </w:rPr>
            <w:instrText xml:space="preserve"> PAGEREF _Toc117775788 \h </w:instrText>
          </w:r>
          <w:r>
            <w:rPr>
              <w:sz w:val="24"/>
            </w:rPr>
            <w:fldChar w:fldCharType="separate"/>
          </w:r>
          <w:r>
            <w:rPr>
              <w:sz w:val="24"/>
            </w:rPr>
            <w:t>33</w:t>
          </w:r>
          <w:r>
            <w:rPr>
              <w:sz w:val="24"/>
            </w:rPr>
            <w:fldChar w:fldCharType="end"/>
          </w:r>
          <w:r>
            <w:rPr>
              <w:sz w:val="24"/>
            </w:rPr>
            <w:fldChar w:fldCharType="end"/>
          </w:r>
        </w:p>
        <w:p>
          <w:pPr>
            <w:pStyle w:val="17"/>
            <w:tabs>
              <w:tab w:val="right" w:leader="dot" w:pos="8834"/>
            </w:tabs>
            <w:spacing w:line="360" w:lineRule="auto"/>
            <w:rPr>
              <w:sz w:val="24"/>
            </w:rPr>
          </w:pPr>
          <w:r>
            <w:fldChar w:fldCharType="begin"/>
          </w:r>
          <w:r>
            <w:instrText xml:space="preserve"> HYPERLINK \l "_Toc117775798" </w:instrText>
          </w:r>
          <w:r>
            <w:fldChar w:fldCharType="separate"/>
          </w:r>
          <w:r>
            <w:rPr>
              <w:rStyle w:val="27"/>
              <w:color w:val="auto"/>
              <w:sz w:val="24"/>
            </w:rPr>
            <w:t>五、环境保护措施监督检查清单</w:t>
          </w:r>
          <w:r>
            <w:rPr>
              <w:sz w:val="24"/>
            </w:rPr>
            <w:tab/>
          </w:r>
          <w:r>
            <w:rPr>
              <w:sz w:val="24"/>
            </w:rPr>
            <w:fldChar w:fldCharType="begin"/>
          </w:r>
          <w:r>
            <w:rPr>
              <w:sz w:val="24"/>
            </w:rPr>
            <w:instrText xml:space="preserve"> PAGEREF _Toc117775798 \h </w:instrText>
          </w:r>
          <w:r>
            <w:rPr>
              <w:sz w:val="24"/>
            </w:rPr>
            <w:fldChar w:fldCharType="separate"/>
          </w:r>
          <w:r>
            <w:rPr>
              <w:sz w:val="24"/>
            </w:rPr>
            <w:t>47</w:t>
          </w:r>
          <w:r>
            <w:rPr>
              <w:sz w:val="24"/>
            </w:rPr>
            <w:fldChar w:fldCharType="end"/>
          </w:r>
          <w:r>
            <w:rPr>
              <w:sz w:val="24"/>
            </w:rPr>
            <w:fldChar w:fldCharType="end"/>
          </w:r>
        </w:p>
        <w:p>
          <w:pPr>
            <w:pStyle w:val="17"/>
            <w:tabs>
              <w:tab w:val="right" w:leader="dot" w:pos="8834"/>
            </w:tabs>
            <w:spacing w:line="360" w:lineRule="auto"/>
            <w:rPr>
              <w:sz w:val="24"/>
            </w:rPr>
          </w:pPr>
          <w:r>
            <w:fldChar w:fldCharType="begin"/>
          </w:r>
          <w:r>
            <w:instrText xml:space="preserve"> HYPERLINK \l "_Toc117775799" </w:instrText>
          </w:r>
          <w:r>
            <w:fldChar w:fldCharType="separate"/>
          </w:r>
          <w:r>
            <w:rPr>
              <w:rStyle w:val="27"/>
              <w:color w:val="auto"/>
              <w:sz w:val="24"/>
            </w:rPr>
            <w:t>六、结论</w:t>
          </w:r>
          <w:r>
            <w:rPr>
              <w:sz w:val="24"/>
            </w:rPr>
            <w:tab/>
          </w:r>
          <w:r>
            <w:rPr>
              <w:sz w:val="24"/>
            </w:rPr>
            <w:fldChar w:fldCharType="begin"/>
          </w:r>
          <w:r>
            <w:rPr>
              <w:sz w:val="24"/>
            </w:rPr>
            <w:instrText xml:space="preserve"> PAGEREF _Toc117775799 \h </w:instrText>
          </w:r>
          <w:r>
            <w:rPr>
              <w:sz w:val="24"/>
            </w:rPr>
            <w:fldChar w:fldCharType="separate"/>
          </w:r>
          <w:r>
            <w:rPr>
              <w:sz w:val="24"/>
            </w:rPr>
            <w:t>49</w:t>
          </w:r>
          <w:r>
            <w:rPr>
              <w:sz w:val="24"/>
            </w:rPr>
            <w:fldChar w:fldCharType="end"/>
          </w:r>
          <w:r>
            <w:rPr>
              <w:sz w:val="24"/>
            </w:rPr>
            <w:fldChar w:fldCharType="end"/>
          </w:r>
        </w:p>
        <w:p>
          <w:pPr>
            <w:pStyle w:val="17"/>
            <w:tabs>
              <w:tab w:val="right" w:leader="dot" w:pos="8834"/>
            </w:tabs>
            <w:spacing w:line="360" w:lineRule="auto"/>
            <w:rPr>
              <w:sz w:val="24"/>
            </w:rPr>
          </w:pPr>
          <w:r>
            <w:fldChar w:fldCharType="begin"/>
          </w:r>
          <w:r>
            <w:instrText xml:space="preserve"> HYPERLINK \l "_Toc117775800" </w:instrText>
          </w:r>
          <w:r>
            <w:fldChar w:fldCharType="separate"/>
          </w:r>
          <w:r>
            <w:rPr>
              <w:rStyle w:val="27"/>
              <w:snapToGrid w:val="0"/>
              <w:color w:val="auto"/>
              <w:kern w:val="0"/>
              <w:sz w:val="24"/>
            </w:rPr>
            <w:t>附表</w:t>
          </w:r>
          <w:r>
            <w:rPr>
              <w:sz w:val="24"/>
            </w:rPr>
            <w:tab/>
          </w:r>
          <w:r>
            <w:rPr>
              <w:sz w:val="24"/>
            </w:rPr>
            <w:fldChar w:fldCharType="begin"/>
          </w:r>
          <w:r>
            <w:rPr>
              <w:sz w:val="24"/>
            </w:rPr>
            <w:instrText xml:space="preserve"> PAGEREF _Toc117775800 \h </w:instrText>
          </w:r>
          <w:r>
            <w:rPr>
              <w:sz w:val="24"/>
            </w:rPr>
            <w:fldChar w:fldCharType="separate"/>
          </w:r>
          <w:r>
            <w:rPr>
              <w:sz w:val="24"/>
            </w:rPr>
            <w:t>50</w:t>
          </w:r>
          <w:r>
            <w:rPr>
              <w:sz w:val="24"/>
            </w:rPr>
            <w:fldChar w:fldCharType="end"/>
          </w:r>
          <w:r>
            <w:rPr>
              <w:sz w:val="24"/>
            </w:rPr>
            <w:fldChar w:fldCharType="end"/>
          </w:r>
        </w:p>
        <w:p>
          <w:pPr>
            <w:spacing w:line="360" w:lineRule="auto"/>
            <w:rPr>
              <w:sz w:val="24"/>
            </w:rPr>
          </w:pPr>
          <w:r>
            <w:rPr>
              <w:b/>
              <w:bCs/>
              <w:sz w:val="24"/>
              <w:lang w:val="zh-CN"/>
            </w:rPr>
            <w:fldChar w:fldCharType="end"/>
          </w:r>
        </w:p>
      </w:sdtContent>
    </w:sdt>
    <w:p>
      <w:pPr>
        <w:ind w:firstLine="482"/>
        <w:jc w:val="center"/>
        <w:rPr>
          <w:sz w:val="30"/>
          <w:szCs w:val="30"/>
        </w:rPr>
      </w:pPr>
    </w:p>
    <w:p>
      <w:pPr>
        <w:spacing w:line="360" w:lineRule="exact"/>
        <w:jc w:val="left"/>
        <w:rPr>
          <w:b/>
          <w:sz w:val="24"/>
        </w:rPr>
      </w:pPr>
      <w:r>
        <w:rPr>
          <w:b/>
          <w:sz w:val="24"/>
        </w:rPr>
        <w:t>附件</w:t>
      </w:r>
    </w:p>
    <w:p>
      <w:pPr>
        <w:widowControl/>
        <w:spacing w:line="360" w:lineRule="exact"/>
        <w:ind w:firstLine="480"/>
        <w:jc w:val="left"/>
        <w:rPr>
          <w:sz w:val="24"/>
        </w:rPr>
      </w:pPr>
      <w:r>
        <w:rPr>
          <w:rFonts w:hint="eastAsia" w:cs="宋体"/>
          <w:kern w:val="0"/>
          <w:sz w:val="24"/>
          <w:lang w:bidi="ar"/>
        </w:rPr>
        <w:t>附件</w:t>
      </w:r>
      <w:r>
        <w:rPr>
          <w:kern w:val="0"/>
          <w:sz w:val="24"/>
          <w:lang w:bidi="ar"/>
        </w:rPr>
        <w:t>1</w:t>
      </w:r>
      <w:r>
        <w:rPr>
          <w:rFonts w:hint="eastAsia" w:cs="宋体"/>
          <w:kern w:val="0"/>
          <w:sz w:val="24"/>
          <w:lang w:bidi="ar"/>
        </w:rPr>
        <w:t xml:space="preserve">：委托书 </w:t>
      </w:r>
    </w:p>
    <w:p>
      <w:pPr>
        <w:widowControl/>
        <w:spacing w:line="360" w:lineRule="exact"/>
        <w:ind w:firstLine="480"/>
        <w:jc w:val="left"/>
        <w:rPr>
          <w:rFonts w:cs="宋体"/>
          <w:kern w:val="0"/>
          <w:sz w:val="24"/>
          <w:lang w:bidi="ar"/>
        </w:rPr>
      </w:pPr>
      <w:r>
        <w:rPr>
          <w:rFonts w:hint="eastAsia" w:cs="宋体"/>
          <w:kern w:val="0"/>
          <w:sz w:val="24"/>
          <w:lang w:bidi="ar"/>
        </w:rPr>
        <w:t>附件2：备案证</w:t>
      </w:r>
    </w:p>
    <w:p>
      <w:pPr>
        <w:widowControl/>
        <w:spacing w:line="360" w:lineRule="exact"/>
        <w:ind w:firstLine="480"/>
        <w:jc w:val="left"/>
        <w:rPr>
          <w:sz w:val="24"/>
        </w:rPr>
      </w:pPr>
      <w:r>
        <w:rPr>
          <w:rFonts w:hint="eastAsia" w:cs="宋体"/>
          <w:kern w:val="0"/>
          <w:sz w:val="24"/>
          <w:lang w:bidi="ar"/>
        </w:rPr>
        <w:t>附件</w:t>
      </w:r>
      <w:r>
        <w:rPr>
          <w:kern w:val="0"/>
          <w:sz w:val="24"/>
          <w:lang w:bidi="ar"/>
        </w:rPr>
        <w:t>3</w:t>
      </w:r>
      <w:r>
        <w:rPr>
          <w:rFonts w:hint="eastAsia" w:cs="宋体"/>
          <w:kern w:val="0"/>
          <w:sz w:val="24"/>
          <w:lang w:bidi="ar"/>
        </w:rPr>
        <w:t>：2</w:t>
      </w:r>
      <w:r>
        <w:rPr>
          <w:rFonts w:cs="宋体"/>
          <w:kern w:val="0"/>
          <w:sz w:val="24"/>
          <w:lang w:bidi="ar"/>
        </w:rPr>
        <w:t>022</w:t>
      </w:r>
      <w:r>
        <w:rPr>
          <w:rFonts w:hint="eastAsia" w:cs="宋体"/>
          <w:kern w:val="0"/>
          <w:sz w:val="24"/>
          <w:lang w:bidi="ar"/>
        </w:rPr>
        <w:t>年废煤渣销售合同</w:t>
      </w:r>
    </w:p>
    <w:p>
      <w:pPr>
        <w:widowControl/>
        <w:spacing w:line="360" w:lineRule="exact"/>
        <w:ind w:firstLine="480"/>
        <w:jc w:val="left"/>
        <w:rPr>
          <w:sz w:val="24"/>
        </w:rPr>
      </w:pPr>
      <w:r>
        <w:rPr>
          <w:rFonts w:hint="eastAsia" w:cs="宋体"/>
          <w:kern w:val="0"/>
          <w:sz w:val="24"/>
          <w:lang w:bidi="ar"/>
        </w:rPr>
        <w:t>附件</w:t>
      </w:r>
      <w:r>
        <w:rPr>
          <w:kern w:val="0"/>
          <w:sz w:val="24"/>
          <w:lang w:bidi="ar"/>
        </w:rPr>
        <w:t>4</w:t>
      </w:r>
      <w:r>
        <w:rPr>
          <w:rFonts w:hint="eastAsia" w:cs="宋体"/>
          <w:kern w:val="0"/>
          <w:sz w:val="24"/>
          <w:lang w:bidi="ar"/>
        </w:rPr>
        <w:t>：排污许可证</w:t>
      </w:r>
    </w:p>
    <w:p>
      <w:pPr>
        <w:widowControl/>
        <w:spacing w:line="360" w:lineRule="exact"/>
        <w:ind w:firstLine="480"/>
        <w:jc w:val="left"/>
        <w:rPr>
          <w:rFonts w:cs="宋体"/>
          <w:kern w:val="0"/>
          <w:sz w:val="24"/>
          <w:lang w:bidi="ar"/>
        </w:rPr>
      </w:pPr>
      <w:r>
        <w:rPr>
          <w:rFonts w:hint="eastAsia" w:cs="宋体"/>
          <w:kern w:val="0"/>
          <w:sz w:val="24"/>
          <w:lang w:bidi="ar"/>
        </w:rPr>
        <w:t>附件</w:t>
      </w:r>
      <w:r>
        <w:rPr>
          <w:kern w:val="0"/>
          <w:sz w:val="24"/>
          <w:lang w:bidi="ar"/>
        </w:rPr>
        <w:t>5</w:t>
      </w:r>
      <w:r>
        <w:rPr>
          <w:rFonts w:hint="eastAsia" w:cs="宋体"/>
          <w:kern w:val="0"/>
          <w:sz w:val="24"/>
          <w:lang w:bidi="ar"/>
        </w:rPr>
        <w:t>：煤质分析报告</w:t>
      </w:r>
    </w:p>
    <w:p>
      <w:pPr>
        <w:widowControl/>
        <w:spacing w:line="360" w:lineRule="exact"/>
        <w:ind w:firstLine="480"/>
        <w:jc w:val="left"/>
        <w:rPr>
          <w:rFonts w:cs="宋体"/>
          <w:kern w:val="0"/>
          <w:sz w:val="24"/>
          <w:lang w:bidi="ar"/>
        </w:rPr>
      </w:pPr>
      <w:r>
        <w:rPr>
          <w:rFonts w:hint="eastAsia" w:cs="宋体"/>
          <w:kern w:val="0"/>
          <w:sz w:val="24"/>
          <w:lang w:bidi="ar"/>
        </w:rPr>
        <w:t>附件</w:t>
      </w:r>
      <w:r>
        <w:rPr>
          <w:rFonts w:cs="宋体"/>
          <w:kern w:val="0"/>
          <w:sz w:val="24"/>
          <w:lang w:bidi="ar"/>
        </w:rPr>
        <w:t>6</w:t>
      </w:r>
      <w:r>
        <w:rPr>
          <w:rFonts w:hint="eastAsia" w:cs="宋体"/>
          <w:kern w:val="0"/>
          <w:sz w:val="24"/>
          <w:lang w:bidi="ar"/>
        </w:rPr>
        <w:t>：天然气气质分析报告</w:t>
      </w:r>
    </w:p>
    <w:p>
      <w:pPr>
        <w:widowControl/>
        <w:spacing w:line="360" w:lineRule="exact"/>
        <w:ind w:firstLine="480"/>
        <w:jc w:val="left"/>
        <w:rPr>
          <w:rFonts w:cs="宋体"/>
          <w:kern w:val="0"/>
          <w:sz w:val="24"/>
          <w:lang w:bidi="ar"/>
        </w:rPr>
      </w:pPr>
      <w:r>
        <w:rPr>
          <w:rFonts w:hint="eastAsia" w:cs="宋体"/>
          <w:kern w:val="0"/>
          <w:sz w:val="24"/>
          <w:lang w:bidi="ar"/>
        </w:rPr>
        <w:t>附件</w:t>
      </w:r>
      <w:r>
        <w:rPr>
          <w:rFonts w:cs="宋体"/>
          <w:kern w:val="0"/>
          <w:sz w:val="24"/>
          <w:lang w:bidi="ar"/>
        </w:rPr>
        <w:t>7</w:t>
      </w:r>
      <w:r>
        <w:rPr>
          <w:rFonts w:hint="eastAsia" w:cs="宋体"/>
          <w:kern w:val="0"/>
          <w:sz w:val="24"/>
          <w:lang w:bidi="ar"/>
        </w:rPr>
        <w:t>：现有项目环评及验收批复</w:t>
      </w:r>
    </w:p>
    <w:p>
      <w:pPr>
        <w:widowControl/>
        <w:spacing w:line="360" w:lineRule="exact"/>
        <w:ind w:firstLine="480"/>
        <w:jc w:val="left"/>
        <w:rPr>
          <w:rFonts w:cs="宋体"/>
          <w:kern w:val="0"/>
          <w:sz w:val="24"/>
          <w:lang w:bidi="ar"/>
        </w:rPr>
      </w:pPr>
      <w:r>
        <w:rPr>
          <w:rFonts w:cs="宋体"/>
          <w:kern w:val="0"/>
          <w:sz w:val="24"/>
          <w:lang w:bidi="ar"/>
        </w:rPr>
        <w:t>附件8：</w:t>
      </w:r>
      <w:r>
        <w:rPr>
          <w:rFonts w:hint="eastAsia" w:cs="宋体"/>
          <w:kern w:val="0"/>
          <w:sz w:val="24"/>
          <w:lang w:bidi="ar"/>
        </w:rPr>
        <w:t>云南省环境保护厅关于《晋宁工业园区总体规划修编（2012-2030）环境影响报告书》审查意见的函</w:t>
      </w:r>
    </w:p>
    <w:p>
      <w:pPr>
        <w:widowControl/>
        <w:spacing w:line="360" w:lineRule="exact"/>
        <w:ind w:firstLine="480"/>
        <w:jc w:val="left"/>
        <w:rPr>
          <w:rFonts w:cs="宋体"/>
          <w:kern w:val="0"/>
          <w:sz w:val="24"/>
          <w:lang w:bidi="ar"/>
        </w:rPr>
      </w:pPr>
      <w:r>
        <w:rPr>
          <w:rFonts w:hint="eastAsia" w:cs="宋体"/>
          <w:kern w:val="0"/>
          <w:sz w:val="24"/>
          <w:lang w:bidi="ar"/>
        </w:rPr>
        <w:t>附件9：环境质量现状监测报告（环境空气）</w:t>
      </w:r>
    </w:p>
    <w:p>
      <w:pPr>
        <w:widowControl/>
        <w:spacing w:line="360" w:lineRule="exact"/>
        <w:ind w:firstLine="480"/>
        <w:jc w:val="left"/>
        <w:rPr>
          <w:rFonts w:cs="宋体"/>
          <w:kern w:val="0"/>
          <w:sz w:val="24"/>
          <w:lang w:bidi="ar"/>
        </w:rPr>
      </w:pPr>
      <w:r>
        <w:rPr>
          <w:rFonts w:cs="宋体"/>
          <w:kern w:val="0"/>
          <w:sz w:val="24"/>
          <w:lang w:bidi="ar"/>
        </w:rPr>
        <w:t>附件10：</w:t>
      </w:r>
      <w:r>
        <w:rPr>
          <w:rFonts w:hint="eastAsia" w:cs="宋体"/>
          <w:kern w:val="0"/>
          <w:sz w:val="24"/>
          <w:lang w:bidi="ar"/>
        </w:rPr>
        <w:t>项目送审前公示截图</w:t>
      </w:r>
    </w:p>
    <w:p>
      <w:pPr>
        <w:widowControl/>
        <w:spacing w:line="360" w:lineRule="exact"/>
        <w:ind w:firstLine="480"/>
        <w:jc w:val="left"/>
        <w:rPr>
          <w:rFonts w:cs="宋体"/>
          <w:kern w:val="0"/>
          <w:sz w:val="24"/>
          <w:lang w:bidi="ar"/>
        </w:rPr>
      </w:pPr>
      <w:r>
        <w:rPr>
          <w:rFonts w:cs="宋体"/>
          <w:kern w:val="0"/>
          <w:sz w:val="24"/>
          <w:lang w:bidi="ar"/>
        </w:rPr>
        <w:t>附件11：环评工作进度管理表</w:t>
      </w:r>
    </w:p>
    <w:p>
      <w:pPr>
        <w:widowControl/>
        <w:spacing w:line="360" w:lineRule="exact"/>
        <w:ind w:firstLine="480"/>
        <w:jc w:val="left"/>
        <w:rPr>
          <w:rFonts w:cs="宋体"/>
          <w:kern w:val="0"/>
          <w:sz w:val="24"/>
          <w:lang w:bidi="ar"/>
        </w:rPr>
      </w:pPr>
      <w:r>
        <w:rPr>
          <w:rFonts w:cs="宋体"/>
          <w:kern w:val="0"/>
          <w:sz w:val="24"/>
          <w:lang w:bidi="ar"/>
        </w:rPr>
        <w:t>附件12：审查审定</w:t>
      </w:r>
      <w:r>
        <w:rPr>
          <w:rFonts w:hint="eastAsia" w:cs="宋体"/>
          <w:kern w:val="0"/>
          <w:sz w:val="24"/>
          <w:lang w:bidi="ar"/>
        </w:rPr>
        <w:t>表</w:t>
      </w:r>
    </w:p>
    <w:p>
      <w:pPr>
        <w:spacing w:line="360" w:lineRule="exact"/>
        <w:ind w:firstLine="480"/>
        <w:jc w:val="left"/>
        <w:rPr>
          <w:sz w:val="24"/>
        </w:rPr>
      </w:pPr>
    </w:p>
    <w:p>
      <w:pPr>
        <w:spacing w:line="360" w:lineRule="exact"/>
        <w:jc w:val="left"/>
        <w:rPr>
          <w:b/>
          <w:sz w:val="24"/>
        </w:rPr>
      </w:pPr>
      <w:r>
        <w:rPr>
          <w:b/>
          <w:sz w:val="24"/>
        </w:rPr>
        <w:t>附图</w:t>
      </w:r>
    </w:p>
    <w:p>
      <w:pPr>
        <w:widowControl/>
        <w:spacing w:line="360" w:lineRule="exact"/>
        <w:ind w:firstLine="480"/>
        <w:jc w:val="left"/>
        <w:rPr>
          <w:sz w:val="24"/>
        </w:rPr>
      </w:pPr>
      <w:r>
        <w:rPr>
          <w:rFonts w:hint="eastAsia" w:cs="宋体"/>
          <w:kern w:val="0"/>
          <w:sz w:val="24"/>
          <w:lang w:bidi="ar"/>
        </w:rPr>
        <w:t>附图</w:t>
      </w:r>
      <w:r>
        <w:rPr>
          <w:kern w:val="0"/>
          <w:sz w:val="24"/>
          <w:lang w:bidi="ar"/>
        </w:rPr>
        <w:t>1</w:t>
      </w:r>
      <w:r>
        <w:rPr>
          <w:rFonts w:hint="eastAsia" w:cs="宋体"/>
          <w:kern w:val="0"/>
          <w:sz w:val="24"/>
          <w:lang w:bidi="ar"/>
        </w:rPr>
        <w:t xml:space="preserve">：项目地理位置图 </w:t>
      </w:r>
    </w:p>
    <w:p>
      <w:pPr>
        <w:widowControl/>
        <w:spacing w:line="360" w:lineRule="exact"/>
        <w:ind w:firstLine="480"/>
        <w:jc w:val="left"/>
        <w:rPr>
          <w:sz w:val="24"/>
        </w:rPr>
      </w:pPr>
      <w:r>
        <w:rPr>
          <w:rFonts w:hint="eastAsia" w:cs="宋体"/>
          <w:kern w:val="0"/>
          <w:sz w:val="24"/>
          <w:lang w:bidi="ar"/>
        </w:rPr>
        <w:t>附图</w:t>
      </w:r>
      <w:r>
        <w:rPr>
          <w:kern w:val="0"/>
          <w:sz w:val="24"/>
          <w:lang w:bidi="ar"/>
        </w:rPr>
        <w:t>2</w:t>
      </w:r>
      <w:r>
        <w:rPr>
          <w:rFonts w:hint="eastAsia" w:cs="宋体"/>
          <w:kern w:val="0"/>
          <w:sz w:val="24"/>
          <w:lang w:bidi="ar"/>
        </w:rPr>
        <w:t>：燃气管道布置示意图</w:t>
      </w:r>
    </w:p>
    <w:p>
      <w:pPr>
        <w:widowControl/>
        <w:spacing w:line="360" w:lineRule="exact"/>
        <w:ind w:firstLine="480"/>
        <w:jc w:val="left"/>
        <w:rPr>
          <w:rFonts w:cs="宋体"/>
          <w:kern w:val="0"/>
          <w:sz w:val="24"/>
          <w:lang w:bidi="ar"/>
        </w:rPr>
      </w:pPr>
      <w:r>
        <w:rPr>
          <w:rFonts w:hint="eastAsia" w:cs="宋体"/>
          <w:kern w:val="0"/>
          <w:sz w:val="24"/>
          <w:lang w:bidi="ar"/>
        </w:rPr>
        <w:t>附图</w:t>
      </w:r>
      <w:r>
        <w:rPr>
          <w:kern w:val="0"/>
          <w:sz w:val="24"/>
          <w:lang w:bidi="ar"/>
        </w:rPr>
        <w:t>3</w:t>
      </w:r>
      <w:r>
        <w:rPr>
          <w:rFonts w:hint="eastAsia" w:cs="宋体"/>
          <w:kern w:val="0"/>
          <w:sz w:val="24"/>
          <w:lang w:bidi="ar"/>
        </w:rPr>
        <w:t>：项目区水系图</w:t>
      </w:r>
    </w:p>
    <w:p>
      <w:pPr>
        <w:widowControl/>
        <w:spacing w:line="360" w:lineRule="exact"/>
        <w:ind w:firstLine="480"/>
        <w:jc w:val="left"/>
        <w:rPr>
          <w:rFonts w:cs="宋体"/>
          <w:kern w:val="0"/>
          <w:sz w:val="24"/>
          <w:lang w:bidi="ar"/>
        </w:rPr>
      </w:pPr>
      <w:r>
        <w:rPr>
          <w:rFonts w:hint="eastAsia" w:cs="宋体"/>
          <w:kern w:val="0"/>
          <w:sz w:val="24"/>
          <w:lang w:bidi="ar"/>
        </w:rPr>
        <w:t>附图4：总平面布置图</w:t>
      </w:r>
    </w:p>
    <w:p>
      <w:pPr>
        <w:widowControl/>
        <w:spacing w:line="360" w:lineRule="exact"/>
        <w:ind w:firstLine="480"/>
        <w:jc w:val="left"/>
        <w:rPr>
          <w:rFonts w:cs="宋体"/>
          <w:kern w:val="0"/>
          <w:sz w:val="24"/>
          <w:lang w:bidi="ar"/>
        </w:rPr>
      </w:pPr>
      <w:r>
        <w:rPr>
          <w:rFonts w:hint="eastAsia" w:cs="宋体"/>
          <w:kern w:val="0"/>
          <w:sz w:val="24"/>
          <w:lang w:bidi="ar"/>
        </w:rPr>
        <w:t>附图5：环境保护目标分布图</w:t>
      </w:r>
    </w:p>
    <w:p>
      <w:pPr>
        <w:widowControl/>
        <w:jc w:val="left"/>
        <w:rPr>
          <w:kern w:val="0"/>
          <w:sz w:val="30"/>
          <w:szCs w:val="30"/>
        </w:rPr>
      </w:pPr>
      <w:r>
        <w:rPr>
          <w:sz w:val="30"/>
          <w:szCs w:val="30"/>
        </w:rPr>
        <w:br w:type="page"/>
      </w:r>
    </w:p>
    <w:p>
      <w:pPr>
        <w:pStyle w:val="18"/>
        <w:jc w:val="center"/>
        <w:outlineLvl w:val="0"/>
        <w:rPr>
          <w:rFonts w:ascii="Times New Roman" w:hAnsi="Times New Roman"/>
          <w:sz w:val="30"/>
          <w:szCs w:val="30"/>
        </w:rPr>
      </w:pPr>
      <w:bookmarkStart w:id="2" w:name="_Toc117775763"/>
      <w:r>
        <w:rPr>
          <w:rFonts w:hint="eastAsia" w:ascii="Times New Roman" w:hAnsi="Times New Roman"/>
          <w:sz w:val="30"/>
          <w:szCs w:val="30"/>
        </w:rPr>
        <w:t>一、建设项目基本情况</w:t>
      </w:r>
      <w:bookmarkEnd w:id="0"/>
      <w:bookmarkEnd w:id="2"/>
    </w:p>
    <w:tbl>
      <w:tblPr>
        <w:tblStyle w:val="22"/>
        <w:tblW w:w="961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31"/>
        <w:gridCol w:w="414"/>
        <w:gridCol w:w="2067"/>
        <w:gridCol w:w="2503"/>
        <w:gridCol w:w="34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45" w:type="dxa"/>
            <w:gridSpan w:val="2"/>
            <w:tcMar>
              <w:top w:w="16" w:type="dxa"/>
              <w:left w:w="16" w:type="dxa"/>
              <w:right w:w="16" w:type="dxa"/>
            </w:tcMar>
            <w:vAlign w:val="center"/>
          </w:tcPr>
          <w:p>
            <w:pPr>
              <w:adjustRightInd w:val="0"/>
              <w:snapToGrid w:val="0"/>
              <w:jc w:val="center"/>
              <w:rPr>
                <w:szCs w:val="21"/>
              </w:rPr>
            </w:pPr>
            <w:r>
              <w:rPr>
                <w:szCs w:val="21"/>
              </w:rPr>
              <w:t>建设项目名称</w:t>
            </w:r>
            <w:bookmarkStart w:id="39" w:name="_GoBack"/>
            <w:bookmarkEnd w:id="39"/>
          </w:p>
        </w:tc>
        <w:tc>
          <w:tcPr>
            <w:tcW w:w="8066" w:type="dxa"/>
            <w:gridSpan w:val="3"/>
            <w:vAlign w:val="center"/>
          </w:tcPr>
          <w:p>
            <w:pPr>
              <w:adjustRightInd w:val="0"/>
              <w:snapToGrid w:val="0"/>
              <w:jc w:val="center"/>
              <w:rPr>
                <w:szCs w:val="21"/>
              </w:rPr>
            </w:pPr>
            <w:r>
              <w:rPr>
                <w:rFonts w:hint="eastAsia"/>
                <w:szCs w:val="21"/>
              </w:rPr>
              <w:t>云南磷化集团有限公司磷化工事业部饲钙装置B系列热风炉节能改造项目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45" w:type="dxa"/>
            <w:gridSpan w:val="2"/>
            <w:tcMar>
              <w:top w:w="16" w:type="dxa"/>
              <w:left w:w="16" w:type="dxa"/>
              <w:right w:w="16" w:type="dxa"/>
            </w:tcMar>
            <w:vAlign w:val="center"/>
          </w:tcPr>
          <w:p>
            <w:pPr>
              <w:adjustRightInd w:val="0"/>
              <w:snapToGrid w:val="0"/>
              <w:jc w:val="center"/>
              <w:rPr>
                <w:szCs w:val="21"/>
              </w:rPr>
            </w:pPr>
            <w:r>
              <w:rPr>
                <w:szCs w:val="21"/>
              </w:rPr>
              <w:t>项目代码</w:t>
            </w:r>
          </w:p>
        </w:tc>
        <w:tc>
          <w:tcPr>
            <w:tcW w:w="8066" w:type="dxa"/>
            <w:gridSpan w:val="3"/>
            <w:vAlign w:val="center"/>
          </w:tcPr>
          <w:p>
            <w:pPr>
              <w:adjustRightInd w:val="0"/>
              <w:snapToGrid w:val="0"/>
              <w:jc w:val="center"/>
              <w:rPr>
                <w:szCs w:val="21"/>
              </w:rPr>
            </w:pPr>
            <w:r>
              <w:rPr>
                <w:szCs w:val="21"/>
              </w:rPr>
              <w:t>2212-530115-04-02-790460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45" w:type="dxa"/>
            <w:gridSpan w:val="2"/>
            <w:tcMar>
              <w:top w:w="16" w:type="dxa"/>
              <w:left w:w="16" w:type="dxa"/>
              <w:right w:w="16" w:type="dxa"/>
            </w:tcMar>
            <w:vAlign w:val="center"/>
          </w:tcPr>
          <w:p>
            <w:pPr>
              <w:adjustRightInd w:val="0"/>
              <w:snapToGrid w:val="0"/>
              <w:jc w:val="center"/>
              <w:rPr>
                <w:szCs w:val="21"/>
              </w:rPr>
            </w:pPr>
            <w:r>
              <w:rPr>
                <w:szCs w:val="21"/>
              </w:rPr>
              <w:t>建设单位联系人</w:t>
            </w:r>
          </w:p>
        </w:tc>
        <w:tc>
          <w:tcPr>
            <w:tcW w:w="2067" w:type="dxa"/>
            <w:vAlign w:val="center"/>
          </w:tcPr>
          <w:p>
            <w:pPr>
              <w:adjustRightInd w:val="0"/>
              <w:snapToGrid w:val="0"/>
              <w:jc w:val="center"/>
              <w:rPr>
                <w:szCs w:val="21"/>
              </w:rPr>
            </w:pPr>
            <w:r>
              <w:rPr>
                <w:rFonts w:hint="eastAsia"/>
                <w:szCs w:val="21"/>
              </w:rPr>
              <w:t>付小峰</w:t>
            </w:r>
          </w:p>
        </w:tc>
        <w:tc>
          <w:tcPr>
            <w:tcW w:w="2503" w:type="dxa"/>
            <w:vAlign w:val="center"/>
          </w:tcPr>
          <w:p>
            <w:pPr>
              <w:adjustRightInd w:val="0"/>
              <w:snapToGrid w:val="0"/>
              <w:jc w:val="center"/>
              <w:rPr>
                <w:szCs w:val="21"/>
              </w:rPr>
            </w:pPr>
            <w:r>
              <w:rPr>
                <w:szCs w:val="21"/>
              </w:rPr>
              <w:t>联系方式</w:t>
            </w:r>
          </w:p>
        </w:tc>
        <w:tc>
          <w:tcPr>
            <w:tcW w:w="3496" w:type="dxa"/>
            <w:vAlign w:val="center"/>
          </w:tcPr>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45" w:type="dxa"/>
            <w:gridSpan w:val="2"/>
            <w:tcMar>
              <w:top w:w="16" w:type="dxa"/>
              <w:left w:w="16" w:type="dxa"/>
              <w:right w:w="16" w:type="dxa"/>
            </w:tcMar>
            <w:vAlign w:val="center"/>
          </w:tcPr>
          <w:p>
            <w:pPr>
              <w:adjustRightInd w:val="0"/>
              <w:snapToGrid w:val="0"/>
              <w:jc w:val="center"/>
              <w:rPr>
                <w:szCs w:val="21"/>
              </w:rPr>
            </w:pPr>
            <w:r>
              <w:rPr>
                <w:szCs w:val="21"/>
              </w:rPr>
              <w:t>建设地点</w:t>
            </w:r>
          </w:p>
        </w:tc>
        <w:tc>
          <w:tcPr>
            <w:tcW w:w="8066" w:type="dxa"/>
            <w:gridSpan w:val="3"/>
            <w:vAlign w:val="center"/>
          </w:tcPr>
          <w:p>
            <w:pPr>
              <w:adjustRightInd w:val="0"/>
              <w:snapToGrid w:val="0"/>
              <w:jc w:val="center"/>
              <w:rPr>
                <w:szCs w:val="21"/>
              </w:rPr>
            </w:pPr>
            <w:r>
              <w:rPr>
                <w:szCs w:val="21"/>
              </w:rPr>
              <w:t>昆明市晋宁工业园区二街</w:t>
            </w:r>
            <w:r>
              <w:rPr>
                <w:rFonts w:hint="eastAsia"/>
                <w:szCs w:val="21"/>
              </w:rPr>
              <w:t>基地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45" w:type="dxa"/>
            <w:gridSpan w:val="2"/>
            <w:tcMar>
              <w:top w:w="16" w:type="dxa"/>
              <w:left w:w="16" w:type="dxa"/>
              <w:right w:w="16" w:type="dxa"/>
            </w:tcMar>
            <w:vAlign w:val="center"/>
          </w:tcPr>
          <w:p>
            <w:pPr>
              <w:adjustRightInd w:val="0"/>
              <w:snapToGrid w:val="0"/>
              <w:jc w:val="center"/>
              <w:rPr>
                <w:szCs w:val="21"/>
              </w:rPr>
            </w:pPr>
            <w:r>
              <w:rPr>
                <w:szCs w:val="21"/>
              </w:rPr>
              <w:t>地理坐标</w:t>
            </w:r>
          </w:p>
        </w:tc>
        <w:tc>
          <w:tcPr>
            <w:tcW w:w="8066" w:type="dxa"/>
            <w:gridSpan w:val="3"/>
            <w:vAlign w:val="center"/>
          </w:tcPr>
          <w:p>
            <w:pPr>
              <w:adjustRightInd w:val="0"/>
              <w:snapToGrid w:val="0"/>
              <w:jc w:val="center"/>
              <w:rPr>
                <w:szCs w:val="21"/>
              </w:rPr>
            </w:pPr>
            <w:r>
              <w:rPr>
                <w:szCs w:val="21"/>
              </w:rPr>
              <w:t>（</w:t>
            </w:r>
            <w:r>
              <w:rPr>
                <w:rFonts w:hint="eastAsia"/>
                <w:szCs w:val="21"/>
              </w:rPr>
              <w:t>北纬24°4</w:t>
            </w:r>
            <w:r>
              <w:rPr>
                <w:szCs w:val="21"/>
              </w:rPr>
              <w:t>2</w:t>
            </w:r>
            <w:r>
              <w:rPr>
                <w:rFonts w:hint="eastAsia"/>
                <w:szCs w:val="21"/>
              </w:rPr>
              <w:t>′</w:t>
            </w:r>
            <w:r>
              <w:rPr>
                <w:szCs w:val="21"/>
              </w:rPr>
              <w:t>6.930</w:t>
            </w:r>
            <w:r>
              <w:rPr>
                <w:rFonts w:hint="eastAsia"/>
                <w:szCs w:val="21"/>
              </w:rPr>
              <w:t>″，东经102°3</w:t>
            </w:r>
            <w:r>
              <w:rPr>
                <w:szCs w:val="21"/>
              </w:rPr>
              <w:t>1</w:t>
            </w:r>
            <w:r>
              <w:rPr>
                <w:rFonts w:hint="eastAsia"/>
                <w:szCs w:val="21"/>
              </w:rPr>
              <w:t>′</w:t>
            </w:r>
            <w:r>
              <w:rPr>
                <w:szCs w:val="21"/>
              </w:rPr>
              <w:t>20.027</w:t>
            </w:r>
            <w:r>
              <w:rPr>
                <w:rFonts w:hint="eastAsia"/>
                <w:szCs w:val="21"/>
              </w:rPr>
              <w:t>″</w:t>
            </w: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545" w:type="dxa"/>
            <w:gridSpan w:val="2"/>
            <w:tcMar>
              <w:top w:w="16" w:type="dxa"/>
              <w:left w:w="16" w:type="dxa"/>
              <w:right w:w="16" w:type="dxa"/>
            </w:tcMar>
            <w:vAlign w:val="center"/>
          </w:tcPr>
          <w:p>
            <w:pPr>
              <w:adjustRightInd w:val="0"/>
              <w:snapToGrid w:val="0"/>
              <w:jc w:val="center"/>
              <w:rPr>
                <w:szCs w:val="21"/>
              </w:rPr>
            </w:pPr>
            <w:r>
              <w:rPr>
                <w:szCs w:val="21"/>
              </w:rPr>
              <w:t>国民经济</w:t>
            </w:r>
          </w:p>
          <w:p>
            <w:pPr>
              <w:adjustRightInd w:val="0"/>
              <w:snapToGrid w:val="0"/>
              <w:jc w:val="center"/>
              <w:rPr>
                <w:szCs w:val="21"/>
              </w:rPr>
            </w:pPr>
            <w:r>
              <w:rPr>
                <w:szCs w:val="21"/>
              </w:rPr>
              <w:t>行业类别</w:t>
            </w:r>
          </w:p>
        </w:tc>
        <w:tc>
          <w:tcPr>
            <w:tcW w:w="2067" w:type="dxa"/>
            <w:vAlign w:val="center"/>
          </w:tcPr>
          <w:p>
            <w:pPr>
              <w:adjustRightInd w:val="0"/>
              <w:snapToGrid w:val="0"/>
              <w:jc w:val="center"/>
              <w:rPr>
                <w:szCs w:val="21"/>
              </w:rPr>
            </w:pPr>
            <w:r>
              <w:rPr>
                <w:rFonts w:hint="eastAsia"/>
                <w:szCs w:val="21"/>
              </w:rPr>
              <w:t>D4430热力生产和供应</w:t>
            </w:r>
          </w:p>
        </w:tc>
        <w:tc>
          <w:tcPr>
            <w:tcW w:w="2503" w:type="dxa"/>
            <w:vAlign w:val="center"/>
          </w:tcPr>
          <w:p>
            <w:pPr>
              <w:adjustRightInd w:val="0"/>
              <w:snapToGrid w:val="0"/>
              <w:jc w:val="center"/>
              <w:rPr>
                <w:szCs w:val="21"/>
              </w:rPr>
            </w:pPr>
            <w:bookmarkStart w:id="3" w:name="_Hlk49843745"/>
            <w:r>
              <w:rPr>
                <w:szCs w:val="21"/>
              </w:rPr>
              <w:t>建设项目</w:t>
            </w:r>
          </w:p>
          <w:p>
            <w:pPr>
              <w:adjustRightInd w:val="0"/>
              <w:snapToGrid w:val="0"/>
              <w:jc w:val="center"/>
              <w:rPr>
                <w:szCs w:val="21"/>
              </w:rPr>
            </w:pPr>
            <w:r>
              <w:rPr>
                <w:szCs w:val="21"/>
              </w:rPr>
              <w:t>行业类别</w:t>
            </w:r>
            <w:bookmarkEnd w:id="3"/>
          </w:p>
        </w:tc>
        <w:tc>
          <w:tcPr>
            <w:tcW w:w="3496" w:type="dxa"/>
            <w:vAlign w:val="center"/>
          </w:tcPr>
          <w:p>
            <w:pPr>
              <w:adjustRightInd w:val="0"/>
              <w:snapToGrid w:val="0"/>
              <w:jc w:val="center"/>
              <w:rPr>
                <w:szCs w:val="21"/>
              </w:rPr>
            </w:pPr>
            <w:r>
              <w:rPr>
                <w:rFonts w:hint="eastAsia"/>
                <w:szCs w:val="21"/>
              </w:rPr>
              <w:t>四十一、电力、热力生产和供应</w:t>
            </w:r>
          </w:p>
          <w:p>
            <w:pPr>
              <w:pStyle w:val="9"/>
              <w:spacing w:before="0" w:after="0" w:line="240" w:lineRule="auto"/>
              <w:ind w:right="0"/>
              <w:jc w:val="center"/>
              <w:rPr>
                <w:kern w:val="2"/>
                <w:sz w:val="21"/>
                <w:szCs w:val="21"/>
              </w:rPr>
            </w:pPr>
            <w:r>
              <w:rPr>
                <w:rFonts w:hint="eastAsia"/>
                <w:kern w:val="2"/>
                <w:sz w:val="21"/>
                <w:szCs w:val="21"/>
              </w:rPr>
              <w:t>9</w:t>
            </w:r>
            <w:r>
              <w:rPr>
                <w:kern w:val="2"/>
                <w:sz w:val="21"/>
                <w:szCs w:val="21"/>
              </w:rPr>
              <w:t>1</w:t>
            </w:r>
            <w:r>
              <w:rPr>
                <w:rFonts w:hint="eastAsia"/>
                <w:kern w:val="2"/>
                <w:sz w:val="21"/>
                <w:szCs w:val="21"/>
              </w:rPr>
              <w:t>、热力生产和供应工程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1545" w:type="dxa"/>
            <w:gridSpan w:val="2"/>
            <w:tcMar>
              <w:top w:w="16" w:type="dxa"/>
              <w:left w:w="16" w:type="dxa"/>
              <w:right w:w="16" w:type="dxa"/>
            </w:tcMar>
            <w:vAlign w:val="center"/>
          </w:tcPr>
          <w:p>
            <w:pPr>
              <w:adjustRightInd w:val="0"/>
              <w:snapToGrid w:val="0"/>
              <w:jc w:val="center"/>
              <w:rPr>
                <w:szCs w:val="21"/>
              </w:rPr>
            </w:pPr>
            <w:r>
              <w:rPr>
                <w:szCs w:val="21"/>
              </w:rPr>
              <w:t>建设性质</w:t>
            </w:r>
          </w:p>
        </w:tc>
        <w:tc>
          <w:tcPr>
            <w:tcW w:w="2067" w:type="dxa"/>
            <w:vAlign w:val="center"/>
          </w:tcPr>
          <w:p>
            <w:pPr>
              <w:jc w:val="left"/>
              <w:rPr>
                <w:szCs w:val="21"/>
              </w:rPr>
            </w:pPr>
            <w:r>
              <w:rPr>
                <w:szCs w:val="21"/>
              </w:rPr>
              <w:sym w:font="Wingdings 2" w:char="00A3"/>
            </w:r>
            <w:r>
              <w:rPr>
                <w:szCs w:val="21"/>
              </w:rPr>
              <w:t>新建（迁建）</w:t>
            </w:r>
          </w:p>
          <w:p>
            <w:pPr>
              <w:jc w:val="left"/>
              <w:rPr>
                <w:szCs w:val="21"/>
              </w:rPr>
            </w:pPr>
            <w:r>
              <w:rPr>
                <w:szCs w:val="21"/>
              </w:rPr>
              <w:sym w:font="Wingdings 2" w:char="00A3"/>
            </w:r>
            <w:r>
              <w:rPr>
                <w:szCs w:val="21"/>
              </w:rPr>
              <w:t>改建</w:t>
            </w:r>
          </w:p>
          <w:p>
            <w:pPr>
              <w:jc w:val="left"/>
              <w:rPr>
                <w:szCs w:val="21"/>
              </w:rPr>
            </w:pPr>
            <w:r>
              <w:rPr>
                <w:szCs w:val="21"/>
              </w:rPr>
              <w:sym w:font="Wingdings 2" w:char="00A3"/>
            </w:r>
            <w:r>
              <w:rPr>
                <w:szCs w:val="21"/>
              </w:rPr>
              <w:t>扩建</w:t>
            </w:r>
          </w:p>
          <w:p>
            <w:pPr>
              <w:jc w:val="left"/>
              <w:rPr>
                <w:szCs w:val="21"/>
              </w:rPr>
            </w:pPr>
            <w:r>
              <w:rPr>
                <w:szCs w:val="21"/>
              </w:rPr>
              <w:sym w:font="Wingdings 2" w:char="0052"/>
            </w:r>
            <w:r>
              <w:rPr>
                <w:szCs w:val="21"/>
              </w:rPr>
              <w:t>技术改造</w:t>
            </w:r>
          </w:p>
        </w:tc>
        <w:tc>
          <w:tcPr>
            <w:tcW w:w="2503" w:type="dxa"/>
            <w:vAlign w:val="center"/>
          </w:tcPr>
          <w:p>
            <w:pPr>
              <w:adjustRightInd w:val="0"/>
              <w:snapToGrid w:val="0"/>
              <w:jc w:val="center"/>
              <w:rPr>
                <w:szCs w:val="21"/>
              </w:rPr>
            </w:pPr>
            <w:r>
              <w:rPr>
                <w:szCs w:val="21"/>
              </w:rPr>
              <w:t>建设项目</w:t>
            </w:r>
          </w:p>
          <w:p>
            <w:pPr>
              <w:adjustRightInd w:val="0"/>
              <w:snapToGrid w:val="0"/>
              <w:jc w:val="center"/>
              <w:rPr>
                <w:szCs w:val="21"/>
              </w:rPr>
            </w:pPr>
            <w:r>
              <w:rPr>
                <w:szCs w:val="21"/>
              </w:rPr>
              <w:t>申报情形</w:t>
            </w:r>
          </w:p>
        </w:tc>
        <w:tc>
          <w:tcPr>
            <w:tcW w:w="3496" w:type="dxa"/>
            <w:vAlign w:val="center"/>
          </w:tcPr>
          <w:p>
            <w:pPr>
              <w:adjustRightInd w:val="0"/>
              <w:snapToGrid w:val="0"/>
              <w:rPr>
                <w:szCs w:val="21"/>
              </w:rPr>
            </w:pPr>
            <w:r>
              <w:rPr>
                <w:szCs w:val="21"/>
              </w:rPr>
              <w:sym w:font="Wingdings 2" w:char="0052"/>
            </w:r>
            <w:r>
              <w:rPr>
                <w:szCs w:val="21"/>
              </w:rPr>
              <w:t xml:space="preserve">首次申报项目             </w:t>
            </w:r>
          </w:p>
          <w:p>
            <w:pPr>
              <w:adjustRightInd w:val="0"/>
              <w:snapToGrid w:val="0"/>
              <w:rPr>
                <w:szCs w:val="21"/>
              </w:rPr>
            </w:pPr>
            <w:r>
              <w:rPr>
                <w:szCs w:val="21"/>
              </w:rPr>
              <w:sym w:font="Wingdings 2" w:char="00A3"/>
            </w:r>
            <w:r>
              <w:rPr>
                <w:szCs w:val="21"/>
              </w:rPr>
              <w:t>不予批准后再次申报项目</w:t>
            </w:r>
          </w:p>
          <w:p>
            <w:pPr>
              <w:adjustRightInd w:val="0"/>
              <w:snapToGrid w:val="0"/>
              <w:rPr>
                <w:szCs w:val="21"/>
              </w:rPr>
            </w:pPr>
            <w:r>
              <w:rPr>
                <w:szCs w:val="21"/>
              </w:rPr>
              <w:sym w:font="Wingdings 2" w:char="00A3"/>
            </w:r>
            <w:r>
              <w:rPr>
                <w:szCs w:val="21"/>
              </w:rPr>
              <w:t xml:space="preserve">超五年重新审核项目     </w:t>
            </w:r>
          </w:p>
          <w:p>
            <w:pPr>
              <w:adjustRightInd w:val="0"/>
              <w:snapToGrid w:val="0"/>
              <w:rPr>
                <w:szCs w:val="21"/>
              </w:rPr>
            </w:pPr>
            <w:r>
              <w:rPr>
                <w:szCs w:val="21"/>
              </w:rPr>
              <w:sym w:font="Wingdings 2" w:char="00A3"/>
            </w:r>
            <w:r>
              <w:rPr>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57" w:hRule="atLeast"/>
          <w:jc w:val="center"/>
        </w:trPr>
        <w:tc>
          <w:tcPr>
            <w:tcW w:w="1545" w:type="dxa"/>
            <w:gridSpan w:val="2"/>
            <w:tcMar>
              <w:top w:w="16" w:type="dxa"/>
              <w:left w:w="16" w:type="dxa"/>
              <w:right w:w="16" w:type="dxa"/>
            </w:tcMar>
            <w:vAlign w:val="center"/>
          </w:tcPr>
          <w:p>
            <w:pPr>
              <w:adjustRightInd w:val="0"/>
              <w:snapToGrid w:val="0"/>
              <w:jc w:val="center"/>
              <w:rPr>
                <w:szCs w:val="21"/>
              </w:rPr>
            </w:pPr>
            <w:r>
              <w:rPr>
                <w:szCs w:val="21"/>
              </w:rPr>
              <w:t>项目审批（核准/</w:t>
            </w:r>
          </w:p>
          <w:p>
            <w:pPr>
              <w:adjustRightInd w:val="0"/>
              <w:snapToGrid w:val="0"/>
              <w:jc w:val="center"/>
              <w:rPr>
                <w:szCs w:val="21"/>
              </w:rPr>
            </w:pPr>
            <w:r>
              <w:rPr>
                <w:szCs w:val="21"/>
              </w:rPr>
              <w:t>备案）部门（选填）</w:t>
            </w:r>
          </w:p>
        </w:tc>
        <w:tc>
          <w:tcPr>
            <w:tcW w:w="2067" w:type="dxa"/>
            <w:vAlign w:val="center"/>
          </w:tcPr>
          <w:p>
            <w:pPr>
              <w:adjustRightInd w:val="0"/>
              <w:snapToGrid w:val="0"/>
              <w:jc w:val="center"/>
              <w:rPr>
                <w:szCs w:val="21"/>
              </w:rPr>
            </w:pPr>
            <w:r>
              <w:rPr>
                <w:rFonts w:hint="eastAsia"/>
                <w:szCs w:val="21"/>
              </w:rPr>
              <w:t>晋宁区发展和改革局</w:t>
            </w:r>
          </w:p>
        </w:tc>
        <w:tc>
          <w:tcPr>
            <w:tcW w:w="2503" w:type="dxa"/>
            <w:vAlign w:val="center"/>
          </w:tcPr>
          <w:p>
            <w:pPr>
              <w:adjustRightInd w:val="0"/>
              <w:snapToGrid w:val="0"/>
              <w:jc w:val="center"/>
              <w:rPr>
                <w:szCs w:val="21"/>
              </w:rPr>
            </w:pPr>
            <w:r>
              <w:rPr>
                <w:szCs w:val="21"/>
              </w:rPr>
              <w:t>项目审批（核准/</w:t>
            </w:r>
          </w:p>
          <w:p>
            <w:pPr>
              <w:adjustRightInd w:val="0"/>
              <w:snapToGrid w:val="0"/>
              <w:jc w:val="center"/>
              <w:rPr>
                <w:szCs w:val="21"/>
              </w:rPr>
            </w:pPr>
            <w:r>
              <w:rPr>
                <w:szCs w:val="21"/>
              </w:rPr>
              <w:t>备案）文号（选填）</w:t>
            </w:r>
          </w:p>
        </w:tc>
        <w:tc>
          <w:tcPr>
            <w:tcW w:w="3496" w:type="dxa"/>
            <w:vAlign w:val="center"/>
          </w:tcPr>
          <w:p>
            <w:pPr>
              <w:adjustRightInd w:val="0"/>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1545" w:type="dxa"/>
            <w:gridSpan w:val="2"/>
            <w:tcMar>
              <w:top w:w="16" w:type="dxa"/>
              <w:left w:w="16" w:type="dxa"/>
              <w:right w:w="16" w:type="dxa"/>
            </w:tcMar>
            <w:vAlign w:val="center"/>
          </w:tcPr>
          <w:p>
            <w:pPr>
              <w:adjustRightInd w:val="0"/>
              <w:snapToGrid w:val="0"/>
              <w:jc w:val="center"/>
              <w:rPr>
                <w:szCs w:val="21"/>
              </w:rPr>
            </w:pPr>
            <w:r>
              <w:rPr>
                <w:szCs w:val="21"/>
              </w:rPr>
              <w:t>总投资（万元）</w:t>
            </w:r>
          </w:p>
        </w:tc>
        <w:tc>
          <w:tcPr>
            <w:tcW w:w="2067" w:type="dxa"/>
            <w:vAlign w:val="center"/>
          </w:tcPr>
          <w:p>
            <w:pPr>
              <w:adjustRightInd w:val="0"/>
              <w:snapToGrid w:val="0"/>
              <w:jc w:val="center"/>
              <w:rPr>
                <w:szCs w:val="21"/>
              </w:rPr>
            </w:pPr>
            <w:r>
              <w:rPr>
                <w:rFonts w:hint="eastAsia"/>
                <w:szCs w:val="21"/>
              </w:rPr>
              <w:t>163.8</w:t>
            </w:r>
          </w:p>
        </w:tc>
        <w:tc>
          <w:tcPr>
            <w:tcW w:w="2503" w:type="dxa"/>
            <w:tcMar>
              <w:top w:w="16" w:type="dxa"/>
              <w:left w:w="16" w:type="dxa"/>
              <w:right w:w="16" w:type="dxa"/>
            </w:tcMar>
            <w:vAlign w:val="center"/>
          </w:tcPr>
          <w:p>
            <w:pPr>
              <w:adjustRightInd w:val="0"/>
              <w:snapToGrid w:val="0"/>
              <w:jc w:val="center"/>
              <w:rPr>
                <w:szCs w:val="21"/>
              </w:rPr>
            </w:pPr>
            <w:r>
              <w:rPr>
                <w:szCs w:val="21"/>
              </w:rPr>
              <w:t>环保投资（万元）</w:t>
            </w:r>
          </w:p>
        </w:tc>
        <w:tc>
          <w:tcPr>
            <w:tcW w:w="3496" w:type="dxa"/>
            <w:vAlign w:val="center"/>
          </w:tcPr>
          <w:p>
            <w:pPr>
              <w:adjustRightInd w:val="0"/>
              <w:snapToGrid w:val="0"/>
              <w:jc w:val="center"/>
              <w:rPr>
                <w:szCs w:val="21"/>
              </w:rPr>
            </w:pPr>
            <w:r>
              <w:rPr>
                <w:rFonts w:hint="eastAsia"/>
                <w:szCs w:val="21"/>
              </w:rPr>
              <w:t>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jc w:val="center"/>
        </w:trPr>
        <w:tc>
          <w:tcPr>
            <w:tcW w:w="1545" w:type="dxa"/>
            <w:gridSpan w:val="2"/>
            <w:tcMar>
              <w:top w:w="16" w:type="dxa"/>
              <w:left w:w="16" w:type="dxa"/>
              <w:right w:w="16" w:type="dxa"/>
            </w:tcMar>
            <w:vAlign w:val="center"/>
          </w:tcPr>
          <w:p>
            <w:pPr>
              <w:adjustRightInd w:val="0"/>
              <w:snapToGrid w:val="0"/>
              <w:jc w:val="center"/>
              <w:rPr>
                <w:szCs w:val="21"/>
              </w:rPr>
            </w:pPr>
            <w:r>
              <w:rPr>
                <w:szCs w:val="21"/>
              </w:rPr>
              <w:t>环保投资占比（%）</w:t>
            </w:r>
          </w:p>
        </w:tc>
        <w:tc>
          <w:tcPr>
            <w:tcW w:w="2067" w:type="dxa"/>
            <w:vAlign w:val="center"/>
          </w:tcPr>
          <w:p>
            <w:pPr>
              <w:adjustRightInd w:val="0"/>
              <w:snapToGrid w:val="0"/>
              <w:jc w:val="center"/>
              <w:rPr>
                <w:szCs w:val="21"/>
              </w:rPr>
            </w:pPr>
            <w:r>
              <w:rPr>
                <w:szCs w:val="21"/>
              </w:rPr>
              <w:t>3.</w:t>
            </w:r>
            <w:r>
              <w:rPr>
                <w:rFonts w:hint="eastAsia"/>
                <w:szCs w:val="21"/>
              </w:rPr>
              <w:t>48</w:t>
            </w:r>
          </w:p>
        </w:tc>
        <w:tc>
          <w:tcPr>
            <w:tcW w:w="2503" w:type="dxa"/>
            <w:tcMar>
              <w:top w:w="16" w:type="dxa"/>
              <w:left w:w="16" w:type="dxa"/>
              <w:right w:w="16" w:type="dxa"/>
            </w:tcMar>
            <w:vAlign w:val="center"/>
          </w:tcPr>
          <w:p>
            <w:pPr>
              <w:adjustRightInd w:val="0"/>
              <w:snapToGrid w:val="0"/>
              <w:jc w:val="center"/>
              <w:rPr>
                <w:szCs w:val="21"/>
              </w:rPr>
            </w:pPr>
            <w:r>
              <w:rPr>
                <w:szCs w:val="21"/>
              </w:rPr>
              <w:t>施工工期</w:t>
            </w:r>
          </w:p>
        </w:tc>
        <w:tc>
          <w:tcPr>
            <w:tcW w:w="3496" w:type="dxa"/>
            <w:vAlign w:val="center"/>
          </w:tcPr>
          <w:p>
            <w:pPr>
              <w:adjustRightInd w:val="0"/>
              <w:snapToGrid w:val="0"/>
              <w:jc w:val="center"/>
              <w:rPr>
                <w:szCs w:val="21"/>
              </w:rPr>
            </w:pPr>
            <w:r>
              <w:rPr>
                <w:rFonts w:hint="eastAsia"/>
                <w:szCs w:val="21"/>
              </w:rPr>
              <w:t>202</w:t>
            </w:r>
            <w:r>
              <w:rPr>
                <w:szCs w:val="21"/>
              </w:rPr>
              <w:t>3</w:t>
            </w:r>
            <w:r>
              <w:rPr>
                <w:rFonts w:hint="eastAsia"/>
                <w:szCs w:val="21"/>
              </w:rPr>
              <w:t>年</w:t>
            </w:r>
            <w:r>
              <w:rPr>
                <w:szCs w:val="21"/>
              </w:rPr>
              <w:t>2</w:t>
            </w:r>
            <w:r>
              <w:rPr>
                <w:rFonts w:hint="eastAsia"/>
                <w:szCs w:val="21"/>
              </w:rPr>
              <w:t>月-</w:t>
            </w:r>
            <w:r>
              <w:rPr>
                <w:szCs w:val="21"/>
              </w:rPr>
              <w:t>2023</w:t>
            </w:r>
            <w:r>
              <w:rPr>
                <w:rFonts w:hint="eastAsia"/>
                <w:szCs w:val="21"/>
              </w:rPr>
              <w:t>年</w:t>
            </w:r>
            <w:r>
              <w:rPr>
                <w:szCs w:val="21"/>
              </w:rPr>
              <w:t>6</w:t>
            </w:r>
            <w:r>
              <w:rPr>
                <w:rFonts w:hint="eastAsia"/>
                <w:szCs w:val="21"/>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45" w:type="dxa"/>
            <w:gridSpan w:val="2"/>
            <w:tcMar>
              <w:top w:w="16" w:type="dxa"/>
              <w:left w:w="16" w:type="dxa"/>
              <w:right w:w="16" w:type="dxa"/>
            </w:tcMar>
            <w:vAlign w:val="center"/>
          </w:tcPr>
          <w:p>
            <w:pPr>
              <w:adjustRightInd w:val="0"/>
              <w:snapToGrid w:val="0"/>
              <w:jc w:val="center"/>
              <w:rPr>
                <w:szCs w:val="21"/>
              </w:rPr>
            </w:pPr>
            <w:r>
              <w:rPr>
                <w:szCs w:val="21"/>
              </w:rPr>
              <w:t>是否开工建设</w:t>
            </w:r>
          </w:p>
        </w:tc>
        <w:tc>
          <w:tcPr>
            <w:tcW w:w="2067" w:type="dxa"/>
            <w:vAlign w:val="center"/>
          </w:tcPr>
          <w:p>
            <w:pPr>
              <w:adjustRightInd w:val="0"/>
              <w:snapToGrid w:val="0"/>
              <w:rPr>
                <w:szCs w:val="21"/>
              </w:rPr>
            </w:pPr>
            <w:r>
              <w:rPr>
                <w:szCs w:val="21"/>
              </w:rPr>
              <w:sym w:font="Wingdings 2" w:char="0052"/>
            </w:r>
            <w:r>
              <w:rPr>
                <w:szCs w:val="21"/>
              </w:rPr>
              <w:t>否</w:t>
            </w:r>
          </w:p>
          <w:p>
            <w:pPr>
              <w:adjustRightInd w:val="0"/>
              <w:snapToGrid w:val="0"/>
              <w:rPr>
                <w:szCs w:val="21"/>
              </w:rPr>
            </w:pPr>
            <w:r>
              <w:rPr>
                <w:szCs w:val="21"/>
              </w:rPr>
              <w:sym w:font="Wingdings 2" w:char="00A3"/>
            </w:r>
            <w:r>
              <w:rPr>
                <w:szCs w:val="21"/>
              </w:rPr>
              <w:t>是：</w:t>
            </w:r>
            <w:r>
              <w:rPr>
                <w:szCs w:val="21"/>
                <w:u w:val="single"/>
              </w:rPr>
              <w:t xml:space="preserve">             </w:t>
            </w:r>
          </w:p>
        </w:tc>
        <w:tc>
          <w:tcPr>
            <w:tcW w:w="2503" w:type="dxa"/>
            <w:tcMar>
              <w:top w:w="16" w:type="dxa"/>
              <w:left w:w="16" w:type="dxa"/>
              <w:right w:w="16" w:type="dxa"/>
            </w:tcMar>
            <w:vAlign w:val="center"/>
          </w:tcPr>
          <w:p>
            <w:pPr>
              <w:adjustRightInd w:val="0"/>
              <w:snapToGrid w:val="0"/>
              <w:jc w:val="center"/>
              <w:rPr>
                <w:spacing w:val="-6"/>
                <w:szCs w:val="21"/>
              </w:rPr>
            </w:pPr>
            <w:r>
              <w:rPr>
                <w:spacing w:val="-6"/>
                <w:szCs w:val="21"/>
              </w:rPr>
              <w:t>用地（用海）</w:t>
            </w:r>
          </w:p>
          <w:p>
            <w:pPr>
              <w:adjustRightInd w:val="0"/>
              <w:snapToGrid w:val="0"/>
              <w:jc w:val="center"/>
              <w:rPr>
                <w:szCs w:val="21"/>
              </w:rPr>
            </w:pPr>
            <w:r>
              <w:rPr>
                <w:spacing w:val="-6"/>
                <w:szCs w:val="21"/>
              </w:rPr>
              <w:t>面积（m</w:t>
            </w:r>
            <w:r>
              <w:rPr>
                <w:spacing w:val="-6"/>
                <w:szCs w:val="21"/>
                <w:vertAlign w:val="superscript"/>
              </w:rPr>
              <w:t>2</w:t>
            </w:r>
            <w:r>
              <w:rPr>
                <w:spacing w:val="-6"/>
                <w:szCs w:val="21"/>
              </w:rPr>
              <w:t>）</w:t>
            </w:r>
          </w:p>
        </w:tc>
        <w:tc>
          <w:tcPr>
            <w:tcW w:w="3496" w:type="dxa"/>
            <w:vAlign w:val="center"/>
          </w:tcPr>
          <w:p>
            <w:pPr>
              <w:adjustRightInd w:val="0"/>
              <w:snapToGrid w:val="0"/>
              <w:jc w:val="center"/>
              <w:rPr>
                <w:szCs w:val="21"/>
              </w:rPr>
            </w:pPr>
            <w:r>
              <w:rPr>
                <w:rFonts w:hint="eastAsia"/>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131" w:type="dxa"/>
            <w:vAlign w:val="center"/>
          </w:tcPr>
          <w:p>
            <w:pPr>
              <w:autoSpaceDE w:val="0"/>
              <w:autoSpaceDN w:val="0"/>
              <w:adjustRightInd w:val="0"/>
              <w:snapToGrid w:val="0"/>
              <w:jc w:val="center"/>
              <w:rPr>
                <w:kern w:val="0"/>
                <w:szCs w:val="21"/>
              </w:rPr>
            </w:pPr>
            <w:r>
              <w:rPr>
                <w:kern w:val="0"/>
                <w:szCs w:val="21"/>
              </w:rPr>
              <w:t>专项评价设置情况</w:t>
            </w:r>
          </w:p>
        </w:tc>
        <w:tc>
          <w:tcPr>
            <w:tcW w:w="8480" w:type="dxa"/>
            <w:gridSpan w:val="4"/>
            <w:vAlign w:val="center"/>
          </w:tcPr>
          <w:p>
            <w:pPr>
              <w:pStyle w:val="51"/>
              <w:adjustRightInd w:val="0"/>
              <w:snapToGrid w:val="0"/>
              <w:spacing w:line="360" w:lineRule="auto"/>
              <w:ind w:firstLine="0"/>
              <w:jc w:val="center"/>
              <w:rPr>
                <w:rFonts w:ascii="Times New Roman"/>
                <w:szCs w:val="24"/>
              </w:rPr>
            </w:pPr>
            <w:r>
              <w:rPr>
                <w:rFonts w:hint="eastAsia" w:ascii="Times New Roman"/>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131" w:type="dxa"/>
            <w:vAlign w:val="center"/>
          </w:tcPr>
          <w:p>
            <w:pPr>
              <w:autoSpaceDE w:val="0"/>
              <w:autoSpaceDN w:val="0"/>
              <w:adjustRightInd w:val="0"/>
              <w:snapToGrid w:val="0"/>
              <w:jc w:val="center"/>
              <w:rPr>
                <w:kern w:val="0"/>
                <w:szCs w:val="21"/>
              </w:rPr>
            </w:pPr>
            <w:r>
              <w:rPr>
                <w:szCs w:val="21"/>
              </w:rPr>
              <w:t>规划情况</w:t>
            </w:r>
          </w:p>
        </w:tc>
        <w:tc>
          <w:tcPr>
            <w:tcW w:w="8480" w:type="dxa"/>
            <w:gridSpan w:val="4"/>
            <w:vAlign w:val="center"/>
          </w:tcPr>
          <w:p>
            <w:pPr>
              <w:pStyle w:val="51"/>
              <w:adjustRightInd w:val="0"/>
              <w:snapToGrid w:val="0"/>
              <w:spacing w:line="360" w:lineRule="auto"/>
              <w:ind w:firstLine="480" w:firstLineChars="200"/>
              <w:rPr>
                <w:rFonts w:ascii="Times New Roman"/>
                <w:szCs w:val="24"/>
              </w:rPr>
            </w:pPr>
            <w:r>
              <w:rPr>
                <w:rFonts w:hint="eastAsia" w:ascii="Times New Roman"/>
                <w:szCs w:val="24"/>
              </w:rPr>
              <w:t>根据“中共云南省委 云南省人民政府关于印发《云南省各类开发区优化提升总体方案》的通知（云委[2020]287）号”，晋宁工业园区属于附件2中2020年保留的省级开发区名单（海口工业园区、晋宁工业园区为整合的省级开发区，开发区名称为安宁工业园区）。本次建设项目位于晋宁工业园区内，为合规的工业园区。目前，整合后的工业园区正在进行相关规划编制工作，本次项目与工业园区相关规划、规划环评及其审查意见的符合性分析仍按照</w:t>
            </w:r>
            <w:r>
              <w:rPr>
                <w:rFonts w:ascii="Times New Roman"/>
              </w:rPr>
              <w:t>《云南晋宁工业园区总体规划修编（2012-2030）》</w:t>
            </w:r>
            <w:r>
              <w:rPr>
                <w:rFonts w:hint="eastAsia" w:ascii="Times New Roman"/>
              </w:rPr>
              <w:t>的相关内容进行分析。</w:t>
            </w:r>
          </w:p>
          <w:p>
            <w:pPr>
              <w:pStyle w:val="51"/>
              <w:adjustRightInd w:val="0"/>
              <w:snapToGrid w:val="0"/>
              <w:spacing w:line="360" w:lineRule="auto"/>
              <w:ind w:firstLine="0"/>
              <w:rPr>
                <w:rFonts w:ascii="Times New Roman"/>
                <w:szCs w:val="24"/>
              </w:rPr>
            </w:pPr>
            <w:r>
              <w:rPr>
                <w:rFonts w:ascii="Times New Roman"/>
                <w:szCs w:val="24"/>
              </w:rPr>
              <w:t>规划名称：晋宁工业园区总体规划修编（2012~2030）</w:t>
            </w:r>
          </w:p>
          <w:p>
            <w:pPr>
              <w:pStyle w:val="51"/>
              <w:adjustRightInd w:val="0"/>
              <w:snapToGrid w:val="0"/>
              <w:spacing w:line="360" w:lineRule="auto"/>
              <w:ind w:firstLine="0"/>
              <w:rPr>
                <w:rFonts w:ascii="Times New Roman"/>
                <w:szCs w:val="24"/>
              </w:rPr>
            </w:pPr>
            <w:r>
              <w:rPr>
                <w:rFonts w:ascii="Times New Roman"/>
                <w:szCs w:val="24"/>
              </w:rPr>
              <w:t>审批机关：云南省工业和信息化委员会</w:t>
            </w:r>
          </w:p>
          <w:p>
            <w:pPr>
              <w:pStyle w:val="51"/>
              <w:adjustRightInd w:val="0"/>
              <w:snapToGrid w:val="0"/>
              <w:spacing w:line="360" w:lineRule="auto"/>
              <w:ind w:firstLine="0"/>
              <w:rPr>
                <w:rFonts w:ascii="Times New Roman"/>
                <w:szCs w:val="24"/>
              </w:rPr>
            </w:pPr>
            <w:r>
              <w:rPr>
                <w:rFonts w:ascii="Times New Roman"/>
                <w:szCs w:val="24"/>
              </w:rPr>
              <w:t>审批文件名称及文号：“云南省工业和信息化委员关于云南晋宁工业园区总体规划修编给予以备案的意见”（园区﹝2012﹞684号）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131" w:type="dxa"/>
            <w:vAlign w:val="center"/>
          </w:tcPr>
          <w:p>
            <w:pPr>
              <w:adjustRightInd w:val="0"/>
              <w:snapToGrid w:val="0"/>
              <w:jc w:val="center"/>
              <w:rPr>
                <w:szCs w:val="21"/>
              </w:rPr>
            </w:pPr>
            <w:r>
              <w:rPr>
                <w:szCs w:val="21"/>
              </w:rPr>
              <w:t>规划环境影响</w:t>
            </w:r>
          </w:p>
          <w:p>
            <w:pPr>
              <w:adjustRightInd w:val="0"/>
              <w:snapToGrid w:val="0"/>
              <w:jc w:val="center"/>
              <w:rPr>
                <w:kern w:val="0"/>
                <w:szCs w:val="21"/>
              </w:rPr>
            </w:pPr>
            <w:r>
              <w:rPr>
                <w:szCs w:val="21"/>
              </w:rPr>
              <w:t>评价情况</w:t>
            </w:r>
          </w:p>
        </w:tc>
        <w:tc>
          <w:tcPr>
            <w:tcW w:w="8480" w:type="dxa"/>
            <w:gridSpan w:val="4"/>
            <w:vAlign w:val="center"/>
          </w:tcPr>
          <w:p>
            <w:pPr>
              <w:pStyle w:val="51"/>
              <w:adjustRightInd w:val="0"/>
              <w:snapToGrid w:val="0"/>
              <w:spacing w:line="360" w:lineRule="auto"/>
              <w:ind w:firstLine="0"/>
              <w:rPr>
                <w:rFonts w:ascii="Times New Roman"/>
                <w:szCs w:val="24"/>
              </w:rPr>
            </w:pPr>
            <w:r>
              <w:rPr>
                <w:rFonts w:hint="eastAsia" w:ascii="Times New Roman"/>
                <w:szCs w:val="24"/>
              </w:rPr>
              <w:t>文件名称：</w:t>
            </w:r>
            <w:r>
              <w:rPr>
                <w:rFonts w:ascii="Times New Roman"/>
                <w:szCs w:val="24"/>
              </w:rPr>
              <w:t>《云南晋宁工业园区总体规划修编（2012-2030）环境影响报告书》</w:t>
            </w:r>
          </w:p>
          <w:p>
            <w:pPr>
              <w:pStyle w:val="51"/>
              <w:adjustRightInd w:val="0"/>
              <w:snapToGrid w:val="0"/>
              <w:spacing w:line="360" w:lineRule="auto"/>
              <w:ind w:firstLine="0"/>
              <w:rPr>
                <w:rFonts w:ascii="Times New Roman"/>
                <w:szCs w:val="24"/>
              </w:rPr>
            </w:pPr>
            <w:r>
              <w:rPr>
                <w:rFonts w:hint="eastAsia" w:ascii="Times New Roman"/>
                <w:szCs w:val="24"/>
              </w:rPr>
              <w:t>审查机关：</w:t>
            </w:r>
            <w:r>
              <w:rPr>
                <w:rFonts w:ascii="Times New Roman"/>
                <w:szCs w:val="24"/>
              </w:rPr>
              <w:t>云南省环境保护厅</w:t>
            </w:r>
          </w:p>
          <w:p>
            <w:pPr>
              <w:pStyle w:val="51"/>
              <w:adjustRightInd w:val="0"/>
              <w:snapToGrid w:val="0"/>
              <w:spacing w:line="360" w:lineRule="auto"/>
              <w:ind w:firstLine="0"/>
              <w:rPr>
                <w:rFonts w:ascii="Times New Roman"/>
                <w:szCs w:val="24"/>
              </w:rPr>
            </w:pPr>
            <w:r>
              <w:rPr>
                <w:rFonts w:hint="eastAsia" w:ascii="Times New Roman"/>
                <w:szCs w:val="24"/>
              </w:rPr>
              <w:t>审查文件：</w:t>
            </w:r>
            <w:r>
              <w:rPr>
                <w:rFonts w:ascii="Times New Roman"/>
                <w:szCs w:val="24"/>
              </w:rPr>
              <w:t>关于《晋宁工业园区总体规划修编（2012-2030）环境影响报告书》审查意见的函（云环函[2014]131号）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131" w:type="dxa"/>
            <w:vAlign w:val="center"/>
          </w:tcPr>
          <w:p>
            <w:pPr>
              <w:autoSpaceDE w:val="0"/>
              <w:autoSpaceDN w:val="0"/>
              <w:adjustRightInd w:val="0"/>
              <w:snapToGrid w:val="0"/>
              <w:jc w:val="center"/>
              <w:rPr>
                <w:kern w:val="0"/>
                <w:szCs w:val="21"/>
              </w:rPr>
            </w:pPr>
            <w:r>
              <w:rPr>
                <w:kern w:val="0"/>
                <w:szCs w:val="21"/>
              </w:rPr>
              <w:t>规划及规划环境</w:t>
            </w:r>
          </w:p>
          <w:p>
            <w:pPr>
              <w:autoSpaceDE w:val="0"/>
              <w:autoSpaceDN w:val="0"/>
              <w:adjustRightInd w:val="0"/>
              <w:snapToGrid w:val="0"/>
              <w:jc w:val="center"/>
              <w:rPr>
                <w:kern w:val="0"/>
                <w:szCs w:val="21"/>
              </w:rPr>
            </w:pPr>
            <w:r>
              <w:rPr>
                <w:kern w:val="0"/>
                <w:szCs w:val="21"/>
              </w:rPr>
              <w:t>影响评价符合性分析</w:t>
            </w:r>
          </w:p>
        </w:tc>
        <w:tc>
          <w:tcPr>
            <w:tcW w:w="8480" w:type="dxa"/>
            <w:gridSpan w:val="4"/>
            <w:vAlign w:val="center"/>
          </w:tcPr>
          <w:p>
            <w:pPr>
              <w:adjustRightInd w:val="0"/>
              <w:snapToGrid w:val="0"/>
              <w:spacing w:line="360" w:lineRule="auto"/>
              <w:jc w:val="left"/>
              <w:outlineLvl w:val="2"/>
              <w:rPr>
                <w:b/>
                <w:bCs/>
                <w:sz w:val="24"/>
              </w:rPr>
            </w:pPr>
            <w:bookmarkStart w:id="4" w:name="_Toc117775766"/>
            <w:bookmarkStart w:id="5" w:name="_Toc413256346"/>
            <w:r>
              <w:rPr>
                <w:b/>
                <w:bCs/>
                <w:sz w:val="24"/>
              </w:rPr>
              <w:t>1</w:t>
            </w:r>
            <w:r>
              <w:rPr>
                <w:rFonts w:hint="eastAsia"/>
                <w:b/>
                <w:bCs/>
                <w:sz w:val="24"/>
              </w:rPr>
              <w:t>、与《云南晋宁工业园区总体规划修编（2012-2030）》相符性分析</w:t>
            </w:r>
            <w:bookmarkEnd w:id="4"/>
            <w:bookmarkEnd w:id="5"/>
          </w:p>
          <w:p>
            <w:pPr>
              <w:adjustRightInd w:val="0"/>
              <w:snapToGrid w:val="0"/>
              <w:spacing w:line="360" w:lineRule="auto"/>
              <w:ind w:firstLine="420"/>
              <w:rPr>
                <w:sz w:val="24"/>
              </w:rPr>
            </w:pPr>
            <w:r>
              <w:rPr>
                <w:rFonts w:hint="eastAsia"/>
                <w:sz w:val="24"/>
              </w:rPr>
              <w:t>技改项目位于昆明市晋宁区工业园区二街片区云南磷化集团有限公司现有MDCP装置区内。根据《云南晋宁工业园区总体规划修编（2012-2030）》，晋宁工业园区空间布局结构为“一园六基地，和谐促发展”的总体格局，“一园”即晋宁工业园区；“六基地”即二街工业基地、上蒜工业基地、晋城工业基地、青山工业基地、宝峰工业基地、乌龙工业基地。六个工业基地共同构成晋宁工业园区。它们各自独具产业特色，又相互依赖、相互支撑。形成特色鲜明、集聚效应显著的新型工业园区。</w:t>
            </w:r>
          </w:p>
          <w:p>
            <w:pPr>
              <w:adjustRightInd w:val="0"/>
              <w:snapToGrid w:val="0"/>
              <w:spacing w:line="360" w:lineRule="auto"/>
              <w:ind w:firstLine="420"/>
              <w:rPr>
                <w:sz w:val="24"/>
              </w:rPr>
            </w:pPr>
            <w:r>
              <w:rPr>
                <w:rFonts w:hint="eastAsia"/>
                <w:sz w:val="24"/>
              </w:rPr>
              <w:t>二街工业基地：按照二街工业基地功能要求和产业发展需求，规划确定二街工业基地的功能结构为“一心两轴五组团”的空间布局结构。“一心”——即园区级公共服务中心。二街集镇处在二街工业基地中部，规划依托其商业服务及居住功能，形成片区级的服务中心。“两轴”——即发展主轴。是指穿过整个工业基地的沿南北向主干道和沿东西向连接县城的主干道形成的发展主轴。它们都位于规划区的中部，连接各级公共服务中心一起推动基地的发展。“五组团”——即五个工业组团。分别是布置在北片的冶金及磷化工组团、冶金组团，布置在南片的磷化工组团、钢铁及磷化工组团、高新产业组团。性质定位为云南乃至中国西南的国家重点磷化工产业园、有色金属产业园。</w:t>
            </w:r>
          </w:p>
          <w:p>
            <w:pPr>
              <w:adjustRightInd w:val="0"/>
              <w:snapToGrid w:val="0"/>
              <w:spacing w:line="360" w:lineRule="auto"/>
              <w:ind w:firstLine="420"/>
              <w:rPr>
                <w:sz w:val="24"/>
              </w:rPr>
            </w:pPr>
            <w:r>
              <w:rPr>
                <w:rFonts w:hint="eastAsia"/>
                <w:sz w:val="24"/>
              </w:rPr>
              <w:t>本次技改项目为云南磷化集团有限公司磷化工事业部15万吨/年饲钙装置热风炉改造工程，改造后，热风炉由现有的全年燃煤技改为每年燃煤6600h，燃天然气600h，在一定程度上减少了因燃煤产生的二氧化硫的量。热风炉为饲钙装置配套设备，云南磷化集团有限公司磷化工事业部为磷化工企业，因此，项目建设符合规划。技改项目与规划符合性分析详见下表。</w:t>
            </w:r>
          </w:p>
          <w:p>
            <w:pPr>
              <w:adjustRightInd w:val="0"/>
              <w:snapToGrid w:val="0"/>
              <w:spacing w:line="360" w:lineRule="auto"/>
              <w:jc w:val="center"/>
              <w:rPr>
                <w:rFonts w:cs="宋体"/>
                <w:b/>
                <w:bCs/>
                <w:szCs w:val="21"/>
                <w:lang w:bidi="ar"/>
              </w:rPr>
            </w:pPr>
            <w:r>
              <w:rPr>
                <w:rFonts w:hint="eastAsia" w:cs="宋体"/>
                <w:b/>
                <w:bCs/>
                <w:szCs w:val="21"/>
                <w:lang w:bidi="ar"/>
              </w:rPr>
              <w:t>表1</w:t>
            </w:r>
            <w:r>
              <w:rPr>
                <w:rFonts w:cs="宋体"/>
                <w:b/>
                <w:bCs/>
                <w:szCs w:val="21"/>
                <w:lang w:bidi="ar"/>
              </w:rPr>
              <w:t>-2</w:t>
            </w:r>
            <w:r>
              <w:rPr>
                <w:rFonts w:hint="eastAsia" w:cs="宋体"/>
                <w:b/>
                <w:bCs/>
                <w:szCs w:val="21"/>
                <w:lang w:bidi="ar"/>
              </w:rPr>
              <w:t xml:space="preserve"> </w:t>
            </w:r>
            <w:r>
              <w:rPr>
                <w:rFonts w:cs="宋体"/>
                <w:b/>
                <w:bCs/>
                <w:szCs w:val="21"/>
                <w:lang w:bidi="ar"/>
              </w:rPr>
              <w:t xml:space="preserve"> </w:t>
            </w:r>
            <w:r>
              <w:rPr>
                <w:rFonts w:hint="eastAsia" w:cs="宋体"/>
                <w:b/>
                <w:bCs/>
                <w:szCs w:val="21"/>
                <w:lang w:bidi="ar"/>
              </w:rPr>
              <w:t>项目与园区规划符合性分析一览表</w:t>
            </w:r>
          </w:p>
          <w:tbl>
            <w:tblPr>
              <w:tblStyle w:val="22"/>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890"/>
              <w:gridCol w:w="2561"/>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trPr>
              <w:tc>
                <w:tcPr>
                  <w:tcW w:w="1202" w:type="dxa"/>
                  <w:vAlign w:val="center"/>
                </w:tcPr>
                <w:p>
                  <w:pPr>
                    <w:autoSpaceDE w:val="0"/>
                    <w:autoSpaceDN w:val="0"/>
                    <w:adjustRightInd w:val="0"/>
                    <w:jc w:val="center"/>
                    <w:rPr>
                      <w:b/>
                      <w:kern w:val="0"/>
                      <w:szCs w:val="21"/>
                    </w:rPr>
                  </w:pPr>
                  <w:r>
                    <w:rPr>
                      <w:rFonts w:hint="eastAsia" w:cs="宋体"/>
                      <w:b/>
                      <w:kern w:val="0"/>
                      <w:szCs w:val="21"/>
                    </w:rPr>
                    <w:t>项目</w:t>
                  </w:r>
                </w:p>
              </w:tc>
              <w:tc>
                <w:tcPr>
                  <w:tcW w:w="3890" w:type="dxa"/>
                  <w:vAlign w:val="center"/>
                </w:tcPr>
                <w:p>
                  <w:pPr>
                    <w:autoSpaceDE w:val="0"/>
                    <w:autoSpaceDN w:val="0"/>
                    <w:adjustRightInd w:val="0"/>
                    <w:jc w:val="center"/>
                    <w:rPr>
                      <w:b/>
                      <w:kern w:val="0"/>
                      <w:szCs w:val="21"/>
                    </w:rPr>
                  </w:pPr>
                  <w:r>
                    <w:rPr>
                      <w:rFonts w:hint="eastAsia" w:cs="宋体"/>
                      <w:b/>
                      <w:kern w:val="0"/>
                      <w:szCs w:val="21"/>
                    </w:rPr>
                    <w:t>规划及规划环评要求</w:t>
                  </w:r>
                </w:p>
              </w:tc>
              <w:tc>
                <w:tcPr>
                  <w:tcW w:w="2561" w:type="dxa"/>
                  <w:vAlign w:val="center"/>
                </w:tcPr>
                <w:p>
                  <w:pPr>
                    <w:autoSpaceDE w:val="0"/>
                    <w:autoSpaceDN w:val="0"/>
                    <w:adjustRightInd w:val="0"/>
                    <w:jc w:val="center"/>
                    <w:rPr>
                      <w:b/>
                      <w:kern w:val="0"/>
                      <w:szCs w:val="21"/>
                    </w:rPr>
                  </w:pPr>
                  <w:r>
                    <w:rPr>
                      <w:rFonts w:hint="eastAsia" w:cs="宋体"/>
                      <w:b/>
                      <w:kern w:val="0"/>
                      <w:szCs w:val="21"/>
                    </w:rPr>
                    <w:t>本项目情况</w:t>
                  </w:r>
                </w:p>
              </w:tc>
              <w:tc>
                <w:tcPr>
                  <w:tcW w:w="569" w:type="dxa"/>
                  <w:vAlign w:val="center"/>
                </w:tcPr>
                <w:p>
                  <w:pPr>
                    <w:autoSpaceDE w:val="0"/>
                    <w:autoSpaceDN w:val="0"/>
                    <w:adjustRightInd w:val="0"/>
                    <w:jc w:val="center"/>
                    <w:rPr>
                      <w:rFonts w:cs="宋体"/>
                      <w:b/>
                      <w:kern w:val="0"/>
                      <w:szCs w:val="21"/>
                    </w:rPr>
                  </w:pPr>
                  <w:r>
                    <w:rPr>
                      <w:rFonts w:hint="eastAsia" w:cs="宋体"/>
                      <w:b/>
                      <w:kern w:val="0"/>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trPr>
              <w:tc>
                <w:tcPr>
                  <w:tcW w:w="1202" w:type="dxa"/>
                  <w:vMerge w:val="restart"/>
                  <w:vAlign w:val="center"/>
                </w:tcPr>
                <w:p>
                  <w:pPr>
                    <w:autoSpaceDE w:val="0"/>
                    <w:autoSpaceDN w:val="0"/>
                    <w:adjustRightInd w:val="0"/>
                    <w:jc w:val="center"/>
                    <w:rPr>
                      <w:kern w:val="0"/>
                      <w:szCs w:val="21"/>
                    </w:rPr>
                  </w:pPr>
                  <w:r>
                    <w:rPr>
                      <w:rFonts w:hint="eastAsia" w:cs="宋体"/>
                      <w:kern w:val="0"/>
                      <w:szCs w:val="21"/>
                    </w:rPr>
                    <w:t>晋宁工业园区入园产业控制</w:t>
                  </w:r>
                </w:p>
              </w:tc>
              <w:tc>
                <w:tcPr>
                  <w:tcW w:w="3890" w:type="dxa"/>
                  <w:vAlign w:val="center"/>
                </w:tcPr>
                <w:p>
                  <w:pPr>
                    <w:autoSpaceDE w:val="0"/>
                    <w:autoSpaceDN w:val="0"/>
                    <w:adjustRightInd w:val="0"/>
                    <w:jc w:val="center"/>
                    <w:rPr>
                      <w:kern w:val="0"/>
                      <w:szCs w:val="21"/>
                    </w:rPr>
                  </w:pPr>
                  <w:r>
                    <w:rPr>
                      <w:rFonts w:hint="eastAsia" w:cs="宋体"/>
                      <w:kern w:val="0"/>
                      <w:szCs w:val="21"/>
                    </w:rPr>
                    <w:t>①符合国家及云南省相关产业政策原则：规划区引进的项目，其工艺、规模及产品应符合国家及云南省相关产业政策要求。</w:t>
                  </w:r>
                </w:p>
              </w:tc>
              <w:tc>
                <w:tcPr>
                  <w:tcW w:w="2561" w:type="dxa"/>
                  <w:vAlign w:val="center"/>
                </w:tcPr>
                <w:p>
                  <w:pPr>
                    <w:autoSpaceDE w:val="0"/>
                    <w:autoSpaceDN w:val="0"/>
                    <w:adjustRightInd w:val="0"/>
                    <w:jc w:val="center"/>
                    <w:rPr>
                      <w:kern w:val="0"/>
                      <w:szCs w:val="21"/>
                    </w:rPr>
                  </w:pPr>
                  <w:r>
                    <w:rPr>
                      <w:rFonts w:hint="eastAsia"/>
                      <w:kern w:val="0"/>
                      <w:szCs w:val="21"/>
                    </w:rPr>
                    <w:t>通过对照国家相关产业政策，技改项目与产业政策相符，属于其中鼓励类。</w:t>
                  </w:r>
                </w:p>
              </w:tc>
              <w:tc>
                <w:tcPr>
                  <w:tcW w:w="569" w:type="dxa"/>
                  <w:vAlign w:val="center"/>
                </w:tcPr>
                <w:p>
                  <w:pPr>
                    <w:autoSpaceDE w:val="0"/>
                    <w:autoSpaceDN w:val="0"/>
                    <w:adjustRightInd w:val="0"/>
                    <w:jc w:val="center"/>
                    <w:rPr>
                      <w:kern w:val="0"/>
                      <w:szCs w:val="21"/>
                    </w:rPr>
                  </w:pPr>
                  <w:r>
                    <w:rPr>
                      <w:rFonts w:hint="eastAsia" w:cs="宋体"/>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trPr>
              <w:tc>
                <w:tcPr>
                  <w:tcW w:w="1202" w:type="dxa"/>
                  <w:vMerge w:val="continue"/>
                  <w:vAlign w:val="center"/>
                </w:tcPr>
                <w:p>
                  <w:pPr>
                    <w:autoSpaceDE w:val="0"/>
                    <w:autoSpaceDN w:val="0"/>
                    <w:adjustRightInd w:val="0"/>
                    <w:jc w:val="center"/>
                    <w:rPr>
                      <w:kern w:val="0"/>
                      <w:szCs w:val="21"/>
                    </w:rPr>
                  </w:pPr>
                </w:p>
              </w:tc>
              <w:tc>
                <w:tcPr>
                  <w:tcW w:w="3890" w:type="dxa"/>
                  <w:vAlign w:val="center"/>
                </w:tcPr>
                <w:p>
                  <w:pPr>
                    <w:autoSpaceDE w:val="0"/>
                    <w:autoSpaceDN w:val="0"/>
                    <w:adjustRightInd w:val="0"/>
                    <w:jc w:val="center"/>
                    <w:rPr>
                      <w:kern w:val="0"/>
                      <w:szCs w:val="21"/>
                    </w:rPr>
                  </w:pPr>
                  <w:r>
                    <w:rPr>
                      <w:rFonts w:hint="eastAsia" w:cs="宋体"/>
                      <w:kern w:val="0"/>
                      <w:szCs w:val="21"/>
                    </w:rPr>
                    <w:t>②有利于实现晋宁工业园区产业结构的原则：引进的项目，应有利于实现晋宁工业园区产业结构，有利于晋宁工业园区规划目标的达成。</w:t>
                  </w:r>
                </w:p>
              </w:tc>
              <w:tc>
                <w:tcPr>
                  <w:tcW w:w="2561" w:type="dxa"/>
                  <w:vAlign w:val="center"/>
                </w:tcPr>
                <w:p>
                  <w:pPr>
                    <w:autoSpaceDE w:val="0"/>
                    <w:autoSpaceDN w:val="0"/>
                    <w:adjustRightInd w:val="0"/>
                    <w:jc w:val="center"/>
                    <w:rPr>
                      <w:kern w:val="0"/>
                      <w:szCs w:val="21"/>
                    </w:rPr>
                  </w:pPr>
                  <w:r>
                    <w:rPr>
                      <w:rFonts w:hint="eastAsia"/>
                      <w:kern w:val="0"/>
                      <w:szCs w:val="21"/>
                    </w:rPr>
                    <w:t>技改项目在晋宁工业园区二街基地云南磷化集团有限公司835装置现有MDCP装置区进行热风炉燃烧方式进行技改，公司属于磷化工企业，符合园区产业结构定位。</w:t>
                  </w:r>
                </w:p>
              </w:tc>
              <w:tc>
                <w:tcPr>
                  <w:tcW w:w="569" w:type="dxa"/>
                  <w:vAlign w:val="center"/>
                </w:tcPr>
                <w:p>
                  <w:pPr>
                    <w:autoSpaceDE w:val="0"/>
                    <w:autoSpaceDN w:val="0"/>
                    <w:adjustRightInd w:val="0"/>
                    <w:jc w:val="center"/>
                    <w:rPr>
                      <w:kern w:val="0"/>
                      <w:szCs w:val="21"/>
                    </w:rPr>
                  </w:pPr>
                  <w:r>
                    <w:rPr>
                      <w:rFonts w:hint="eastAsia" w:cs="宋体"/>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trPr>
              <w:tc>
                <w:tcPr>
                  <w:tcW w:w="1202" w:type="dxa"/>
                  <w:vMerge w:val="continue"/>
                  <w:vAlign w:val="center"/>
                </w:tcPr>
                <w:p>
                  <w:pPr>
                    <w:autoSpaceDE w:val="0"/>
                    <w:autoSpaceDN w:val="0"/>
                    <w:adjustRightInd w:val="0"/>
                    <w:jc w:val="center"/>
                    <w:rPr>
                      <w:kern w:val="0"/>
                      <w:szCs w:val="21"/>
                    </w:rPr>
                  </w:pPr>
                </w:p>
              </w:tc>
              <w:tc>
                <w:tcPr>
                  <w:tcW w:w="3890" w:type="dxa"/>
                  <w:vAlign w:val="center"/>
                </w:tcPr>
                <w:p>
                  <w:pPr>
                    <w:autoSpaceDE w:val="0"/>
                    <w:autoSpaceDN w:val="0"/>
                    <w:adjustRightInd w:val="0"/>
                    <w:jc w:val="center"/>
                    <w:rPr>
                      <w:kern w:val="0"/>
                      <w:szCs w:val="21"/>
                    </w:rPr>
                  </w:pPr>
                  <w:r>
                    <w:rPr>
                      <w:rFonts w:hint="eastAsia" w:cs="宋体"/>
                      <w:kern w:val="0"/>
                      <w:szCs w:val="21"/>
                    </w:rPr>
                    <w:t>③资源节约原则：引进的项目应能够满足资源节约的原则，清洁生产水平应达到国内先进水平以上。</w:t>
                  </w:r>
                </w:p>
              </w:tc>
              <w:tc>
                <w:tcPr>
                  <w:tcW w:w="2561" w:type="dxa"/>
                  <w:vAlign w:val="center"/>
                </w:tcPr>
                <w:p>
                  <w:pPr>
                    <w:autoSpaceDE w:val="0"/>
                    <w:autoSpaceDN w:val="0"/>
                    <w:adjustRightInd w:val="0"/>
                    <w:jc w:val="center"/>
                    <w:rPr>
                      <w:kern w:val="0"/>
                      <w:szCs w:val="21"/>
                    </w:rPr>
                  </w:pPr>
                  <w:r>
                    <w:rPr>
                      <w:rFonts w:hint="eastAsia"/>
                      <w:kern w:val="0"/>
                      <w:szCs w:val="21"/>
                    </w:rPr>
                    <w:t>项目在现有厂区内现有装置热风炉进行技改，技改完成后，削减燃煤的使用量，部分用天然气替代，</w:t>
                  </w:r>
                  <w:r>
                    <w:rPr>
                      <w:rFonts w:hint="eastAsia" w:cs="宋体"/>
                      <w:kern w:val="0"/>
                      <w:szCs w:val="21"/>
                    </w:rPr>
                    <w:t>天然气为清洁能源，</w:t>
                  </w:r>
                  <w:r>
                    <w:rPr>
                      <w:rFonts w:hint="eastAsia"/>
                      <w:kern w:val="0"/>
                      <w:szCs w:val="21"/>
                    </w:rPr>
                    <w:t>满足</w:t>
                  </w:r>
                  <w:r>
                    <w:rPr>
                      <w:rFonts w:hint="eastAsia" w:cs="宋体"/>
                      <w:kern w:val="0"/>
                      <w:szCs w:val="21"/>
                    </w:rPr>
                    <w:t>资源节约的原则。</w:t>
                  </w:r>
                </w:p>
              </w:tc>
              <w:tc>
                <w:tcPr>
                  <w:tcW w:w="569" w:type="dxa"/>
                  <w:vAlign w:val="center"/>
                </w:tcPr>
                <w:p>
                  <w:pPr>
                    <w:autoSpaceDE w:val="0"/>
                    <w:autoSpaceDN w:val="0"/>
                    <w:adjustRightInd w:val="0"/>
                    <w:jc w:val="center"/>
                    <w:rPr>
                      <w:kern w:val="0"/>
                      <w:szCs w:val="21"/>
                    </w:rPr>
                  </w:pPr>
                  <w:r>
                    <w:rPr>
                      <w:rFonts w:hint="eastAsia" w:cs="宋体"/>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trPr>
              <w:tc>
                <w:tcPr>
                  <w:tcW w:w="1202" w:type="dxa"/>
                  <w:vMerge w:val="continue"/>
                  <w:vAlign w:val="center"/>
                </w:tcPr>
                <w:p>
                  <w:pPr>
                    <w:autoSpaceDE w:val="0"/>
                    <w:autoSpaceDN w:val="0"/>
                    <w:adjustRightInd w:val="0"/>
                    <w:jc w:val="center"/>
                    <w:rPr>
                      <w:kern w:val="0"/>
                      <w:szCs w:val="21"/>
                    </w:rPr>
                  </w:pPr>
                </w:p>
              </w:tc>
              <w:tc>
                <w:tcPr>
                  <w:tcW w:w="3890" w:type="dxa"/>
                  <w:vAlign w:val="center"/>
                </w:tcPr>
                <w:p>
                  <w:pPr>
                    <w:autoSpaceDE w:val="0"/>
                    <w:autoSpaceDN w:val="0"/>
                    <w:adjustRightInd w:val="0"/>
                    <w:jc w:val="center"/>
                    <w:rPr>
                      <w:kern w:val="0"/>
                      <w:szCs w:val="21"/>
                    </w:rPr>
                  </w:pPr>
                  <w:r>
                    <w:rPr>
                      <w:rFonts w:hint="eastAsia" w:cs="宋体"/>
                      <w:kern w:val="0"/>
                      <w:szCs w:val="21"/>
                    </w:rPr>
                    <w:t>④环境友好原则：引进的项目应符合环境友好的原则，优先引进无污染或少污染企业。</w:t>
                  </w:r>
                </w:p>
              </w:tc>
              <w:tc>
                <w:tcPr>
                  <w:tcW w:w="2561" w:type="dxa"/>
                  <w:vAlign w:val="center"/>
                </w:tcPr>
                <w:p>
                  <w:pPr>
                    <w:autoSpaceDE w:val="0"/>
                    <w:autoSpaceDN w:val="0"/>
                    <w:adjustRightInd w:val="0"/>
                    <w:jc w:val="center"/>
                    <w:rPr>
                      <w:kern w:val="0"/>
                      <w:szCs w:val="21"/>
                    </w:rPr>
                  </w:pPr>
                  <w:r>
                    <w:rPr>
                      <w:rFonts w:hint="eastAsia"/>
                      <w:kern w:val="0"/>
                      <w:szCs w:val="21"/>
                    </w:rPr>
                    <w:t>技改项目在现有厂区内进行技改，减少燃煤量，削减二氧化硫排放量。</w:t>
                  </w:r>
                </w:p>
              </w:tc>
              <w:tc>
                <w:tcPr>
                  <w:tcW w:w="569" w:type="dxa"/>
                  <w:vAlign w:val="center"/>
                </w:tcPr>
                <w:p>
                  <w:pPr>
                    <w:autoSpaceDE w:val="0"/>
                    <w:autoSpaceDN w:val="0"/>
                    <w:adjustRightInd w:val="0"/>
                    <w:jc w:val="center"/>
                    <w:rPr>
                      <w:kern w:val="0"/>
                      <w:szCs w:val="21"/>
                    </w:rPr>
                  </w:pPr>
                  <w:r>
                    <w:rPr>
                      <w:rFonts w:hint="eastAsia" w:cs="宋体"/>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trPr>
              <w:tc>
                <w:tcPr>
                  <w:tcW w:w="1202" w:type="dxa"/>
                  <w:vMerge w:val="continue"/>
                  <w:vAlign w:val="center"/>
                </w:tcPr>
                <w:p>
                  <w:pPr>
                    <w:autoSpaceDE w:val="0"/>
                    <w:autoSpaceDN w:val="0"/>
                    <w:adjustRightInd w:val="0"/>
                    <w:jc w:val="center"/>
                    <w:rPr>
                      <w:kern w:val="0"/>
                      <w:szCs w:val="21"/>
                    </w:rPr>
                  </w:pPr>
                </w:p>
              </w:tc>
              <w:tc>
                <w:tcPr>
                  <w:tcW w:w="3890" w:type="dxa"/>
                  <w:vAlign w:val="center"/>
                </w:tcPr>
                <w:p>
                  <w:pPr>
                    <w:autoSpaceDE w:val="0"/>
                    <w:autoSpaceDN w:val="0"/>
                    <w:adjustRightInd w:val="0"/>
                    <w:jc w:val="center"/>
                    <w:rPr>
                      <w:kern w:val="0"/>
                      <w:szCs w:val="21"/>
                    </w:rPr>
                  </w:pPr>
                  <w:r>
                    <w:rPr>
                      <w:rFonts w:hint="eastAsia" w:cs="宋体"/>
                      <w:kern w:val="0"/>
                      <w:szCs w:val="21"/>
                    </w:rPr>
                    <w:t>⑤协调发展原则：引进的项目应有利于统筹城乡协调发展，有利于改善区域环境质量。</w:t>
                  </w:r>
                </w:p>
              </w:tc>
              <w:tc>
                <w:tcPr>
                  <w:tcW w:w="2561" w:type="dxa"/>
                  <w:vAlign w:val="center"/>
                </w:tcPr>
                <w:p>
                  <w:pPr>
                    <w:autoSpaceDE w:val="0"/>
                    <w:autoSpaceDN w:val="0"/>
                    <w:adjustRightInd w:val="0"/>
                    <w:jc w:val="center"/>
                    <w:rPr>
                      <w:kern w:val="0"/>
                      <w:szCs w:val="21"/>
                    </w:rPr>
                  </w:pPr>
                  <w:r>
                    <w:rPr>
                      <w:rFonts w:hint="eastAsia"/>
                      <w:kern w:val="0"/>
                      <w:szCs w:val="21"/>
                    </w:rPr>
                    <w:t>技改项目符合城市总体规划，生产过程中产生的污染物均能妥善处理达标排放，不会降低区域的环境质量现状。</w:t>
                  </w:r>
                </w:p>
              </w:tc>
              <w:tc>
                <w:tcPr>
                  <w:tcW w:w="569" w:type="dxa"/>
                  <w:vAlign w:val="center"/>
                </w:tcPr>
                <w:p>
                  <w:pPr>
                    <w:autoSpaceDE w:val="0"/>
                    <w:autoSpaceDN w:val="0"/>
                    <w:adjustRightInd w:val="0"/>
                    <w:jc w:val="center"/>
                    <w:rPr>
                      <w:kern w:val="0"/>
                      <w:szCs w:val="21"/>
                    </w:rPr>
                  </w:pPr>
                  <w:r>
                    <w:rPr>
                      <w:rFonts w:hint="eastAsia" w:cs="宋体"/>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trPr>
              <w:tc>
                <w:tcPr>
                  <w:tcW w:w="1202" w:type="dxa"/>
                  <w:vMerge w:val="restart"/>
                  <w:vAlign w:val="center"/>
                </w:tcPr>
                <w:p>
                  <w:pPr>
                    <w:autoSpaceDE w:val="0"/>
                    <w:autoSpaceDN w:val="0"/>
                    <w:adjustRightInd w:val="0"/>
                    <w:jc w:val="center"/>
                    <w:rPr>
                      <w:kern w:val="0"/>
                      <w:szCs w:val="21"/>
                    </w:rPr>
                  </w:pPr>
                  <w:r>
                    <w:rPr>
                      <w:rFonts w:hint="eastAsia" w:cs="宋体"/>
                      <w:kern w:val="0"/>
                      <w:szCs w:val="21"/>
                    </w:rPr>
                    <w:t>入驻项目环保要求</w:t>
                  </w:r>
                </w:p>
              </w:tc>
              <w:tc>
                <w:tcPr>
                  <w:tcW w:w="3890" w:type="dxa"/>
                  <w:vAlign w:val="center"/>
                </w:tcPr>
                <w:p>
                  <w:pPr>
                    <w:autoSpaceDE w:val="0"/>
                    <w:autoSpaceDN w:val="0"/>
                    <w:adjustRightInd w:val="0"/>
                    <w:jc w:val="center"/>
                    <w:rPr>
                      <w:kern w:val="0"/>
                      <w:szCs w:val="21"/>
                    </w:rPr>
                  </w:pPr>
                  <w:r>
                    <w:rPr>
                      <w:rFonts w:hint="eastAsia" w:cs="宋体"/>
                      <w:kern w:val="0"/>
                      <w:szCs w:val="21"/>
                    </w:rPr>
                    <w:t>①项目必须实现达标排放，同时满足规划区总量控制要求。</w:t>
                  </w:r>
                </w:p>
              </w:tc>
              <w:tc>
                <w:tcPr>
                  <w:tcW w:w="2561" w:type="dxa"/>
                  <w:vAlign w:val="center"/>
                </w:tcPr>
                <w:p>
                  <w:pPr>
                    <w:autoSpaceDE w:val="0"/>
                    <w:autoSpaceDN w:val="0"/>
                    <w:adjustRightInd w:val="0"/>
                    <w:jc w:val="center"/>
                    <w:rPr>
                      <w:kern w:val="0"/>
                      <w:szCs w:val="21"/>
                    </w:rPr>
                  </w:pPr>
                  <w:r>
                    <w:rPr>
                      <w:rFonts w:hint="eastAsia"/>
                      <w:kern w:val="0"/>
                      <w:szCs w:val="21"/>
                    </w:rPr>
                    <w:t>技改项目运营期产生的废气污染物可实现达标排放，固废100%妥善处置，无废水和噪声排放，外排污染物满足规划区总量控制要求。</w:t>
                  </w:r>
                </w:p>
              </w:tc>
              <w:tc>
                <w:tcPr>
                  <w:tcW w:w="569" w:type="dxa"/>
                  <w:vAlign w:val="center"/>
                </w:tcPr>
                <w:p>
                  <w:pPr>
                    <w:autoSpaceDE w:val="0"/>
                    <w:autoSpaceDN w:val="0"/>
                    <w:adjustRightInd w:val="0"/>
                    <w:jc w:val="center"/>
                    <w:rPr>
                      <w:kern w:val="0"/>
                      <w:szCs w:val="21"/>
                    </w:rPr>
                  </w:pPr>
                  <w:r>
                    <w:rPr>
                      <w:rFonts w:hint="eastAsia" w:cs="宋体"/>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trPr>
              <w:tc>
                <w:tcPr>
                  <w:tcW w:w="1202" w:type="dxa"/>
                  <w:vMerge w:val="continue"/>
                  <w:vAlign w:val="center"/>
                </w:tcPr>
                <w:p>
                  <w:pPr>
                    <w:autoSpaceDE w:val="0"/>
                    <w:autoSpaceDN w:val="0"/>
                    <w:adjustRightInd w:val="0"/>
                    <w:jc w:val="center"/>
                    <w:rPr>
                      <w:kern w:val="0"/>
                      <w:szCs w:val="21"/>
                    </w:rPr>
                  </w:pPr>
                </w:p>
              </w:tc>
              <w:tc>
                <w:tcPr>
                  <w:tcW w:w="3890" w:type="dxa"/>
                  <w:vAlign w:val="center"/>
                </w:tcPr>
                <w:p>
                  <w:pPr>
                    <w:autoSpaceDE w:val="0"/>
                    <w:autoSpaceDN w:val="0"/>
                    <w:adjustRightInd w:val="0"/>
                    <w:jc w:val="center"/>
                    <w:rPr>
                      <w:kern w:val="0"/>
                      <w:szCs w:val="21"/>
                    </w:rPr>
                  </w:pPr>
                  <w:r>
                    <w:rPr>
                      <w:rFonts w:hint="eastAsia" w:cs="宋体"/>
                      <w:kern w:val="0"/>
                      <w:szCs w:val="21"/>
                    </w:rPr>
                    <w:t>②入驻项目应采取满足达标排放要求、运行稳定、技术先进、经济效益好的污染治理设施、措施。</w:t>
                  </w:r>
                </w:p>
              </w:tc>
              <w:tc>
                <w:tcPr>
                  <w:tcW w:w="2561" w:type="dxa"/>
                  <w:vAlign w:val="center"/>
                </w:tcPr>
                <w:p>
                  <w:pPr>
                    <w:autoSpaceDE w:val="0"/>
                    <w:autoSpaceDN w:val="0"/>
                    <w:adjustRightInd w:val="0"/>
                    <w:jc w:val="center"/>
                    <w:rPr>
                      <w:kern w:val="0"/>
                      <w:szCs w:val="21"/>
                    </w:rPr>
                  </w:pPr>
                  <w:r>
                    <w:rPr>
                      <w:rFonts w:hint="eastAsia"/>
                      <w:kern w:val="0"/>
                      <w:szCs w:val="21"/>
                    </w:rPr>
                    <w:t>技改项目运营期污染物处理处置措施可行，可实现达标排放，生产技术先进，设备可保证稳定运行，具有良好的经济效益。</w:t>
                  </w:r>
                </w:p>
              </w:tc>
              <w:tc>
                <w:tcPr>
                  <w:tcW w:w="569" w:type="dxa"/>
                  <w:vAlign w:val="center"/>
                </w:tcPr>
                <w:p>
                  <w:pPr>
                    <w:autoSpaceDE w:val="0"/>
                    <w:autoSpaceDN w:val="0"/>
                    <w:adjustRightInd w:val="0"/>
                    <w:jc w:val="center"/>
                    <w:rPr>
                      <w:kern w:val="0"/>
                      <w:szCs w:val="21"/>
                    </w:rPr>
                  </w:pPr>
                  <w:r>
                    <w:rPr>
                      <w:rFonts w:hint="eastAsia" w:cs="宋体"/>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trPr>
              <w:tc>
                <w:tcPr>
                  <w:tcW w:w="1202" w:type="dxa"/>
                  <w:vMerge w:val="continue"/>
                  <w:vAlign w:val="center"/>
                </w:tcPr>
                <w:p>
                  <w:pPr>
                    <w:autoSpaceDE w:val="0"/>
                    <w:autoSpaceDN w:val="0"/>
                    <w:adjustRightInd w:val="0"/>
                    <w:jc w:val="center"/>
                    <w:rPr>
                      <w:kern w:val="0"/>
                      <w:szCs w:val="21"/>
                    </w:rPr>
                  </w:pPr>
                </w:p>
              </w:tc>
              <w:tc>
                <w:tcPr>
                  <w:tcW w:w="3890" w:type="dxa"/>
                  <w:vAlign w:val="center"/>
                </w:tcPr>
                <w:p>
                  <w:pPr>
                    <w:autoSpaceDE w:val="0"/>
                    <w:autoSpaceDN w:val="0"/>
                    <w:adjustRightInd w:val="0"/>
                    <w:jc w:val="center"/>
                    <w:rPr>
                      <w:kern w:val="0"/>
                      <w:szCs w:val="21"/>
                    </w:rPr>
                  </w:pPr>
                  <w:r>
                    <w:rPr>
                      <w:rFonts w:hint="eastAsia" w:cs="宋体"/>
                      <w:kern w:val="0"/>
                      <w:szCs w:val="21"/>
                    </w:rPr>
                    <w:t>③对排放相同特征污染物的企业，应鼓励企业之间建设联合污染治理措施，以降低污染治理成本。</w:t>
                  </w:r>
                </w:p>
              </w:tc>
              <w:tc>
                <w:tcPr>
                  <w:tcW w:w="2561" w:type="dxa"/>
                  <w:vAlign w:val="center"/>
                </w:tcPr>
                <w:p>
                  <w:pPr>
                    <w:autoSpaceDE w:val="0"/>
                    <w:autoSpaceDN w:val="0"/>
                    <w:adjustRightInd w:val="0"/>
                    <w:jc w:val="center"/>
                    <w:rPr>
                      <w:kern w:val="0"/>
                      <w:szCs w:val="21"/>
                    </w:rPr>
                  </w:pPr>
                  <w:r>
                    <w:rPr>
                      <w:rFonts w:hint="eastAsia"/>
                      <w:kern w:val="0"/>
                      <w:szCs w:val="21"/>
                    </w:rPr>
                    <w:t>技改项目周边分布有较多化工企业，目前，本项目产生的炉渣外售周边建材厂。</w:t>
                  </w:r>
                </w:p>
              </w:tc>
              <w:tc>
                <w:tcPr>
                  <w:tcW w:w="569" w:type="dxa"/>
                  <w:vAlign w:val="center"/>
                </w:tcPr>
                <w:p>
                  <w:pPr>
                    <w:autoSpaceDE w:val="0"/>
                    <w:autoSpaceDN w:val="0"/>
                    <w:adjustRightInd w:val="0"/>
                    <w:jc w:val="center"/>
                    <w:rPr>
                      <w:kern w:val="0"/>
                      <w:szCs w:val="21"/>
                    </w:rPr>
                  </w:pPr>
                  <w:r>
                    <w:rPr>
                      <w:rFonts w:hint="eastAsia" w:cs="宋体"/>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trPr>
              <w:tc>
                <w:tcPr>
                  <w:tcW w:w="1202" w:type="dxa"/>
                  <w:vMerge w:val="continue"/>
                  <w:vAlign w:val="center"/>
                </w:tcPr>
                <w:p>
                  <w:pPr>
                    <w:autoSpaceDE w:val="0"/>
                    <w:autoSpaceDN w:val="0"/>
                    <w:adjustRightInd w:val="0"/>
                    <w:jc w:val="center"/>
                    <w:rPr>
                      <w:kern w:val="0"/>
                      <w:szCs w:val="21"/>
                    </w:rPr>
                  </w:pPr>
                </w:p>
              </w:tc>
              <w:tc>
                <w:tcPr>
                  <w:tcW w:w="3890" w:type="dxa"/>
                  <w:vAlign w:val="center"/>
                </w:tcPr>
                <w:p>
                  <w:pPr>
                    <w:autoSpaceDE w:val="0"/>
                    <w:autoSpaceDN w:val="0"/>
                    <w:adjustRightInd w:val="0"/>
                    <w:jc w:val="center"/>
                    <w:rPr>
                      <w:rFonts w:cs="宋体"/>
                      <w:kern w:val="0"/>
                      <w:szCs w:val="21"/>
                    </w:rPr>
                  </w:pPr>
                  <w:r>
                    <w:rPr>
                      <w:rFonts w:hint="eastAsia" w:cs="宋体"/>
                      <w:kern w:val="0"/>
                      <w:szCs w:val="21"/>
                    </w:rPr>
                    <w:t>④入驻企业产生的各种工业固体废弃物，应满足</w:t>
                  </w:r>
                  <w:r>
                    <w:rPr>
                      <w:rFonts w:cs="宋体"/>
                      <w:kern w:val="0"/>
                      <w:szCs w:val="21"/>
                    </w:rPr>
                    <w:t>“</w:t>
                  </w:r>
                  <w:r>
                    <w:rPr>
                      <w:rFonts w:hint="eastAsia" w:cs="宋体"/>
                      <w:kern w:val="0"/>
                      <w:szCs w:val="21"/>
                    </w:rPr>
                    <w:t>减量化、资源化、无害化</w:t>
                  </w:r>
                  <w:r>
                    <w:rPr>
                      <w:rFonts w:cs="宋体"/>
                      <w:kern w:val="0"/>
                      <w:szCs w:val="21"/>
                    </w:rPr>
                    <w:t>”</w:t>
                  </w:r>
                  <w:r>
                    <w:rPr>
                      <w:rFonts w:hint="eastAsia" w:cs="宋体"/>
                      <w:kern w:val="0"/>
                      <w:szCs w:val="21"/>
                    </w:rPr>
                    <w:t>要求，实现废物的零排放。</w:t>
                  </w:r>
                </w:p>
              </w:tc>
              <w:tc>
                <w:tcPr>
                  <w:tcW w:w="2561" w:type="dxa"/>
                  <w:vAlign w:val="center"/>
                </w:tcPr>
                <w:p>
                  <w:pPr>
                    <w:autoSpaceDE w:val="0"/>
                    <w:autoSpaceDN w:val="0"/>
                    <w:adjustRightInd w:val="0"/>
                    <w:jc w:val="center"/>
                    <w:rPr>
                      <w:rFonts w:cs="宋体"/>
                      <w:kern w:val="0"/>
                      <w:szCs w:val="21"/>
                    </w:rPr>
                  </w:pPr>
                  <w:r>
                    <w:rPr>
                      <w:rFonts w:hint="eastAsia" w:cs="宋体"/>
                      <w:kern w:val="0"/>
                      <w:szCs w:val="21"/>
                    </w:rPr>
                    <w:t>技改项目运营期产生的固废均100%妥善处置，不外排。</w:t>
                  </w:r>
                </w:p>
              </w:tc>
              <w:tc>
                <w:tcPr>
                  <w:tcW w:w="569" w:type="dxa"/>
                  <w:vAlign w:val="center"/>
                </w:tcPr>
                <w:p>
                  <w:pPr>
                    <w:autoSpaceDE w:val="0"/>
                    <w:autoSpaceDN w:val="0"/>
                    <w:adjustRightInd w:val="0"/>
                    <w:jc w:val="center"/>
                    <w:rPr>
                      <w:kern w:val="0"/>
                      <w:szCs w:val="21"/>
                    </w:rPr>
                  </w:pPr>
                  <w:r>
                    <w:rPr>
                      <w:rFonts w:hint="eastAsia" w:cs="宋体"/>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trPr>
              <w:tc>
                <w:tcPr>
                  <w:tcW w:w="1202" w:type="dxa"/>
                  <w:vMerge w:val="continue"/>
                  <w:vAlign w:val="center"/>
                </w:tcPr>
                <w:p>
                  <w:pPr>
                    <w:autoSpaceDE w:val="0"/>
                    <w:autoSpaceDN w:val="0"/>
                    <w:adjustRightInd w:val="0"/>
                    <w:jc w:val="center"/>
                    <w:rPr>
                      <w:kern w:val="0"/>
                      <w:szCs w:val="21"/>
                    </w:rPr>
                  </w:pPr>
                </w:p>
              </w:tc>
              <w:tc>
                <w:tcPr>
                  <w:tcW w:w="3890" w:type="dxa"/>
                  <w:vAlign w:val="center"/>
                </w:tcPr>
                <w:p>
                  <w:pPr>
                    <w:autoSpaceDE w:val="0"/>
                    <w:autoSpaceDN w:val="0"/>
                    <w:adjustRightInd w:val="0"/>
                    <w:jc w:val="center"/>
                    <w:rPr>
                      <w:rFonts w:cs="宋体"/>
                      <w:kern w:val="0"/>
                      <w:szCs w:val="21"/>
                    </w:rPr>
                  </w:pPr>
                  <w:r>
                    <w:rPr>
                      <w:rFonts w:hint="eastAsia" w:cs="宋体"/>
                      <w:kern w:val="0"/>
                      <w:szCs w:val="21"/>
                    </w:rPr>
                    <w:t>⑤限制发展高耗水、高排水产业。</w:t>
                  </w:r>
                </w:p>
              </w:tc>
              <w:tc>
                <w:tcPr>
                  <w:tcW w:w="2561" w:type="dxa"/>
                  <w:vAlign w:val="center"/>
                </w:tcPr>
                <w:p>
                  <w:pPr>
                    <w:autoSpaceDE w:val="0"/>
                    <w:autoSpaceDN w:val="0"/>
                    <w:adjustRightInd w:val="0"/>
                    <w:jc w:val="center"/>
                    <w:rPr>
                      <w:rFonts w:cs="宋体"/>
                      <w:kern w:val="0"/>
                      <w:szCs w:val="21"/>
                    </w:rPr>
                  </w:pPr>
                  <w:r>
                    <w:rPr>
                      <w:rFonts w:hint="eastAsia" w:cs="宋体"/>
                      <w:kern w:val="0"/>
                      <w:szCs w:val="21"/>
                    </w:rPr>
                    <w:t>本项目技改完成后无新增用水。</w:t>
                  </w:r>
                </w:p>
              </w:tc>
              <w:tc>
                <w:tcPr>
                  <w:tcW w:w="569" w:type="dxa"/>
                  <w:vAlign w:val="center"/>
                </w:tcPr>
                <w:p>
                  <w:pPr>
                    <w:autoSpaceDE w:val="0"/>
                    <w:autoSpaceDN w:val="0"/>
                    <w:adjustRightInd w:val="0"/>
                    <w:jc w:val="center"/>
                    <w:rPr>
                      <w:rFonts w:cs="宋体"/>
                      <w:kern w:val="0"/>
                      <w:szCs w:val="21"/>
                    </w:rPr>
                  </w:pPr>
                  <w:r>
                    <w:rPr>
                      <w:rFonts w:hint="eastAsia" w:cs="宋体"/>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trPr>
              <w:tc>
                <w:tcPr>
                  <w:tcW w:w="1202" w:type="dxa"/>
                  <w:vMerge w:val="continue"/>
                  <w:vAlign w:val="center"/>
                </w:tcPr>
                <w:p>
                  <w:pPr>
                    <w:autoSpaceDE w:val="0"/>
                    <w:autoSpaceDN w:val="0"/>
                    <w:adjustRightInd w:val="0"/>
                    <w:jc w:val="center"/>
                    <w:rPr>
                      <w:kern w:val="0"/>
                      <w:szCs w:val="21"/>
                    </w:rPr>
                  </w:pPr>
                </w:p>
              </w:tc>
              <w:tc>
                <w:tcPr>
                  <w:tcW w:w="3890" w:type="dxa"/>
                  <w:vAlign w:val="center"/>
                </w:tcPr>
                <w:p>
                  <w:pPr>
                    <w:autoSpaceDE w:val="0"/>
                    <w:autoSpaceDN w:val="0"/>
                    <w:adjustRightInd w:val="0"/>
                    <w:jc w:val="center"/>
                    <w:rPr>
                      <w:kern w:val="0"/>
                      <w:szCs w:val="21"/>
                    </w:rPr>
                  </w:pPr>
                  <w:r>
                    <w:rPr>
                      <w:rFonts w:hint="eastAsia" w:cs="宋体"/>
                      <w:kern w:val="0"/>
                      <w:szCs w:val="21"/>
                    </w:rPr>
                    <w:t>⑥应鼓励各入驻企业积极参与和本企业有关的环保技术的研发，并尽快形成生产力。</w:t>
                  </w:r>
                </w:p>
              </w:tc>
              <w:tc>
                <w:tcPr>
                  <w:tcW w:w="2561" w:type="dxa"/>
                  <w:vAlign w:val="center"/>
                </w:tcPr>
                <w:p>
                  <w:pPr>
                    <w:autoSpaceDE w:val="0"/>
                    <w:autoSpaceDN w:val="0"/>
                    <w:adjustRightInd w:val="0"/>
                    <w:jc w:val="center"/>
                    <w:rPr>
                      <w:rFonts w:cs="宋体"/>
                      <w:kern w:val="0"/>
                      <w:szCs w:val="21"/>
                    </w:rPr>
                  </w:pPr>
                  <w:r>
                    <w:rPr>
                      <w:rFonts w:hint="eastAsia" w:cs="宋体"/>
                      <w:kern w:val="0"/>
                      <w:szCs w:val="21"/>
                    </w:rPr>
                    <w:t>本次技改属于环保项目，技改完成后减少燃煤使用量，一定程度削减二氧化硫排放量。</w:t>
                  </w:r>
                </w:p>
              </w:tc>
              <w:tc>
                <w:tcPr>
                  <w:tcW w:w="569" w:type="dxa"/>
                  <w:vAlign w:val="center"/>
                </w:tcPr>
                <w:p>
                  <w:pPr>
                    <w:autoSpaceDE w:val="0"/>
                    <w:autoSpaceDN w:val="0"/>
                    <w:adjustRightInd w:val="0"/>
                    <w:jc w:val="center"/>
                    <w:rPr>
                      <w:rFonts w:cs="宋体"/>
                      <w:kern w:val="0"/>
                      <w:szCs w:val="21"/>
                    </w:rPr>
                  </w:pPr>
                  <w:r>
                    <w:rPr>
                      <w:rFonts w:hint="eastAsia" w:cs="宋体"/>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trPr>
              <w:tc>
                <w:tcPr>
                  <w:tcW w:w="1202" w:type="dxa"/>
                  <w:vMerge w:val="continue"/>
                  <w:vAlign w:val="center"/>
                </w:tcPr>
                <w:p>
                  <w:pPr>
                    <w:autoSpaceDE w:val="0"/>
                    <w:autoSpaceDN w:val="0"/>
                    <w:adjustRightInd w:val="0"/>
                    <w:jc w:val="center"/>
                    <w:rPr>
                      <w:kern w:val="0"/>
                      <w:szCs w:val="21"/>
                    </w:rPr>
                  </w:pPr>
                </w:p>
              </w:tc>
              <w:tc>
                <w:tcPr>
                  <w:tcW w:w="3890" w:type="dxa"/>
                  <w:vAlign w:val="center"/>
                </w:tcPr>
                <w:p>
                  <w:pPr>
                    <w:autoSpaceDE w:val="0"/>
                    <w:autoSpaceDN w:val="0"/>
                    <w:adjustRightInd w:val="0"/>
                    <w:jc w:val="center"/>
                    <w:rPr>
                      <w:rFonts w:cs="宋体"/>
                      <w:kern w:val="0"/>
                      <w:szCs w:val="21"/>
                    </w:rPr>
                  </w:pPr>
                  <w:r>
                    <w:rPr>
                      <w:rFonts w:hint="eastAsia" w:cs="宋体"/>
                      <w:kern w:val="0"/>
                      <w:szCs w:val="21"/>
                    </w:rPr>
                    <w:t>⑦企业选址应符合《昆明市人民政府关于加强</w:t>
                  </w:r>
                  <w:r>
                    <w:rPr>
                      <w:rFonts w:cs="宋体"/>
                      <w:kern w:val="0"/>
                      <w:szCs w:val="21"/>
                    </w:rPr>
                    <w:t>“</w:t>
                  </w:r>
                  <w:r>
                    <w:rPr>
                      <w:rFonts w:hint="eastAsia" w:cs="宋体"/>
                      <w:kern w:val="0"/>
                      <w:szCs w:val="21"/>
                    </w:rPr>
                    <w:t>一湖两江</w:t>
                  </w:r>
                  <w:r>
                    <w:rPr>
                      <w:rFonts w:cs="宋体"/>
                      <w:kern w:val="0"/>
                      <w:szCs w:val="21"/>
                    </w:rPr>
                    <w:t>”</w:t>
                  </w:r>
                  <w:r>
                    <w:rPr>
                      <w:rFonts w:hint="eastAsia" w:cs="宋体"/>
                      <w:kern w:val="0"/>
                      <w:szCs w:val="21"/>
                    </w:rPr>
                    <w:t>流域水环境保护工作的若干规定》。</w:t>
                  </w:r>
                </w:p>
              </w:tc>
              <w:tc>
                <w:tcPr>
                  <w:tcW w:w="2561" w:type="dxa"/>
                  <w:vAlign w:val="center"/>
                </w:tcPr>
                <w:p>
                  <w:pPr>
                    <w:autoSpaceDE w:val="0"/>
                    <w:autoSpaceDN w:val="0"/>
                    <w:adjustRightInd w:val="0"/>
                    <w:jc w:val="center"/>
                    <w:rPr>
                      <w:rFonts w:cs="宋体"/>
                      <w:kern w:val="0"/>
                      <w:szCs w:val="21"/>
                    </w:rPr>
                  </w:pPr>
                  <w:r>
                    <w:rPr>
                      <w:rFonts w:hint="eastAsia" w:cs="宋体"/>
                      <w:kern w:val="0"/>
                      <w:szCs w:val="21"/>
                    </w:rPr>
                    <w:t>技改项目选址符合《昆明市人民政府关于加强</w:t>
                  </w:r>
                  <w:r>
                    <w:rPr>
                      <w:rFonts w:cs="宋体"/>
                      <w:kern w:val="0"/>
                      <w:szCs w:val="21"/>
                    </w:rPr>
                    <w:t>“</w:t>
                  </w:r>
                  <w:r>
                    <w:rPr>
                      <w:rFonts w:hint="eastAsia" w:cs="宋体"/>
                      <w:kern w:val="0"/>
                      <w:szCs w:val="21"/>
                    </w:rPr>
                    <w:t>一湖两江</w:t>
                  </w:r>
                  <w:r>
                    <w:rPr>
                      <w:rFonts w:cs="宋体"/>
                      <w:kern w:val="0"/>
                      <w:szCs w:val="21"/>
                    </w:rPr>
                    <w:t>”</w:t>
                  </w:r>
                  <w:r>
                    <w:rPr>
                      <w:rFonts w:hint="eastAsia" w:cs="宋体"/>
                      <w:kern w:val="0"/>
                      <w:szCs w:val="21"/>
                    </w:rPr>
                    <w:t>流域水环境保护工作的若干规定》</w:t>
                  </w:r>
                </w:p>
              </w:tc>
              <w:tc>
                <w:tcPr>
                  <w:tcW w:w="569" w:type="dxa"/>
                  <w:vAlign w:val="center"/>
                </w:tcPr>
                <w:p>
                  <w:pPr>
                    <w:autoSpaceDE w:val="0"/>
                    <w:autoSpaceDN w:val="0"/>
                    <w:adjustRightInd w:val="0"/>
                    <w:jc w:val="center"/>
                    <w:rPr>
                      <w:rFonts w:cs="宋体"/>
                      <w:kern w:val="0"/>
                      <w:szCs w:val="21"/>
                    </w:rPr>
                  </w:pPr>
                  <w:r>
                    <w:rPr>
                      <w:rFonts w:hint="eastAsia" w:cs="宋体"/>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trPr>
              <w:tc>
                <w:tcPr>
                  <w:tcW w:w="1202" w:type="dxa"/>
                  <w:vMerge w:val="continue"/>
                  <w:vAlign w:val="center"/>
                </w:tcPr>
                <w:p>
                  <w:pPr>
                    <w:autoSpaceDE w:val="0"/>
                    <w:autoSpaceDN w:val="0"/>
                    <w:adjustRightInd w:val="0"/>
                    <w:jc w:val="center"/>
                    <w:rPr>
                      <w:kern w:val="0"/>
                      <w:szCs w:val="21"/>
                    </w:rPr>
                  </w:pPr>
                </w:p>
              </w:tc>
              <w:tc>
                <w:tcPr>
                  <w:tcW w:w="3890" w:type="dxa"/>
                  <w:vAlign w:val="center"/>
                </w:tcPr>
                <w:p>
                  <w:pPr>
                    <w:autoSpaceDE w:val="0"/>
                    <w:autoSpaceDN w:val="0"/>
                    <w:adjustRightInd w:val="0"/>
                    <w:jc w:val="center"/>
                    <w:rPr>
                      <w:rFonts w:cs="宋体"/>
                      <w:kern w:val="0"/>
                      <w:szCs w:val="21"/>
                    </w:rPr>
                  </w:pPr>
                  <w:r>
                    <w:rPr>
                      <w:rFonts w:hint="eastAsia" w:cs="宋体"/>
                      <w:kern w:val="0"/>
                      <w:szCs w:val="21"/>
                    </w:rPr>
                    <w:t>⑧入驻企业清洁生产水平应达到国内先进水平以上。</w:t>
                  </w:r>
                </w:p>
              </w:tc>
              <w:tc>
                <w:tcPr>
                  <w:tcW w:w="2561" w:type="dxa"/>
                  <w:vAlign w:val="center"/>
                </w:tcPr>
                <w:p>
                  <w:pPr>
                    <w:autoSpaceDE w:val="0"/>
                    <w:autoSpaceDN w:val="0"/>
                    <w:adjustRightInd w:val="0"/>
                    <w:jc w:val="center"/>
                    <w:rPr>
                      <w:kern w:val="0"/>
                      <w:szCs w:val="21"/>
                    </w:rPr>
                  </w:pPr>
                  <w:r>
                    <w:rPr>
                      <w:rFonts w:hint="eastAsia"/>
                      <w:kern w:val="0"/>
                      <w:szCs w:val="21"/>
                    </w:rPr>
                    <w:t>技改完成后，削减燃煤的使用量，部分用天然气替代，</w:t>
                  </w:r>
                  <w:r>
                    <w:rPr>
                      <w:rFonts w:hint="eastAsia" w:cs="宋体"/>
                      <w:kern w:val="0"/>
                      <w:szCs w:val="21"/>
                    </w:rPr>
                    <w:t>天然气为清洁能源，</w:t>
                  </w:r>
                  <w:r>
                    <w:rPr>
                      <w:rFonts w:hint="eastAsia"/>
                      <w:kern w:val="0"/>
                      <w:szCs w:val="21"/>
                    </w:rPr>
                    <w:t>满足</w:t>
                  </w:r>
                  <w:r>
                    <w:rPr>
                      <w:rFonts w:hint="eastAsia" w:cs="宋体"/>
                      <w:kern w:val="0"/>
                      <w:szCs w:val="21"/>
                    </w:rPr>
                    <w:t>资源节约的原则。</w:t>
                  </w:r>
                </w:p>
              </w:tc>
              <w:tc>
                <w:tcPr>
                  <w:tcW w:w="569" w:type="dxa"/>
                  <w:vAlign w:val="center"/>
                </w:tcPr>
                <w:p>
                  <w:pPr>
                    <w:autoSpaceDE w:val="0"/>
                    <w:autoSpaceDN w:val="0"/>
                    <w:adjustRightInd w:val="0"/>
                    <w:jc w:val="center"/>
                    <w:rPr>
                      <w:rFonts w:cs="宋体"/>
                      <w:kern w:val="0"/>
                      <w:szCs w:val="21"/>
                    </w:rPr>
                  </w:pPr>
                  <w:r>
                    <w:rPr>
                      <w:rFonts w:hint="eastAsia" w:cs="宋体"/>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trPr>
              <w:tc>
                <w:tcPr>
                  <w:tcW w:w="1202" w:type="dxa"/>
                  <w:vMerge w:val="continue"/>
                  <w:vAlign w:val="center"/>
                </w:tcPr>
                <w:p>
                  <w:pPr>
                    <w:autoSpaceDE w:val="0"/>
                    <w:autoSpaceDN w:val="0"/>
                    <w:adjustRightInd w:val="0"/>
                    <w:jc w:val="center"/>
                    <w:rPr>
                      <w:kern w:val="0"/>
                      <w:szCs w:val="21"/>
                    </w:rPr>
                  </w:pPr>
                </w:p>
              </w:tc>
              <w:tc>
                <w:tcPr>
                  <w:tcW w:w="3890" w:type="dxa"/>
                  <w:vAlign w:val="center"/>
                </w:tcPr>
                <w:p>
                  <w:pPr>
                    <w:autoSpaceDE w:val="0"/>
                    <w:autoSpaceDN w:val="0"/>
                    <w:adjustRightInd w:val="0"/>
                    <w:jc w:val="center"/>
                    <w:rPr>
                      <w:rFonts w:cs="宋体"/>
                      <w:kern w:val="0"/>
                      <w:szCs w:val="21"/>
                    </w:rPr>
                  </w:pPr>
                  <w:r>
                    <w:rPr>
                      <w:rFonts w:hint="eastAsia" w:cs="宋体"/>
                      <w:kern w:val="0"/>
                      <w:szCs w:val="21"/>
                    </w:rPr>
                    <w:t>⑨滇池流域不得引进违反《云南省滇池保护条例》（</w:t>
                  </w:r>
                  <w:r>
                    <w:rPr>
                      <w:kern w:val="0"/>
                      <w:szCs w:val="21"/>
                    </w:rPr>
                    <w:t>2013</w:t>
                  </w:r>
                  <w:r>
                    <w:rPr>
                      <w:rFonts w:hint="eastAsia" w:cs="宋体"/>
                      <w:kern w:val="0"/>
                      <w:szCs w:val="21"/>
                    </w:rPr>
                    <w:t>年</w:t>
                  </w:r>
                  <w:r>
                    <w:rPr>
                      <w:kern w:val="0"/>
                      <w:szCs w:val="21"/>
                    </w:rPr>
                    <w:t>1</w:t>
                  </w:r>
                  <w:r>
                    <w:rPr>
                      <w:rFonts w:hint="eastAsia" w:cs="宋体"/>
                      <w:kern w:val="0"/>
                      <w:szCs w:val="21"/>
                    </w:rPr>
                    <w:t>月</w:t>
                  </w:r>
                  <w:r>
                    <w:rPr>
                      <w:kern w:val="0"/>
                      <w:szCs w:val="21"/>
                    </w:rPr>
                    <w:t>1</w:t>
                  </w:r>
                  <w:r>
                    <w:rPr>
                      <w:rFonts w:hint="eastAsia" w:cs="宋体"/>
                      <w:kern w:val="0"/>
                      <w:szCs w:val="21"/>
                    </w:rPr>
                    <w:t>日执行）限制或禁止建设的项目，即：严禁在滇池盆地区（上蒜、晋城、青山、宝峰、乌龙基地）新建钢铁、有色冶金、基础化工、石油化工、化肥、农药、电镀、造纸制浆、制革、印染、石棉制品、土硫磺、土磷肥和染料等污染严重的企业和项目。</w:t>
                  </w:r>
                </w:p>
              </w:tc>
              <w:tc>
                <w:tcPr>
                  <w:tcW w:w="2561" w:type="dxa"/>
                  <w:vAlign w:val="center"/>
                </w:tcPr>
                <w:p>
                  <w:pPr>
                    <w:autoSpaceDE w:val="0"/>
                    <w:autoSpaceDN w:val="0"/>
                    <w:adjustRightInd w:val="0"/>
                    <w:jc w:val="center"/>
                    <w:rPr>
                      <w:rFonts w:cs="宋体"/>
                      <w:kern w:val="0"/>
                      <w:szCs w:val="21"/>
                    </w:rPr>
                  </w:pPr>
                  <w:r>
                    <w:rPr>
                      <w:rFonts w:hint="eastAsia" w:cs="宋体"/>
                      <w:kern w:val="0"/>
                      <w:szCs w:val="21"/>
                    </w:rPr>
                    <w:t>技改项目所在区域为于晋宁工业园区二街基地，不属于滇池流域范围</w:t>
                  </w:r>
                </w:p>
              </w:tc>
              <w:tc>
                <w:tcPr>
                  <w:tcW w:w="569" w:type="dxa"/>
                  <w:vAlign w:val="center"/>
                </w:tcPr>
                <w:p>
                  <w:pPr>
                    <w:autoSpaceDE w:val="0"/>
                    <w:autoSpaceDN w:val="0"/>
                    <w:adjustRightInd w:val="0"/>
                    <w:jc w:val="center"/>
                    <w:rPr>
                      <w:rFonts w:cs="宋体"/>
                      <w:kern w:val="0"/>
                      <w:szCs w:val="21"/>
                    </w:rPr>
                  </w:pPr>
                  <w:r>
                    <w:rPr>
                      <w:rFonts w:hint="eastAsia" w:cs="宋体"/>
                      <w:kern w:val="0"/>
                      <w:szCs w:val="21"/>
                    </w:rPr>
                    <w:t>符合</w:t>
                  </w:r>
                </w:p>
              </w:tc>
            </w:tr>
          </w:tbl>
          <w:p>
            <w:pPr>
              <w:pStyle w:val="9"/>
            </w:pPr>
          </w:p>
          <w:p>
            <w:pPr>
              <w:adjustRightInd w:val="0"/>
              <w:snapToGrid w:val="0"/>
              <w:spacing w:line="360" w:lineRule="auto"/>
              <w:jc w:val="left"/>
              <w:outlineLvl w:val="2"/>
              <w:rPr>
                <w:b/>
                <w:bCs/>
                <w:sz w:val="24"/>
              </w:rPr>
            </w:pPr>
            <w:bookmarkStart w:id="6" w:name="_Toc117775767"/>
            <w:r>
              <w:rPr>
                <w:b/>
                <w:bCs/>
                <w:sz w:val="24"/>
              </w:rPr>
              <w:t>2</w:t>
            </w:r>
            <w:r>
              <w:rPr>
                <w:rFonts w:hint="eastAsia"/>
                <w:b/>
                <w:bCs/>
                <w:sz w:val="24"/>
              </w:rPr>
              <w:t>、与《晋宁县工业园区总体规划修编（2012-2030）环境影响报告书》及审查意见相符性分析</w:t>
            </w:r>
            <w:bookmarkEnd w:id="6"/>
          </w:p>
          <w:p>
            <w:pPr>
              <w:tabs>
                <w:tab w:val="left" w:pos="9360"/>
              </w:tabs>
              <w:spacing w:line="360" w:lineRule="auto"/>
              <w:ind w:firstLine="480" w:firstLineChars="200"/>
              <w:rPr>
                <w:sz w:val="24"/>
              </w:rPr>
            </w:pPr>
            <w:r>
              <w:rPr>
                <w:rFonts w:hint="eastAsia"/>
                <w:sz w:val="24"/>
              </w:rPr>
              <w:t>2014年4月，云南省工业和信息化委员会委托云南大学编制完成了《晋宁县工业园区总体规划修编（2012-2030）环境影响报告书》，云南省环境保护厅于2013年10月18日组织专家对该环评进行评审并通过，并于2014年4月18日出具了《云南省环境保护厅关于&lt;晋宁县工业园区总体规划修编（2012-2030）环境影响报告书&gt;审查意见的函》（云环函[2014]131号文）。技改项目与园区规划环评及其审查意见符合性分析详见下表。</w:t>
            </w:r>
          </w:p>
          <w:p>
            <w:pPr>
              <w:adjustRightInd w:val="0"/>
              <w:snapToGrid w:val="0"/>
              <w:spacing w:line="360" w:lineRule="auto"/>
              <w:jc w:val="center"/>
              <w:rPr>
                <w:rFonts w:cs="宋体"/>
                <w:b/>
                <w:bCs/>
                <w:szCs w:val="21"/>
                <w:lang w:bidi="ar"/>
              </w:rPr>
            </w:pPr>
            <w:r>
              <w:rPr>
                <w:rFonts w:hint="eastAsia" w:cs="宋体"/>
                <w:b/>
                <w:bCs/>
                <w:szCs w:val="21"/>
                <w:lang w:bidi="ar"/>
              </w:rPr>
              <w:t>表1</w:t>
            </w:r>
            <w:r>
              <w:rPr>
                <w:rFonts w:cs="宋体"/>
                <w:b/>
                <w:bCs/>
                <w:szCs w:val="21"/>
                <w:lang w:bidi="ar"/>
              </w:rPr>
              <w:t>-3</w:t>
            </w:r>
            <w:r>
              <w:rPr>
                <w:rFonts w:hint="eastAsia" w:cs="宋体"/>
                <w:b/>
                <w:bCs/>
                <w:szCs w:val="21"/>
                <w:lang w:bidi="ar"/>
              </w:rPr>
              <w:t xml:space="preserve"> </w:t>
            </w:r>
            <w:r>
              <w:rPr>
                <w:rFonts w:cs="宋体"/>
                <w:b/>
                <w:bCs/>
                <w:szCs w:val="21"/>
                <w:lang w:bidi="ar"/>
              </w:rPr>
              <w:t xml:space="preserve"> </w:t>
            </w:r>
            <w:r>
              <w:rPr>
                <w:rFonts w:hint="eastAsia" w:cs="宋体"/>
                <w:b/>
                <w:bCs/>
                <w:szCs w:val="21"/>
                <w:lang w:bidi="ar"/>
              </w:rPr>
              <w:t>技改项目与规划环评及其审查意见的符合性分析</w:t>
            </w:r>
          </w:p>
          <w:tbl>
            <w:tblPr>
              <w:tblStyle w:val="22"/>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681"/>
              <w:gridCol w:w="3160"/>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trPr>
              <w:tc>
                <w:tcPr>
                  <w:tcW w:w="906" w:type="dxa"/>
                  <w:vAlign w:val="center"/>
                </w:tcPr>
                <w:p>
                  <w:pPr>
                    <w:autoSpaceDE w:val="0"/>
                    <w:autoSpaceDN w:val="0"/>
                    <w:adjustRightInd w:val="0"/>
                    <w:jc w:val="center"/>
                    <w:rPr>
                      <w:b/>
                      <w:kern w:val="0"/>
                      <w:szCs w:val="21"/>
                    </w:rPr>
                  </w:pPr>
                  <w:r>
                    <w:rPr>
                      <w:rFonts w:hint="eastAsia" w:cs="宋体"/>
                      <w:b/>
                      <w:kern w:val="0"/>
                      <w:szCs w:val="21"/>
                    </w:rPr>
                    <w:t>项目</w:t>
                  </w:r>
                </w:p>
              </w:tc>
              <w:tc>
                <w:tcPr>
                  <w:tcW w:w="3681" w:type="dxa"/>
                  <w:vAlign w:val="center"/>
                </w:tcPr>
                <w:p>
                  <w:pPr>
                    <w:autoSpaceDE w:val="0"/>
                    <w:autoSpaceDN w:val="0"/>
                    <w:adjustRightInd w:val="0"/>
                    <w:jc w:val="center"/>
                    <w:rPr>
                      <w:b/>
                      <w:kern w:val="0"/>
                      <w:szCs w:val="21"/>
                    </w:rPr>
                  </w:pPr>
                  <w:r>
                    <w:rPr>
                      <w:rFonts w:hint="eastAsia" w:cs="宋体"/>
                      <w:b/>
                      <w:kern w:val="0"/>
                      <w:szCs w:val="21"/>
                    </w:rPr>
                    <w:t>规划及规划环评要求</w:t>
                  </w:r>
                </w:p>
              </w:tc>
              <w:tc>
                <w:tcPr>
                  <w:tcW w:w="3160" w:type="dxa"/>
                  <w:vAlign w:val="center"/>
                </w:tcPr>
                <w:p>
                  <w:pPr>
                    <w:autoSpaceDE w:val="0"/>
                    <w:autoSpaceDN w:val="0"/>
                    <w:adjustRightInd w:val="0"/>
                    <w:jc w:val="center"/>
                    <w:rPr>
                      <w:b/>
                      <w:kern w:val="0"/>
                      <w:szCs w:val="21"/>
                    </w:rPr>
                  </w:pPr>
                  <w:r>
                    <w:rPr>
                      <w:rFonts w:hint="eastAsia" w:cs="宋体"/>
                      <w:b/>
                      <w:kern w:val="0"/>
                      <w:szCs w:val="21"/>
                    </w:rPr>
                    <w:t>本项目情况</w:t>
                  </w:r>
                </w:p>
              </w:tc>
              <w:tc>
                <w:tcPr>
                  <w:tcW w:w="475" w:type="dxa"/>
                  <w:vAlign w:val="center"/>
                </w:tcPr>
                <w:p>
                  <w:pPr>
                    <w:autoSpaceDE w:val="0"/>
                    <w:autoSpaceDN w:val="0"/>
                    <w:adjustRightInd w:val="0"/>
                    <w:jc w:val="center"/>
                    <w:rPr>
                      <w:rFonts w:cs="宋体"/>
                      <w:b/>
                      <w:kern w:val="0"/>
                      <w:szCs w:val="21"/>
                    </w:rPr>
                  </w:pPr>
                  <w:r>
                    <w:rPr>
                      <w:rFonts w:hint="eastAsia" w:cs="宋体"/>
                      <w:b/>
                      <w:kern w:val="0"/>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trPr>
              <w:tc>
                <w:tcPr>
                  <w:tcW w:w="906" w:type="dxa"/>
                  <w:vAlign w:val="center"/>
                </w:tcPr>
                <w:p>
                  <w:pPr>
                    <w:autoSpaceDE w:val="0"/>
                    <w:autoSpaceDN w:val="0"/>
                    <w:adjustRightInd w:val="0"/>
                    <w:jc w:val="center"/>
                    <w:rPr>
                      <w:kern w:val="0"/>
                      <w:szCs w:val="21"/>
                    </w:rPr>
                  </w:pPr>
                  <w:r>
                    <w:rPr>
                      <w:rFonts w:hint="eastAsia" w:cs="宋体"/>
                      <w:kern w:val="0"/>
                      <w:szCs w:val="21"/>
                    </w:rPr>
                    <w:t>关于园区规划范围和产业布局</w:t>
                  </w:r>
                </w:p>
              </w:tc>
              <w:tc>
                <w:tcPr>
                  <w:tcW w:w="3681" w:type="dxa"/>
                  <w:vAlign w:val="center"/>
                </w:tcPr>
                <w:p>
                  <w:pPr>
                    <w:autoSpaceDE w:val="0"/>
                    <w:autoSpaceDN w:val="0"/>
                    <w:adjustRightInd w:val="0"/>
                    <w:jc w:val="center"/>
                    <w:rPr>
                      <w:kern w:val="0"/>
                      <w:szCs w:val="21"/>
                    </w:rPr>
                  </w:pPr>
                  <w:r>
                    <w:rPr>
                      <w:rFonts w:hint="eastAsia" w:cs="宋体"/>
                      <w:kern w:val="0"/>
                      <w:szCs w:val="21"/>
                    </w:rPr>
                    <w:t>二街基地位于昆明市和安宁市的上风向，同时距离二街集镇较近，布局的有色金属、磷化工产业对上述区域有一定的影响，应调整产业结构，布局污染较小的有色金属制品加工及精细磷化工产业</w:t>
                  </w:r>
                </w:p>
              </w:tc>
              <w:tc>
                <w:tcPr>
                  <w:tcW w:w="3160" w:type="dxa"/>
                  <w:vAlign w:val="center"/>
                </w:tcPr>
                <w:p>
                  <w:pPr>
                    <w:autoSpaceDE w:val="0"/>
                    <w:autoSpaceDN w:val="0"/>
                    <w:adjustRightInd w:val="0"/>
                    <w:jc w:val="center"/>
                    <w:rPr>
                      <w:kern w:val="0"/>
                      <w:szCs w:val="21"/>
                    </w:rPr>
                  </w:pPr>
                  <w:r>
                    <w:rPr>
                      <w:rFonts w:hint="eastAsia"/>
                      <w:kern w:val="0"/>
                      <w:szCs w:val="21"/>
                    </w:rPr>
                    <w:t>技改项目在云南磷化集团有限公司835装置现有厂区内建设，项目厂址位于二街基地。技改项目以公司生产的饲料级磷酸为原料生产M</w:t>
                  </w:r>
                  <w:r>
                    <w:rPr>
                      <w:kern w:val="0"/>
                      <w:szCs w:val="21"/>
                    </w:rPr>
                    <w:t>D</w:t>
                  </w:r>
                  <w:r>
                    <w:rPr>
                      <w:rFonts w:hint="eastAsia"/>
                      <w:kern w:val="0"/>
                      <w:szCs w:val="21"/>
                    </w:rPr>
                    <w:t>CP，属于精细化工产品范畴。</w:t>
                  </w:r>
                </w:p>
              </w:tc>
              <w:tc>
                <w:tcPr>
                  <w:tcW w:w="475" w:type="dxa"/>
                  <w:vAlign w:val="center"/>
                </w:tcPr>
                <w:p>
                  <w:pPr>
                    <w:autoSpaceDE w:val="0"/>
                    <w:autoSpaceDN w:val="0"/>
                    <w:adjustRightInd w:val="0"/>
                    <w:jc w:val="center"/>
                    <w:rPr>
                      <w:rFonts w:cs="宋体"/>
                      <w:kern w:val="0"/>
                      <w:szCs w:val="21"/>
                    </w:rPr>
                  </w:pPr>
                  <w:r>
                    <w:rPr>
                      <w:rFonts w:hint="eastAsia" w:cs="宋体"/>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trPr>
              <w:tc>
                <w:tcPr>
                  <w:tcW w:w="906" w:type="dxa"/>
                  <w:vAlign w:val="center"/>
                </w:tcPr>
                <w:p>
                  <w:pPr>
                    <w:autoSpaceDE w:val="0"/>
                    <w:autoSpaceDN w:val="0"/>
                    <w:adjustRightInd w:val="0"/>
                    <w:jc w:val="center"/>
                    <w:rPr>
                      <w:kern w:val="0"/>
                      <w:szCs w:val="21"/>
                    </w:rPr>
                  </w:pPr>
                  <w:r>
                    <w:rPr>
                      <w:rFonts w:hint="eastAsia" w:cs="宋体"/>
                      <w:kern w:val="0"/>
                      <w:szCs w:val="21"/>
                    </w:rPr>
                    <w:t>关于园区水环境保护问题</w:t>
                  </w:r>
                </w:p>
              </w:tc>
              <w:tc>
                <w:tcPr>
                  <w:tcW w:w="3681" w:type="dxa"/>
                  <w:vAlign w:val="center"/>
                </w:tcPr>
                <w:p>
                  <w:pPr>
                    <w:autoSpaceDE w:val="0"/>
                    <w:autoSpaceDN w:val="0"/>
                    <w:adjustRightInd w:val="0"/>
                    <w:jc w:val="center"/>
                    <w:rPr>
                      <w:kern w:val="0"/>
                      <w:szCs w:val="21"/>
                    </w:rPr>
                  </w:pPr>
                  <w:r>
                    <w:rPr>
                      <w:rFonts w:hint="eastAsia" w:cs="宋体"/>
                      <w:kern w:val="0"/>
                      <w:szCs w:val="21"/>
                    </w:rPr>
                    <w:t>按照</w:t>
                  </w:r>
                  <w:r>
                    <w:rPr>
                      <w:rFonts w:cs="宋体"/>
                      <w:kern w:val="0"/>
                      <w:szCs w:val="21"/>
                    </w:rPr>
                    <w:t>“</w:t>
                  </w:r>
                  <w:r>
                    <w:rPr>
                      <w:rFonts w:hint="eastAsia" w:cs="宋体"/>
                      <w:kern w:val="0"/>
                      <w:szCs w:val="21"/>
                    </w:rPr>
                    <w:t>雨污分流、生产废水和生活污水分流、分散与集中处理相结合</w:t>
                  </w:r>
                  <w:r>
                    <w:rPr>
                      <w:rFonts w:cs="宋体"/>
                      <w:kern w:val="0"/>
                      <w:szCs w:val="21"/>
                    </w:rPr>
                    <w:t>”</w:t>
                  </w:r>
                  <w:r>
                    <w:rPr>
                      <w:rFonts w:hint="eastAsia" w:cs="宋体"/>
                      <w:kern w:val="0"/>
                      <w:szCs w:val="21"/>
                    </w:rPr>
                    <w:t>的原则，规范设计和建设各工业片区初期雨水收集系统、事故水收集系统、生活污水、生产废水的收集处理系统和回用系统。</w:t>
                  </w:r>
                </w:p>
              </w:tc>
              <w:tc>
                <w:tcPr>
                  <w:tcW w:w="3160" w:type="dxa"/>
                  <w:vAlign w:val="center"/>
                </w:tcPr>
                <w:p>
                  <w:pPr>
                    <w:autoSpaceDE w:val="0"/>
                    <w:autoSpaceDN w:val="0"/>
                    <w:adjustRightInd w:val="0"/>
                    <w:jc w:val="center"/>
                    <w:rPr>
                      <w:kern w:val="0"/>
                      <w:szCs w:val="21"/>
                    </w:rPr>
                  </w:pPr>
                  <w:r>
                    <w:rPr>
                      <w:rFonts w:hint="eastAsia"/>
                      <w:kern w:val="0"/>
                      <w:szCs w:val="21"/>
                    </w:rPr>
                    <w:t>技改项目在现有厂区内进行建设，不新增占地，现有厂区已建设有完善的初期雨水收集系统、事故水收集系统、生活污水、生产废水的收集处理系统和回用系统。且目前厂区已实现废水全部回用，不外排外环境。</w:t>
                  </w:r>
                </w:p>
              </w:tc>
              <w:tc>
                <w:tcPr>
                  <w:tcW w:w="475" w:type="dxa"/>
                  <w:vAlign w:val="center"/>
                </w:tcPr>
                <w:p>
                  <w:pPr>
                    <w:jc w:val="center"/>
                    <w:rPr>
                      <w:szCs w:val="21"/>
                    </w:rPr>
                  </w:pPr>
                  <w:r>
                    <w:rPr>
                      <w:rFonts w:hint="eastAsia" w:cs="宋体"/>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trPr>
              <w:tc>
                <w:tcPr>
                  <w:tcW w:w="906" w:type="dxa"/>
                  <w:vMerge w:val="restart"/>
                  <w:vAlign w:val="center"/>
                </w:tcPr>
                <w:p>
                  <w:pPr>
                    <w:autoSpaceDE w:val="0"/>
                    <w:autoSpaceDN w:val="0"/>
                    <w:adjustRightInd w:val="0"/>
                    <w:jc w:val="center"/>
                    <w:rPr>
                      <w:rFonts w:cs="宋体"/>
                      <w:kern w:val="0"/>
                      <w:szCs w:val="21"/>
                    </w:rPr>
                  </w:pPr>
                  <w:r>
                    <w:rPr>
                      <w:rFonts w:hint="eastAsia" w:cs="宋体"/>
                      <w:kern w:val="0"/>
                      <w:szCs w:val="21"/>
                    </w:rPr>
                    <w:t>关于园区大气环境保护问题</w:t>
                  </w:r>
                </w:p>
              </w:tc>
              <w:tc>
                <w:tcPr>
                  <w:tcW w:w="3681" w:type="dxa"/>
                  <w:vAlign w:val="center"/>
                </w:tcPr>
                <w:p>
                  <w:pPr>
                    <w:autoSpaceDE w:val="0"/>
                    <w:autoSpaceDN w:val="0"/>
                    <w:adjustRightInd w:val="0"/>
                    <w:jc w:val="center"/>
                    <w:rPr>
                      <w:rFonts w:cs="宋体"/>
                      <w:kern w:val="0"/>
                      <w:szCs w:val="21"/>
                    </w:rPr>
                  </w:pPr>
                  <w:r>
                    <w:rPr>
                      <w:rFonts w:hint="eastAsia" w:cs="宋体"/>
                      <w:kern w:val="0"/>
                      <w:szCs w:val="21"/>
                    </w:rPr>
                    <w:t>严格控制处于昆明市、安宁市和海口新区上风向的二街基地的能源结构以及影响环境的大气污染物的排放，除对原有企业的升级改造外，不宜再新增布局有色金属和粗放型的磷工业等大气污染严重产业。</w:t>
                  </w:r>
                </w:p>
              </w:tc>
              <w:tc>
                <w:tcPr>
                  <w:tcW w:w="3160" w:type="dxa"/>
                  <w:vAlign w:val="center"/>
                </w:tcPr>
                <w:p>
                  <w:pPr>
                    <w:autoSpaceDE w:val="0"/>
                    <w:autoSpaceDN w:val="0"/>
                    <w:adjustRightInd w:val="0"/>
                    <w:jc w:val="center"/>
                    <w:rPr>
                      <w:rFonts w:cs="宋体"/>
                      <w:kern w:val="0"/>
                      <w:szCs w:val="21"/>
                    </w:rPr>
                  </w:pPr>
                  <w:r>
                    <w:rPr>
                      <w:rFonts w:hint="eastAsia" w:cs="宋体"/>
                      <w:kern w:val="0"/>
                      <w:szCs w:val="21"/>
                    </w:rPr>
                    <w:t>本次技改项目在厂区内进行建设，对现有装置进行技改，技改完成后，部分煤用量被天然气替代，削减二氧化硫的排放，运营期废气可达标排放，对周围环境影响不大。</w:t>
                  </w:r>
                </w:p>
              </w:tc>
              <w:tc>
                <w:tcPr>
                  <w:tcW w:w="475" w:type="dxa"/>
                  <w:vAlign w:val="center"/>
                </w:tcPr>
                <w:p>
                  <w:pPr>
                    <w:jc w:val="center"/>
                    <w:rPr>
                      <w:szCs w:val="21"/>
                    </w:rPr>
                  </w:pPr>
                  <w:r>
                    <w:rPr>
                      <w:rFonts w:hint="eastAsia" w:cs="宋体"/>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trPr>
              <w:tc>
                <w:tcPr>
                  <w:tcW w:w="906" w:type="dxa"/>
                  <w:vMerge w:val="continue"/>
                  <w:vAlign w:val="center"/>
                </w:tcPr>
                <w:p>
                  <w:pPr>
                    <w:autoSpaceDE w:val="0"/>
                    <w:autoSpaceDN w:val="0"/>
                    <w:adjustRightInd w:val="0"/>
                    <w:jc w:val="center"/>
                    <w:rPr>
                      <w:kern w:val="0"/>
                      <w:szCs w:val="21"/>
                    </w:rPr>
                  </w:pPr>
                </w:p>
              </w:tc>
              <w:tc>
                <w:tcPr>
                  <w:tcW w:w="3681" w:type="dxa"/>
                  <w:vAlign w:val="center"/>
                </w:tcPr>
                <w:p>
                  <w:pPr>
                    <w:autoSpaceDE w:val="0"/>
                    <w:autoSpaceDN w:val="0"/>
                    <w:adjustRightInd w:val="0"/>
                    <w:jc w:val="center"/>
                    <w:rPr>
                      <w:kern w:val="0"/>
                      <w:szCs w:val="21"/>
                    </w:rPr>
                  </w:pPr>
                  <w:r>
                    <w:rPr>
                      <w:rFonts w:hint="eastAsia" w:cs="宋体"/>
                      <w:kern w:val="0"/>
                      <w:szCs w:val="21"/>
                    </w:rPr>
                    <w:t>园区应与城镇发展规划、园内村庄搬迁及园内现有村庄保持必要的环境防护距离，入园企业用严格按照建设项目环境影响评价文件明确的环境防护距离要求进行选址，防止对保留村庄的环境污染影响。</w:t>
                  </w:r>
                </w:p>
              </w:tc>
              <w:tc>
                <w:tcPr>
                  <w:tcW w:w="3160" w:type="dxa"/>
                  <w:vAlign w:val="center"/>
                </w:tcPr>
                <w:p>
                  <w:pPr>
                    <w:autoSpaceDE w:val="0"/>
                    <w:autoSpaceDN w:val="0"/>
                    <w:adjustRightInd w:val="0"/>
                    <w:jc w:val="center"/>
                    <w:rPr>
                      <w:kern w:val="0"/>
                      <w:szCs w:val="21"/>
                    </w:rPr>
                  </w:pPr>
                  <w:r>
                    <w:rPr>
                      <w:rFonts w:hint="eastAsia"/>
                      <w:kern w:val="0"/>
                      <w:szCs w:val="21"/>
                    </w:rPr>
                    <w:t>项目在现有厂区内进行技改建设，不涉及卫生防护距离，也不涉及搬迁。</w:t>
                  </w:r>
                </w:p>
              </w:tc>
              <w:tc>
                <w:tcPr>
                  <w:tcW w:w="475" w:type="dxa"/>
                  <w:vAlign w:val="center"/>
                </w:tcPr>
                <w:p>
                  <w:pPr>
                    <w:jc w:val="center"/>
                    <w:rPr>
                      <w:szCs w:val="21"/>
                    </w:rPr>
                  </w:pPr>
                  <w:r>
                    <w:rPr>
                      <w:rFonts w:hint="eastAsia" w:cs="宋体"/>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trPr>
              <w:tc>
                <w:tcPr>
                  <w:tcW w:w="906" w:type="dxa"/>
                  <w:vAlign w:val="center"/>
                </w:tcPr>
                <w:p>
                  <w:pPr>
                    <w:autoSpaceDE w:val="0"/>
                    <w:autoSpaceDN w:val="0"/>
                    <w:adjustRightInd w:val="0"/>
                    <w:jc w:val="center"/>
                    <w:rPr>
                      <w:kern w:val="0"/>
                      <w:szCs w:val="21"/>
                    </w:rPr>
                  </w:pPr>
                  <w:r>
                    <w:rPr>
                      <w:rFonts w:hint="eastAsia" w:cs="宋体"/>
                      <w:kern w:val="0"/>
                      <w:szCs w:val="21"/>
                    </w:rPr>
                    <w:t>关于园区固体废弃物处置问题</w:t>
                  </w:r>
                </w:p>
              </w:tc>
              <w:tc>
                <w:tcPr>
                  <w:tcW w:w="3681" w:type="dxa"/>
                  <w:vAlign w:val="center"/>
                </w:tcPr>
                <w:p>
                  <w:pPr>
                    <w:autoSpaceDE w:val="0"/>
                    <w:autoSpaceDN w:val="0"/>
                    <w:adjustRightInd w:val="0"/>
                    <w:jc w:val="center"/>
                    <w:rPr>
                      <w:kern w:val="0"/>
                      <w:szCs w:val="21"/>
                    </w:rPr>
                  </w:pPr>
                  <w:r>
                    <w:rPr>
                      <w:rFonts w:hint="eastAsia" w:cs="宋体"/>
                      <w:kern w:val="0"/>
                      <w:szCs w:val="21"/>
                    </w:rPr>
                    <w:t>园区应加强管理，要求企业自身提高固废回收利用率，同时合理引入下游产业将固体废物充分综合利用，尽量将园区工业固体废物资源化和减量化。二街基地应鼓励精细磷化工的发展，限制初级磷化工的发展。</w:t>
                  </w:r>
                </w:p>
              </w:tc>
              <w:tc>
                <w:tcPr>
                  <w:tcW w:w="3160" w:type="dxa"/>
                  <w:vAlign w:val="center"/>
                </w:tcPr>
                <w:p>
                  <w:pPr>
                    <w:autoSpaceDE w:val="0"/>
                    <w:autoSpaceDN w:val="0"/>
                    <w:adjustRightInd w:val="0"/>
                    <w:jc w:val="center"/>
                    <w:rPr>
                      <w:kern w:val="0"/>
                      <w:szCs w:val="21"/>
                    </w:rPr>
                  </w:pPr>
                  <w:r>
                    <w:rPr>
                      <w:rFonts w:hint="eastAsia"/>
                      <w:kern w:val="0"/>
                      <w:szCs w:val="21"/>
                    </w:rPr>
                    <w:t>本次技改项目生产过程中产生的固废均能妥善处置，100%综合利用，不外排，且项目生产的产品属于精细磷化工产品。</w:t>
                  </w:r>
                </w:p>
              </w:tc>
              <w:tc>
                <w:tcPr>
                  <w:tcW w:w="475" w:type="dxa"/>
                  <w:vAlign w:val="center"/>
                </w:tcPr>
                <w:p>
                  <w:pPr>
                    <w:jc w:val="center"/>
                    <w:rPr>
                      <w:szCs w:val="21"/>
                    </w:rPr>
                  </w:pPr>
                  <w:r>
                    <w:rPr>
                      <w:rFonts w:hint="eastAsia" w:cs="宋体"/>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trPr>
              <w:tc>
                <w:tcPr>
                  <w:tcW w:w="906" w:type="dxa"/>
                  <w:vAlign w:val="center"/>
                </w:tcPr>
                <w:p>
                  <w:pPr>
                    <w:autoSpaceDE w:val="0"/>
                    <w:autoSpaceDN w:val="0"/>
                    <w:adjustRightInd w:val="0"/>
                    <w:jc w:val="center"/>
                    <w:rPr>
                      <w:kern w:val="0"/>
                      <w:szCs w:val="21"/>
                    </w:rPr>
                  </w:pPr>
                  <w:r>
                    <w:rPr>
                      <w:rFonts w:hint="eastAsia" w:cs="宋体"/>
                      <w:kern w:val="0"/>
                      <w:szCs w:val="21"/>
                    </w:rPr>
                    <w:t>关于入园企业的环境准入和现有企业的整治问题</w:t>
                  </w:r>
                </w:p>
              </w:tc>
              <w:tc>
                <w:tcPr>
                  <w:tcW w:w="3681" w:type="dxa"/>
                  <w:vAlign w:val="center"/>
                </w:tcPr>
                <w:p>
                  <w:pPr>
                    <w:autoSpaceDE w:val="0"/>
                    <w:autoSpaceDN w:val="0"/>
                    <w:adjustRightInd w:val="0"/>
                    <w:jc w:val="center"/>
                    <w:rPr>
                      <w:kern w:val="0"/>
                      <w:szCs w:val="21"/>
                    </w:rPr>
                  </w:pPr>
                  <w:r>
                    <w:rPr>
                      <w:rFonts w:hint="eastAsia" w:cs="宋体"/>
                      <w:kern w:val="0"/>
                      <w:szCs w:val="21"/>
                    </w:rPr>
                    <w:t>与园区规划功能不相符的现有企业不得再进行扩建或技改，试行逐步淘汰或转移到与规划相符的相关基地范围内。加快淘汰晋宁县域内不符合产业政策和落后产能的企业，为新入园企业建设腾出环境容量和主要污染物排放总量指标。制定并尽快实施不符合园区功能和布局要求企业的搬迁计划。</w:t>
                  </w:r>
                </w:p>
              </w:tc>
              <w:tc>
                <w:tcPr>
                  <w:tcW w:w="3160" w:type="dxa"/>
                  <w:vAlign w:val="center"/>
                </w:tcPr>
                <w:p>
                  <w:pPr>
                    <w:autoSpaceDE w:val="0"/>
                    <w:autoSpaceDN w:val="0"/>
                    <w:adjustRightInd w:val="0"/>
                    <w:jc w:val="center"/>
                    <w:rPr>
                      <w:kern w:val="0"/>
                      <w:szCs w:val="21"/>
                    </w:rPr>
                  </w:pPr>
                  <w:r>
                    <w:rPr>
                      <w:rFonts w:hint="eastAsia"/>
                      <w:kern w:val="0"/>
                      <w:szCs w:val="21"/>
                    </w:rPr>
                    <w:t>建设项目属于技改项目，在现有厂区内进行建设，且云南磷化集团有限公司属于磷化工企业，生产的产品为精细磷化工产品，与园区的产业结构定位相符。</w:t>
                  </w:r>
                </w:p>
              </w:tc>
              <w:tc>
                <w:tcPr>
                  <w:tcW w:w="475" w:type="dxa"/>
                  <w:vAlign w:val="center"/>
                </w:tcPr>
                <w:p>
                  <w:pPr>
                    <w:jc w:val="center"/>
                    <w:rPr>
                      <w:szCs w:val="21"/>
                    </w:rPr>
                  </w:pPr>
                  <w:r>
                    <w:rPr>
                      <w:rFonts w:hint="eastAsia" w:cs="宋体"/>
                      <w:kern w:val="0"/>
                      <w:szCs w:val="21"/>
                    </w:rPr>
                    <w:t>符合</w:t>
                  </w:r>
                </w:p>
              </w:tc>
            </w:tr>
          </w:tbl>
          <w:p>
            <w:pP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131" w:type="dxa"/>
            <w:vAlign w:val="center"/>
          </w:tcPr>
          <w:p>
            <w:pPr>
              <w:autoSpaceDE w:val="0"/>
              <w:autoSpaceDN w:val="0"/>
              <w:adjustRightInd w:val="0"/>
              <w:snapToGrid w:val="0"/>
              <w:jc w:val="center"/>
              <w:rPr>
                <w:kern w:val="0"/>
                <w:szCs w:val="21"/>
              </w:rPr>
            </w:pPr>
            <w:r>
              <w:rPr>
                <w:kern w:val="0"/>
                <w:szCs w:val="21"/>
              </w:rPr>
              <w:t>其他符合性分析</w:t>
            </w:r>
          </w:p>
        </w:tc>
        <w:tc>
          <w:tcPr>
            <w:tcW w:w="8480" w:type="dxa"/>
            <w:gridSpan w:val="4"/>
            <w:vAlign w:val="center"/>
          </w:tcPr>
          <w:p>
            <w:pPr>
              <w:spacing w:line="360" w:lineRule="auto"/>
              <w:ind w:firstLine="482" w:firstLineChars="200"/>
              <w:rPr>
                <w:b/>
                <w:bCs/>
                <w:sz w:val="24"/>
              </w:rPr>
            </w:pPr>
            <w:r>
              <w:rPr>
                <w:rFonts w:hint="eastAsia"/>
                <w:b/>
                <w:bCs/>
                <w:sz w:val="24"/>
              </w:rPr>
              <w:t>1、规划及产业政策相符性分析</w:t>
            </w:r>
          </w:p>
          <w:p>
            <w:pPr>
              <w:spacing w:line="360" w:lineRule="auto"/>
              <w:ind w:firstLine="482" w:firstLineChars="200"/>
              <w:rPr>
                <w:b/>
                <w:bCs/>
                <w:sz w:val="24"/>
              </w:rPr>
            </w:pPr>
            <w:r>
              <w:rPr>
                <w:rFonts w:hint="eastAsia"/>
                <w:b/>
                <w:bCs/>
                <w:sz w:val="24"/>
              </w:rPr>
              <w:t>1.1产业政策符合性分析</w:t>
            </w:r>
          </w:p>
          <w:p>
            <w:pPr>
              <w:spacing w:line="360" w:lineRule="auto"/>
              <w:ind w:firstLine="480" w:firstLineChars="200"/>
              <w:rPr>
                <w:sz w:val="24"/>
              </w:rPr>
            </w:pPr>
            <w:r>
              <w:rPr>
                <w:rFonts w:hint="eastAsia"/>
                <w:sz w:val="24"/>
              </w:rPr>
              <w:t>项目为在原有燃煤锅炉基础上增设一套天然气燃烧装置，根据国家发展改革委员会公布的“中华人民共和国国家发展和改革委员会第9号令《产业结构调整指导目录（2019年本）》”，本项目属于鼓励类“四十三、环境保护与资源节约综合利用”中第15项“节能、节水、节材环保及资源综合利用等技术开发、应用及设备制造；为用户提供节能、环保、资源综合利用咨询、设计、评估、检测、审计、认证、诊断、融资、改造、运行管理等服务”。因此本项目符合国家产业政策。</w:t>
            </w:r>
          </w:p>
          <w:p>
            <w:pPr>
              <w:spacing w:line="360" w:lineRule="auto"/>
              <w:ind w:firstLine="480" w:firstLineChars="200"/>
              <w:rPr>
                <w:sz w:val="24"/>
              </w:rPr>
            </w:pPr>
            <w:r>
              <w:rPr>
                <w:rFonts w:hint="eastAsia"/>
                <w:sz w:val="24"/>
              </w:rPr>
              <w:t>根据中华人民共和国国家发展和改革委员会第15号令《天然气利用政策（2012）》可知，本项目属于“允许类”第4条“建材、机电、轻纺、石化、冶金等工业领域中环境效益和经济效益较好的——天然气代煤项目”。</w:t>
            </w:r>
          </w:p>
          <w:p>
            <w:pPr>
              <w:spacing w:line="360" w:lineRule="auto"/>
              <w:ind w:firstLine="480" w:firstLineChars="200"/>
              <w:rPr>
                <w:sz w:val="24"/>
              </w:rPr>
            </w:pPr>
            <w:r>
              <w:rPr>
                <w:rFonts w:hint="eastAsia"/>
                <w:sz w:val="24"/>
              </w:rPr>
              <w:t>根据《关于印发&lt;加快推进天然气利用的意见&gt;的通知》（发改能源[2017]1217号）中加快推进天然气利用的意义，“在工业负荷相对集中的开发区、工业聚集区、产业园等，鼓励新建和改建天然气集中供热设施。支持用户对管道气、CNG、LNG气源做市场化选择，相关设施的规划、建设和运营应符合法律法规和技术规范要求。”</w:t>
            </w:r>
          </w:p>
          <w:p>
            <w:pPr>
              <w:snapToGrid w:val="0"/>
              <w:spacing w:line="360" w:lineRule="auto"/>
              <w:ind w:firstLine="480" w:firstLineChars="200"/>
              <w:rPr>
                <w:sz w:val="24"/>
              </w:rPr>
            </w:pPr>
            <w:r>
              <w:rPr>
                <w:rFonts w:hint="eastAsia"/>
                <w:sz w:val="24"/>
              </w:rPr>
              <w:t>2020年2月28日云南省人民政府发布了《云南省人民政府关于进一步促进天然气协调稳定发展的实施意见》，意见要求实施工业燃料升级工程。鼓励能源利用效率高、价格承受能力强、可中断工业用户采用天然气作为燃料，工业燃料升级要坚持“以气定改”、循序渐进。在落实气源保障的前提下，稳步实施工业“煤改气”。</w:t>
            </w:r>
          </w:p>
          <w:p>
            <w:pPr>
              <w:snapToGrid w:val="0"/>
              <w:spacing w:line="360" w:lineRule="auto"/>
              <w:ind w:firstLine="480" w:firstLineChars="200"/>
              <w:rPr>
                <w:sz w:val="24"/>
              </w:rPr>
            </w:pPr>
            <w:r>
              <w:rPr>
                <w:sz w:val="24"/>
              </w:rPr>
              <w:t>本项目符合国家相关产业政策，符合《昆明市总体规划（2011-2020）》、《晋宁县城总体规划修编（2006-2020年）》、</w:t>
            </w:r>
            <w:r>
              <w:rPr>
                <w:rFonts w:hint="eastAsia"/>
                <w:sz w:val="24"/>
              </w:rPr>
              <w:t>《云南晋宁工业园区总体规划修编（2012-2030）》、《晋宁县工业园区总体规划修编（2012-2030）环境影响报告书》及审查意见</w:t>
            </w:r>
            <w:r>
              <w:rPr>
                <w:sz w:val="24"/>
              </w:rPr>
              <w:t>。总体分析本项目符合产业政策及相关规划要求。</w:t>
            </w:r>
          </w:p>
          <w:p>
            <w:pPr>
              <w:spacing w:line="360" w:lineRule="auto"/>
              <w:ind w:firstLine="482" w:firstLineChars="200"/>
              <w:rPr>
                <w:b/>
                <w:bCs/>
                <w:sz w:val="24"/>
              </w:rPr>
            </w:pPr>
            <w:r>
              <w:rPr>
                <w:rFonts w:hint="eastAsia"/>
                <w:b/>
                <w:bCs/>
                <w:sz w:val="24"/>
              </w:rPr>
              <w:t>1.</w:t>
            </w:r>
            <w:r>
              <w:rPr>
                <w:b/>
                <w:bCs/>
                <w:sz w:val="24"/>
              </w:rPr>
              <w:t>2</w:t>
            </w:r>
            <w:r>
              <w:rPr>
                <w:rFonts w:hint="eastAsia"/>
                <w:b/>
                <w:bCs/>
                <w:sz w:val="24"/>
              </w:rPr>
              <w:t>与昆明市人民政府关于昆明“三线一单”生态环境分区管控的实施意见符合性分析</w:t>
            </w:r>
          </w:p>
          <w:p>
            <w:pPr>
              <w:spacing w:line="360" w:lineRule="auto"/>
              <w:ind w:firstLine="480" w:firstLineChars="200"/>
              <w:rPr>
                <w:sz w:val="24"/>
              </w:rPr>
            </w:pPr>
            <w:r>
              <w:rPr>
                <w:rFonts w:hint="eastAsia"/>
                <w:sz w:val="24"/>
              </w:rPr>
              <w:t>2021年11月25日，昆明市人民政府发布了《昆明市人民政府关于昆明市“三线一单”生态环境分区管控的实施意见》（昆政发〔2021〕21号），与本项目相关内容的符合性分析如下：</w:t>
            </w:r>
          </w:p>
          <w:p>
            <w:pPr>
              <w:spacing w:line="360" w:lineRule="auto"/>
              <w:ind w:firstLine="480" w:firstLineChars="200"/>
              <w:rPr>
                <w:sz w:val="24"/>
              </w:rPr>
            </w:pPr>
            <w:r>
              <w:rPr>
                <w:rFonts w:hint="eastAsia"/>
                <w:sz w:val="24"/>
              </w:rPr>
              <w:t>（1）生态保护红线</w:t>
            </w:r>
          </w:p>
          <w:p>
            <w:pPr>
              <w:spacing w:line="360" w:lineRule="auto"/>
              <w:ind w:firstLine="480" w:firstLineChars="200"/>
              <w:rPr>
                <w:sz w:val="24"/>
              </w:rPr>
            </w:pPr>
            <w:r>
              <w:rPr>
                <w:rFonts w:hint="eastAsia"/>
                <w:sz w:val="24"/>
              </w:rPr>
              <w:t>本项目位于晋宁二街工业园区云南磷化集团有限公司835装置现有饲钙装置区进行技改，不新增占地，不占用生态红线；不在当地饮用水水源地、风景区、自然保护区等生态保护区内，评价区域无珍稀动植物分布，符合生态保护红线的要求。</w:t>
            </w:r>
          </w:p>
          <w:p>
            <w:pPr>
              <w:spacing w:line="360" w:lineRule="auto"/>
              <w:ind w:firstLine="480" w:firstLineChars="200"/>
              <w:rPr>
                <w:sz w:val="24"/>
              </w:rPr>
            </w:pPr>
            <w:r>
              <w:rPr>
                <w:rFonts w:hint="eastAsia"/>
                <w:sz w:val="24"/>
              </w:rPr>
              <w:t>（2）环境质量底线</w:t>
            </w:r>
          </w:p>
          <w:p>
            <w:pPr>
              <w:spacing w:line="360" w:lineRule="auto"/>
              <w:ind w:firstLine="480" w:firstLineChars="200"/>
              <w:rPr>
                <w:sz w:val="24"/>
              </w:rPr>
            </w:pPr>
            <w:r>
              <w:rPr>
                <w:rFonts w:hint="eastAsia"/>
                <w:sz w:val="24"/>
              </w:rPr>
              <w:t>通过项目所在地的环境质量现状调查和项目环境影响分析，项目所在区域环境质量较好，本项目运营对环境影响较小，环境质量可以保持现有水平。</w:t>
            </w:r>
          </w:p>
          <w:p>
            <w:pPr>
              <w:spacing w:line="360" w:lineRule="auto"/>
              <w:ind w:firstLine="480" w:firstLineChars="200"/>
              <w:rPr>
                <w:sz w:val="24"/>
              </w:rPr>
            </w:pPr>
            <w:r>
              <w:rPr>
                <w:rFonts w:hint="eastAsia"/>
                <w:sz w:val="24"/>
              </w:rPr>
              <w:t>（3）资源利用上线</w:t>
            </w:r>
          </w:p>
          <w:p>
            <w:pPr>
              <w:spacing w:line="360" w:lineRule="auto"/>
              <w:ind w:firstLine="480" w:firstLineChars="200"/>
              <w:rPr>
                <w:sz w:val="24"/>
              </w:rPr>
            </w:pPr>
            <w:r>
              <w:rPr>
                <w:rFonts w:hint="eastAsia"/>
                <w:sz w:val="24"/>
              </w:rPr>
              <w:t>项目位于晋宁二街工业园区云南磷化集团有限公司835装置现有饲钙装置区，本项目不新增用水，且现有厂区已建设有完善的初期雨水收集系统、事故水收集系统、生活污水、生产废水的收集处理系统和回用系统。目前厂区已实现废水全部回用，不外排外环境。</w:t>
            </w:r>
          </w:p>
          <w:p>
            <w:pPr>
              <w:spacing w:line="360" w:lineRule="auto"/>
              <w:ind w:firstLine="480" w:firstLineChars="200"/>
              <w:rPr>
                <w:sz w:val="24"/>
              </w:rPr>
            </w:pPr>
            <w:r>
              <w:rPr>
                <w:rFonts w:hint="eastAsia"/>
                <w:sz w:val="24"/>
              </w:rPr>
              <w:t>本项目生产设备使用能源为原煤、天然气，天然气来源于市政供气，项目技改完成后，新增</w:t>
            </w:r>
            <w:r>
              <w:rPr>
                <w:sz w:val="24"/>
              </w:rPr>
              <w:t>90</w:t>
            </w:r>
            <w:r>
              <w:rPr>
                <w:rFonts w:hint="eastAsia"/>
                <w:sz w:val="24"/>
              </w:rPr>
              <w:t>×10</w:t>
            </w:r>
            <w:r>
              <w:rPr>
                <w:rFonts w:hint="eastAsia"/>
                <w:sz w:val="24"/>
                <w:vertAlign w:val="superscript"/>
              </w:rPr>
              <w:t>4</w:t>
            </w:r>
            <w:r>
              <w:rPr>
                <w:rFonts w:hint="eastAsia"/>
                <w:sz w:val="24"/>
              </w:rPr>
              <w:t xml:space="preserve"> Nm</w:t>
            </w:r>
            <w:r>
              <w:rPr>
                <w:rFonts w:hint="eastAsia"/>
                <w:sz w:val="24"/>
                <w:vertAlign w:val="superscript"/>
              </w:rPr>
              <w:t>3</w:t>
            </w:r>
            <w:r>
              <w:rPr>
                <w:rFonts w:hint="eastAsia"/>
                <w:sz w:val="24"/>
              </w:rPr>
              <w:t>天然气用量，节约</w:t>
            </w:r>
            <w:r>
              <w:rPr>
                <w:sz w:val="24"/>
              </w:rPr>
              <w:t>588t</w:t>
            </w:r>
            <w:r>
              <w:rPr>
                <w:rFonts w:hint="eastAsia"/>
                <w:sz w:val="24"/>
              </w:rPr>
              <w:t>原煤用量。</w:t>
            </w:r>
          </w:p>
          <w:p>
            <w:pPr>
              <w:spacing w:line="360" w:lineRule="auto"/>
              <w:ind w:firstLine="480" w:firstLineChars="200"/>
              <w:rPr>
                <w:sz w:val="24"/>
              </w:rPr>
            </w:pPr>
            <w:r>
              <w:rPr>
                <w:rFonts w:hint="eastAsia"/>
                <w:sz w:val="24"/>
              </w:rPr>
              <w:t>综上，本项目的建设符合资源利用上线的要求。</w:t>
            </w:r>
          </w:p>
          <w:p>
            <w:pPr>
              <w:spacing w:line="360" w:lineRule="auto"/>
              <w:ind w:firstLine="480" w:firstLineChars="200"/>
              <w:rPr>
                <w:sz w:val="24"/>
              </w:rPr>
            </w:pPr>
            <w:r>
              <w:rPr>
                <w:rFonts w:hint="eastAsia"/>
                <w:sz w:val="24"/>
              </w:rPr>
              <w:t>（4）环境准入负面清单</w:t>
            </w:r>
          </w:p>
          <w:p>
            <w:pPr>
              <w:spacing w:line="360" w:lineRule="auto"/>
              <w:ind w:firstLine="480" w:firstLineChars="200"/>
              <w:rPr>
                <w:sz w:val="24"/>
              </w:rPr>
            </w:pPr>
            <w:r>
              <w:rPr>
                <w:rFonts w:hint="eastAsia"/>
                <w:sz w:val="24"/>
              </w:rPr>
              <w:t>根据《国民经济行业分类》（GB/T4754-2017）及第1号修改单的通知（国统字〔2019〕66号），本项目属于</w:t>
            </w:r>
            <w:r>
              <w:rPr>
                <w:bCs/>
                <w:sz w:val="24"/>
              </w:rPr>
              <w:t>D4430</w:t>
            </w:r>
            <w:r>
              <w:rPr>
                <w:rFonts w:hint="eastAsia"/>
                <w:bCs/>
                <w:sz w:val="24"/>
              </w:rPr>
              <w:t>热力生产和供应</w:t>
            </w:r>
            <w:r>
              <w:rPr>
                <w:rFonts w:hint="eastAsia"/>
                <w:sz w:val="24"/>
              </w:rPr>
              <w:t>，项目用地为工业用地。本项目不与区域土地利用规划、国土空间规划、主体功能区划、产业结构规划等相冲突，项目不属于环境准入负面清单范围。</w:t>
            </w:r>
          </w:p>
          <w:p>
            <w:pPr>
              <w:spacing w:line="360" w:lineRule="auto"/>
              <w:ind w:firstLine="480" w:firstLineChars="200"/>
              <w:rPr>
                <w:sz w:val="24"/>
              </w:rPr>
            </w:pPr>
            <w:r>
              <w:rPr>
                <w:rFonts w:hint="eastAsia"/>
                <w:sz w:val="24"/>
              </w:rPr>
              <w:t>根据《产业结构调整指导目录（2019年本）》（国家发改委第29号令，2020年1月1日起实施），本项目不属于第三类淘汰类。</w:t>
            </w:r>
          </w:p>
          <w:p>
            <w:pPr>
              <w:spacing w:line="360" w:lineRule="auto"/>
              <w:ind w:firstLine="480" w:firstLineChars="200"/>
              <w:rPr>
                <w:sz w:val="24"/>
              </w:rPr>
            </w:pPr>
            <w:r>
              <w:rPr>
                <w:rFonts w:hint="eastAsia"/>
                <w:sz w:val="24"/>
              </w:rPr>
              <w:t>对照《昆明市人民政府关于昆明市“三线一单”生态环境分区管控的实施意见》（昆政发〔2021〕21号）中昆明市环境管控单元分类图，本项目属于晋宁区重点管控单元（（ZH5311520005云南晋宁工业园区重点管控单元），与本项目相关内容的符合性分析见下表1-4：</w:t>
            </w:r>
          </w:p>
          <w:p>
            <w:pPr>
              <w:jc w:val="center"/>
              <w:rPr>
                <w:rFonts w:cs="宋体"/>
                <w:b/>
                <w:bCs/>
                <w:szCs w:val="21"/>
                <w:lang w:bidi="ar"/>
              </w:rPr>
            </w:pPr>
            <w:r>
              <w:rPr>
                <w:rFonts w:hint="eastAsia" w:cs="宋体"/>
                <w:b/>
                <w:bCs/>
                <w:szCs w:val="21"/>
                <w:lang w:bidi="ar"/>
              </w:rPr>
              <w:t>表1-4 项目与晋宁工业园区重点管控单元（ZH53</w:t>
            </w:r>
            <w:r>
              <w:rPr>
                <w:rFonts w:cs="宋体"/>
                <w:b/>
                <w:bCs/>
                <w:szCs w:val="21"/>
                <w:lang w:bidi="ar"/>
              </w:rPr>
              <w:t>11520005</w:t>
            </w:r>
            <w:r>
              <w:rPr>
                <w:rFonts w:hint="eastAsia" w:cs="宋体"/>
                <w:b/>
                <w:bCs/>
                <w:szCs w:val="21"/>
                <w:lang w:bidi="ar"/>
              </w:rPr>
              <w:t>云南晋宁工业园区重点管控单元）管控要求的相符性分析</w:t>
            </w:r>
          </w:p>
          <w:tbl>
            <w:tblPr>
              <w:tblStyle w:val="22"/>
              <w:tblW w:w="8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4013"/>
              <w:gridCol w:w="2795"/>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jc w:val="center"/>
              </w:trPr>
              <w:tc>
                <w:tcPr>
                  <w:tcW w:w="762" w:type="dxa"/>
                  <w:tcBorders>
                    <w:tl2br w:val="nil"/>
                    <w:tr2bl w:val="nil"/>
                  </w:tcBorders>
                  <w:vAlign w:val="center"/>
                </w:tcPr>
                <w:p>
                  <w:pPr>
                    <w:jc w:val="center"/>
                    <w:rPr>
                      <w:szCs w:val="21"/>
                    </w:rPr>
                  </w:pPr>
                  <w:r>
                    <w:rPr>
                      <w:rFonts w:hint="eastAsia"/>
                      <w:szCs w:val="21"/>
                    </w:rPr>
                    <w:t>类别</w:t>
                  </w:r>
                </w:p>
              </w:tc>
              <w:tc>
                <w:tcPr>
                  <w:tcW w:w="4013" w:type="dxa"/>
                  <w:tcBorders>
                    <w:tl2br w:val="nil"/>
                    <w:tr2bl w:val="nil"/>
                  </w:tcBorders>
                  <w:vAlign w:val="center"/>
                </w:tcPr>
                <w:p>
                  <w:pPr>
                    <w:jc w:val="center"/>
                    <w:rPr>
                      <w:szCs w:val="21"/>
                    </w:rPr>
                  </w:pPr>
                  <w:r>
                    <w:rPr>
                      <w:rFonts w:hint="eastAsia"/>
                      <w:szCs w:val="21"/>
                    </w:rPr>
                    <w:t>内容要求</w:t>
                  </w:r>
                </w:p>
              </w:tc>
              <w:tc>
                <w:tcPr>
                  <w:tcW w:w="2795" w:type="dxa"/>
                  <w:tcBorders>
                    <w:tl2br w:val="nil"/>
                    <w:tr2bl w:val="nil"/>
                  </w:tcBorders>
                  <w:vAlign w:val="center"/>
                </w:tcPr>
                <w:p>
                  <w:pPr>
                    <w:jc w:val="center"/>
                    <w:rPr>
                      <w:szCs w:val="21"/>
                    </w:rPr>
                  </w:pPr>
                  <w:r>
                    <w:rPr>
                      <w:rFonts w:hint="eastAsia"/>
                      <w:szCs w:val="21"/>
                    </w:rPr>
                    <w:t>项目情况</w:t>
                  </w:r>
                </w:p>
              </w:tc>
              <w:tc>
                <w:tcPr>
                  <w:tcW w:w="464" w:type="dxa"/>
                  <w:tcBorders>
                    <w:tl2br w:val="nil"/>
                    <w:tr2bl w:val="nil"/>
                  </w:tcBorders>
                  <w:vAlign w:val="center"/>
                </w:tcPr>
                <w:p>
                  <w:pPr>
                    <w:jc w:val="center"/>
                    <w:rPr>
                      <w:szCs w:val="21"/>
                    </w:rPr>
                  </w:pPr>
                  <w:r>
                    <w:rPr>
                      <w:rFonts w:hint="eastAsia"/>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jc w:val="center"/>
              </w:trPr>
              <w:tc>
                <w:tcPr>
                  <w:tcW w:w="762" w:type="dxa"/>
                  <w:tcBorders>
                    <w:tl2br w:val="nil"/>
                    <w:tr2bl w:val="nil"/>
                  </w:tcBorders>
                  <w:vAlign w:val="center"/>
                </w:tcPr>
                <w:p>
                  <w:pPr>
                    <w:jc w:val="center"/>
                    <w:rPr>
                      <w:szCs w:val="21"/>
                    </w:rPr>
                  </w:pPr>
                  <w:r>
                    <w:rPr>
                      <w:rFonts w:hint="eastAsia"/>
                      <w:szCs w:val="21"/>
                    </w:rPr>
                    <w:t>空间布局约束</w:t>
                  </w:r>
                </w:p>
              </w:tc>
              <w:tc>
                <w:tcPr>
                  <w:tcW w:w="4013" w:type="dxa"/>
                  <w:tcBorders>
                    <w:tl2br w:val="nil"/>
                    <w:tr2bl w:val="nil"/>
                  </w:tcBorders>
                  <w:vAlign w:val="center"/>
                </w:tcPr>
                <w:p>
                  <w:pPr>
                    <w:ind w:firstLine="210" w:firstLineChars="100"/>
                    <w:jc w:val="left"/>
                    <w:rPr>
                      <w:szCs w:val="21"/>
                    </w:rPr>
                  </w:pPr>
                  <w:r>
                    <w:rPr>
                      <w:rFonts w:hint="eastAsia"/>
                      <w:szCs w:val="21"/>
                    </w:rPr>
                    <w:t>1.重点发展精密机械制造、生物资源加工、精细磷化工以及建材业。</w:t>
                  </w:r>
                </w:p>
                <w:p>
                  <w:pPr>
                    <w:ind w:firstLine="210" w:firstLineChars="100"/>
                    <w:jc w:val="left"/>
                    <w:rPr>
                      <w:szCs w:val="21"/>
                    </w:rPr>
                  </w:pPr>
                  <w:r>
                    <w:rPr>
                      <w:rFonts w:hint="eastAsia"/>
                      <w:szCs w:val="21"/>
                    </w:rPr>
                    <w:t>2.二街片区和晋城片区调整产业布局，引进大气污染小、噪声污染小的产业，增设绿化隔离带。</w:t>
                  </w:r>
                </w:p>
                <w:p>
                  <w:pPr>
                    <w:ind w:firstLine="210" w:firstLineChars="100"/>
                    <w:jc w:val="left"/>
                    <w:rPr>
                      <w:szCs w:val="21"/>
                    </w:rPr>
                  </w:pPr>
                  <w:r>
                    <w:rPr>
                      <w:rFonts w:hint="eastAsia"/>
                      <w:szCs w:val="21"/>
                    </w:rPr>
                    <w:t>3.晋城片区禁止发展有色冶金行业。</w:t>
                  </w:r>
                </w:p>
              </w:tc>
              <w:tc>
                <w:tcPr>
                  <w:tcW w:w="2795" w:type="dxa"/>
                  <w:tcBorders>
                    <w:tl2br w:val="nil"/>
                    <w:tr2bl w:val="nil"/>
                  </w:tcBorders>
                  <w:vAlign w:val="center"/>
                </w:tcPr>
                <w:p>
                  <w:pPr>
                    <w:ind w:firstLine="210" w:firstLineChars="100"/>
                    <w:jc w:val="left"/>
                    <w:rPr>
                      <w:szCs w:val="21"/>
                      <w:highlight w:val="yellow"/>
                    </w:rPr>
                  </w:pPr>
                  <w:r>
                    <w:rPr>
                      <w:rFonts w:hint="eastAsia"/>
                      <w:szCs w:val="21"/>
                    </w:rPr>
                    <w:t>本项目属于D4430热力生产和供应，项目技改完成后，节约588t原煤用量，项目为饲钙装置热风炉技改，</w:t>
                  </w:r>
                  <w:r>
                    <w:rPr>
                      <w:rFonts w:hint="eastAsia"/>
                    </w:rPr>
                    <w:t>为835项目饲钙装置配套建设的热力供应装置，835项目属于磷化工</w:t>
                  </w:r>
                  <w:r>
                    <w:rPr>
                      <w:rFonts w:hint="eastAsia"/>
                      <w:szCs w:val="21"/>
                    </w:rPr>
                    <w:t>，与空间布局相符。</w:t>
                  </w:r>
                </w:p>
              </w:tc>
              <w:tc>
                <w:tcPr>
                  <w:tcW w:w="464" w:type="dxa"/>
                  <w:tcBorders>
                    <w:tl2br w:val="nil"/>
                    <w:tr2bl w:val="nil"/>
                  </w:tcBorders>
                  <w:vAlign w:val="center"/>
                </w:tcPr>
                <w:p>
                  <w:pPr>
                    <w:jc w:val="cente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jc w:val="center"/>
              </w:trPr>
              <w:tc>
                <w:tcPr>
                  <w:tcW w:w="762" w:type="dxa"/>
                  <w:tcBorders>
                    <w:tl2br w:val="nil"/>
                    <w:tr2bl w:val="nil"/>
                  </w:tcBorders>
                  <w:vAlign w:val="center"/>
                </w:tcPr>
                <w:p>
                  <w:pPr>
                    <w:jc w:val="center"/>
                    <w:rPr>
                      <w:szCs w:val="21"/>
                    </w:rPr>
                  </w:pPr>
                  <w:r>
                    <w:rPr>
                      <w:rFonts w:hint="eastAsia"/>
                      <w:szCs w:val="21"/>
                    </w:rPr>
                    <w:t>污染物排放管控</w:t>
                  </w:r>
                </w:p>
              </w:tc>
              <w:tc>
                <w:tcPr>
                  <w:tcW w:w="4013" w:type="dxa"/>
                  <w:tcBorders>
                    <w:tl2br w:val="nil"/>
                    <w:tr2bl w:val="nil"/>
                  </w:tcBorders>
                  <w:vAlign w:val="center"/>
                </w:tcPr>
                <w:p>
                  <w:pPr>
                    <w:ind w:firstLine="210" w:firstLineChars="100"/>
                    <w:jc w:val="left"/>
                    <w:rPr>
                      <w:szCs w:val="21"/>
                    </w:rPr>
                  </w:pPr>
                  <w:r>
                    <w:rPr>
                      <w:rFonts w:hint="eastAsia"/>
                      <w:szCs w:val="21"/>
                    </w:rPr>
                    <w:t>执行二级空气质量标准，强化污染物排放总量控制，从行业的污染物排放情况分析，矿山将是未来影响区域环境空气质量的主要污染源。</w:t>
                  </w:r>
                </w:p>
              </w:tc>
              <w:tc>
                <w:tcPr>
                  <w:tcW w:w="2795" w:type="dxa"/>
                  <w:tcBorders>
                    <w:tl2br w:val="nil"/>
                    <w:tr2bl w:val="nil"/>
                  </w:tcBorders>
                  <w:vAlign w:val="center"/>
                </w:tcPr>
                <w:p>
                  <w:pPr>
                    <w:ind w:firstLine="210" w:firstLineChars="100"/>
                    <w:jc w:val="left"/>
                    <w:rPr>
                      <w:szCs w:val="21"/>
                    </w:rPr>
                  </w:pPr>
                  <w:r>
                    <w:rPr>
                      <w:rFonts w:hint="eastAsia"/>
                      <w:szCs w:val="21"/>
                    </w:rPr>
                    <w:t>本项目为热风炉技改，削减了大气中的二氧化硫和氮氧化物。环境空气质量现状满足二级空气质量标准。</w:t>
                  </w:r>
                </w:p>
              </w:tc>
              <w:tc>
                <w:tcPr>
                  <w:tcW w:w="464" w:type="dxa"/>
                  <w:tcBorders>
                    <w:tl2br w:val="nil"/>
                    <w:tr2bl w:val="nil"/>
                  </w:tcBorders>
                  <w:vAlign w:val="center"/>
                </w:tcPr>
                <w:p>
                  <w:pPr>
                    <w:jc w:val="cente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jc w:val="center"/>
              </w:trPr>
              <w:tc>
                <w:tcPr>
                  <w:tcW w:w="762" w:type="dxa"/>
                  <w:tcBorders>
                    <w:tl2br w:val="nil"/>
                    <w:tr2bl w:val="nil"/>
                  </w:tcBorders>
                  <w:vAlign w:val="center"/>
                </w:tcPr>
                <w:p>
                  <w:pPr>
                    <w:jc w:val="center"/>
                    <w:rPr>
                      <w:szCs w:val="21"/>
                    </w:rPr>
                  </w:pPr>
                  <w:r>
                    <w:rPr>
                      <w:rFonts w:hint="eastAsia"/>
                      <w:szCs w:val="21"/>
                    </w:rPr>
                    <w:t>环境风险防控</w:t>
                  </w:r>
                </w:p>
              </w:tc>
              <w:tc>
                <w:tcPr>
                  <w:tcW w:w="4013" w:type="dxa"/>
                  <w:tcBorders>
                    <w:tl2br w:val="nil"/>
                    <w:tr2bl w:val="nil"/>
                  </w:tcBorders>
                  <w:vAlign w:val="center"/>
                </w:tcPr>
                <w:p>
                  <w:pPr>
                    <w:ind w:firstLine="210" w:firstLineChars="100"/>
                    <w:jc w:val="left"/>
                    <w:rPr>
                      <w:szCs w:val="21"/>
                    </w:rPr>
                  </w:pPr>
                  <w:r>
                    <w:rPr>
                      <w:rFonts w:hint="eastAsia"/>
                      <w:szCs w:val="21"/>
                    </w:rPr>
                    <w:t>1.危险废物必须进行集中处置。收集、贮存危险废物，必须按照危险废物标准进行分类，禁止混合收集、贮存、运输、处置性质不相同而未经安全性处置的危险废物，禁止将危险废物混入非危险废物中贮存。</w:t>
                  </w:r>
                </w:p>
                <w:p>
                  <w:pPr>
                    <w:ind w:firstLine="210" w:firstLineChars="100"/>
                    <w:jc w:val="left"/>
                    <w:rPr>
                      <w:szCs w:val="21"/>
                    </w:rPr>
                  </w:pPr>
                  <w:r>
                    <w:rPr>
                      <w:rFonts w:hint="eastAsia"/>
                      <w:szCs w:val="21"/>
                    </w:rPr>
                    <w:t>2.运输危险废物，必须采取防止污染环境的措施，并遵守国家有关危险废物运输管理的规定。</w:t>
                  </w:r>
                </w:p>
              </w:tc>
              <w:tc>
                <w:tcPr>
                  <w:tcW w:w="2795" w:type="dxa"/>
                  <w:tcBorders>
                    <w:tl2br w:val="nil"/>
                    <w:tr2bl w:val="nil"/>
                  </w:tcBorders>
                  <w:vAlign w:val="center"/>
                </w:tcPr>
                <w:p>
                  <w:pPr>
                    <w:ind w:firstLine="210" w:firstLineChars="100"/>
                    <w:jc w:val="left"/>
                    <w:rPr>
                      <w:szCs w:val="21"/>
                      <w:highlight w:val="yellow"/>
                    </w:rPr>
                  </w:pPr>
                  <w:r>
                    <w:rPr>
                      <w:rFonts w:hint="eastAsia"/>
                      <w:szCs w:val="21"/>
                    </w:rPr>
                    <w:t>本项目为燃煤热风炉技改，增设一套天然气燃烧器，技改完成后不产生危险废物。</w:t>
                  </w:r>
                </w:p>
              </w:tc>
              <w:tc>
                <w:tcPr>
                  <w:tcW w:w="464" w:type="dxa"/>
                  <w:tcBorders>
                    <w:tl2br w:val="nil"/>
                    <w:tr2bl w:val="nil"/>
                  </w:tcBorders>
                  <w:vAlign w:val="center"/>
                </w:tcPr>
                <w:p>
                  <w:pPr>
                    <w:jc w:val="cente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 w:hRule="atLeast"/>
                <w:jc w:val="center"/>
              </w:trPr>
              <w:tc>
                <w:tcPr>
                  <w:tcW w:w="762" w:type="dxa"/>
                  <w:tcBorders>
                    <w:tl2br w:val="nil"/>
                    <w:tr2bl w:val="nil"/>
                  </w:tcBorders>
                  <w:vAlign w:val="center"/>
                </w:tcPr>
                <w:p>
                  <w:pPr>
                    <w:jc w:val="center"/>
                    <w:rPr>
                      <w:szCs w:val="21"/>
                    </w:rPr>
                  </w:pPr>
                  <w:r>
                    <w:rPr>
                      <w:rFonts w:hint="eastAsia"/>
                      <w:szCs w:val="21"/>
                    </w:rPr>
                    <w:t>资源开发效率要求</w:t>
                  </w:r>
                </w:p>
              </w:tc>
              <w:tc>
                <w:tcPr>
                  <w:tcW w:w="4013" w:type="dxa"/>
                  <w:tcBorders>
                    <w:tl2br w:val="nil"/>
                    <w:tr2bl w:val="nil"/>
                  </w:tcBorders>
                  <w:vAlign w:val="center"/>
                </w:tcPr>
                <w:p>
                  <w:pPr>
                    <w:ind w:firstLine="210" w:firstLineChars="100"/>
                    <w:jc w:val="left"/>
                    <w:rPr>
                      <w:szCs w:val="21"/>
                    </w:rPr>
                  </w:pPr>
                  <w:r>
                    <w:rPr>
                      <w:rFonts w:hint="eastAsia"/>
                      <w:szCs w:val="21"/>
                    </w:rPr>
                    <w:t>禁止新建、扩建采用非清洁燃料的项目和设施。</w:t>
                  </w:r>
                </w:p>
              </w:tc>
              <w:tc>
                <w:tcPr>
                  <w:tcW w:w="2795" w:type="dxa"/>
                  <w:tcBorders>
                    <w:tl2br w:val="nil"/>
                    <w:tr2bl w:val="nil"/>
                  </w:tcBorders>
                  <w:vAlign w:val="center"/>
                </w:tcPr>
                <w:p>
                  <w:pPr>
                    <w:ind w:firstLine="210" w:firstLineChars="100"/>
                    <w:jc w:val="left"/>
                    <w:rPr>
                      <w:szCs w:val="21"/>
                      <w:highlight w:val="yellow"/>
                    </w:rPr>
                  </w:pPr>
                  <w:r>
                    <w:rPr>
                      <w:rFonts w:hint="eastAsia"/>
                      <w:szCs w:val="21"/>
                    </w:rPr>
                    <w:t>本项目为燃煤热风炉技改，增设一套天然气燃烧器，技改完成后削减5</w:t>
                  </w:r>
                  <w:r>
                    <w:rPr>
                      <w:szCs w:val="21"/>
                    </w:rPr>
                    <w:t>88t</w:t>
                  </w:r>
                  <w:r>
                    <w:rPr>
                      <w:rFonts w:hint="eastAsia"/>
                      <w:szCs w:val="21"/>
                    </w:rPr>
                    <w:t>原煤用量，无新增废水量。</w:t>
                  </w:r>
                </w:p>
              </w:tc>
              <w:tc>
                <w:tcPr>
                  <w:tcW w:w="464" w:type="dxa"/>
                  <w:tcBorders>
                    <w:tl2br w:val="nil"/>
                    <w:tr2bl w:val="nil"/>
                  </w:tcBorders>
                  <w:vAlign w:val="center"/>
                </w:tcPr>
                <w:p>
                  <w:pPr>
                    <w:jc w:val="center"/>
                    <w:rPr>
                      <w:szCs w:val="21"/>
                    </w:rPr>
                  </w:pPr>
                  <w:r>
                    <w:rPr>
                      <w:rFonts w:hint="eastAsia"/>
                      <w:szCs w:val="21"/>
                    </w:rPr>
                    <w:t>符合</w:t>
                  </w:r>
                </w:p>
              </w:tc>
            </w:tr>
          </w:tbl>
          <w:p>
            <w:pPr>
              <w:spacing w:line="360" w:lineRule="auto"/>
              <w:ind w:firstLine="480" w:firstLineChars="200"/>
              <w:rPr>
                <w:sz w:val="24"/>
              </w:rPr>
            </w:pPr>
            <w:r>
              <w:rPr>
                <w:rFonts w:hint="eastAsia"/>
                <w:sz w:val="24"/>
              </w:rPr>
              <w:t>综上所述，本项目符合《昆明市人民政府关于昆明市“三线一单”生态环境分区管控的实施意见》（昆政发〔2021〕21 号）相关要求。</w:t>
            </w:r>
          </w:p>
          <w:p>
            <w:pPr>
              <w:spacing w:line="360" w:lineRule="auto"/>
              <w:ind w:firstLine="482" w:firstLineChars="200"/>
              <w:rPr>
                <w:b/>
                <w:bCs/>
                <w:sz w:val="24"/>
              </w:rPr>
            </w:pPr>
            <w:r>
              <w:rPr>
                <w:rFonts w:hint="eastAsia"/>
                <w:b/>
                <w:bCs/>
                <w:sz w:val="24"/>
              </w:rPr>
              <w:t>1.</w:t>
            </w:r>
            <w:r>
              <w:rPr>
                <w:b/>
                <w:bCs/>
                <w:sz w:val="24"/>
              </w:rPr>
              <w:t>3</w:t>
            </w:r>
            <w:r>
              <w:rPr>
                <w:rFonts w:hint="eastAsia"/>
                <w:b/>
                <w:bCs/>
                <w:sz w:val="24"/>
              </w:rPr>
              <w:t>周围环境相容性</w:t>
            </w:r>
          </w:p>
          <w:p>
            <w:pPr>
              <w:spacing w:line="360" w:lineRule="auto"/>
              <w:ind w:firstLine="480" w:firstLineChars="200"/>
              <w:rPr>
                <w:sz w:val="24"/>
              </w:rPr>
            </w:pPr>
            <w:r>
              <w:rPr>
                <w:rFonts w:hint="eastAsia"/>
                <w:sz w:val="24"/>
              </w:rPr>
              <w:t>建设项目位于云南磷化集团有限公司835装置现有厂区内，根据</w:t>
            </w:r>
            <w:r>
              <w:rPr>
                <w:rFonts w:hint="eastAsia"/>
                <w:bCs/>
                <w:sz w:val="24"/>
              </w:rPr>
              <w:t>《2021年度昆明市生态环境状况公报》</w:t>
            </w:r>
            <w:r>
              <w:rPr>
                <w:rFonts w:hint="eastAsia"/>
                <w:sz w:val="24"/>
              </w:rPr>
              <w:t>，项目周边环境空气质量现状均能达环境质量标准。项目周边距离最近的敏感点为栗庙新村，敏感点对环境质量要求较高，要求本项目污染物须经妥善处置、达标排放。</w:t>
            </w:r>
          </w:p>
          <w:p>
            <w:pPr>
              <w:spacing w:line="360" w:lineRule="auto"/>
              <w:ind w:firstLine="480" w:firstLineChars="200"/>
              <w:rPr>
                <w:sz w:val="24"/>
              </w:rPr>
            </w:pPr>
            <w:r>
              <w:rPr>
                <w:rFonts w:hint="eastAsia"/>
                <w:sz w:val="24"/>
              </w:rPr>
              <w:t>根据工程分析，项目运营期对周边保护目标有影响的污染物主要有废气（二氧化硫、氮氧化物、颗粒物）和固废。运营期产生的干燥废气经旋风除尘器+喷雾干燥尾气洗涤塔后与1</w:t>
            </w:r>
            <w:r>
              <w:rPr>
                <w:sz w:val="24"/>
              </w:rPr>
              <w:t>0</w:t>
            </w:r>
            <w:r>
              <w:rPr>
                <w:rFonts w:hint="eastAsia"/>
                <w:sz w:val="24"/>
              </w:rPr>
              <w:t>万吨/年M</w:t>
            </w:r>
            <w:r>
              <w:rPr>
                <w:sz w:val="24"/>
              </w:rPr>
              <w:t>CP</w:t>
            </w:r>
            <w:r>
              <w:rPr>
                <w:rFonts w:hint="eastAsia"/>
                <w:sz w:val="24"/>
              </w:rPr>
              <w:t>装置造粒、干燥废气一起送至排气筒达标排放，不会降低环境空气的功能区划。生产过程中产生的固废也可以得到妥善处置。</w:t>
            </w:r>
          </w:p>
          <w:p>
            <w:pPr>
              <w:spacing w:line="360" w:lineRule="auto"/>
              <w:ind w:firstLine="480" w:firstLineChars="200"/>
              <w:rPr>
                <w:sz w:val="24"/>
              </w:rPr>
            </w:pPr>
            <w:r>
              <w:rPr>
                <w:rFonts w:hint="eastAsia"/>
                <w:sz w:val="24"/>
              </w:rPr>
              <w:t>根据本次评价工程分析、现状监测资料及环境影响预测，项目运营期间产生的废气经废气污染防治设施治理后，废气污染物的排放对周边敏感点的影响不大。</w:t>
            </w:r>
            <w:r>
              <w:rPr>
                <w:sz w:val="24"/>
              </w:rPr>
              <w:t>运营期产生的</w:t>
            </w:r>
            <w:r>
              <w:rPr>
                <w:rFonts w:hint="eastAsia"/>
                <w:sz w:val="24"/>
              </w:rPr>
              <w:t>固体废物均</w:t>
            </w:r>
            <w:r>
              <w:rPr>
                <w:sz w:val="24"/>
              </w:rPr>
              <w:t>可100%妥善处置</w:t>
            </w:r>
            <w:r>
              <w:rPr>
                <w:rFonts w:hint="eastAsia"/>
                <w:sz w:val="24"/>
              </w:rPr>
              <w:t>。本次技改无新增废水排放，无新增噪声设备。</w:t>
            </w:r>
          </w:p>
          <w:p>
            <w:pPr>
              <w:spacing w:line="360" w:lineRule="auto"/>
              <w:ind w:firstLine="480" w:firstLineChars="200"/>
              <w:rPr>
                <w:sz w:val="24"/>
              </w:rPr>
            </w:pPr>
            <w:r>
              <w:rPr>
                <w:rFonts w:hint="eastAsia"/>
                <w:sz w:val="24"/>
              </w:rPr>
              <w:t>因此，可以认为项目建设与周边环境相容。</w:t>
            </w:r>
          </w:p>
        </w:tc>
      </w:tr>
    </w:tbl>
    <w:p>
      <w:pPr>
        <w:spacing w:line="360" w:lineRule="auto"/>
        <w:rPr>
          <w:sz w:val="30"/>
        </w:rPr>
        <w:sectPr>
          <w:footerReference r:id="rId3" w:type="default"/>
          <w:pgSz w:w="11906" w:h="16838"/>
          <w:pgMar w:top="1701" w:right="1531" w:bottom="1701" w:left="1531" w:header="851" w:footer="1077" w:gutter="0"/>
          <w:pgNumType w:start="1"/>
          <w:cols w:space="720" w:num="1"/>
          <w:docGrid w:linePitch="312" w:charSpace="0"/>
        </w:sectPr>
      </w:pPr>
    </w:p>
    <w:p>
      <w:pPr>
        <w:pStyle w:val="18"/>
        <w:jc w:val="center"/>
        <w:outlineLvl w:val="0"/>
        <w:rPr>
          <w:rFonts w:ascii="Times New Roman" w:hAnsi="Times New Roman"/>
          <w:sz w:val="30"/>
          <w:szCs w:val="30"/>
        </w:rPr>
      </w:pPr>
      <w:bookmarkStart w:id="7" w:name="_Toc117775768"/>
      <w:bookmarkStart w:id="8" w:name="_Toc332"/>
      <w:r>
        <w:rPr>
          <w:rFonts w:hint="eastAsia" w:ascii="Times New Roman" w:hAnsi="Times New Roman"/>
          <w:sz w:val="30"/>
          <w:szCs w:val="30"/>
        </w:rPr>
        <w:t>二、建设项目工程分析</w:t>
      </w:r>
      <w:bookmarkEnd w:id="7"/>
      <w:bookmarkEnd w:id="8"/>
    </w:p>
    <w:tbl>
      <w:tblPr>
        <w:tblStyle w:val="22"/>
        <w:tblW w:w="882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5"/>
        <w:gridCol w:w="80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92" w:hRule="atLeast"/>
          <w:jc w:val="center"/>
        </w:trPr>
        <w:tc>
          <w:tcPr>
            <w:tcW w:w="815" w:type="dxa"/>
            <w:vAlign w:val="center"/>
          </w:tcPr>
          <w:p>
            <w:pPr>
              <w:pStyle w:val="18"/>
              <w:adjustRightInd w:val="0"/>
              <w:snapToGrid w:val="0"/>
              <w:spacing w:before="0" w:beforeAutospacing="0" w:after="0" w:afterAutospacing="0"/>
              <w:jc w:val="center"/>
              <w:rPr>
                <w:rFonts w:ascii="Times New Roman" w:hAnsi="Times New Roman" w:cs="宋体"/>
                <w:sz w:val="21"/>
                <w:szCs w:val="21"/>
              </w:rPr>
            </w:pPr>
            <w:r>
              <w:rPr>
                <w:rFonts w:hint="eastAsia" w:ascii="Times New Roman" w:hAnsi="Times New Roman" w:cs="宋体"/>
                <w:sz w:val="21"/>
                <w:szCs w:val="21"/>
              </w:rPr>
              <w:t>建设内容</w:t>
            </w:r>
          </w:p>
        </w:tc>
        <w:tc>
          <w:tcPr>
            <w:tcW w:w="8009" w:type="dxa"/>
          </w:tcPr>
          <w:p>
            <w:pPr>
              <w:pStyle w:val="46"/>
              <w:spacing w:line="360" w:lineRule="auto"/>
              <w:jc w:val="both"/>
              <w:rPr>
                <w:rFonts w:cs="Times New Roman"/>
                <w:bCs/>
                <w:sz w:val="24"/>
              </w:rPr>
            </w:pPr>
            <w:r>
              <w:rPr>
                <w:rFonts w:cs="Times New Roman"/>
                <w:bCs/>
                <w:sz w:val="24"/>
              </w:rPr>
              <w:t>云南磷化集团有限公司简称云南磷化集团，英文缩写YPC。是云天化集团有限责任公司的全资子公司，中国最大的国有大型现代化磷矿露天采选企业，国家重点化学矿山企业，国家级云南磷复肥磷矿采选基地。国家安全标准化一级企业，通过国家ISO9001－2000质量管理体系、ISO14001－2004国际环境管理体系和OHSAS18001－1999职业健康安全管理体系认证。产品注册商标“倚阳”牌。</w:t>
            </w:r>
          </w:p>
          <w:p>
            <w:pPr>
              <w:pStyle w:val="46"/>
              <w:spacing w:line="360" w:lineRule="auto"/>
              <w:jc w:val="both"/>
              <w:rPr>
                <w:rFonts w:cs="Times New Roman"/>
                <w:bCs/>
                <w:sz w:val="24"/>
              </w:rPr>
            </w:pPr>
            <w:r>
              <w:rPr>
                <w:rFonts w:cs="Times New Roman"/>
                <w:bCs/>
                <w:sz w:val="24"/>
              </w:rPr>
              <w:t>云南磷化集团总部位于云南省昆明市晋宁县。1965年始建矿山，2001年12月改制设立，前身系昆阳磷矿矿务局和云南磷化学工业（集团）公司。2005年8月，整体进入云天化集团有限责任公司，建设发展至今已有44年历史。</w:t>
            </w:r>
          </w:p>
          <w:p>
            <w:pPr>
              <w:spacing w:line="360" w:lineRule="auto"/>
              <w:ind w:firstLine="480" w:firstLineChars="200"/>
              <w:rPr>
                <w:sz w:val="24"/>
              </w:rPr>
            </w:pPr>
            <w:r>
              <w:rPr>
                <w:rFonts w:hint="eastAsia"/>
                <w:sz w:val="24"/>
              </w:rPr>
              <w:t>2020年2月28日云南省人民政府发布了《云南省人民政府关于进一步促进天然气协调稳定发展的实施意见》，意见要求实施工业燃料升级工程。鼓励能源利用效率高、价格承受能力强、可中断工业用户采用天然气作为燃料，工业燃料升级要坚持“以气定改”、循序渐进。在落实气源保障的前提下，稳步实施工业“煤改气”。</w:t>
            </w:r>
          </w:p>
          <w:p>
            <w:pPr>
              <w:spacing w:line="360" w:lineRule="auto"/>
              <w:ind w:firstLine="480" w:firstLineChars="200"/>
              <w:rPr>
                <w:sz w:val="24"/>
              </w:rPr>
            </w:pPr>
            <w:r>
              <w:rPr>
                <w:rFonts w:hint="eastAsia"/>
                <w:sz w:val="24"/>
              </w:rPr>
              <w:t>磷化工事业部饲钙装置热风炉目前采用燃煤加热的方式，为认真贯彻落实国家有关环保政策，减少大气污染，减少排放污染物种类和排放量，改善磷化工事业部饲钙装置热风炉的安全性和实用性，提高生产效率，降低劳动强度，实现清洁生产。磷化工事业部拟将饲钙装置B系列热风炉加热方式增设一套天然气燃烧装置，使现有热风炉具备燃烧天然气和燃煤的能力。由于目前天然气供应不稳定等原因，天然气燃料无法全部替代燃煤工艺，因此本项目设计使用天然气时长为600</w:t>
            </w:r>
            <w:r>
              <w:rPr>
                <w:sz w:val="24"/>
              </w:rPr>
              <w:t>h</w:t>
            </w:r>
            <w:r>
              <w:rPr>
                <w:rFonts w:hint="eastAsia"/>
                <w:sz w:val="24"/>
              </w:rPr>
              <w:t>，使用燃煤时长由原来的7</w:t>
            </w:r>
            <w:r>
              <w:rPr>
                <w:sz w:val="24"/>
              </w:rPr>
              <w:t>200h</w:t>
            </w:r>
            <w:r>
              <w:rPr>
                <w:rFonts w:hint="eastAsia"/>
                <w:sz w:val="24"/>
              </w:rPr>
              <w:t>减少为6</w:t>
            </w:r>
            <w:r>
              <w:rPr>
                <w:sz w:val="24"/>
              </w:rPr>
              <w:t>600h</w:t>
            </w:r>
            <w:r>
              <w:rPr>
                <w:rFonts w:hint="eastAsia"/>
                <w:sz w:val="24"/>
              </w:rPr>
              <w:t>。</w:t>
            </w:r>
          </w:p>
          <w:p>
            <w:pPr>
              <w:pStyle w:val="46"/>
              <w:spacing w:line="360" w:lineRule="auto"/>
              <w:jc w:val="both"/>
              <w:rPr>
                <w:rFonts w:cs="Times New Roman"/>
                <w:bCs/>
                <w:sz w:val="24"/>
              </w:rPr>
            </w:pPr>
            <w:r>
              <w:rPr>
                <w:rFonts w:hint="eastAsia" w:cs="Times New Roman"/>
                <w:bCs/>
                <w:sz w:val="24"/>
              </w:rPr>
              <w:t>本项目为技改项目，在原来燃煤热风炉上增设一套天然气燃烧装置，热风炉供热量为1</w:t>
            </w:r>
            <w:r>
              <w:rPr>
                <w:rFonts w:cs="Times New Roman"/>
                <w:bCs/>
                <w:sz w:val="24"/>
              </w:rPr>
              <w:t>100</w:t>
            </w:r>
            <w:r>
              <w:rPr>
                <w:rFonts w:hint="eastAsia" w:cs="Times New Roman"/>
                <w:bCs/>
                <w:sz w:val="24"/>
              </w:rPr>
              <w:t>万大卡，即1</w:t>
            </w:r>
            <w:r>
              <w:rPr>
                <w:rFonts w:cs="Times New Roman"/>
                <w:bCs/>
                <w:sz w:val="24"/>
              </w:rPr>
              <w:t>8.3t</w:t>
            </w:r>
            <w:r>
              <w:rPr>
                <w:rFonts w:hint="eastAsia" w:cs="Times New Roman"/>
                <w:bCs/>
                <w:sz w:val="24"/>
              </w:rPr>
              <w:t>/</w:t>
            </w:r>
            <w:r>
              <w:rPr>
                <w:rFonts w:cs="Times New Roman"/>
                <w:bCs/>
                <w:sz w:val="24"/>
              </w:rPr>
              <w:t>h</w:t>
            </w:r>
            <w:r>
              <w:rPr>
                <w:rFonts w:hint="eastAsia" w:cs="Times New Roman"/>
                <w:bCs/>
                <w:sz w:val="24"/>
              </w:rPr>
              <w:t>。本项目属于《国民经济行业分类》（G</w:t>
            </w:r>
            <w:r>
              <w:rPr>
                <w:rFonts w:cs="Times New Roman"/>
                <w:bCs/>
                <w:sz w:val="24"/>
              </w:rPr>
              <w:t>B/T4754-2017</w:t>
            </w:r>
            <w:r>
              <w:rPr>
                <w:rFonts w:hint="eastAsia" w:cs="Times New Roman"/>
                <w:bCs/>
                <w:sz w:val="24"/>
              </w:rPr>
              <w:t>）中“D</w:t>
            </w:r>
            <w:r>
              <w:rPr>
                <w:rFonts w:cs="Times New Roman"/>
                <w:bCs/>
                <w:sz w:val="24"/>
              </w:rPr>
              <w:t>44</w:t>
            </w:r>
            <w:r>
              <w:rPr>
                <w:rFonts w:hint="eastAsia" w:cs="Times New Roman"/>
                <w:bCs/>
                <w:sz w:val="24"/>
              </w:rPr>
              <w:t>电力、热力生产和供应业</w:t>
            </w:r>
            <w:r>
              <w:rPr>
                <w:rFonts w:cs="Times New Roman"/>
                <w:bCs/>
                <w:sz w:val="24"/>
              </w:rPr>
              <w:t>-D4430</w:t>
            </w:r>
            <w:r>
              <w:rPr>
                <w:rFonts w:hint="eastAsia" w:cs="Times New Roman"/>
                <w:bCs/>
                <w:sz w:val="24"/>
              </w:rPr>
              <w:t>热力生产和供应”。根据《建设项目环境影响评价分类管理名录》（2021年版），本项目属于“四十一、电力、热力生产和供应业-</w:t>
            </w:r>
            <w:r>
              <w:rPr>
                <w:rFonts w:cs="Times New Roman"/>
                <w:bCs/>
                <w:sz w:val="24"/>
              </w:rPr>
              <w:t>91</w:t>
            </w:r>
            <w:r>
              <w:rPr>
                <w:rFonts w:hint="eastAsia" w:cs="Times New Roman"/>
                <w:bCs/>
                <w:sz w:val="24"/>
              </w:rPr>
              <w:t>、热力生产和供应工程（包括建设单位自建自用的供热工程）-燃煤、燃油锅炉总容量</w:t>
            </w:r>
            <w:r>
              <w:rPr>
                <w:rFonts w:cs="Times New Roman"/>
                <w:bCs/>
                <w:sz w:val="24"/>
              </w:rPr>
              <w:t>65</w:t>
            </w:r>
            <w:r>
              <w:rPr>
                <w:rFonts w:hint="eastAsia" w:cs="Times New Roman"/>
                <w:bCs/>
                <w:sz w:val="24"/>
              </w:rPr>
              <w:t>吨/小时（</w:t>
            </w:r>
            <w:r>
              <w:rPr>
                <w:rFonts w:cs="Times New Roman"/>
                <w:bCs/>
                <w:sz w:val="24"/>
              </w:rPr>
              <w:t>45.5</w:t>
            </w:r>
            <w:r>
              <w:rPr>
                <w:rFonts w:hint="eastAsia" w:cs="Times New Roman"/>
                <w:bCs/>
                <w:sz w:val="24"/>
              </w:rPr>
              <w:t>兆瓦）及以下的、天然气锅炉总容量1吨/小时（0</w:t>
            </w:r>
            <w:r>
              <w:rPr>
                <w:rFonts w:cs="Times New Roman"/>
                <w:bCs/>
                <w:sz w:val="24"/>
              </w:rPr>
              <w:t>.7</w:t>
            </w:r>
            <w:r>
              <w:rPr>
                <w:rFonts w:hint="eastAsia" w:cs="Times New Roman"/>
                <w:bCs/>
                <w:sz w:val="24"/>
              </w:rPr>
              <w:t>兆瓦）以上的”，本次项目应编制环境影响报告表。</w:t>
            </w:r>
          </w:p>
          <w:p>
            <w:pPr>
              <w:spacing w:line="360" w:lineRule="auto"/>
              <w:ind w:firstLine="422" w:firstLineChars="200"/>
              <w:rPr>
                <w:b/>
                <w:bCs/>
              </w:rPr>
            </w:pPr>
            <w:r>
              <w:rPr>
                <w:rFonts w:hint="eastAsia"/>
                <w:b/>
                <w:bCs/>
              </w:rPr>
              <w:t>1、技改项目基本情况</w:t>
            </w:r>
          </w:p>
          <w:p>
            <w:pPr>
              <w:pStyle w:val="46"/>
              <w:spacing w:line="360" w:lineRule="auto"/>
              <w:jc w:val="both"/>
              <w:rPr>
                <w:sz w:val="24"/>
              </w:rPr>
            </w:pPr>
            <w:r>
              <w:rPr>
                <w:rFonts w:hint="eastAsia" w:cs="Times New Roman"/>
                <w:bCs/>
                <w:sz w:val="24"/>
              </w:rPr>
              <w:t>项目名称：</w:t>
            </w:r>
            <w:r>
              <w:rPr>
                <w:rFonts w:hint="eastAsia"/>
                <w:sz w:val="24"/>
              </w:rPr>
              <w:t>云南磷化集团有限公司磷化工事业部饲钙装置B系列热风炉节能改造项目</w:t>
            </w:r>
          </w:p>
          <w:p>
            <w:pPr>
              <w:pStyle w:val="46"/>
              <w:spacing w:line="360" w:lineRule="auto"/>
              <w:jc w:val="both"/>
              <w:rPr>
                <w:rFonts w:cs="Times New Roman"/>
                <w:bCs/>
                <w:sz w:val="24"/>
              </w:rPr>
            </w:pPr>
            <w:r>
              <w:rPr>
                <w:rFonts w:hint="eastAsia" w:cs="Times New Roman"/>
                <w:bCs/>
                <w:sz w:val="24"/>
              </w:rPr>
              <w:t>建设性质：技术改造</w:t>
            </w:r>
          </w:p>
          <w:p>
            <w:pPr>
              <w:pStyle w:val="46"/>
              <w:spacing w:line="360" w:lineRule="auto"/>
              <w:jc w:val="both"/>
              <w:rPr>
                <w:rFonts w:cs="Times New Roman"/>
                <w:bCs/>
                <w:sz w:val="24"/>
              </w:rPr>
            </w:pPr>
            <w:r>
              <w:rPr>
                <w:rFonts w:hint="eastAsia" w:cs="Times New Roman"/>
                <w:bCs/>
                <w:sz w:val="24"/>
              </w:rPr>
              <w:t>建设单位：</w:t>
            </w:r>
            <w:r>
              <w:rPr>
                <w:rFonts w:hint="eastAsia"/>
                <w:sz w:val="24"/>
              </w:rPr>
              <w:t>云南磷化集团有限公司</w:t>
            </w:r>
          </w:p>
          <w:p>
            <w:pPr>
              <w:pStyle w:val="46"/>
              <w:spacing w:line="360" w:lineRule="auto"/>
              <w:jc w:val="both"/>
              <w:rPr>
                <w:sz w:val="24"/>
              </w:rPr>
            </w:pPr>
            <w:r>
              <w:rPr>
                <w:rFonts w:hint="eastAsia" w:cs="Times New Roman"/>
                <w:bCs/>
                <w:sz w:val="24"/>
              </w:rPr>
              <w:t>建设地点：</w:t>
            </w:r>
            <w:r>
              <w:rPr>
                <w:rFonts w:hint="eastAsia"/>
                <w:sz w:val="24"/>
              </w:rPr>
              <w:t>昆明市晋宁工业园区二街基地；地理位置为北纬24°42′6.930″，东经：102°31′20.027″。</w:t>
            </w:r>
          </w:p>
          <w:p>
            <w:pPr>
              <w:pStyle w:val="46"/>
              <w:spacing w:line="360" w:lineRule="auto"/>
              <w:jc w:val="both"/>
              <w:rPr>
                <w:rFonts w:cs="Times New Roman"/>
                <w:bCs/>
                <w:sz w:val="24"/>
              </w:rPr>
            </w:pPr>
            <w:r>
              <w:rPr>
                <w:rFonts w:hint="eastAsia" w:cs="Times New Roman"/>
                <w:bCs/>
                <w:sz w:val="24"/>
              </w:rPr>
              <w:t>建设内容：天然气热风炉燃烧系统及控制系统1套，配套建设一根中压燃气管道D</w:t>
            </w:r>
            <w:r>
              <w:rPr>
                <w:rFonts w:cs="Times New Roman"/>
                <w:bCs/>
                <w:sz w:val="24"/>
              </w:rPr>
              <w:t>N200/150m</w:t>
            </w:r>
            <w:r>
              <w:rPr>
                <w:rFonts w:hint="eastAsia" w:cs="Times New Roman"/>
                <w:bCs/>
                <w:sz w:val="24"/>
              </w:rPr>
              <w:t>，调压计量柜1台，可燃气体泄露报警系统1套。</w:t>
            </w:r>
          </w:p>
          <w:p>
            <w:pPr>
              <w:pStyle w:val="46"/>
              <w:spacing w:line="360" w:lineRule="auto"/>
              <w:jc w:val="both"/>
              <w:rPr>
                <w:rFonts w:cs="Times New Roman"/>
                <w:bCs/>
                <w:sz w:val="24"/>
              </w:rPr>
            </w:pPr>
            <w:r>
              <w:rPr>
                <w:rFonts w:hint="eastAsia" w:cs="Times New Roman"/>
                <w:bCs/>
                <w:sz w:val="24"/>
              </w:rPr>
              <w:t>项目总投资：</w:t>
            </w:r>
            <w:r>
              <w:rPr>
                <w:rFonts w:cs="Times New Roman"/>
                <w:bCs/>
                <w:sz w:val="24"/>
              </w:rPr>
              <w:t>163.48</w:t>
            </w:r>
            <w:r>
              <w:rPr>
                <w:rFonts w:hint="eastAsia" w:cs="Times New Roman"/>
                <w:bCs/>
                <w:sz w:val="24"/>
              </w:rPr>
              <w:t>万元</w:t>
            </w:r>
            <w:r>
              <w:rPr>
                <w:rFonts w:cs="Times New Roman"/>
                <w:bCs/>
                <w:sz w:val="24"/>
              </w:rPr>
              <w:t>。</w:t>
            </w:r>
          </w:p>
          <w:p>
            <w:pPr>
              <w:pStyle w:val="46"/>
              <w:spacing w:line="360" w:lineRule="auto"/>
              <w:ind w:firstLine="422"/>
              <w:jc w:val="both"/>
              <w:rPr>
                <w:rFonts w:cs="Times New Roman"/>
                <w:b/>
                <w:bCs/>
              </w:rPr>
            </w:pPr>
            <w:r>
              <w:rPr>
                <w:rFonts w:hint="eastAsia" w:cs="Times New Roman"/>
                <w:b/>
                <w:bCs/>
              </w:rPr>
              <w:t>2、项目建设内容</w:t>
            </w:r>
          </w:p>
          <w:p>
            <w:pPr>
              <w:pStyle w:val="46"/>
              <w:spacing w:line="360" w:lineRule="auto"/>
              <w:jc w:val="both"/>
              <w:rPr>
                <w:sz w:val="24"/>
              </w:rPr>
            </w:pPr>
            <w:r>
              <w:rPr>
                <w:rFonts w:hint="eastAsia"/>
                <w:sz w:val="24"/>
              </w:rPr>
              <w:t>本项目不新增建设用地，现状燃煤热风炉顶部增设一套天然气燃烧装置及配套天然气管道，项目建设内容包括主体工程、辅助工程、公用工程环保工程。详见表2-1。</w:t>
            </w:r>
          </w:p>
          <w:p>
            <w:pPr>
              <w:pStyle w:val="46"/>
              <w:spacing w:line="360" w:lineRule="auto"/>
              <w:ind w:firstLine="422"/>
              <w:jc w:val="center"/>
              <w:rPr>
                <w:rFonts w:cs="Times New Roman"/>
                <w:b/>
                <w:bCs/>
              </w:rPr>
            </w:pPr>
            <w:r>
              <w:rPr>
                <w:rFonts w:hint="eastAsia"/>
                <w:b/>
                <w:bCs/>
                <w:szCs w:val="28"/>
              </w:rPr>
              <w:t>表2-1  项目工程内容组成一览表</w:t>
            </w:r>
          </w:p>
          <w:tbl>
            <w:tblPr>
              <w:tblStyle w:val="23"/>
              <w:tblW w:w="77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58"/>
              <w:gridCol w:w="6272"/>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84" w:type="dxa"/>
                  <w:gridSpan w:val="2"/>
                  <w:vAlign w:val="center"/>
                </w:tcPr>
                <w:p>
                  <w:pPr>
                    <w:pStyle w:val="46"/>
                    <w:ind w:firstLine="0" w:firstLineChars="0"/>
                    <w:jc w:val="center"/>
                    <w:rPr>
                      <w:b/>
                      <w:bCs/>
                      <w:szCs w:val="28"/>
                    </w:rPr>
                  </w:pPr>
                  <w:r>
                    <w:rPr>
                      <w:rFonts w:hint="eastAsia"/>
                      <w:b/>
                      <w:bCs/>
                      <w:szCs w:val="28"/>
                    </w:rPr>
                    <w:t>类别</w:t>
                  </w:r>
                </w:p>
              </w:tc>
              <w:tc>
                <w:tcPr>
                  <w:tcW w:w="6272" w:type="dxa"/>
                  <w:vAlign w:val="center"/>
                </w:tcPr>
                <w:p>
                  <w:pPr>
                    <w:pStyle w:val="46"/>
                    <w:ind w:firstLine="0" w:firstLineChars="0"/>
                    <w:jc w:val="center"/>
                    <w:rPr>
                      <w:b/>
                      <w:bCs/>
                      <w:szCs w:val="28"/>
                    </w:rPr>
                  </w:pPr>
                  <w:r>
                    <w:rPr>
                      <w:rFonts w:hint="eastAsia"/>
                      <w:b/>
                      <w:bCs/>
                      <w:szCs w:val="28"/>
                    </w:rPr>
                    <w:t>技改项目建设内容</w:t>
                  </w:r>
                </w:p>
              </w:tc>
              <w:tc>
                <w:tcPr>
                  <w:tcW w:w="427" w:type="dxa"/>
                  <w:vAlign w:val="center"/>
                </w:tcPr>
                <w:p>
                  <w:pPr>
                    <w:pStyle w:val="46"/>
                    <w:ind w:firstLine="0" w:firstLineChars="0"/>
                    <w:jc w:val="center"/>
                    <w:rPr>
                      <w:b/>
                      <w:bCs/>
                      <w:szCs w:val="28"/>
                    </w:rPr>
                  </w:pPr>
                  <w:r>
                    <w:rPr>
                      <w:rFonts w:hint="eastAsia"/>
                      <w:b/>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6" w:type="dxa"/>
                  <w:vAlign w:val="center"/>
                </w:tcPr>
                <w:p>
                  <w:pPr>
                    <w:pStyle w:val="46"/>
                    <w:ind w:firstLine="0" w:firstLineChars="0"/>
                    <w:jc w:val="center"/>
                    <w:rPr>
                      <w:szCs w:val="28"/>
                    </w:rPr>
                  </w:pPr>
                  <w:r>
                    <w:rPr>
                      <w:rFonts w:hint="eastAsia"/>
                      <w:szCs w:val="28"/>
                    </w:rPr>
                    <w:t>主体工程</w:t>
                  </w:r>
                </w:p>
              </w:tc>
              <w:tc>
                <w:tcPr>
                  <w:tcW w:w="658" w:type="dxa"/>
                  <w:vAlign w:val="center"/>
                </w:tcPr>
                <w:p>
                  <w:pPr>
                    <w:pStyle w:val="46"/>
                    <w:ind w:firstLine="0" w:firstLineChars="0"/>
                    <w:jc w:val="center"/>
                    <w:rPr>
                      <w:szCs w:val="28"/>
                    </w:rPr>
                  </w:pPr>
                  <w:r>
                    <w:rPr>
                      <w:rFonts w:hint="eastAsia"/>
                      <w:szCs w:val="28"/>
                    </w:rPr>
                    <w:t>天然气燃烧装置</w:t>
                  </w:r>
                </w:p>
              </w:tc>
              <w:tc>
                <w:tcPr>
                  <w:tcW w:w="6272" w:type="dxa"/>
                  <w:vAlign w:val="center"/>
                </w:tcPr>
                <w:p>
                  <w:pPr>
                    <w:pStyle w:val="46"/>
                    <w:ind w:firstLine="0" w:firstLineChars="0"/>
                    <w:jc w:val="center"/>
                    <w:rPr>
                      <w:szCs w:val="28"/>
                    </w:rPr>
                  </w:pPr>
                  <w:r>
                    <w:rPr>
                      <w:rFonts w:hint="eastAsia"/>
                      <w:szCs w:val="28"/>
                    </w:rPr>
                    <w:t>在原有饲钙装置B系列配套燃煤热风炉顶增设一套天然气燃烧装置，使现有热风炉具备燃烧天然气和燃煤的能力。</w:t>
                  </w:r>
                </w:p>
              </w:tc>
              <w:tc>
                <w:tcPr>
                  <w:tcW w:w="427" w:type="dxa"/>
                  <w:vAlign w:val="center"/>
                </w:tcPr>
                <w:p>
                  <w:pPr>
                    <w:pStyle w:val="46"/>
                    <w:ind w:firstLine="0" w:firstLineChars="0"/>
                    <w:jc w:val="center"/>
                    <w:rPr>
                      <w:szCs w:val="28"/>
                    </w:rPr>
                  </w:pPr>
                  <w:r>
                    <w:rPr>
                      <w:rFonts w:hint="eastAsia"/>
                      <w:szCs w:val="28"/>
                    </w:rPr>
                    <w:t>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6" w:type="dxa"/>
                  <w:vAlign w:val="center"/>
                </w:tcPr>
                <w:p>
                  <w:pPr>
                    <w:pStyle w:val="46"/>
                    <w:ind w:firstLine="0" w:firstLineChars="0"/>
                    <w:jc w:val="center"/>
                    <w:rPr>
                      <w:szCs w:val="28"/>
                    </w:rPr>
                  </w:pPr>
                  <w:r>
                    <w:rPr>
                      <w:rFonts w:hint="eastAsia"/>
                      <w:szCs w:val="28"/>
                    </w:rPr>
                    <w:t>辅助工程</w:t>
                  </w:r>
                </w:p>
              </w:tc>
              <w:tc>
                <w:tcPr>
                  <w:tcW w:w="658" w:type="dxa"/>
                  <w:vAlign w:val="center"/>
                </w:tcPr>
                <w:p>
                  <w:pPr>
                    <w:pStyle w:val="46"/>
                    <w:ind w:firstLine="0" w:firstLineChars="0"/>
                    <w:jc w:val="center"/>
                    <w:rPr>
                      <w:szCs w:val="28"/>
                    </w:rPr>
                  </w:pPr>
                  <w:r>
                    <w:rPr>
                      <w:rFonts w:hint="eastAsia"/>
                      <w:szCs w:val="28"/>
                    </w:rPr>
                    <w:t>天燃气管道</w:t>
                  </w:r>
                </w:p>
              </w:tc>
              <w:tc>
                <w:tcPr>
                  <w:tcW w:w="6272" w:type="dxa"/>
                  <w:vAlign w:val="center"/>
                </w:tcPr>
                <w:p>
                  <w:pPr>
                    <w:pStyle w:val="46"/>
                    <w:ind w:firstLine="0" w:firstLineChars="0"/>
                    <w:jc w:val="center"/>
                    <w:rPr>
                      <w:szCs w:val="28"/>
                    </w:rPr>
                  </w:pPr>
                  <w:r>
                    <w:rPr>
                      <w:rFonts w:hint="eastAsia"/>
                      <w:szCs w:val="28"/>
                    </w:rPr>
                    <w:t>接入市政天然气接口，进出口管径为DN200/DN200。压埋地燃气管道选用PE管；架空管道选用无缝钢管，材质为20#。</w:t>
                  </w:r>
                </w:p>
                <w:p>
                  <w:pPr>
                    <w:pStyle w:val="46"/>
                    <w:ind w:firstLine="0" w:firstLineChars="0"/>
                    <w:jc w:val="center"/>
                    <w:rPr>
                      <w:szCs w:val="28"/>
                    </w:rPr>
                  </w:pPr>
                  <w:r>
                    <w:rPr>
                      <w:rFonts w:hint="eastAsia"/>
                      <w:szCs w:val="28"/>
                    </w:rPr>
                    <w:t>从燃气调压计量柜到厂区东侧道路，天然气管线为地埋铺设，长度约为6</w:t>
                  </w:r>
                  <w:r>
                    <w:rPr>
                      <w:szCs w:val="28"/>
                    </w:rPr>
                    <w:t>0m，</w:t>
                  </w:r>
                  <w:r>
                    <w:rPr>
                      <w:rFonts w:hint="eastAsia"/>
                      <w:szCs w:val="28"/>
                    </w:rPr>
                    <w:t>燃气调压计量柜到装置区，为架空铺设，长度约3</w:t>
                  </w:r>
                  <w:r>
                    <w:rPr>
                      <w:szCs w:val="28"/>
                    </w:rPr>
                    <w:t>6m</w:t>
                  </w:r>
                  <w:r>
                    <w:rPr>
                      <w:rFonts w:hint="eastAsia"/>
                      <w:szCs w:val="28"/>
                    </w:rPr>
                    <w:t>。</w:t>
                  </w:r>
                </w:p>
              </w:tc>
              <w:tc>
                <w:tcPr>
                  <w:tcW w:w="427" w:type="dxa"/>
                  <w:vAlign w:val="center"/>
                </w:tcPr>
                <w:p>
                  <w:pPr>
                    <w:pStyle w:val="46"/>
                    <w:ind w:firstLine="0" w:firstLineChars="0"/>
                    <w:jc w:val="center"/>
                    <w:rPr>
                      <w:szCs w:val="28"/>
                    </w:rPr>
                  </w:pPr>
                  <w:r>
                    <w:rPr>
                      <w:rFonts w:hint="eastAsia"/>
                      <w:szCs w:val="2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6" w:type="dxa"/>
                  <w:vMerge w:val="restart"/>
                  <w:vAlign w:val="center"/>
                </w:tcPr>
                <w:p>
                  <w:pPr>
                    <w:pStyle w:val="46"/>
                    <w:ind w:firstLine="0" w:firstLineChars="0"/>
                    <w:jc w:val="center"/>
                    <w:rPr>
                      <w:szCs w:val="28"/>
                    </w:rPr>
                  </w:pPr>
                  <w:r>
                    <w:rPr>
                      <w:rFonts w:hint="eastAsia"/>
                      <w:szCs w:val="28"/>
                    </w:rPr>
                    <w:t>公共工程</w:t>
                  </w:r>
                </w:p>
              </w:tc>
              <w:tc>
                <w:tcPr>
                  <w:tcW w:w="658" w:type="dxa"/>
                  <w:vAlign w:val="center"/>
                </w:tcPr>
                <w:p>
                  <w:pPr>
                    <w:pStyle w:val="46"/>
                    <w:ind w:firstLine="0" w:firstLineChars="0"/>
                    <w:jc w:val="center"/>
                    <w:rPr>
                      <w:szCs w:val="28"/>
                    </w:rPr>
                  </w:pPr>
                  <w:r>
                    <w:rPr>
                      <w:rFonts w:hint="eastAsia"/>
                      <w:szCs w:val="28"/>
                    </w:rPr>
                    <w:t>供电</w:t>
                  </w:r>
                </w:p>
              </w:tc>
              <w:tc>
                <w:tcPr>
                  <w:tcW w:w="6272" w:type="dxa"/>
                  <w:vAlign w:val="center"/>
                </w:tcPr>
                <w:p>
                  <w:pPr>
                    <w:pStyle w:val="46"/>
                    <w:ind w:firstLine="0" w:firstLineChars="0"/>
                    <w:jc w:val="center"/>
                    <w:rPr>
                      <w:szCs w:val="28"/>
                    </w:rPr>
                  </w:pPr>
                  <w:r>
                    <w:rPr>
                      <w:rFonts w:hint="eastAsia"/>
                      <w:szCs w:val="28"/>
                    </w:rPr>
                    <w:t>本工程电能消耗主要是可燃气体报警器系统使用。年使用量为18kWh，本项目依托厂区供电线路供应。</w:t>
                  </w:r>
                </w:p>
              </w:tc>
              <w:tc>
                <w:tcPr>
                  <w:tcW w:w="427" w:type="dxa"/>
                  <w:vAlign w:val="center"/>
                </w:tcPr>
                <w:p>
                  <w:pPr>
                    <w:pStyle w:val="46"/>
                    <w:ind w:firstLine="0" w:firstLineChars="0"/>
                    <w:jc w:val="center"/>
                    <w:rPr>
                      <w:szCs w:val="28"/>
                    </w:rPr>
                  </w:pPr>
                  <w:r>
                    <w:rPr>
                      <w:rFonts w:hint="eastAsia"/>
                      <w:szCs w:val="28"/>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6" w:type="dxa"/>
                  <w:vMerge w:val="continue"/>
                  <w:vAlign w:val="center"/>
                </w:tcPr>
                <w:p>
                  <w:pPr>
                    <w:pStyle w:val="46"/>
                    <w:ind w:firstLine="0" w:firstLineChars="0"/>
                    <w:jc w:val="center"/>
                    <w:rPr>
                      <w:szCs w:val="28"/>
                    </w:rPr>
                  </w:pPr>
                </w:p>
              </w:tc>
              <w:tc>
                <w:tcPr>
                  <w:tcW w:w="658" w:type="dxa"/>
                  <w:vAlign w:val="center"/>
                </w:tcPr>
                <w:p>
                  <w:pPr>
                    <w:pStyle w:val="46"/>
                    <w:ind w:firstLine="0" w:firstLineChars="0"/>
                    <w:jc w:val="center"/>
                    <w:rPr>
                      <w:szCs w:val="28"/>
                    </w:rPr>
                  </w:pPr>
                  <w:r>
                    <w:rPr>
                      <w:rFonts w:hint="eastAsia"/>
                      <w:szCs w:val="28"/>
                    </w:rPr>
                    <w:t>天然气</w:t>
                  </w:r>
                </w:p>
              </w:tc>
              <w:tc>
                <w:tcPr>
                  <w:tcW w:w="6272" w:type="dxa"/>
                  <w:vAlign w:val="center"/>
                </w:tcPr>
                <w:p>
                  <w:pPr>
                    <w:pStyle w:val="46"/>
                    <w:ind w:firstLine="0" w:firstLineChars="0"/>
                    <w:jc w:val="center"/>
                    <w:rPr>
                      <w:szCs w:val="28"/>
                    </w:rPr>
                  </w:pPr>
                  <w:r>
                    <w:rPr>
                      <w:rFonts w:hint="eastAsia"/>
                      <w:szCs w:val="28"/>
                    </w:rPr>
                    <w:t>晋宁宝峰门站天然气来自于中缅天然气玉溪之线3</w:t>
                  </w:r>
                  <w:r>
                    <w:rPr>
                      <w:szCs w:val="28"/>
                    </w:rPr>
                    <w:t>#</w:t>
                  </w:r>
                  <w:r>
                    <w:rPr>
                      <w:rFonts w:hint="eastAsia"/>
                      <w:szCs w:val="28"/>
                    </w:rPr>
                    <w:t>阀室，供气规模1</w:t>
                  </w:r>
                  <w:r>
                    <w:rPr>
                      <w:szCs w:val="28"/>
                    </w:rPr>
                    <w:t>0</w:t>
                  </w:r>
                  <w:r>
                    <w:rPr>
                      <w:rFonts w:hint="eastAsia"/>
                      <w:szCs w:val="28"/>
                    </w:rPr>
                    <w:t>×1</w:t>
                  </w:r>
                  <w:r>
                    <w:rPr>
                      <w:szCs w:val="28"/>
                    </w:rPr>
                    <w:t>0</w:t>
                  </w:r>
                  <w:r>
                    <w:rPr>
                      <w:szCs w:val="28"/>
                      <w:vertAlign w:val="superscript"/>
                    </w:rPr>
                    <w:t>4</w:t>
                  </w:r>
                  <w:r>
                    <w:rPr>
                      <w:szCs w:val="28"/>
                    </w:rPr>
                    <w:t>Nm</w:t>
                  </w:r>
                  <w:r>
                    <w:rPr>
                      <w:szCs w:val="28"/>
                      <w:vertAlign w:val="superscript"/>
                    </w:rPr>
                    <w:t>3</w:t>
                  </w:r>
                  <w:r>
                    <w:rPr>
                      <w:szCs w:val="28"/>
                    </w:rPr>
                    <w:t>/h</w:t>
                  </w:r>
                  <w:r>
                    <w:rPr>
                      <w:rFonts w:hint="eastAsia"/>
                      <w:szCs w:val="28"/>
                    </w:rPr>
                    <w:t>距离本项目最近的市政中压燃气管道为磷化工事业部厂区南侧倚阳路已建成市政中压燃气管道。</w:t>
                  </w:r>
                </w:p>
              </w:tc>
              <w:tc>
                <w:tcPr>
                  <w:tcW w:w="427" w:type="dxa"/>
                  <w:vAlign w:val="center"/>
                </w:tcPr>
                <w:p>
                  <w:pPr>
                    <w:pStyle w:val="46"/>
                    <w:ind w:firstLine="0" w:firstLineChars="0"/>
                    <w:jc w:val="center"/>
                    <w:rPr>
                      <w:szCs w:val="28"/>
                    </w:rPr>
                  </w:pPr>
                  <w:r>
                    <w:rPr>
                      <w:rFonts w:hint="eastAsia"/>
                      <w:szCs w:val="28"/>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6" w:type="dxa"/>
                  <w:vMerge w:val="continue"/>
                  <w:vAlign w:val="center"/>
                </w:tcPr>
                <w:p>
                  <w:pPr>
                    <w:pStyle w:val="46"/>
                    <w:ind w:firstLine="0" w:firstLineChars="0"/>
                    <w:jc w:val="center"/>
                    <w:rPr>
                      <w:szCs w:val="28"/>
                    </w:rPr>
                  </w:pPr>
                </w:p>
              </w:tc>
              <w:tc>
                <w:tcPr>
                  <w:tcW w:w="658" w:type="dxa"/>
                  <w:vAlign w:val="center"/>
                </w:tcPr>
                <w:p>
                  <w:pPr>
                    <w:pStyle w:val="46"/>
                    <w:ind w:firstLine="0" w:firstLineChars="0"/>
                    <w:jc w:val="center"/>
                    <w:rPr>
                      <w:szCs w:val="28"/>
                    </w:rPr>
                  </w:pPr>
                  <w:r>
                    <w:rPr>
                      <w:rFonts w:hint="eastAsia"/>
                      <w:szCs w:val="28"/>
                    </w:rPr>
                    <w:t>给排水</w:t>
                  </w:r>
                </w:p>
              </w:tc>
              <w:tc>
                <w:tcPr>
                  <w:tcW w:w="6272" w:type="dxa"/>
                  <w:vAlign w:val="center"/>
                </w:tcPr>
                <w:p>
                  <w:pPr>
                    <w:pStyle w:val="46"/>
                    <w:ind w:firstLine="0" w:firstLineChars="0"/>
                    <w:jc w:val="center"/>
                    <w:rPr>
                      <w:szCs w:val="28"/>
                    </w:rPr>
                  </w:pPr>
                  <w:r>
                    <w:rPr>
                      <w:rFonts w:hint="eastAsia"/>
                      <w:szCs w:val="28"/>
                    </w:rPr>
                    <w:t>本项目为热风炉技改项目，不改变原生产装置工艺流程，不改变装置用水环节及用水量。</w:t>
                  </w:r>
                </w:p>
              </w:tc>
              <w:tc>
                <w:tcPr>
                  <w:tcW w:w="427" w:type="dxa"/>
                  <w:vAlign w:val="center"/>
                </w:tcPr>
                <w:p>
                  <w:pPr>
                    <w:pStyle w:val="46"/>
                    <w:ind w:firstLine="0" w:firstLineChars="0"/>
                    <w:jc w:val="center"/>
                    <w:rPr>
                      <w:szCs w:val="28"/>
                    </w:rPr>
                  </w:pPr>
                  <w:r>
                    <w:rPr>
                      <w:rFonts w:hint="eastAsia"/>
                      <w:szCs w:val="28"/>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426" w:type="dxa"/>
                  <w:vMerge w:val="restart"/>
                  <w:vAlign w:val="center"/>
                </w:tcPr>
                <w:p>
                  <w:pPr>
                    <w:pStyle w:val="46"/>
                    <w:ind w:firstLine="0" w:firstLineChars="0"/>
                    <w:jc w:val="center"/>
                    <w:rPr>
                      <w:szCs w:val="28"/>
                    </w:rPr>
                  </w:pPr>
                  <w:r>
                    <w:rPr>
                      <w:rFonts w:hint="eastAsia"/>
                      <w:szCs w:val="28"/>
                    </w:rPr>
                    <w:t>环保工程</w:t>
                  </w:r>
                </w:p>
              </w:tc>
              <w:tc>
                <w:tcPr>
                  <w:tcW w:w="658" w:type="dxa"/>
                  <w:vAlign w:val="center"/>
                </w:tcPr>
                <w:p>
                  <w:pPr>
                    <w:pStyle w:val="46"/>
                    <w:ind w:firstLine="0" w:firstLineChars="0"/>
                    <w:jc w:val="center"/>
                    <w:rPr>
                      <w:szCs w:val="28"/>
                    </w:rPr>
                  </w:pPr>
                  <w:r>
                    <w:rPr>
                      <w:rFonts w:hint="eastAsia"/>
                      <w:szCs w:val="28"/>
                    </w:rPr>
                    <w:t>废气</w:t>
                  </w:r>
                </w:p>
              </w:tc>
              <w:tc>
                <w:tcPr>
                  <w:tcW w:w="6272" w:type="dxa"/>
                  <w:vAlign w:val="center"/>
                </w:tcPr>
                <w:p>
                  <w:pPr>
                    <w:pStyle w:val="46"/>
                    <w:ind w:firstLine="0" w:firstLineChars="0"/>
                    <w:jc w:val="center"/>
                    <w:rPr>
                      <w:szCs w:val="28"/>
                    </w:rPr>
                  </w:pPr>
                  <w:r>
                    <w:rPr>
                      <w:rFonts w:hint="eastAsia"/>
                      <w:szCs w:val="28"/>
                    </w:rPr>
                    <w:t>干燥废气经过旋风除尘器+喷雾干燥尾气洗涤塔处理后外排，排气筒：高40m，内径1.8m。风机设计风量：10万m</w:t>
                  </w:r>
                  <w:r>
                    <w:rPr>
                      <w:rFonts w:hint="eastAsia"/>
                      <w:szCs w:val="28"/>
                      <w:vertAlign w:val="superscript"/>
                    </w:rPr>
                    <w:t>3</w:t>
                  </w:r>
                  <w:r>
                    <w:rPr>
                      <w:rFonts w:hint="eastAsia"/>
                      <w:szCs w:val="28"/>
                    </w:rPr>
                    <w:t>/h。</w:t>
                  </w:r>
                </w:p>
              </w:tc>
              <w:tc>
                <w:tcPr>
                  <w:tcW w:w="427" w:type="dxa"/>
                  <w:vAlign w:val="center"/>
                </w:tcPr>
                <w:p>
                  <w:pPr>
                    <w:pStyle w:val="46"/>
                    <w:ind w:firstLine="0" w:firstLineChars="0"/>
                    <w:jc w:val="center"/>
                    <w:rPr>
                      <w:szCs w:val="28"/>
                    </w:rPr>
                  </w:pPr>
                  <w:r>
                    <w:rPr>
                      <w:rFonts w:hint="eastAsia"/>
                      <w:szCs w:val="28"/>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6" w:type="dxa"/>
                  <w:vMerge w:val="continue"/>
                  <w:vAlign w:val="center"/>
                </w:tcPr>
                <w:p>
                  <w:pPr>
                    <w:pStyle w:val="46"/>
                    <w:ind w:firstLine="0" w:firstLineChars="0"/>
                    <w:jc w:val="center"/>
                    <w:rPr>
                      <w:szCs w:val="28"/>
                    </w:rPr>
                  </w:pPr>
                </w:p>
              </w:tc>
              <w:tc>
                <w:tcPr>
                  <w:tcW w:w="658" w:type="dxa"/>
                  <w:vAlign w:val="center"/>
                </w:tcPr>
                <w:p>
                  <w:pPr>
                    <w:pStyle w:val="46"/>
                    <w:ind w:firstLine="0" w:firstLineChars="0"/>
                    <w:jc w:val="center"/>
                    <w:rPr>
                      <w:szCs w:val="28"/>
                    </w:rPr>
                  </w:pPr>
                  <w:r>
                    <w:t>固废回收利用</w:t>
                  </w:r>
                </w:p>
              </w:tc>
              <w:tc>
                <w:tcPr>
                  <w:tcW w:w="6272" w:type="dxa"/>
                  <w:vAlign w:val="center"/>
                </w:tcPr>
                <w:p>
                  <w:pPr>
                    <w:pStyle w:val="46"/>
                    <w:ind w:firstLine="0" w:firstLineChars="0"/>
                    <w:jc w:val="center"/>
                    <w:rPr>
                      <w:szCs w:val="28"/>
                    </w:rPr>
                  </w:pPr>
                  <w:r>
                    <w:rPr>
                      <w:rFonts w:hint="eastAsia"/>
                    </w:rPr>
                    <w:t>燃煤产生的炉渣外售作为建材使用（详见附件2）。</w:t>
                  </w:r>
                </w:p>
              </w:tc>
              <w:tc>
                <w:tcPr>
                  <w:tcW w:w="427" w:type="dxa"/>
                  <w:vAlign w:val="center"/>
                </w:tcPr>
                <w:p>
                  <w:pPr>
                    <w:pStyle w:val="46"/>
                    <w:ind w:firstLine="0" w:firstLineChars="0"/>
                    <w:jc w:val="center"/>
                    <w:rPr>
                      <w:szCs w:val="28"/>
                    </w:rPr>
                  </w:pPr>
                  <w:r>
                    <w:rPr>
                      <w:rFonts w:hint="eastAsia"/>
                      <w:szCs w:val="28"/>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6" w:type="dxa"/>
                  <w:vMerge w:val="continue"/>
                  <w:vAlign w:val="center"/>
                </w:tcPr>
                <w:p>
                  <w:pPr>
                    <w:pStyle w:val="46"/>
                    <w:ind w:firstLine="0" w:firstLineChars="0"/>
                    <w:jc w:val="center"/>
                    <w:rPr>
                      <w:szCs w:val="28"/>
                    </w:rPr>
                  </w:pPr>
                </w:p>
              </w:tc>
              <w:tc>
                <w:tcPr>
                  <w:tcW w:w="658" w:type="dxa"/>
                  <w:vAlign w:val="center"/>
                </w:tcPr>
                <w:p>
                  <w:pPr>
                    <w:pStyle w:val="46"/>
                    <w:ind w:firstLine="0" w:firstLineChars="0"/>
                    <w:jc w:val="center"/>
                    <w:rPr>
                      <w:szCs w:val="28"/>
                    </w:rPr>
                  </w:pPr>
                  <w:r>
                    <w:rPr>
                      <w:rFonts w:hint="eastAsia"/>
                    </w:rPr>
                    <w:t>风险防范措施</w:t>
                  </w:r>
                </w:p>
              </w:tc>
              <w:tc>
                <w:tcPr>
                  <w:tcW w:w="6272" w:type="dxa"/>
                  <w:vAlign w:val="center"/>
                </w:tcPr>
                <w:p>
                  <w:pPr>
                    <w:pStyle w:val="46"/>
                    <w:ind w:firstLine="0" w:firstLineChars="0"/>
                    <w:jc w:val="center"/>
                    <w:rPr>
                      <w:szCs w:val="28"/>
                    </w:rPr>
                  </w:pPr>
                  <w:r>
                    <w:rPr>
                      <w:rFonts w:hint="eastAsia"/>
                      <w:szCs w:val="28"/>
                    </w:rPr>
                    <w:t>可燃气体泄露报警系统1套</w:t>
                  </w:r>
                </w:p>
              </w:tc>
              <w:tc>
                <w:tcPr>
                  <w:tcW w:w="427" w:type="dxa"/>
                  <w:vAlign w:val="center"/>
                </w:tcPr>
                <w:p>
                  <w:pPr>
                    <w:pStyle w:val="46"/>
                    <w:ind w:firstLine="0" w:firstLineChars="0"/>
                    <w:jc w:val="center"/>
                    <w:rPr>
                      <w:szCs w:val="28"/>
                    </w:rPr>
                  </w:pPr>
                  <w:r>
                    <w:rPr>
                      <w:rFonts w:hint="eastAsia"/>
                      <w:szCs w:val="28"/>
                    </w:rPr>
                    <w:t>依托</w:t>
                  </w:r>
                </w:p>
              </w:tc>
            </w:tr>
          </w:tbl>
          <w:p>
            <w:pPr>
              <w:pStyle w:val="46"/>
              <w:spacing w:line="360" w:lineRule="auto"/>
              <w:ind w:firstLine="482"/>
              <w:jc w:val="both"/>
              <w:rPr>
                <w:rFonts w:cs="Times New Roman"/>
                <w:b/>
                <w:bCs/>
                <w:sz w:val="24"/>
              </w:rPr>
            </w:pPr>
            <w:r>
              <w:rPr>
                <w:rFonts w:hint="eastAsia" w:cs="Times New Roman"/>
                <w:b/>
                <w:bCs/>
                <w:sz w:val="24"/>
              </w:rPr>
              <w:t>（1）</w:t>
            </w:r>
            <w:r>
              <w:rPr>
                <w:rFonts w:cs="Times New Roman"/>
                <w:b/>
                <w:bCs/>
                <w:sz w:val="24"/>
              </w:rPr>
              <w:t>公用及辅助工程</w:t>
            </w:r>
          </w:p>
          <w:p>
            <w:pPr>
              <w:pStyle w:val="18"/>
              <w:widowControl w:val="0"/>
              <w:adjustRightInd w:val="0"/>
              <w:snapToGrid w:val="0"/>
              <w:spacing w:before="0" w:beforeAutospacing="0" w:after="0" w:afterAutospacing="0" w:line="360" w:lineRule="auto"/>
              <w:ind w:firstLine="480" w:firstLineChars="200"/>
              <w:jc w:val="both"/>
              <w:rPr>
                <w:rFonts w:ascii="Times New Roman" w:hAnsi="Times New Roman" w:cs="宋体"/>
                <w:bCs/>
              </w:rPr>
            </w:pPr>
            <w:bookmarkStart w:id="9" w:name="_Toc117775769"/>
            <w:r>
              <w:rPr>
                <w:rFonts w:hint="eastAsia" w:ascii="Times New Roman" w:hAnsi="Times New Roman" w:cs="宋体"/>
                <w:bCs/>
              </w:rPr>
              <w:t>①</w:t>
            </w:r>
            <w:r>
              <w:rPr>
                <w:rFonts w:ascii="Times New Roman" w:hAnsi="Times New Roman" w:cs="宋体"/>
                <w:bCs/>
              </w:rPr>
              <w:t>供电</w:t>
            </w:r>
          </w:p>
          <w:p>
            <w:pPr>
              <w:pStyle w:val="18"/>
              <w:widowControl w:val="0"/>
              <w:adjustRightInd w:val="0"/>
              <w:snapToGrid w:val="0"/>
              <w:spacing w:before="0" w:beforeAutospacing="0" w:after="0" w:afterAutospacing="0" w:line="360" w:lineRule="auto"/>
              <w:ind w:firstLine="480" w:firstLineChars="200"/>
              <w:jc w:val="both"/>
              <w:rPr>
                <w:rFonts w:ascii="Times New Roman" w:hAnsi="Times New Roman" w:cs="宋体"/>
                <w:bCs/>
              </w:rPr>
            </w:pPr>
            <w:r>
              <w:rPr>
                <w:rFonts w:hint="eastAsia" w:ascii="Times New Roman" w:hAnsi="Times New Roman" w:cs="宋体"/>
                <w:bCs/>
              </w:rPr>
              <w:t>本工程电能消耗主要是可燃气体报警器系统使用。年使用量为</w:t>
            </w:r>
            <w:r>
              <w:rPr>
                <w:rFonts w:ascii="Times New Roman" w:hAnsi="Times New Roman" w:cs="宋体"/>
                <w:bCs/>
              </w:rPr>
              <w:t>18kWh</w:t>
            </w:r>
            <w:r>
              <w:rPr>
                <w:rFonts w:hint="eastAsia" w:ascii="Times New Roman" w:hAnsi="Times New Roman" w:cs="宋体"/>
                <w:bCs/>
              </w:rPr>
              <w:t>，本项目依托厂区供电线路供应。</w:t>
            </w:r>
          </w:p>
          <w:bookmarkEnd w:id="9"/>
          <w:p>
            <w:pPr>
              <w:pStyle w:val="18"/>
              <w:widowControl w:val="0"/>
              <w:adjustRightInd w:val="0"/>
              <w:snapToGrid w:val="0"/>
              <w:spacing w:before="0" w:beforeAutospacing="0" w:after="0" w:afterAutospacing="0" w:line="360" w:lineRule="auto"/>
              <w:ind w:firstLine="480" w:firstLineChars="200"/>
              <w:jc w:val="both"/>
              <w:rPr>
                <w:rFonts w:ascii="Times New Roman" w:hAnsi="Times New Roman" w:cs="宋体"/>
                <w:bCs/>
              </w:rPr>
            </w:pPr>
            <w:r>
              <w:rPr>
                <w:rFonts w:hint="eastAsia" w:ascii="Times New Roman" w:hAnsi="Times New Roman" w:cs="宋体"/>
                <w:bCs/>
              </w:rPr>
              <w:t>②天然气</w:t>
            </w:r>
          </w:p>
          <w:p>
            <w:pPr>
              <w:pStyle w:val="18"/>
              <w:widowControl w:val="0"/>
              <w:adjustRightInd w:val="0"/>
              <w:snapToGrid w:val="0"/>
              <w:spacing w:before="0" w:beforeAutospacing="0" w:after="0" w:afterAutospacing="0" w:line="360" w:lineRule="auto"/>
              <w:ind w:firstLine="480" w:firstLineChars="200"/>
              <w:jc w:val="both"/>
              <w:rPr>
                <w:rFonts w:ascii="Times New Roman" w:hAnsi="Times New Roman" w:cs="宋体"/>
                <w:bCs/>
              </w:rPr>
            </w:pPr>
            <w:r>
              <w:rPr>
                <w:rFonts w:hint="eastAsia" w:ascii="Times New Roman" w:hAnsi="Times New Roman" w:cs="宋体"/>
                <w:bCs/>
              </w:rPr>
              <w:t>晋宁宝峰门站天然气来自于中缅天然气玉溪之线3</w:t>
            </w:r>
            <w:r>
              <w:rPr>
                <w:rFonts w:ascii="Times New Roman" w:hAnsi="Times New Roman" w:cs="宋体"/>
                <w:bCs/>
              </w:rPr>
              <w:t>#</w:t>
            </w:r>
            <w:r>
              <w:rPr>
                <w:rFonts w:hint="eastAsia" w:ascii="Times New Roman" w:hAnsi="Times New Roman" w:cs="宋体"/>
                <w:bCs/>
              </w:rPr>
              <w:t>阀室，供气规模1</w:t>
            </w:r>
            <w:r>
              <w:rPr>
                <w:rFonts w:ascii="Times New Roman" w:hAnsi="Times New Roman" w:cs="宋体"/>
                <w:bCs/>
              </w:rPr>
              <w:t>0</w:t>
            </w:r>
            <w:r>
              <w:rPr>
                <w:rFonts w:hint="eastAsia" w:ascii="Times New Roman" w:hAnsi="Times New Roman" w:cs="宋体"/>
                <w:bCs/>
              </w:rPr>
              <w:t>×1</w:t>
            </w:r>
            <w:r>
              <w:rPr>
                <w:rFonts w:ascii="Times New Roman" w:hAnsi="Times New Roman" w:cs="宋体"/>
                <w:bCs/>
              </w:rPr>
              <w:t>0</w:t>
            </w:r>
            <w:r>
              <w:rPr>
                <w:rFonts w:ascii="Times New Roman" w:hAnsi="Times New Roman" w:cs="宋体"/>
                <w:bCs/>
                <w:vertAlign w:val="superscript"/>
              </w:rPr>
              <w:t>4</w:t>
            </w:r>
            <w:r>
              <w:rPr>
                <w:rFonts w:ascii="Times New Roman" w:hAnsi="Times New Roman" w:cs="宋体"/>
                <w:bCs/>
              </w:rPr>
              <w:t>Nm</w:t>
            </w:r>
            <w:r>
              <w:rPr>
                <w:rFonts w:ascii="Times New Roman" w:hAnsi="Times New Roman" w:cs="宋体"/>
                <w:bCs/>
                <w:vertAlign w:val="superscript"/>
              </w:rPr>
              <w:t>3</w:t>
            </w:r>
            <w:r>
              <w:rPr>
                <w:rFonts w:ascii="Times New Roman" w:hAnsi="Times New Roman" w:cs="宋体"/>
                <w:bCs/>
              </w:rPr>
              <w:t>/h</w:t>
            </w:r>
            <w:r>
              <w:rPr>
                <w:rFonts w:hint="eastAsia" w:ascii="Times New Roman" w:hAnsi="Times New Roman" w:cs="宋体"/>
                <w:bCs/>
              </w:rPr>
              <w:t>。距离本项目最近的市政中压燃气管道为磷化工事业部厂区南侧倚阳路已建成市政中压燃气管道。</w:t>
            </w:r>
          </w:p>
          <w:p>
            <w:pPr>
              <w:pStyle w:val="18"/>
              <w:widowControl w:val="0"/>
              <w:adjustRightInd w:val="0"/>
              <w:snapToGrid w:val="0"/>
              <w:spacing w:before="0" w:beforeAutospacing="0" w:after="0" w:afterAutospacing="0" w:line="360" w:lineRule="auto"/>
              <w:ind w:firstLine="480" w:firstLineChars="200"/>
              <w:jc w:val="both"/>
              <w:rPr>
                <w:rFonts w:ascii="Times New Roman" w:hAnsi="Times New Roman" w:cs="宋体"/>
                <w:bCs/>
              </w:rPr>
            </w:pPr>
            <w:r>
              <w:rPr>
                <w:rFonts w:hint="eastAsia" w:ascii="Times New Roman" w:hAnsi="Times New Roman" w:cs="宋体"/>
                <w:bCs/>
              </w:rPr>
              <w:t>③供排</w:t>
            </w:r>
            <w:r>
              <w:rPr>
                <w:rFonts w:ascii="Times New Roman" w:hAnsi="Times New Roman" w:cs="宋体"/>
                <w:bCs/>
              </w:rPr>
              <w:t>水</w:t>
            </w:r>
          </w:p>
          <w:p>
            <w:pPr>
              <w:pStyle w:val="18"/>
              <w:widowControl w:val="0"/>
              <w:adjustRightInd w:val="0"/>
              <w:snapToGrid w:val="0"/>
              <w:spacing w:before="0" w:beforeAutospacing="0" w:after="0" w:afterAutospacing="0" w:line="360" w:lineRule="auto"/>
              <w:ind w:firstLine="480" w:firstLineChars="200"/>
              <w:jc w:val="both"/>
              <w:rPr>
                <w:rFonts w:ascii="Times New Roman" w:hAnsi="Times New Roman" w:cs="宋体"/>
                <w:bCs/>
              </w:rPr>
            </w:pPr>
            <w:r>
              <w:rPr>
                <w:rFonts w:hint="eastAsia" w:ascii="Times New Roman" w:hAnsi="Times New Roman" w:cs="宋体"/>
                <w:bCs/>
              </w:rPr>
              <w:t>本项目为热风炉技改项目，不改变原生产装置工艺流程，不改变装置用水环节及用水量。</w:t>
            </w:r>
          </w:p>
          <w:p>
            <w:pPr>
              <w:pStyle w:val="46"/>
              <w:spacing w:line="360" w:lineRule="auto"/>
              <w:ind w:firstLine="482"/>
              <w:jc w:val="both"/>
              <w:rPr>
                <w:rFonts w:cs="Times New Roman"/>
                <w:b/>
                <w:bCs/>
                <w:sz w:val="24"/>
              </w:rPr>
            </w:pPr>
            <w:r>
              <w:rPr>
                <w:rFonts w:hint="eastAsia" w:cs="Times New Roman"/>
                <w:b/>
                <w:bCs/>
                <w:sz w:val="24"/>
              </w:rPr>
              <w:t>（2）</w:t>
            </w:r>
            <w:r>
              <w:rPr>
                <w:rFonts w:cs="Times New Roman"/>
                <w:b/>
                <w:bCs/>
                <w:sz w:val="24"/>
              </w:rPr>
              <w:t>环保工程</w:t>
            </w:r>
          </w:p>
          <w:p>
            <w:pPr>
              <w:pStyle w:val="90"/>
              <w:numPr>
                <w:ilvl w:val="0"/>
                <w:numId w:val="1"/>
              </w:numPr>
              <w:adjustRightInd w:val="0"/>
              <w:snapToGrid w:val="0"/>
              <w:spacing w:line="360" w:lineRule="auto"/>
              <w:ind w:firstLineChars="0"/>
              <w:rPr>
                <w:kern w:val="28"/>
                <w:sz w:val="24"/>
              </w:rPr>
            </w:pPr>
            <w:r>
              <w:rPr>
                <w:rFonts w:hint="eastAsia"/>
                <w:kern w:val="28"/>
                <w:sz w:val="24"/>
              </w:rPr>
              <w:t>废气</w:t>
            </w:r>
          </w:p>
          <w:p>
            <w:pPr>
              <w:adjustRightInd w:val="0"/>
              <w:snapToGrid w:val="0"/>
              <w:spacing w:line="360" w:lineRule="auto"/>
              <w:ind w:firstLine="480" w:firstLineChars="200"/>
              <w:rPr>
                <w:kern w:val="28"/>
                <w:sz w:val="24"/>
              </w:rPr>
            </w:pPr>
            <w:r>
              <w:rPr>
                <w:rFonts w:hint="eastAsia"/>
                <w:kern w:val="28"/>
                <w:sz w:val="24"/>
              </w:rPr>
              <w:t>干燥废气经过旋风除尘器+喷雾干燥尾气洗涤塔处理后外排，排气筒：高40m，内径1.8m。风机设计风量：10万m</w:t>
            </w:r>
            <w:r>
              <w:rPr>
                <w:rFonts w:hint="eastAsia"/>
                <w:kern w:val="28"/>
                <w:sz w:val="24"/>
                <w:vertAlign w:val="superscript"/>
              </w:rPr>
              <w:t>3</w:t>
            </w:r>
            <w:r>
              <w:rPr>
                <w:rFonts w:hint="eastAsia"/>
                <w:kern w:val="28"/>
                <w:sz w:val="24"/>
              </w:rPr>
              <w:t>/h。</w:t>
            </w:r>
          </w:p>
          <w:p>
            <w:pPr>
              <w:pStyle w:val="29"/>
              <w:numPr>
                <w:ilvl w:val="0"/>
                <w:numId w:val="1"/>
              </w:numPr>
              <w:ind w:firstLineChars="0"/>
              <w:rPr>
                <w:color w:val="auto"/>
              </w:rPr>
            </w:pPr>
            <w:r>
              <w:rPr>
                <w:rFonts w:hint="eastAsia"/>
                <w:color w:val="auto"/>
              </w:rPr>
              <w:t>固体废物</w:t>
            </w:r>
          </w:p>
          <w:p>
            <w:pPr>
              <w:pStyle w:val="29"/>
              <w:ind w:firstLine="480"/>
              <w:rPr>
                <w:color w:val="auto"/>
              </w:rPr>
            </w:pPr>
            <w:r>
              <w:rPr>
                <w:rFonts w:hint="eastAsia"/>
                <w:color w:val="auto"/>
              </w:rPr>
              <w:t>燃煤产生的炉渣外售作为建材使用（详见附件2）。</w:t>
            </w:r>
          </w:p>
          <w:p>
            <w:pPr>
              <w:pStyle w:val="29"/>
              <w:numPr>
                <w:ilvl w:val="0"/>
                <w:numId w:val="1"/>
              </w:numPr>
              <w:ind w:firstLineChars="0"/>
              <w:rPr>
                <w:color w:val="auto"/>
              </w:rPr>
            </w:pPr>
            <w:r>
              <w:rPr>
                <w:rFonts w:hint="eastAsia"/>
                <w:color w:val="auto"/>
              </w:rPr>
              <w:t>风险防范措施</w:t>
            </w:r>
          </w:p>
          <w:p>
            <w:pPr>
              <w:pStyle w:val="29"/>
              <w:ind w:firstLine="480"/>
              <w:rPr>
                <w:color w:val="auto"/>
              </w:rPr>
            </w:pPr>
            <w:r>
              <w:rPr>
                <w:rFonts w:hint="eastAsia"/>
                <w:color w:val="auto"/>
                <w:szCs w:val="28"/>
              </w:rPr>
              <w:t>可燃气体泄露报警系统1套</w:t>
            </w:r>
            <w:r>
              <w:rPr>
                <w:rFonts w:hint="eastAsia"/>
                <w:color w:val="auto"/>
              </w:rPr>
              <w:t>。</w:t>
            </w:r>
          </w:p>
          <w:p>
            <w:pPr>
              <w:pStyle w:val="46"/>
              <w:spacing w:line="360" w:lineRule="auto"/>
              <w:ind w:firstLine="482"/>
              <w:jc w:val="both"/>
              <w:rPr>
                <w:rFonts w:cs="Times New Roman"/>
                <w:b/>
                <w:bCs/>
                <w:sz w:val="24"/>
              </w:rPr>
            </w:pPr>
            <w:r>
              <w:rPr>
                <w:rFonts w:hint="eastAsia" w:cs="Times New Roman"/>
                <w:b/>
                <w:bCs/>
                <w:sz w:val="24"/>
              </w:rPr>
              <w:t>3、产品方案及规模</w:t>
            </w:r>
          </w:p>
          <w:p>
            <w:pPr>
              <w:adjustRightInd w:val="0"/>
              <w:spacing w:line="360" w:lineRule="auto"/>
              <w:ind w:firstLine="480" w:firstLineChars="200"/>
              <w:outlineLvl w:val="0"/>
              <w:rPr>
                <w:rFonts w:cs="宋体"/>
                <w:bCs/>
                <w:sz w:val="24"/>
              </w:rPr>
            </w:pPr>
            <w:bookmarkStart w:id="10" w:name="_Toc117775770"/>
            <w:r>
              <w:rPr>
                <w:rFonts w:hint="eastAsia" w:cs="宋体"/>
                <w:bCs/>
                <w:sz w:val="24"/>
              </w:rPr>
              <w:t>本项目为技改热风炉装置，在原来的燃煤供热方式的基础上，增加一套燃天然气供热。</w:t>
            </w:r>
            <w:bookmarkEnd w:id="10"/>
          </w:p>
          <w:p>
            <w:pPr>
              <w:adjustRightInd w:val="0"/>
              <w:spacing w:line="360" w:lineRule="auto"/>
              <w:ind w:firstLine="422" w:firstLineChars="200"/>
              <w:jc w:val="center"/>
              <w:outlineLvl w:val="0"/>
              <w:rPr>
                <w:b/>
              </w:rPr>
            </w:pPr>
            <w:bookmarkStart w:id="11" w:name="_Toc117775771"/>
            <w:r>
              <w:rPr>
                <w:rFonts w:hint="eastAsia"/>
                <w:b/>
              </w:rPr>
              <w:t>表2</w:t>
            </w:r>
            <w:r>
              <w:rPr>
                <w:b/>
              </w:rPr>
              <w:t>-2</w:t>
            </w:r>
            <w:r>
              <w:rPr>
                <w:rFonts w:hint="eastAsia"/>
                <w:b/>
              </w:rPr>
              <w:t xml:space="preserve"> </w:t>
            </w:r>
            <w:r>
              <w:rPr>
                <w:b/>
              </w:rPr>
              <w:t xml:space="preserve"> </w:t>
            </w:r>
            <w:r>
              <w:rPr>
                <w:rFonts w:hint="eastAsia"/>
                <w:b/>
              </w:rPr>
              <w:t>项目产品方案一览表</w:t>
            </w:r>
            <w:bookmarkEnd w:id="11"/>
          </w:p>
          <w:tbl>
            <w:tblPr>
              <w:tblStyle w:val="23"/>
              <w:tblW w:w="7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779"/>
              <w:gridCol w:w="1947"/>
              <w:gridCol w:w="1686"/>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gridSpan w:val="2"/>
                  <w:vAlign w:val="center"/>
                </w:tcPr>
                <w:p>
                  <w:pPr>
                    <w:pStyle w:val="9"/>
                    <w:spacing w:before="0" w:after="0" w:line="240" w:lineRule="auto"/>
                    <w:ind w:right="0"/>
                    <w:jc w:val="center"/>
                    <w:rPr>
                      <w:b/>
                      <w:bCs/>
                      <w:sz w:val="21"/>
                      <w:szCs w:val="21"/>
                    </w:rPr>
                  </w:pPr>
                  <w:r>
                    <w:rPr>
                      <w:rFonts w:hint="eastAsia"/>
                      <w:b/>
                      <w:bCs/>
                      <w:sz w:val="21"/>
                      <w:szCs w:val="21"/>
                    </w:rPr>
                    <w:t>产品方案</w:t>
                  </w:r>
                </w:p>
              </w:tc>
              <w:tc>
                <w:tcPr>
                  <w:tcW w:w="1947" w:type="dxa"/>
                  <w:vAlign w:val="center"/>
                </w:tcPr>
                <w:p>
                  <w:pPr>
                    <w:pStyle w:val="9"/>
                    <w:spacing w:before="0" w:after="0" w:line="240" w:lineRule="auto"/>
                    <w:ind w:right="0"/>
                    <w:jc w:val="center"/>
                    <w:rPr>
                      <w:b/>
                      <w:bCs/>
                      <w:sz w:val="21"/>
                      <w:szCs w:val="21"/>
                    </w:rPr>
                  </w:pPr>
                  <w:r>
                    <w:rPr>
                      <w:rFonts w:hint="eastAsia"/>
                      <w:b/>
                      <w:bCs/>
                      <w:sz w:val="21"/>
                      <w:szCs w:val="21"/>
                    </w:rPr>
                    <w:t>技术参数</w:t>
                  </w:r>
                </w:p>
              </w:tc>
              <w:tc>
                <w:tcPr>
                  <w:tcW w:w="1686" w:type="dxa"/>
                  <w:vAlign w:val="center"/>
                </w:tcPr>
                <w:p>
                  <w:pPr>
                    <w:pStyle w:val="9"/>
                    <w:spacing w:before="0" w:after="0" w:line="240" w:lineRule="auto"/>
                    <w:ind w:right="0"/>
                    <w:jc w:val="center"/>
                    <w:rPr>
                      <w:b/>
                      <w:bCs/>
                      <w:sz w:val="21"/>
                      <w:szCs w:val="21"/>
                    </w:rPr>
                  </w:pPr>
                  <w:r>
                    <w:rPr>
                      <w:rFonts w:hint="eastAsia"/>
                      <w:b/>
                      <w:bCs/>
                      <w:sz w:val="21"/>
                      <w:szCs w:val="21"/>
                    </w:rPr>
                    <w:t>供热量</w:t>
                  </w:r>
                </w:p>
              </w:tc>
              <w:tc>
                <w:tcPr>
                  <w:tcW w:w="1185" w:type="dxa"/>
                  <w:vAlign w:val="center"/>
                </w:tcPr>
                <w:p>
                  <w:pPr>
                    <w:pStyle w:val="9"/>
                    <w:spacing w:before="0" w:after="0" w:line="240" w:lineRule="auto"/>
                    <w:ind w:right="0"/>
                    <w:jc w:val="center"/>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restart"/>
                  <w:vAlign w:val="center"/>
                </w:tcPr>
                <w:p>
                  <w:pPr>
                    <w:pStyle w:val="9"/>
                    <w:spacing w:before="0" w:after="0" w:line="240" w:lineRule="auto"/>
                    <w:ind w:right="0"/>
                    <w:jc w:val="center"/>
                    <w:rPr>
                      <w:sz w:val="21"/>
                      <w:szCs w:val="21"/>
                    </w:rPr>
                  </w:pPr>
                  <w:r>
                    <w:rPr>
                      <w:rFonts w:hint="eastAsia"/>
                      <w:sz w:val="21"/>
                      <w:szCs w:val="21"/>
                    </w:rPr>
                    <w:t>热风</w:t>
                  </w:r>
                </w:p>
              </w:tc>
              <w:tc>
                <w:tcPr>
                  <w:tcW w:w="1779" w:type="dxa"/>
                  <w:vAlign w:val="center"/>
                </w:tcPr>
                <w:p>
                  <w:pPr>
                    <w:pStyle w:val="9"/>
                    <w:spacing w:before="0" w:after="0" w:line="240" w:lineRule="auto"/>
                    <w:ind w:right="0"/>
                    <w:jc w:val="center"/>
                    <w:rPr>
                      <w:sz w:val="21"/>
                      <w:szCs w:val="21"/>
                    </w:rPr>
                  </w:pPr>
                  <w:r>
                    <w:rPr>
                      <w:rFonts w:hint="eastAsia"/>
                      <w:sz w:val="21"/>
                      <w:szCs w:val="21"/>
                    </w:rPr>
                    <w:t>燃煤热风炉</w:t>
                  </w:r>
                </w:p>
              </w:tc>
              <w:tc>
                <w:tcPr>
                  <w:tcW w:w="1947" w:type="dxa"/>
                  <w:vAlign w:val="center"/>
                </w:tcPr>
                <w:p>
                  <w:pPr>
                    <w:pStyle w:val="9"/>
                    <w:spacing w:before="0" w:after="0" w:line="240" w:lineRule="auto"/>
                    <w:ind w:right="0"/>
                    <w:jc w:val="center"/>
                    <w:rPr>
                      <w:sz w:val="21"/>
                      <w:szCs w:val="21"/>
                    </w:rPr>
                  </w:pPr>
                  <w:r>
                    <w:rPr>
                      <w:rFonts w:hint="eastAsia"/>
                      <w:sz w:val="21"/>
                      <w:szCs w:val="21"/>
                    </w:rPr>
                    <w:t>约5</w:t>
                  </w:r>
                  <w:r>
                    <w:rPr>
                      <w:sz w:val="21"/>
                      <w:szCs w:val="21"/>
                    </w:rPr>
                    <w:t>50</w:t>
                  </w:r>
                  <w:r>
                    <w:rPr>
                      <w:rFonts w:hint="eastAsia"/>
                      <w:sz w:val="21"/>
                      <w:szCs w:val="21"/>
                    </w:rPr>
                    <w:t>℃，常压</w:t>
                  </w:r>
                </w:p>
              </w:tc>
              <w:tc>
                <w:tcPr>
                  <w:tcW w:w="1686" w:type="dxa"/>
                  <w:vAlign w:val="center"/>
                </w:tcPr>
                <w:p>
                  <w:pPr>
                    <w:pStyle w:val="9"/>
                    <w:spacing w:before="0" w:after="0" w:line="240" w:lineRule="auto"/>
                    <w:ind w:right="0"/>
                    <w:jc w:val="center"/>
                    <w:rPr>
                      <w:sz w:val="21"/>
                      <w:szCs w:val="21"/>
                    </w:rPr>
                  </w:pPr>
                  <w:r>
                    <w:rPr>
                      <w:rFonts w:hint="eastAsia"/>
                      <w:sz w:val="21"/>
                      <w:szCs w:val="21"/>
                    </w:rPr>
                    <w:t>3</w:t>
                  </w:r>
                  <w:r>
                    <w:rPr>
                      <w:sz w:val="21"/>
                      <w:szCs w:val="21"/>
                    </w:rPr>
                    <w:t>.19</w:t>
                  </w:r>
                  <w:r>
                    <w:rPr>
                      <w:rFonts w:hint="eastAsia"/>
                      <w:sz w:val="21"/>
                      <w:szCs w:val="21"/>
                    </w:rPr>
                    <w:t>×1</w:t>
                  </w:r>
                  <w:r>
                    <w:rPr>
                      <w:sz w:val="21"/>
                      <w:szCs w:val="21"/>
                    </w:rPr>
                    <w:t>0</w:t>
                  </w:r>
                  <w:r>
                    <w:rPr>
                      <w:sz w:val="21"/>
                      <w:szCs w:val="21"/>
                      <w:vertAlign w:val="superscript"/>
                    </w:rPr>
                    <w:t>10</w:t>
                  </w:r>
                  <w:r>
                    <w:rPr>
                      <w:sz w:val="21"/>
                      <w:szCs w:val="21"/>
                    </w:rPr>
                    <w:t xml:space="preserve"> kcal/a</w:t>
                  </w:r>
                </w:p>
              </w:tc>
              <w:tc>
                <w:tcPr>
                  <w:tcW w:w="1185" w:type="dxa"/>
                  <w:vAlign w:val="center"/>
                </w:tcPr>
                <w:p>
                  <w:pPr>
                    <w:pStyle w:val="9"/>
                    <w:spacing w:before="0" w:after="0" w:line="240" w:lineRule="auto"/>
                    <w:ind w:right="0"/>
                    <w:jc w:val="center"/>
                    <w:rPr>
                      <w:sz w:val="21"/>
                      <w:szCs w:val="21"/>
                    </w:rPr>
                  </w:pPr>
                  <w:r>
                    <w:rPr>
                      <w:rFonts w:hint="eastAsia"/>
                      <w:sz w:val="21"/>
                      <w:szCs w:val="21"/>
                    </w:rPr>
                    <w:t>沿用原有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vMerge w:val="continue"/>
                  <w:vAlign w:val="center"/>
                </w:tcPr>
                <w:p>
                  <w:pPr>
                    <w:pStyle w:val="9"/>
                    <w:spacing w:before="0" w:after="0" w:line="240" w:lineRule="auto"/>
                    <w:ind w:right="0"/>
                    <w:jc w:val="center"/>
                    <w:rPr>
                      <w:sz w:val="21"/>
                      <w:szCs w:val="21"/>
                    </w:rPr>
                  </w:pPr>
                </w:p>
              </w:tc>
              <w:tc>
                <w:tcPr>
                  <w:tcW w:w="1779" w:type="dxa"/>
                  <w:vAlign w:val="center"/>
                </w:tcPr>
                <w:p>
                  <w:pPr>
                    <w:pStyle w:val="9"/>
                    <w:spacing w:before="0" w:after="0" w:line="240" w:lineRule="auto"/>
                    <w:ind w:right="0"/>
                    <w:jc w:val="center"/>
                    <w:rPr>
                      <w:sz w:val="21"/>
                      <w:szCs w:val="21"/>
                    </w:rPr>
                  </w:pPr>
                  <w:r>
                    <w:rPr>
                      <w:rFonts w:hint="eastAsia"/>
                      <w:sz w:val="21"/>
                      <w:szCs w:val="21"/>
                    </w:rPr>
                    <w:t>天然气燃烧装置</w:t>
                  </w:r>
                </w:p>
              </w:tc>
              <w:tc>
                <w:tcPr>
                  <w:tcW w:w="1947" w:type="dxa"/>
                  <w:vAlign w:val="center"/>
                </w:tcPr>
                <w:p>
                  <w:pPr>
                    <w:pStyle w:val="9"/>
                    <w:spacing w:before="0" w:after="0" w:line="240" w:lineRule="auto"/>
                    <w:ind w:right="0"/>
                    <w:jc w:val="center"/>
                    <w:rPr>
                      <w:sz w:val="21"/>
                      <w:szCs w:val="21"/>
                    </w:rPr>
                  </w:pPr>
                  <w:r>
                    <w:rPr>
                      <w:sz w:val="21"/>
                      <w:szCs w:val="21"/>
                    </w:rPr>
                    <w:t>650-820</w:t>
                  </w:r>
                  <w:r>
                    <w:rPr>
                      <w:rFonts w:hint="eastAsia"/>
                      <w:sz w:val="21"/>
                      <w:szCs w:val="21"/>
                    </w:rPr>
                    <w:t>℃，压力5</w:t>
                  </w:r>
                  <w:r>
                    <w:rPr>
                      <w:sz w:val="21"/>
                      <w:szCs w:val="21"/>
                    </w:rPr>
                    <w:t>0-80kPa</w:t>
                  </w:r>
                </w:p>
              </w:tc>
              <w:tc>
                <w:tcPr>
                  <w:tcW w:w="1686" w:type="dxa"/>
                  <w:vAlign w:val="center"/>
                </w:tcPr>
                <w:p>
                  <w:pPr>
                    <w:pStyle w:val="9"/>
                    <w:spacing w:before="0" w:after="0" w:line="240" w:lineRule="auto"/>
                    <w:ind w:right="0"/>
                    <w:jc w:val="center"/>
                    <w:rPr>
                      <w:sz w:val="21"/>
                      <w:szCs w:val="21"/>
                    </w:rPr>
                  </w:pPr>
                  <w:r>
                    <w:rPr>
                      <w:rFonts w:hint="eastAsia"/>
                      <w:sz w:val="21"/>
                      <w:szCs w:val="21"/>
                    </w:rPr>
                    <w:t>4</w:t>
                  </w:r>
                  <w:r>
                    <w:rPr>
                      <w:sz w:val="21"/>
                      <w:szCs w:val="21"/>
                    </w:rPr>
                    <w:t>.62</w:t>
                  </w:r>
                  <w:r>
                    <w:rPr>
                      <w:rFonts w:hint="eastAsia"/>
                      <w:sz w:val="21"/>
                      <w:szCs w:val="21"/>
                    </w:rPr>
                    <w:t>×1</w:t>
                  </w:r>
                  <w:r>
                    <w:rPr>
                      <w:sz w:val="21"/>
                      <w:szCs w:val="21"/>
                    </w:rPr>
                    <w:t>0</w:t>
                  </w:r>
                  <w:r>
                    <w:rPr>
                      <w:sz w:val="21"/>
                      <w:szCs w:val="21"/>
                      <w:vertAlign w:val="superscript"/>
                    </w:rPr>
                    <w:t>10</w:t>
                  </w:r>
                  <w:r>
                    <w:rPr>
                      <w:sz w:val="21"/>
                      <w:szCs w:val="21"/>
                    </w:rPr>
                    <w:t xml:space="preserve"> kcal/a</w:t>
                  </w:r>
                </w:p>
              </w:tc>
              <w:tc>
                <w:tcPr>
                  <w:tcW w:w="1185" w:type="dxa"/>
                  <w:vAlign w:val="center"/>
                </w:tcPr>
                <w:p>
                  <w:pPr>
                    <w:pStyle w:val="9"/>
                    <w:spacing w:before="0" w:after="0" w:line="240" w:lineRule="auto"/>
                    <w:ind w:right="0"/>
                    <w:jc w:val="center"/>
                    <w:rPr>
                      <w:sz w:val="21"/>
                      <w:szCs w:val="21"/>
                    </w:rPr>
                  </w:pPr>
                  <w:r>
                    <w:rPr>
                      <w:rFonts w:hint="eastAsia"/>
                      <w:sz w:val="21"/>
                      <w:szCs w:val="21"/>
                    </w:rPr>
                    <w:t>新增</w:t>
                  </w:r>
                </w:p>
              </w:tc>
            </w:tr>
          </w:tbl>
          <w:p>
            <w:pPr>
              <w:pStyle w:val="46"/>
              <w:spacing w:line="360" w:lineRule="auto"/>
              <w:ind w:firstLine="0" w:firstLineChars="0"/>
              <w:jc w:val="both"/>
              <w:rPr>
                <w:rFonts w:cs="Times New Roman"/>
                <w:b/>
                <w:bCs/>
              </w:rPr>
            </w:pPr>
          </w:p>
          <w:p>
            <w:pPr>
              <w:pStyle w:val="46"/>
              <w:spacing w:line="360" w:lineRule="auto"/>
              <w:ind w:firstLine="482"/>
              <w:jc w:val="both"/>
              <w:rPr>
                <w:rFonts w:cs="Times New Roman"/>
                <w:b/>
                <w:bCs/>
                <w:sz w:val="24"/>
              </w:rPr>
            </w:pPr>
            <w:r>
              <w:rPr>
                <w:rFonts w:cs="Times New Roman"/>
                <w:b/>
                <w:bCs/>
                <w:sz w:val="24"/>
              </w:rPr>
              <w:t>4</w:t>
            </w:r>
            <w:r>
              <w:rPr>
                <w:rFonts w:hint="eastAsia" w:cs="Times New Roman"/>
                <w:b/>
                <w:bCs/>
                <w:sz w:val="24"/>
              </w:rPr>
              <w:t>、主要原辅材料及燃料</w:t>
            </w:r>
          </w:p>
          <w:p>
            <w:pPr>
              <w:pStyle w:val="46"/>
              <w:spacing w:line="360" w:lineRule="auto"/>
              <w:jc w:val="both"/>
              <w:rPr>
                <w:sz w:val="24"/>
              </w:rPr>
            </w:pPr>
            <w:r>
              <w:rPr>
                <w:rFonts w:hint="eastAsia"/>
                <w:sz w:val="24"/>
              </w:rPr>
              <w:t>本次技改项目主要能源为天然气及电，原辅材料见表2-</w:t>
            </w:r>
            <w:r>
              <w:rPr>
                <w:sz w:val="24"/>
              </w:rPr>
              <w:t>3</w:t>
            </w:r>
            <w:r>
              <w:rPr>
                <w:rFonts w:hint="eastAsia"/>
                <w:sz w:val="24"/>
              </w:rPr>
              <w:t>所示。</w:t>
            </w:r>
          </w:p>
          <w:p>
            <w:pPr>
              <w:pStyle w:val="46"/>
              <w:spacing w:line="360" w:lineRule="auto"/>
              <w:ind w:firstLine="422"/>
              <w:jc w:val="center"/>
              <w:rPr>
                <w:b/>
                <w:bCs/>
                <w:szCs w:val="28"/>
              </w:rPr>
            </w:pPr>
            <w:r>
              <w:rPr>
                <w:rFonts w:hint="eastAsia"/>
                <w:b/>
                <w:bCs/>
                <w:szCs w:val="28"/>
              </w:rPr>
              <w:t>表2-</w:t>
            </w:r>
            <w:r>
              <w:rPr>
                <w:b/>
                <w:bCs/>
                <w:szCs w:val="28"/>
              </w:rPr>
              <w:t>3</w:t>
            </w:r>
            <w:r>
              <w:rPr>
                <w:rFonts w:hint="eastAsia"/>
                <w:b/>
                <w:bCs/>
                <w:szCs w:val="28"/>
              </w:rPr>
              <w:t xml:space="preserve">  项目原辅材料、能源消耗指标</w:t>
            </w:r>
          </w:p>
          <w:tbl>
            <w:tblPr>
              <w:tblStyle w:val="23"/>
              <w:tblW w:w="7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202"/>
              <w:gridCol w:w="1578"/>
              <w:gridCol w:w="1578"/>
              <w:gridCol w:w="16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905" w:type="dxa"/>
                  <w:vAlign w:val="center"/>
                </w:tcPr>
                <w:p>
                  <w:pPr>
                    <w:pStyle w:val="46"/>
                    <w:ind w:firstLine="0" w:firstLineChars="0"/>
                    <w:jc w:val="center"/>
                    <w:rPr>
                      <w:rFonts w:cs="Times New Roman"/>
                      <w:b/>
                      <w:bCs/>
                    </w:rPr>
                  </w:pPr>
                  <w:r>
                    <w:rPr>
                      <w:rFonts w:hint="eastAsia" w:cs="Times New Roman"/>
                      <w:b/>
                      <w:bCs/>
                    </w:rPr>
                    <w:t>序号</w:t>
                  </w:r>
                </w:p>
              </w:tc>
              <w:tc>
                <w:tcPr>
                  <w:tcW w:w="1202" w:type="dxa"/>
                  <w:vAlign w:val="center"/>
                </w:tcPr>
                <w:p>
                  <w:pPr>
                    <w:pStyle w:val="46"/>
                    <w:ind w:firstLine="0" w:firstLineChars="0"/>
                    <w:jc w:val="center"/>
                    <w:rPr>
                      <w:rFonts w:cs="Times New Roman"/>
                      <w:b/>
                      <w:bCs/>
                    </w:rPr>
                  </w:pPr>
                  <w:r>
                    <w:rPr>
                      <w:rFonts w:hint="eastAsia" w:cs="Times New Roman"/>
                      <w:b/>
                      <w:bCs/>
                    </w:rPr>
                    <w:t>能源</w:t>
                  </w:r>
                </w:p>
              </w:tc>
              <w:tc>
                <w:tcPr>
                  <w:tcW w:w="1578" w:type="dxa"/>
                  <w:vAlign w:val="center"/>
                </w:tcPr>
                <w:p>
                  <w:pPr>
                    <w:pStyle w:val="46"/>
                    <w:ind w:firstLine="0" w:firstLineChars="0"/>
                    <w:jc w:val="center"/>
                    <w:rPr>
                      <w:rFonts w:cs="Times New Roman"/>
                      <w:b/>
                      <w:bCs/>
                    </w:rPr>
                  </w:pPr>
                  <w:r>
                    <w:rPr>
                      <w:rFonts w:hint="eastAsia" w:cs="Times New Roman"/>
                      <w:b/>
                      <w:bCs/>
                    </w:rPr>
                    <w:t>现状用量</w:t>
                  </w:r>
                </w:p>
              </w:tc>
              <w:tc>
                <w:tcPr>
                  <w:tcW w:w="1578" w:type="dxa"/>
                  <w:vAlign w:val="center"/>
                </w:tcPr>
                <w:p>
                  <w:pPr>
                    <w:pStyle w:val="46"/>
                    <w:ind w:firstLine="0" w:firstLineChars="0"/>
                    <w:jc w:val="center"/>
                    <w:rPr>
                      <w:rFonts w:cs="Times New Roman"/>
                      <w:b/>
                      <w:bCs/>
                    </w:rPr>
                  </w:pPr>
                  <w:r>
                    <w:rPr>
                      <w:rFonts w:hint="eastAsia" w:cs="Times New Roman"/>
                      <w:b/>
                      <w:bCs/>
                    </w:rPr>
                    <w:t>技改后消耗量</w:t>
                  </w:r>
                </w:p>
              </w:tc>
              <w:tc>
                <w:tcPr>
                  <w:tcW w:w="1620" w:type="dxa"/>
                  <w:vAlign w:val="center"/>
                </w:tcPr>
                <w:p>
                  <w:pPr>
                    <w:pStyle w:val="46"/>
                    <w:ind w:firstLine="0" w:firstLineChars="0"/>
                    <w:jc w:val="center"/>
                    <w:rPr>
                      <w:rFonts w:cs="Times New Roman"/>
                      <w:b/>
                      <w:bCs/>
                    </w:rPr>
                  </w:pPr>
                  <w:r>
                    <w:rPr>
                      <w:rFonts w:hint="eastAsia" w:cs="Times New Roman"/>
                      <w:b/>
                      <w:bCs/>
                    </w:rPr>
                    <w:t>技改后变化情况</w:t>
                  </w:r>
                </w:p>
              </w:tc>
              <w:tc>
                <w:tcPr>
                  <w:tcW w:w="900" w:type="dxa"/>
                  <w:vAlign w:val="center"/>
                </w:tcPr>
                <w:p>
                  <w:pPr>
                    <w:pStyle w:val="46"/>
                    <w:ind w:firstLine="0" w:firstLineChars="0"/>
                    <w:jc w:val="center"/>
                    <w:rPr>
                      <w:rFonts w:cs="Times New Roman"/>
                      <w:b/>
                      <w:bCs/>
                    </w:rPr>
                  </w:pPr>
                  <w:r>
                    <w:rPr>
                      <w:rFonts w:hint="eastAsia" w:cs="Times New Roman"/>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905" w:type="dxa"/>
                  <w:vAlign w:val="center"/>
                </w:tcPr>
                <w:p>
                  <w:pPr>
                    <w:pStyle w:val="46"/>
                    <w:ind w:firstLine="0" w:firstLineChars="0"/>
                    <w:jc w:val="center"/>
                    <w:rPr>
                      <w:rFonts w:cs="Times New Roman"/>
                    </w:rPr>
                  </w:pPr>
                  <w:r>
                    <w:rPr>
                      <w:rFonts w:hint="eastAsia" w:cs="Times New Roman"/>
                    </w:rPr>
                    <w:t>1</w:t>
                  </w:r>
                </w:p>
              </w:tc>
              <w:tc>
                <w:tcPr>
                  <w:tcW w:w="1202" w:type="dxa"/>
                  <w:vAlign w:val="center"/>
                </w:tcPr>
                <w:p>
                  <w:pPr>
                    <w:pStyle w:val="46"/>
                    <w:ind w:firstLine="0" w:firstLineChars="0"/>
                    <w:jc w:val="center"/>
                    <w:rPr>
                      <w:rFonts w:cs="Times New Roman"/>
                    </w:rPr>
                  </w:pPr>
                  <w:r>
                    <w:rPr>
                      <w:rFonts w:hint="eastAsia" w:cs="Times New Roman"/>
                    </w:rPr>
                    <w:t>原煤</w:t>
                  </w:r>
                </w:p>
              </w:tc>
              <w:tc>
                <w:tcPr>
                  <w:tcW w:w="1578" w:type="dxa"/>
                  <w:vAlign w:val="center"/>
                </w:tcPr>
                <w:p>
                  <w:pPr>
                    <w:pStyle w:val="46"/>
                    <w:ind w:firstLine="0" w:firstLineChars="0"/>
                    <w:jc w:val="center"/>
                    <w:rPr>
                      <w:rFonts w:cs="Times New Roman"/>
                    </w:rPr>
                  </w:pPr>
                  <w:r>
                    <w:rPr>
                      <w:rFonts w:hint="eastAsia" w:cs="Times New Roman"/>
                    </w:rPr>
                    <w:t>7</w:t>
                  </w:r>
                  <w:r>
                    <w:rPr>
                      <w:rFonts w:cs="Times New Roman"/>
                    </w:rPr>
                    <w:t>063t</w:t>
                  </w:r>
                </w:p>
              </w:tc>
              <w:tc>
                <w:tcPr>
                  <w:tcW w:w="1578" w:type="dxa"/>
                  <w:vAlign w:val="center"/>
                </w:tcPr>
                <w:p>
                  <w:pPr>
                    <w:pStyle w:val="46"/>
                    <w:ind w:firstLine="0" w:firstLineChars="0"/>
                    <w:jc w:val="center"/>
                    <w:rPr>
                      <w:rFonts w:cs="Times New Roman"/>
                    </w:rPr>
                  </w:pPr>
                  <w:r>
                    <w:rPr>
                      <w:rFonts w:hint="eastAsia" w:cs="Times New Roman"/>
                    </w:rPr>
                    <w:t>6</w:t>
                  </w:r>
                  <w:r>
                    <w:rPr>
                      <w:rFonts w:cs="Times New Roman"/>
                    </w:rPr>
                    <w:t>475t</w:t>
                  </w:r>
                </w:p>
              </w:tc>
              <w:tc>
                <w:tcPr>
                  <w:tcW w:w="1620" w:type="dxa"/>
                  <w:vAlign w:val="center"/>
                </w:tcPr>
                <w:p>
                  <w:pPr>
                    <w:pStyle w:val="46"/>
                    <w:ind w:firstLine="0" w:firstLineChars="0"/>
                    <w:jc w:val="center"/>
                    <w:rPr>
                      <w:rFonts w:cs="Times New Roman"/>
                    </w:rPr>
                  </w:pPr>
                  <w:r>
                    <w:rPr>
                      <w:rFonts w:hint="eastAsia" w:cs="Times New Roman"/>
                    </w:rPr>
                    <w:t>-</w:t>
                  </w:r>
                  <w:r>
                    <w:rPr>
                      <w:rFonts w:cs="Times New Roman"/>
                    </w:rPr>
                    <w:t>588t</w:t>
                  </w:r>
                </w:p>
              </w:tc>
              <w:tc>
                <w:tcPr>
                  <w:tcW w:w="900" w:type="dxa"/>
                  <w:vAlign w:val="center"/>
                </w:tcPr>
                <w:p>
                  <w:pPr>
                    <w:pStyle w:val="46"/>
                    <w:ind w:firstLine="0" w:firstLineChars="0"/>
                    <w:jc w:val="center"/>
                    <w:rPr>
                      <w:rFonts w:cs="Times New Roman"/>
                    </w:rPr>
                  </w:pPr>
                  <w:r>
                    <w:rPr>
                      <w:rFonts w:hint="eastAsia" w:cs="Times New Roman"/>
                    </w:rPr>
                    <w:t>6</w:t>
                  </w:r>
                  <w:r>
                    <w:rPr>
                      <w:rFonts w:cs="Times New Roman"/>
                    </w:rPr>
                    <w:t>600</w:t>
                  </w:r>
                  <w:r>
                    <w:rPr>
                      <w:rFonts w:hint="eastAsia" w:cs="Times New Roman"/>
                    </w:rPr>
                    <w:t>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905" w:type="dxa"/>
                  <w:vAlign w:val="center"/>
                </w:tcPr>
                <w:p>
                  <w:pPr>
                    <w:pStyle w:val="46"/>
                    <w:ind w:firstLine="0" w:firstLineChars="0"/>
                    <w:jc w:val="center"/>
                    <w:rPr>
                      <w:rFonts w:cs="Times New Roman"/>
                    </w:rPr>
                  </w:pPr>
                  <w:r>
                    <w:rPr>
                      <w:rFonts w:hint="eastAsia" w:cs="Times New Roman"/>
                    </w:rPr>
                    <w:t>2</w:t>
                  </w:r>
                </w:p>
              </w:tc>
              <w:tc>
                <w:tcPr>
                  <w:tcW w:w="1202" w:type="dxa"/>
                  <w:vAlign w:val="center"/>
                </w:tcPr>
                <w:p>
                  <w:pPr>
                    <w:pStyle w:val="46"/>
                    <w:ind w:firstLine="0" w:firstLineChars="0"/>
                    <w:jc w:val="center"/>
                    <w:rPr>
                      <w:rFonts w:cs="Times New Roman"/>
                    </w:rPr>
                  </w:pPr>
                  <w:r>
                    <w:rPr>
                      <w:rFonts w:hint="eastAsia" w:cs="Times New Roman"/>
                    </w:rPr>
                    <w:t>天然气</w:t>
                  </w:r>
                </w:p>
              </w:tc>
              <w:tc>
                <w:tcPr>
                  <w:tcW w:w="1578" w:type="dxa"/>
                  <w:vAlign w:val="center"/>
                </w:tcPr>
                <w:p>
                  <w:pPr>
                    <w:jc w:val="center"/>
                  </w:pPr>
                  <w:r>
                    <w:rPr>
                      <w:rFonts w:hint="eastAsia"/>
                    </w:rPr>
                    <w:t>0</w:t>
                  </w:r>
                </w:p>
              </w:tc>
              <w:tc>
                <w:tcPr>
                  <w:tcW w:w="1578" w:type="dxa"/>
                  <w:vAlign w:val="center"/>
                </w:tcPr>
                <w:p>
                  <w:pPr>
                    <w:jc w:val="center"/>
                    <w:rPr>
                      <w:szCs w:val="28"/>
                    </w:rPr>
                  </w:pPr>
                  <w:r>
                    <w:t>90</w:t>
                  </w:r>
                  <w:r>
                    <w:rPr>
                      <w:rFonts w:hint="eastAsia"/>
                    </w:rPr>
                    <w:t>×10</w:t>
                  </w:r>
                  <w:r>
                    <w:rPr>
                      <w:rFonts w:hint="eastAsia"/>
                      <w:vertAlign w:val="superscript"/>
                    </w:rPr>
                    <w:t>4</w:t>
                  </w:r>
                  <w:r>
                    <w:rPr>
                      <w:rFonts w:hint="eastAsia"/>
                    </w:rPr>
                    <w:t xml:space="preserve"> Nm</w:t>
                  </w:r>
                  <w:r>
                    <w:rPr>
                      <w:rFonts w:hint="eastAsia"/>
                      <w:vertAlign w:val="superscript"/>
                    </w:rPr>
                    <w:t>3</w:t>
                  </w:r>
                </w:p>
              </w:tc>
              <w:tc>
                <w:tcPr>
                  <w:tcW w:w="1620" w:type="dxa"/>
                  <w:vAlign w:val="center"/>
                </w:tcPr>
                <w:p>
                  <w:pPr>
                    <w:pStyle w:val="46"/>
                    <w:ind w:firstLine="0" w:firstLineChars="0"/>
                    <w:jc w:val="center"/>
                    <w:rPr>
                      <w:rFonts w:cs="Times New Roman"/>
                    </w:rPr>
                  </w:pPr>
                  <w:r>
                    <w:rPr>
                      <w:rFonts w:hint="eastAsia" w:cs="Times New Roman"/>
                    </w:rPr>
                    <w:t>+</w:t>
                  </w:r>
                  <w:r>
                    <w:t>90</w:t>
                  </w:r>
                  <w:r>
                    <w:rPr>
                      <w:rFonts w:hint="eastAsia"/>
                    </w:rPr>
                    <w:t>×10</w:t>
                  </w:r>
                  <w:r>
                    <w:rPr>
                      <w:rFonts w:hint="eastAsia"/>
                      <w:vertAlign w:val="superscript"/>
                    </w:rPr>
                    <w:t>4</w:t>
                  </w:r>
                  <w:r>
                    <w:rPr>
                      <w:rFonts w:hint="eastAsia"/>
                    </w:rPr>
                    <w:t xml:space="preserve"> Nm</w:t>
                  </w:r>
                  <w:r>
                    <w:rPr>
                      <w:rFonts w:hint="eastAsia"/>
                      <w:vertAlign w:val="superscript"/>
                    </w:rPr>
                    <w:t>3</w:t>
                  </w:r>
                </w:p>
              </w:tc>
              <w:tc>
                <w:tcPr>
                  <w:tcW w:w="900" w:type="dxa"/>
                  <w:vAlign w:val="center"/>
                </w:tcPr>
                <w:p>
                  <w:pPr>
                    <w:pStyle w:val="46"/>
                    <w:ind w:firstLine="0" w:firstLineChars="0"/>
                    <w:jc w:val="center"/>
                    <w:rPr>
                      <w:rFonts w:cs="Times New Roman"/>
                    </w:rPr>
                  </w:pPr>
                  <w:r>
                    <w:rPr>
                      <w:rFonts w:hint="eastAsia" w:cs="Times New Roman"/>
                    </w:rPr>
                    <w:t>6</w:t>
                  </w:r>
                  <w:r>
                    <w:rPr>
                      <w:rFonts w:cs="Times New Roman"/>
                    </w:rPr>
                    <w:t>00h/</w:t>
                  </w:r>
                  <w:r>
                    <w:rPr>
                      <w:rFonts w:hint="eastAsia"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905" w:type="dxa"/>
                  <w:vAlign w:val="center"/>
                </w:tcPr>
                <w:p>
                  <w:pPr>
                    <w:pStyle w:val="46"/>
                    <w:ind w:firstLine="0" w:firstLineChars="0"/>
                    <w:jc w:val="center"/>
                    <w:rPr>
                      <w:rFonts w:cs="Times New Roman"/>
                    </w:rPr>
                  </w:pPr>
                  <w:r>
                    <w:rPr>
                      <w:rFonts w:hint="eastAsia" w:cs="Times New Roman"/>
                    </w:rPr>
                    <w:t>3</w:t>
                  </w:r>
                </w:p>
              </w:tc>
              <w:tc>
                <w:tcPr>
                  <w:tcW w:w="1202" w:type="dxa"/>
                  <w:vAlign w:val="center"/>
                </w:tcPr>
                <w:p>
                  <w:pPr>
                    <w:pStyle w:val="46"/>
                    <w:ind w:firstLine="0" w:firstLineChars="0"/>
                    <w:jc w:val="center"/>
                    <w:rPr>
                      <w:rFonts w:cs="Times New Roman"/>
                    </w:rPr>
                  </w:pPr>
                  <w:r>
                    <w:rPr>
                      <w:rFonts w:hint="eastAsia" w:cs="Times New Roman"/>
                    </w:rPr>
                    <w:t>电</w:t>
                  </w:r>
                </w:p>
              </w:tc>
              <w:tc>
                <w:tcPr>
                  <w:tcW w:w="1578" w:type="dxa"/>
                  <w:vAlign w:val="center"/>
                </w:tcPr>
                <w:p>
                  <w:pPr>
                    <w:pStyle w:val="46"/>
                    <w:ind w:firstLine="0" w:firstLineChars="0"/>
                    <w:jc w:val="center"/>
                    <w:rPr>
                      <w:rFonts w:cs="Times New Roman"/>
                    </w:rPr>
                  </w:pPr>
                  <w:r>
                    <w:rPr>
                      <w:rFonts w:hint="eastAsia" w:cs="Times New Roman"/>
                    </w:rPr>
                    <w:t>0</w:t>
                  </w:r>
                </w:p>
              </w:tc>
              <w:tc>
                <w:tcPr>
                  <w:tcW w:w="1578" w:type="dxa"/>
                  <w:vAlign w:val="center"/>
                </w:tcPr>
                <w:p>
                  <w:pPr>
                    <w:pStyle w:val="46"/>
                    <w:ind w:firstLine="0" w:firstLineChars="0"/>
                    <w:jc w:val="center"/>
                    <w:rPr>
                      <w:rFonts w:cs="Times New Roman"/>
                    </w:rPr>
                  </w:pPr>
                  <w:r>
                    <w:rPr>
                      <w:rFonts w:cs="Times New Roman"/>
                    </w:rPr>
                    <w:t>18</w:t>
                  </w:r>
                  <w:r>
                    <w:rPr>
                      <w:rFonts w:hint="eastAsia" w:cs="Times New Roman"/>
                    </w:rPr>
                    <w:t>k</w:t>
                  </w:r>
                  <w:r>
                    <w:rPr>
                      <w:rFonts w:cs="Times New Roman"/>
                    </w:rPr>
                    <w:t>Wh</w:t>
                  </w:r>
                </w:p>
              </w:tc>
              <w:tc>
                <w:tcPr>
                  <w:tcW w:w="1620" w:type="dxa"/>
                  <w:vAlign w:val="center"/>
                </w:tcPr>
                <w:p>
                  <w:pPr>
                    <w:pStyle w:val="46"/>
                    <w:ind w:firstLine="0" w:firstLineChars="0"/>
                    <w:jc w:val="center"/>
                    <w:rPr>
                      <w:rFonts w:cs="Times New Roman"/>
                    </w:rPr>
                  </w:pPr>
                  <w:r>
                    <w:rPr>
                      <w:rFonts w:hint="eastAsia" w:cs="Times New Roman"/>
                    </w:rPr>
                    <w:t>+</w:t>
                  </w:r>
                  <w:r>
                    <w:rPr>
                      <w:rFonts w:cs="Times New Roman"/>
                    </w:rPr>
                    <w:t>18</w:t>
                  </w:r>
                  <w:r>
                    <w:rPr>
                      <w:rFonts w:hint="eastAsia" w:cs="Times New Roman"/>
                    </w:rPr>
                    <w:t>k</w:t>
                  </w:r>
                  <w:r>
                    <w:rPr>
                      <w:rFonts w:cs="Times New Roman"/>
                    </w:rPr>
                    <w:t>Wh</w:t>
                  </w:r>
                </w:p>
              </w:tc>
              <w:tc>
                <w:tcPr>
                  <w:tcW w:w="900" w:type="dxa"/>
                  <w:vAlign w:val="center"/>
                </w:tcPr>
                <w:p>
                  <w:pPr>
                    <w:pStyle w:val="46"/>
                    <w:ind w:firstLine="0" w:firstLineChars="0"/>
                    <w:jc w:val="center"/>
                    <w:rPr>
                      <w:rFonts w:cs="Times New Roman"/>
                    </w:rPr>
                  </w:pPr>
                  <w:r>
                    <w:rPr>
                      <w:rFonts w:hint="eastAsia" w:cs="Times New Roman"/>
                    </w:rPr>
                    <w:t>/</w:t>
                  </w:r>
                </w:p>
              </w:tc>
            </w:tr>
          </w:tbl>
          <w:p>
            <w:pPr>
              <w:pStyle w:val="46"/>
              <w:spacing w:line="360" w:lineRule="auto"/>
              <w:jc w:val="both"/>
              <w:rPr>
                <w:sz w:val="24"/>
              </w:rPr>
            </w:pPr>
            <w:r>
              <w:rPr>
                <w:rFonts w:hint="eastAsia"/>
                <w:sz w:val="24"/>
              </w:rPr>
              <w:t>主要原辅材料理化性质见表2</w:t>
            </w:r>
            <w:r>
              <w:rPr>
                <w:sz w:val="24"/>
              </w:rPr>
              <w:t>-4</w:t>
            </w:r>
            <w:r>
              <w:rPr>
                <w:rFonts w:hint="eastAsia"/>
                <w:sz w:val="24"/>
              </w:rPr>
              <w:t>。</w:t>
            </w:r>
          </w:p>
          <w:p>
            <w:pPr>
              <w:pStyle w:val="46"/>
              <w:spacing w:line="360" w:lineRule="auto"/>
              <w:ind w:firstLine="422"/>
              <w:jc w:val="center"/>
              <w:rPr>
                <w:rFonts w:cs="Times New Roman"/>
                <w:b/>
                <w:bCs/>
              </w:rPr>
            </w:pPr>
            <w:r>
              <w:rPr>
                <w:rFonts w:hint="eastAsia" w:cs="Times New Roman"/>
                <w:b/>
                <w:bCs/>
              </w:rPr>
              <w:t>表2</w:t>
            </w:r>
            <w:r>
              <w:rPr>
                <w:rFonts w:cs="Times New Roman"/>
                <w:b/>
                <w:bCs/>
              </w:rPr>
              <w:t xml:space="preserve">-4  </w:t>
            </w:r>
            <w:r>
              <w:rPr>
                <w:rFonts w:hint="eastAsia" w:cs="Times New Roman"/>
                <w:b/>
                <w:bCs/>
              </w:rPr>
              <w:t>项目物料理化性质一览表</w:t>
            </w:r>
          </w:p>
          <w:tbl>
            <w:tblPr>
              <w:tblStyle w:val="23"/>
              <w:tblW w:w="7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359"/>
              <w:gridCol w:w="5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vAlign w:val="center"/>
                </w:tcPr>
                <w:p>
                  <w:pPr>
                    <w:pStyle w:val="46"/>
                    <w:ind w:firstLine="0" w:firstLineChars="0"/>
                    <w:jc w:val="center"/>
                    <w:rPr>
                      <w:rFonts w:cs="Times New Roman"/>
                      <w:b/>
                      <w:bCs/>
                      <w:szCs w:val="21"/>
                    </w:rPr>
                  </w:pPr>
                  <w:r>
                    <w:rPr>
                      <w:rFonts w:hint="eastAsia" w:cs="Times New Roman"/>
                      <w:b/>
                      <w:bCs/>
                      <w:szCs w:val="21"/>
                    </w:rPr>
                    <w:t>序号</w:t>
                  </w:r>
                </w:p>
              </w:tc>
              <w:tc>
                <w:tcPr>
                  <w:tcW w:w="1359" w:type="dxa"/>
                  <w:vAlign w:val="center"/>
                </w:tcPr>
                <w:p>
                  <w:pPr>
                    <w:pStyle w:val="46"/>
                    <w:ind w:firstLine="0" w:firstLineChars="0"/>
                    <w:jc w:val="center"/>
                    <w:rPr>
                      <w:rFonts w:cs="Times New Roman"/>
                      <w:b/>
                      <w:bCs/>
                      <w:szCs w:val="21"/>
                    </w:rPr>
                  </w:pPr>
                  <w:r>
                    <w:rPr>
                      <w:rFonts w:hint="eastAsia" w:cs="Times New Roman"/>
                      <w:b/>
                      <w:bCs/>
                      <w:szCs w:val="21"/>
                    </w:rPr>
                    <w:t>物质名称</w:t>
                  </w:r>
                </w:p>
              </w:tc>
              <w:tc>
                <w:tcPr>
                  <w:tcW w:w="5605" w:type="dxa"/>
                  <w:vAlign w:val="center"/>
                </w:tcPr>
                <w:p>
                  <w:pPr>
                    <w:pStyle w:val="46"/>
                    <w:ind w:firstLine="0" w:firstLineChars="0"/>
                    <w:jc w:val="center"/>
                    <w:rPr>
                      <w:rFonts w:cs="Times New Roman"/>
                      <w:b/>
                      <w:bCs/>
                      <w:szCs w:val="21"/>
                    </w:rPr>
                  </w:pPr>
                  <w:r>
                    <w:rPr>
                      <w:rFonts w:hint="eastAsia" w:cs="Times New Roman"/>
                      <w:b/>
                      <w:bCs/>
                      <w:szCs w:val="21"/>
                    </w:rPr>
                    <w:t>主要成分及理化性质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vAlign w:val="center"/>
                </w:tcPr>
                <w:p>
                  <w:pPr>
                    <w:pStyle w:val="46"/>
                    <w:ind w:firstLine="0" w:firstLineChars="0"/>
                    <w:jc w:val="center"/>
                    <w:rPr>
                      <w:rFonts w:cs="Times New Roman"/>
                      <w:b/>
                      <w:bCs/>
                      <w:szCs w:val="21"/>
                    </w:rPr>
                  </w:pPr>
                  <w:r>
                    <w:rPr>
                      <w:rFonts w:hint="eastAsia" w:cs="Times New Roman"/>
                      <w:szCs w:val="21"/>
                    </w:rPr>
                    <w:t>1</w:t>
                  </w:r>
                </w:p>
              </w:tc>
              <w:tc>
                <w:tcPr>
                  <w:tcW w:w="1359" w:type="dxa"/>
                  <w:vAlign w:val="center"/>
                </w:tcPr>
                <w:p>
                  <w:pPr>
                    <w:pStyle w:val="46"/>
                    <w:ind w:firstLine="0" w:firstLineChars="0"/>
                    <w:jc w:val="center"/>
                    <w:rPr>
                      <w:rFonts w:cs="Times New Roman"/>
                      <w:b/>
                      <w:bCs/>
                      <w:szCs w:val="21"/>
                    </w:rPr>
                  </w:pPr>
                  <w:r>
                    <w:rPr>
                      <w:rFonts w:hint="eastAsia" w:cs="Times New Roman"/>
                      <w:szCs w:val="21"/>
                    </w:rPr>
                    <w:t>原煤</w:t>
                  </w:r>
                </w:p>
              </w:tc>
              <w:tc>
                <w:tcPr>
                  <w:tcW w:w="5605" w:type="dxa"/>
                  <w:vAlign w:val="center"/>
                </w:tcPr>
                <w:p>
                  <w:pPr>
                    <w:pStyle w:val="46"/>
                    <w:ind w:firstLine="0" w:firstLineChars="0"/>
                    <w:jc w:val="center"/>
                    <w:rPr>
                      <w:rFonts w:cs="Times New Roman"/>
                      <w:szCs w:val="21"/>
                    </w:rPr>
                  </w:pPr>
                  <w:r>
                    <w:rPr>
                      <w:rFonts w:hint="eastAsia" w:cs="Times New Roman"/>
                      <w:szCs w:val="21"/>
                    </w:rPr>
                    <w:t>主要成分是碳元素、含有少量的H、</w:t>
                  </w:r>
                  <w:r>
                    <w:rPr>
                      <w:rFonts w:cs="Times New Roman"/>
                      <w:szCs w:val="21"/>
                    </w:rPr>
                    <w:t>N</w:t>
                  </w:r>
                  <w:r>
                    <w:rPr>
                      <w:rFonts w:hint="eastAsia" w:cs="Times New Roman"/>
                      <w:szCs w:val="21"/>
                    </w:rPr>
                    <w:t>、</w:t>
                  </w:r>
                  <w:r>
                    <w:rPr>
                      <w:rFonts w:cs="Times New Roman"/>
                      <w:szCs w:val="21"/>
                    </w:rPr>
                    <w:t>O</w:t>
                  </w:r>
                  <w:r>
                    <w:rPr>
                      <w:rFonts w:hint="eastAsia" w:cs="Times New Roman"/>
                      <w:szCs w:val="21"/>
                    </w:rPr>
                    <w:t>、</w:t>
                  </w:r>
                  <w:r>
                    <w:rPr>
                      <w:rFonts w:cs="Times New Roman"/>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vAlign w:val="center"/>
                </w:tcPr>
                <w:p>
                  <w:pPr>
                    <w:pStyle w:val="46"/>
                    <w:ind w:firstLine="0" w:firstLineChars="0"/>
                    <w:jc w:val="center"/>
                    <w:rPr>
                      <w:rFonts w:cs="Times New Roman"/>
                      <w:b/>
                      <w:bCs/>
                      <w:szCs w:val="21"/>
                    </w:rPr>
                  </w:pPr>
                  <w:r>
                    <w:rPr>
                      <w:rFonts w:hint="eastAsia" w:cs="Times New Roman"/>
                      <w:szCs w:val="21"/>
                    </w:rPr>
                    <w:t>2</w:t>
                  </w:r>
                </w:p>
              </w:tc>
              <w:tc>
                <w:tcPr>
                  <w:tcW w:w="1359" w:type="dxa"/>
                  <w:vAlign w:val="center"/>
                </w:tcPr>
                <w:p>
                  <w:pPr>
                    <w:pStyle w:val="46"/>
                    <w:ind w:firstLine="0" w:firstLineChars="0"/>
                    <w:jc w:val="center"/>
                    <w:rPr>
                      <w:rFonts w:cs="Times New Roman"/>
                      <w:b/>
                      <w:bCs/>
                      <w:szCs w:val="21"/>
                    </w:rPr>
                  </w:pPr>
                  <w:r>
                    <w:rPr>
                      <w:rFonts w:hint="eastAsia" w:cs="Times New Roman"/>
                      <w:szCs w:val="21"/>
                    </w:rPr>
                    <w:t>天然气</w:t>
                  </w:r>
                </w:p>
              </w:tc>
              <w:tc>
                <w:tcPr>
                  <w:tcW w:w="5605" w:type="dxa"/>
                  <w:vAlign w:val="center"/>
                </w:tcPr>
                <w:p>
                  <w:pPr>
                    <w:pStyle w:val="46"/>
                    <w:ind w:firstLine="0" w:firstLineChars="0"/>
                    <w:jc w:val="center"/>
                    <w:rPr>
                      <w:rFonts w:cs="Times New Roman"/>
                      <w:szCs w:val="21"/>
                    </w:rPr>
                  </w:pPr>
                  <w:r>
                    <w:rPr>
                      <w:rFonts w:hint="eastAsia" w:cs="Times New Roman"/>
                      <w:szCs w:val="21"/>
                    </w:rPr>
                    <w:t>主要成分为甲烷，含有少量硫化氢、N</w:t>
                  </w:r>
                  <w:r>
                    <w:rPr>
                      <w:rFonts w:cs="Times New Roman"/>
                      <w:szCs w:val="21"/>
                      <w:vertAlign w:val="subscript"/>
                    </w:rPr>
                    <w:t>2</w:t>
                  </w:r>
                  <w:r>
                    <w:rPr>
                      <w:rFonts w:hint="eastAsia" w:cs="Times New Roman"/>
                      <w:szCs w:val="21"/>
                    </w:rPr>
                    <w:t>、C</w:t>
                  </w:r>
                  <w:r>
                    <w:rPr>
                      <w:rFonts w:cs="Times New Roman"/>
                      <w:szCs w:val="21"/>
                    </w:rPr>
                    <w:t>O</w:t>
                  </w:r>
                  <w:r>
                    <w:rPr>
                      <w:rFonts w:cs="Times New Roman"/>
                      <w:szCs w:val="21"/>
                      <w:vertAlign w:val="subscript"/>
                    </w:rPr>
                    <w:t>2</w:t>
                  </w:r>
                </w:p>
              </w:tc>
            </w:tr>
          </w:tbl>
          <w:p>
            <w:pPr>
              <w:pStyle w:val="46"/>
              <w:spacing w:line="360" w:lineRule="auto"/>
              <w:jc w:val="both"/>
              <w:rPr>
                <w:sz w:val="24"/>
              </w:rPr>
            </w:pPr>
            <w:r>
              <w:rPr>
                <w:rFonts w:hint="eastAsia"/>
                <w:sz w:val="24"/>
              </w:rPr>
              <w:t>本项目天然气、燃煤分析数据（详见附件4、附件5）。</w:t>
            </w:r>
          </w:p>
          <w:p>
            <w:pPr>
              <w:pStyle w:val="46"/>
              <w:spacing w:line="360" w:lineRule="auto"/>
              <w:ind w:firstLine="422"/>
              <w:jc w:val="center"/>
              <w:rPr>
                <w:rFonts w:cs="Times New Roman"/>
                <w:b/>
                <w:bCs/>
              </w:rPr>
            </w:pPr>
            <w:r>
              <w:rPr>
                <w:rFonts w:hint="eastAsia" w:cs="Times New Roman"/>
                <w:b/>
                <w:bCs/>
              </w:rPr>
              <w:t>表2</w:t>
            </w:r>
            <w:r>
              <w:rPr>
                <w:rFonts w:cs="Times New Roman"/>
                <w:b/>
                <w:bCs/>
              </w:rPr>
              <w:t xml:space="preserve">-5  </w:t>
            </w:r>
            <w:r>
              <w:rPr>
                <w:rFonts w:hint="eastAsia" w:cs="Times New Roman"/>
                <w:b/>
                <w:bCs/>
              </w:rPr>
              <w:t>燃料煤质分析</w:t>
            </w:r>
          </w:p>
          <w:tbl>
            <w:tblPr>
              <w:tblStyle w:val="23"/>
              <w:tblW w:w="7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1473"/>
              <w:gridCol w:w="1473"/>
              <w:gridCol w:w="1473"/>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1" w:type="dxa"/>
                  <w:vAlign w:val="center"/>
                </w:tcPr>
                <w:p>
                  <w:pPr>
                    <w:pStyle w:val="46"/>
                    <w:ind w:firstLine="0" w:firstLineChars="0"/>
                    <w:jc w:val="center"/>
                    <w:rPr>
                      <w:rFonts w:cs="Times New Roman"/>
                      <w:b/>
                      <w:bCs/>
                    </w:rPr>
                  </w:pPr>
                  <w:r>
                    <w:rPr>
                      <w:rFonts w:hint="eastAsia" w:cs="Times New Roman"/>
                      <w:b/>
                      <w:bCs/>
                    </w:rPr>
                    <w:t>分析项目</w:t>
                  </w:r>
                </w:p>
              </w:tc>
              <w:tc>
                <w:tcPr>
                  <w:tcW w:w="1473" w:type="dxa"/>
                  <w:vAlign w:val="center"/>
                </w:tcPr>
                <w:p>
                  <w:pPr>
                    <w:pStyle w:val="46"/>
                    <w:ind w:firstLine="0" w:firstLineChars="0"/>
                    <w:jc w:val="center"/>
                    <w:rPr>
                      <w:rFonts w:cs="Times New Roman"/>
                      <w:b/>
                      <w:bCs/>
                    </w:rPr>
                  </w:pPr>
                  <w:r>
                    <w:rPr>
                      <w:rFonts w:hint="eastAsia" w:cs="Times New Roman"/>
                      <w:b/>
                      <w:bCs/>
                    </w:rPr>
                    <w:t>灰分</w:t>
                  </w:r>
                </w:p>
              </w:tc>
              <w:tc>
                <w:tcPr>
                  <w:tcW w:w="1473" w:type="dxa"/>
                  <w:vAlign w:val="center"/>
                </w:tcPr>
                <w:p>
                  <w:pPr>
                    <w:pStyle w:val="46"/>
                    <w:ind w:firstLine="0" w:firstLineChars="0"/>
                    <w:jc w:val="center"/>
                    <w:rPr>
                      <w:rFonts w:cs="Times New Roman"/>
                      <w:b/>
                      <w:bCs/>
                    </w:rPr>
                  </w:pPr>
                  <w:r>
                    <w:rPr>
                      <w:rFonts w:hint="eastAsia" w:cs="Times New Roman"/>
                      <w:b/>
                      <w:bCs/>
                    </w:rPr>
                    <w:t>挥发分</w:t>
                  </w:r>
                </w:p>
              </w:tc>
              <w:tc>
                <w:tcPr>
                  <w:tcW w:w="1473" w:type="dxa"/>
                  <w:vAlign w:val="center"/>
                </w:tcPr>
                <w:p>
                  <w:pPr>
                    <w:pStyle w:val="46"/>
                    <w:ind w:firstLine="0" w:firstLineChars="0"/>
                    <w:jc w:val="center"/>
                    <w:rPr>
                      <w:rFonts w:cs="Times New Roman"/>
                      <w:b/>
                      <w:bCs/>
                    </w:rPr>
                  </w:pPr>
                  <w:r>
                    <w:rPr>
                      <w:rFonts w:hint="eastAsia" w:cs="Times New Roman"/>
                      <w:b/>
                      <w:bCs/>
                    </w:rPr>
                    <w:t>固定炭</w:t>
                  </w:r>
                </w:p>
              </w:tc>
              <w:tc>
                <w:tcPr>
                  <w:tcW w:w="1473" w:type="dxa"/>
                  <w:vAlign w:val="center"/>
                </w:tcPr>
                <w:p>
                  <w:pPr>
                    <w:pStyle w:val="46"/>
                    <w:ind w:firstLine="0" w:firstLineChars="0"/>
                    <w:jc w:val="center"/>
                    <w:rPr>
                      <w:rFonts w:cs="Times New Roman"/>
                      <w:b/>
                      <w:bCs/>
                    </w:rPr>
                  </w:pPr>
                  <w:r>
                    <w:rPr>
                      <w:rFonts w:hint="eastAsia" w:cs="Times New Roman"/>
                      <w:b/>
                      <w:bCs/>
                    </w:rPr>
                    <w:t>全硫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1" w:type="dxa"/>
                  <w:vAlign w:val="center"/>
                </w:tcPr>
                <w:p>
                  <w:pPr>
                    <w:pStyle w:val="46"/>
                    <w:ind w:firstLine="0" w:firstLineChars="0"/>
                    <w:jc w:val="center"/>
                    <w:rPr>
                      <w:rFonts w:cs="Times New Roman"/>
                    </w:rPr>
                  </w:pPr>
                  <w:r>
                    <w:rPr>
                      <w:rFonts w:hint="eastAsia" w:cs="Times New Roman"/>
                    </w:rPr>
                    <w:t>监测结果（%）</w:t>
                  </w:r>
                </w:p>
              </w:tc>
              <w:tc>
                <w:tcPr>
                  <w:tcW w:w="1473" w:type="dxa"/>
                  <w:vAlign w:val="center"/>
                </w:tcPr>
                <w:p>
                  <w:pPr>
                    <w:pStyle w:val="46"/>
                    <w:ind w:firstLine="0" w:firstLineChars="0"/>
                    <w:jc w:val="center"/>
                    <w:rPr>
                      <w:rFonts w:cs="Times New Roman"/>
                    </w:rPr>
                  </w:pPr>
                  <w:r>
                    <w:rPr>
                      <w:rFonts w:hint="eastAsia" w:cs="Times New Roman"/>
                    </w:rPr>
                    <w:t>2</w:t>
                  </w:r>
                  <w:r>
                    <w:rPr>
                      <w:rFonts w:cs="Times New Roman"/>
                    </w:rPr>
                    <w:t>5.40</w:t>
                  </w:r>
                </w:p>
              </w:tc>
              <w:tc>
                <w:tcPr>
                  <w:tcW w:w="1473" w:type="dxa"/>
                  <w:vAlign w:val="center"/>
                </w:tcPr>
                <w:p>
                  <w:pPr>
                    <w:pStyle w:val="46"/>
                    <w:ind w:firstLine="0" w:firstLineChars="0"/>
                    <w:jc w:val="center"/>
                    <w:rPr>
                      <w:rFonts w:cs="Times New Roman"/>
                    </w:rPr>
                  </w:pPr>
                  <w:r>
                    <w:rPr>
                      <w:rFonts w:hint="eastAsia" w:cs="Times New Roman"/>
                    </w:rPr>
                    <w:t>2</w:t>
                  </w:r>
                  <w:r>
                    <w:rPr>
                      <w:rFonts w:cs="Times New Roman"/>
                    </w:rPr>
                    <w:t>2.96</w:t>
                  </w:r>
                </w:p>
              </w:tc>
              <w:tc>
                <w:tcPr>
                  <w:tcW w:w="1473" w:type="dxa"/>
                  <w:vAlign w:val="center"/>
                </w:tcPr>
                <w:p>
                  <w:pPr>
                    <w:pStyle w:val="46"/>
                    <w:ind w:firstLine="0" w:firstLineChars="0"/>
                    <w:jc w:val="center"/>
                    <w:rPr>
                      <w:rFonts w:cs="Times New Roman"/>
                    </w:rPr>
                  </w:pPr>
                  <w:r>
                    <w:rPr>
                      <w:rFonts w:hint="eastAsia" w:cs="Times New Roman"/>
                    </w:rPr>
                    <w:t>4</w:t>
                  </w:r>
                  <w:r>
                    <w:rPr>
                      <w:rFonts w:cs="Times New Roman"/>
                    </w:rPr>
                    <w:t>9.84</w:t>
                  </w:r>
                </w:p>
              </w:tc>
              <w:tc>
                <w:tcPr>
                  <w:tcW w:w="1473" w:type="dxa"/>
                  <w:vAlign w:val="center"/>
                </w:tcPr>
                <w:p>
                  <w:pPr>
                    <w:pStyle w:val="46"/>
                    <w:ind w:firstLine="0" w:firstLineChars="0"/>
                    <w:jc w:val="center"/>
                    <w:rPr>
                      <w:rFonts w:cs="Times New Roman"/>
                    </w:rPr>
                  </w:pPr>
                  <w:r>
                    <w:rPr>
                      <w:rFonts w:hint="eastAsia" w:cs="Times New Roman"/>
                    </w:rPr>
                    <w:t>0</w:t>
                  </w:r>
                  <w:r>
                    <w:rPr>
                      <w:rFonts w:cs="Times New Roman"/>
                    </w:rPr>
                    <w:t>.52</w:t>
                  </w:r>
                </w:p>
              </w:tc>
            </w:tr>
          </w:tbl>
          <w:p>
            <w:pPr>
              <w:pStyle w:val="46"/>
              <w:spacing w:line="360" w:lineRule="auto"/>
              <w:ind w:firstLine="422"/>
              <w:jc w:val="center"/>
              <w:rPr>
                <w:rFonts w:cs="Times New Roman"/>
                <w:b/>
                <w:bCs/>
              </w:rPr>
            </w:pPr>
            <w:r>
              <w:rPr>
                <w:rFonts w:hint="eastAsia" w:cs="Times New Roman"/>
                <w:b/>
                <w:bCs/>
              </w:rPr>
              <w:t>表2</w:t>
            </w:r>
            <w:r>
              <w:rPr>
                <w:rFonts w:cs="Times New Roman"/>
                <w:b/>
                <w:bCs/>
              </w:rPr>
              <w:t xml:space="preserve">-6  </w:t>
            </w:r>
            <w:r>
              <w:rPr>
                <w:rFonts w:hint="eastAsia" w:cs="Times New Roman"/>
                <w:b/>
                <w:bCs/>
              </w:rPr>
              <w:t>天然气气质分析</w:t>
            </w:r>
          </w:p>
          <w:tbl>
            <w:tblPr>
              <w:tblStyle w:val="23"/>
              <w:tblW w:w="7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953"/>
              <w:gridCol w:w="1295"/>
              <w:gridCol w:w="841"/>
              <w:gridCol w:w="841"/>
              <w:gridCol w:w="841"/>
              <w:gridCol w:w="841"/>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4" w:type="dxa"/>
                  <w:vAlign w:val="center"/>
                </w:tcPr>
                <w:p>
                  <w:pPr>
                    <w:pStyle w:val="46"/>
                    <w:ind w:firstLine="0" w:firstLineChars="0"/>
                    <w:jc w:val="center"/>
                    <w:rPr>
                      <w:rFonts w:cs="Times New Roman"/>
                      <w:b/>
                      <w:bCs/>
                    </w:rPr>
                  </w:pPr>
                  <w:r>
                    <w:rPr>
                      <w:rFonts w:hint="eastAsia" w:cs="Times New Roman"/>
                      <w:b/>
                      <w:bCs/>
                    </w:rPr>
                    <w:t>分析项目</w:t>
                  </w:r>
                </w:p>
              </w:tc>
              <w:tc>
                <w:tcPr>
                  <w:tcW w:w="953" w:type="dxa"/>
                  <w:vAlign w:val="center"/>
                </w:tcPr>
                <w:p>
                  <w:pPr>
                    <w:pStyle w:val="46"/>
                    <w:ind w:firstLine="0" w:firstLineChars="0"/>
                    <w:jc w:val="center"/>
                    <w:rPr>
                      <w:rFonts w:cs="Times New Roman"/>
                      <w:b/>
                      <w:bCs/>
                    </w:rPr>
                  </w:pPr>
                  <w:r>
                    <w:rPr>
                      <w:rFonts w:hint="eastAsia" w:cs="Times New Roman"/>
                      <w:b/>
                      <w:bCs/>
                    </w:rPr>
                    <w:t>甲烷</w:t>
                  </w:r>
                </w:p>
              </w:tc>
              <w:tc>
                <w:tcPr>
                  <w:tcW w:w="1295" w:type="dxa"/>
                  <w:vAlign w:val="center"/>
                </w:tcPr>
                <w:p>
                  <w:pPr>
                    <w:pStyle w:val="46"/>
                    <w:ind w:firstLine="0" w:firstLineChars="0"/>
                    <w:jc w:val="center"/>
                    <w:rPr>
                      <w:rFonts w:cs="Times New Roman"/>
                      <w:b/>
                      <w:bCs/>
                    </w:rPr>
                  </w:pPr>
                  <w:r>
                    <w:rPr>
                      <w:rFonts w:hint="eastAsia" w:cs="Times New Roman"/>
                      <w:b/>
                      <w:bCs/>
                    </w:rPr>
                    <w:t>H</w:t>
                  </w:r>
                  <w:r>
                    <w:rPr>
                      <w:rFonts w:cs="Times New Roman"/>
                      <w:b/>
                      <w:bCs/>
                      <w:vertAlign w:val="subscript"/>
                    </w:rPr>
                    <w:t>2</w:t>
                  </w:r>
                  <w:r>
                    <w:rPr>
                      <w:rFonts w:cs="Times New Roman"/>
                      <w:b/>
                      <w:bCs/>
                    </w:rPr>
                    <w:t>S</w:t>
                  </w:r>
                </w:p>
                <w:p>
                  <w:pPr>
                    <w:pStyle w:val="46"/>
                    <w:ind w:firstLine="0" w:firstLineChars="0"/>
                    <w:jc w:val="center"/>
                    <w:rPr>
                      <w:rFonts w:cs="Times New Roman"/>
                      <w:b/>
                      <w:bCs/>
                    </w:rPr>
                  </w:pPr>
                  <w:r>
                    <w:rPr>
                      <w:rFonts w:hint="eastAsia" w:cs="Times New Roman"/>
                      <w:b/>
                      <w:bCs/>
                    </w:rPr>
                    <w:t>（m</w:t>
                  </w:r>
                  <w:r>
                    <w:rPr>
                      <w:rFonts w:cs="Times New Roman"/>
                      <w:b/>
                      <w:bCs/>
                    </w:rPr>
                    <w:t>g/m</w:t>
                  </w:r>
                  <w:r>
                    <w:rPr>
                      <w:rFonts w:cs="Times New Roman"/>
                      <w:b/>
                      <w:bCs/>
                      <w:vertAlign w:val="superscript"/>
                    </w:rPr>
                    <w:t>3</w:t>
                  </w:r>
                  <w:r>
                    <w:rPr>
                      <w:rFonts w:hint="eastAsia" w:cs="Times New Roman"/>
                      <w:b/>
                      <w:bCs/>
                    </w:rPr>
                    <w:t>）</w:t>
                  </w:r>
                </w:p>
              </w:tc>
              <w:tc>
                <w:tcPr>
                  <w:tcW w:w="841" w:type="dxa"/>
                  <w:vAlign w:val="center"/>
                </w:tcPr>
                <w:p>
                  <w:pPr>
                    <w:pStyle w:val="46"/>
                    <w:ind w:firstLine="0" w:firstLineChars="0"/>
                    <w:jc w:val="center"/>
                    <w:rPr>
                      <w:rFonts w:cs="Times New Roman"/>
                      <w:b/>
                      <w:bCs/>
                    </w:rPr>
                  </w:pPr>
                  <w:r>
                    <w:rPr>
                      <w:rFonts w:hint="eastAsia" w:cs="Times New Roman"/>
                      <w:b/>
                      <w:bCs/>
                    </w:rPr>
                    <w:t>乙烷</w:t>
                  </w:r>
                </w:p>
              </w:tc>
              <w:tc>
                <w:tcPr>
                  <w:tcW w:w="841" w:type="dxa"/>
                  <w:vAlign w:val="center"/>
                </w:tcPr>
                <w:p>
                  <w:pPr>
                    <w:pStyle w:val="46"/>
                    <w:ind w:firstLine="0" w:firstLineChars="0"/>
                    <w:jc w:val="center"/>
                    <w:rPr>
                      <w:rFonts w:cs="Times New Roman"/>
                      <w:b/>
                      <w:bCs/>
                    </w:rPr>
                  </w:pPr>
                  <w:r>
                    <w:rPr>
                      <w:rFonts w:hint="eastAsia" w:cs="Times New Roman"/>
                      <w:b/>
                      <w:bCs/>
                    </w:rPr>
                    <w:t>丙烷</w:t>
                  </w:r>
                </w:p>
              </w:tc>
              <w:tc>
                <w:tcPr>
                  <w:tcW w:w="841" w:type="dxa"/>
                  <w:vAlign w:val="center"/>
                </w:tcPr>
                <w:p>
                  <w:pPr>
                    <w:pStyle w:val="46"/>
                    <w:ind w:firstLine="0" w:firstLineChars="0"/>
                    <w:jc w:val="center"/>
                    <w:rPr>
                      <w:rFonts w:cs="Times New Roman"/>
                      <w:b/>
                      <w:bCs/>
                    </w:rPr>
                  </w:pPr>
                  <w:r>
                    <w:rPr>
                      <w:rFonts w:hint="eastAsia" w:cs="Times New Roman"/>
                      <w:b/>
                      <w:bCs/>
                    </w:rPr>
                    <w:t>异丁烷</w:t>
                  </w:r>
                </w:p>
              </w:tc>
              <w:tc>
                <w:tcPr>
                  <w:tcW w:w="841" w:type="dxa"/>
                  <w:vAlign w:val="center"/>
                </w:tcPr>
                <w:p>
                  <w:pPr>
                    <w:pStyle w:val="46"/>
                    <w:ind w:firstLine="0" w:firstLineChars="0"/>
                    <w:jc w:val="center"/>
                    <w:rPr>
                      <w:rFonts w:cs="Times New Roman"/>
                      <w:b/>
                      <w:bCs/>
                    </w:rPr>
                  </w:pPr>
                  <w:r>
                    <w:rPr>
                      <w:rFonts w:hint="eastAsia" w:cs="Times New Roman"/>
                      <w:b/>
                      <w:bCs/>
                    </w:rPr>
                    <w:t>N</w:t>
                  </w:r>
                  <w:r>
                    <w:rPr>
                      <w:rFonts w:cs="Times New Roman"/>
                      <w:b/>
                      <w:bCs/>
                      <w:vertAlign w:val="subscript"/>
                    </w:rPr>
                    <w:t>2</w:t>
                  </w:r>
                </w:p>
              </w:tc>
              <w:tc>
                <w:tcPr>
                  <w:tcW w:w="827" w:type="dxa"/>
                  <w:vAlign w:val="center"/>
                </w:tcPr>
                <w:p>
                  <w:pPr>
                    <w:pStyle w:val="46"/>
                    <w:ind w:firstLine="0" w:firstLineChars="0"/>
                    <w:jc w:val="center"/>
                    <w:rPr>
                      <w:rFonts w:cs="Times New Roman"/>
                      <w:b/>
                      <w:bCs/>
                    </w:rPr>
                  </w:pPr>
                  <w:r>
                    <w:rPr>
                      <w:rFonts w:hint="eastAsia" w:cs="Times New Roman"/>
                      <w:b/>
                      <w:bCs/>
                    </w:rPr>
                    <w:t>C</w:t>
                  </w:r>
                  <w:r>
                    <w:rPr>
                      <w:rFonts w:cs="Times New Roman"/>
                      <w:b/>
                      <w:bCs/>
                    </w:rPr>
                    <w:t>O</w:t>
                  </w:r>
                  <w:r>
                    <w:rPr>
                      <w:rFonts w:cs="Times New Roman"/>
                      <w:b/>
                      <w:bCs/>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4" w:type="dxa"/>
                  <w:vAlign w:val="center"/>
                </w:tcPr>
                <w:p>
                  <w:pPr>
                    <w:pStyle w:val="46"/>
                    <w:ind w:firstLine="0" w:firstLineChars="0"/>
                    <w:jc w:val="center"/>
                    <w:rPr>
                      <w:rFonts w:cs="Times New Roman"/>
                    </w:rPr>
                  </w:pPr>
                  <w:r>
                    <w:rPr>
                      <w:rFonts w:hint="eastAsia" w:cs="Times New Roman"/>
                    </w:rPr>
                    <w:t>体积（%）</w:t>
                  </w:r>
                </w:p>
              </w:tc>
              <w:tc>
                <w:tcPr>
                  <w:tcW w:w="953" w:type="dxa"/>
                  <w:vAlign w:val="center"/>
                </w:tcPr>
                <w:p>
                  <w:pPr>
                    <w:pStyle w:val="46"/>
                    <w:ind w:firstLine="0" w:firstLineChars="0"/>
                    <w:jc w:val="center"/>
                    <w:rPr>
                      <w:rFonts w:cs="Times New Roman"/>
                    </w:rPr>
                  </w:pPr>
                  <w:r>
                    <w:rPr>
                      <w:rFonts w:hint="eastAsia" w:cs="Times New Roman"/>
                    </w:rPr>
                    <w:t>9</w:t>
                  </w:r>
                  <w:r>
                    <w:rPr>
                      <w:rFonts w:cs="Times New Roman"/>
                    </w:rPr>
                    <w:t>9.5449</w:t>
                  </w:r>
                </w:p>
              </w:tc>
              <w:tc>
                <w:tcPr>
                  <w:tcW w:w="1295" w:type="dxa"/>
                  <w:vAlign w:val="center"/>
                </w:tcPr>
                <w:p>
                  <w:pPr>
                    <w:pStyle w:val="46"/>
                    <w:ind w:firstLine="0" w:firstLineChars="0"/>
                    <w:jc w:val="center"/>
                    <w:rPr>
                      <w:rFonts w:cs="Times New Roman"/>
                    </w:rPr>
                  </w:pPr>
                  <w:r>
                    <w:rPr>
                      <w:rFonts w:hint="eastAsia" w:cs="Times New Roman"/>
                    </w:rPr>
                    <w:t>0</w:t>
                  </w:r>
                  <w:r>
                    <w:rPr>
                      <w:rFonts w:cs="Times New Roman"/>
                    </w:rPr>
                    <w:t>.85</w:t>
                  </w:r>
                </w:p>
              </w:tc>
              <w:tc>
                <w:tcPr>
                  <w:tcW w:w="841" w:type="dxa"/>
                  <w:vAlign w:val="center"/>
                </w:tcPr>
                <w:p>
                  <w:pPr>
                    <w:pStyle w:val="46"/>
                    <w:ind w:firstLine="0" w:firstLineChars="0"/>
                    <w:jc w:val="center"/>
                    <w:rPr>
                      <w:rFonts w:cs="Times New Roman"/>
                    </w:rPr>
                  </w:pPr>
                  <w:r>
                    <w:rPr>
                      <w:rFonts w:hint="eastAsia" w:cs="Times New Roman"/>
                    </w:rPr>
                    <w:t>0</w:t>
                  </w:r>
                  <w:r>
                    <w:rPr>
                      <w:rFonts w:cs="Times New Roman"/>
                    </w:rPr>
                    <w:t>.0945</w:t>
                  </w:r>
                </w:p>
              </w:tc>
              <w:tc>
                <w:tcPr>
                  <w:tcW w:w="841" w:type="dxa"/>
                  <w:vAlign w:val="center"/>
                </w:tcPr>
                <w:p>
                  <w:pPr>
                    <w:pStyle w:val="46"/>
                    <w:ind w:firstLine="0" w:firstLineChars="0"/>
                    <w:jc w:val="center"/>
                    <w:rPr>
                      <w:rFonts w:cs="Times New Roman"/>
                    </w:rPr>
                  </w:pPr>
                  <w:r>
                    <w:rPr>
                      <w:rFonts w:hint="eastAsia" w:cs="Times New Roman"/>
                    </w:rPr>
                    <w:t>0</w:t>
                  </w:r>
                  <w:r>
                    <w:rPr>
                      <w:rFonts w:cs="Times New Roman"/>
                    </w:rPr>
                    <w:t>.03</w:t>
                  </w:r>
                </w:p>
              </w:tc>
              <w:tc>
                <w:tcPr>
                  <w:tcW w:w="841" w:type="dxa"/>
                  <w:vAlign w:val="center"/>
                </w:tcPr>
                <w:p>
                  <w:pPr>
                    <w:pStyle w:val="46"/>
                    <w:ind w:firstLine="0" w:firstLineChars="0"/>
                    <w:jc w:val="center"/>
                    <w:rPr>
                      <w:rFonts w:cs="Times New Roman"/>
                    </w:rPr>
                  </w:pPr>
                  <w:r>
                    <w:rPr>
                      <w:rFonts w:hint="eastAsia" w:cs="Times New Roman"/>
                    </w:rPr>
                    <w:t>0</w:t>
                  </w:r>
                  <w:r>
                    <w:rPr>
                      <w:rFonts w:cs="Times New Roman"/>
                    </w:rPr>
                    <w:t>.01</w:t>
                  </w:r>
                </w:p>
              </w:tc>
              <w:tc>
                <w:tcPr>
                  <w:tcW w:w="841" w:type="dxa"/>
                  <w:vAlign w:val="center"/>
                </w:tcPr>
                <w:p>
                  <w:pPr>
                    <w:pStyle w:val="46"/>
                    <w:ind w:firstLine="0" w:firstLineChars="0"/>
                    <w:jc w:val="center"/>
                    <w:rPr>
                      <w:rFonts w:cs="Times New Roman"/>
                    </w:rPr>
                  </w:pPr>
                  <w:r>
                    <w:rPr>
                      <w:rFonts w:hint="eastAsia" w:cs="Times New Roman"/>
                    </w:rPr>
                    <w:t>0</w:t>
                  </w:r>
                  <w:r>
                    <w:rPr>
                      <w:rFonts w:cs="Times New Roman"/>
                    </w:rPr>
                    <w:t>.1743</w:t>
                  </w:r>
                </w:p>
              </w:tc>
              <w:tc>
                <w:tcPr>
                  <w:tcW w:w="827" w:type="dxa"/>
                  <w:vAlign w:val="center"/>
                </w:tcPr>
                <w:p>
                  <w:pPr>
                    <w:pStyle w:val="46"/>
                    <w:ind w:firstLine="0" w:firstLineChars="0"/>
                    <w:jc w:val="center"/>
                    <w:rPr>
                      <w:rFonts w:cs="Times New Roman"/>
                    </w:rPr>
                  </w:pPr>
                  <w:r>
                    <w:rPr>
                      <w:rFonts w:hint="eastAsia" w:cs="Times New Roman"/>
                    </w:rPr>
                    <w:t>0</w:t>
                  </w:r>
                  <w:r>
                    <w:rPr>
                      <w:rFonts w:cs="Times New Roman"/>
                    </w:rPr>
                    <w:t>.1311</w:t>
                  </w:r>
                </w:p>
              </w:tc>
            </w:tr>
          </w:tbl>
          <w:p>
            <w:pPr>
              <w:pStyle w:val="46"/>
              <w:spacing w:line="360" w:lineRule="auto"/>
              <w:ind w:firstLine="422"/>
              <w:rPr>
                <w:rFonts w:cs="Times New Roman"/>
                <w:b/>
                <w:bCs/>
              </w:rPr>
            </w:pPr>
          </w:p>
          <w:p>
            <w:pPr>
              <w:pStyle w:val="46"/>
              <w:spacing w:line="360" w:lineRule="auto"/>
              <w:ind w:firstLine="482"/>
              <w:jc w:val="both"/>
              <w:rPr>
                <w:rFonts w:cs="Times New Roman"/>
                <w:b/>
                <w:bCs/>
                <w:sz w:val="24"/>
              </w:rPr>
            </w:pPr>
            <w:r>
              <w:rPr>
                <w:rFonts w:cs="Times New Roman"/>
                <w:b/>
                <w:bCs/>
                <w:sz w:val="24"/>
              </w:rPr>
              <w:t>5</w:t>
            </w:r>
            <w:r>
              <w:rPr>
                <w:rFonts w:hint="eastAsia" w:cs="Times New Roman"/>
                <w:b/>
                <w:bCs/>
                <w:sz w:val="24"/>
              </w:rPr>
              <w:t>、主要生产设备</w:t>
            </w:r>
          </w:p>
          <w:p>
            <w:pPr>
              <w:pStyle w:val="46"/>
              <w:spacing w:line="360" w:lineRule="auto"/>
              <w:jc w:val="both"/>
              <w:rPr>
                <w:sz w:val="24"/>
              </w:rPr>
            </w:pPr>
            <w:r>
              <w:rPr>
                <w:rFonts w:hint="eastAsia"/>
                <w:sz w:val="24"/>
              </w:rPr>
              <w:t>本项目主要生产设备见表2-</w:t>
            </w:r>
            <w:r>
              <w:rPr>
                <w:sz w:val="24"/>
              </w:rPr>
              <w:t>7</w:t>
            </w:r>
            <w:r>
              <w:rPr>
                <w:rFonts w:hint="eastAsia"/>
                <w:sz w:val="24"/>
              </w:rPr>
              <w:t>所示。</w:t>
            </w:r>
          </w:p>
          <w:p>
            <w:pPr>
              <w:pStyle w:val="46"/>
              <w:spacing w:line="360" w:lineRule="auto"/>
              <w:ind w:firstLine="422"/>
              <w:jc w:val="center"/>
              <w:rPr>
                <w:b/>
                <w:bCs/>
                <w:szCs w:val="28"/>
              </w:rPr>
            </w:pPr>
            <w:r>
              <w:rPr>
                <w:rFonts w:hint="eastAsia"/>
                <w:b/>
                <w:bCs/>
                <w:szCs w:val="28"/>
              </w:rPr>
              <w:t>表2-</w:t>
            </w:r>
            <w:r>
              <w:rPr>
                <w:b/>
                <w:bCs/>
                <w:szCs w:val="28"/>
              </w:rPr>
              <w:t>7</w:t>
            </w:r>
            <w:r>
              <w:rPr>
                <w:rFonts w:hint="eastAsia"/>
                <w:b/>
                <w:bCs/>
                <w:szCs w:val="28"/>
              </w:rPr>
              <w:t xml:space="preserve">  主要生产设备一览表</w:t>
            </w:r>
          </w:p>
          <w:tbl>
            <w:tblPr>
              <w:tblStyle w:val="22"/>
              <w:tblW w:w="7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991"/>
              <w:gridCol w:w="2704"/>
              <w:gridCol w:w="836"/>
              <w:gridCol w:w="897"/>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rPr>
                      <w:b/>
                      <w:bCs/>
                    </w:rPr>
                  </w:pPr>
                  <w:r>
                    <w:rPr>
                      <w:rFonts w:hint="eastAsia"/>
                      <w:b/>
                      <w:bCs/>
                    </w:rPr>
                    <w:t>序号</w:t>
                  </w:r>
                </w:p>
              </w:tc>
              <w:tc>
                <w:tcPr>
                  <w:tcW w:w="1991" w:type="dxa"/>
                </w:tcPr>
                <w:p>
                  <w:pPr>
                    <w:jc w:val="center"/>
                    <w:rPr>
                      <w:b/>
                      <w:bCs/>
                    </w:rPr>
                  </w:pPr>
                  <w:r>
                    <w:rPr>
                      <w:rFonts w:hint="eastAsia"/>
                      <w:b/>
                      <w:bCs/>
                    </w:rPr>
                    <w:t>名称</w:t>
                  </w:r>
                </w:p>
              </w:tc>
              <w:tc>
                <w:tcPr>
                  <w:tcW w:w="2704" w:type="dxa"/>
                </w:tcPr>
                <w:p>
                  <w:pPr>
                    <w:jc w:val="center"/>
                    <w:rPr>
                      <w:b/>
                      <w:bCs/>
                    </w:rPr>
                  </w:pPr>
                  <w:r>
                    <w:rPr>
                      <w:rFonts w:hint="eastAsia"/>
                      <w:b/>
                      <w:bCs/>
                    </w:rPr>
                    <w:t>规格</w:t>
                  </w:r>
                </w:p>
              </w:tc>
              <w:tc>
                <w:tcPr>
                  <w:tcW w:w="836" w:type="dxa"/>
                </w:tcPr>
                <w:p>
                  <w:pPr>
                    <w:jc w:val="center"/>
                    <w:rPr>
                      <w:b/>
                      <w:bCs/>
                    </w:rPr>
                  </w:pPr>
                  <w:r>
                    <w:rPr>
                      <w:rFonts w:hint="eastAsia"/>
                      <w:b/>
                      <w:bCs/>
                    </w:rPr>
                    <w:t>数量</w:t>
                  </w:r>
                </w:p>
              </w:tc>
              <w:tc>
                <w:tcPr>
                  <w:tcW w:w="897" w:type="dxa"/>
                </w:tcPr>
                <w:p>
                  <w:pPr>
                    <w:jc w:val="center"/>
                    <w:rPr>
                      <w:b/>
                      <w:bCs/>
                    </w:rPr>
                  </w:pPr>
                  <w:r>
                    <w:rPr>
                      <w:rFonts w:hint="eastAsia"/>
                      <w:b/>
                      <w:bCs/>
                    </w:rPr>
                    <w:t>单位</w:t>
                  </w:r>
                </w:p>
              </w:tc>
              <w:tc>
                <w:tcPr>
                  <w:tcW w:w="662" w:type="dxa"/>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一</w:t>
                  </w:r>
                </w:p>
              </w:tc>
              <w:tc>
                <w:tcPr>
                  <w:tcW w:w="1991" w:type="dxa"/>
                </w:tcPr>
                <w:p>
                  <w:pPr>
                    <w:jc w:val="center"/>
                  </w:pPr>
                  <w:r>
                    <w:rPr>
                      <w:rFonts w:hint="eastAsia"/>
                    </w:rPr>
                    <w:t>调压计量柜前部分</w:t>
                  </w:r>
                </w:p>
              </w:tc>
              <w:tc>
                <w:tcPr>
                  <w:tcW w:w="2704" w:type="dxa"/>
                </w:tcPr>
                <w:p>
                  <w:pPr>
                    <w:jc w:val="center"/>
                  </w:pPr>
                </w:p>
              </w:tc>
              <w:tc>
                <w:tcPr>
                  <w:tcW w:w="836" w:type="dxa"/>
                </w:tcPr>
                <w:p>
                  <w:pPr>
                    <w:jc w:val="center"/>
                  </w:pPr>
                </w:p>
              </w:tc>
              <w:tc>
                <w:tcPr>
                  <w:tcW w:w="897" w:type="dxa"/>
                </w:tcPr>
                <w:p>
                  <w:pPr>
                    <w:jc w:val="center"/>
                  </w:pP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1</w:t>
                  </w:r>
                </w:p>
              </w:tc>
              <w:tc>
                <w:tcPr>
                  <w:tcW w:w="1991" w:type="dxa"/>
                </w:tcPr>
                <w:p>
                  <w:pPr>
                    <w:jc w:val="center"/>
                  </w:pPr>
                  <w:r>
                    <w:rPr>
                      <w:rFonts w:hint="eastAsia"/>
                    </w:rPr>
                    <w:t>PE管</w:t>
                  </w:r>
                </w:p>
              </w:tc>
              <w:tc>
                <w:tcPr>
                  <w:tcW w:w="2704" w:type="dxa"/>
                </w:tcPr>
                <w:p>
                  <w:pPr>
                    <w:jc w:val="center"/>
                  </w:pPr>
                  <w:r>
                    <w:rPr>
                      <w:rFonts w:hint="eastAsia"/>
                    </w:rPr>
                    <w:t>PEdn200 SDR17</w:t>
                  </w:r>
                </w:p>
              </w:tc>
              <w:tc>
                <w:tcPr>
                  <w:tcW w:w="836" w:type="dxa"/>
                </w:tcPr>
                <w:p>
                  <w:pPr>
                    <w:jc w:val="center"/>
                  </w:pPr>
                  <w:r>
                    <w:rPr>
                      <w:rFonts w:hint="eastAsia"/>
                    </w:rPr>
                    <w:t>65</w:t>
                  </w:r>
                </w:p>
              </w:tc>
              <w:tc>
                <w:tcPr>
                  <w:tcW w:w="897" w:type="dxa"/>
                </w:tcPr>
                <w:p>
                  <w:pPr>
                    <w:jc w:val="center"/>
                  </w:pPr>
                  <w:r>
                    <w:rPr>
                      <w:rFonts w:hint="eastAsia"/>
                    </w:rPr>
                    <w:t>米</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3" w:type="dxa"/>
                </w:tcPr>
                <w:p>
                  <w:pPr>
                    <w:jc w:val="center"/>
                  </w:pPr>
                  <w:r>
                    <w:rPr>
                      <w:rFonts w:hint="eastAsia"/>
                    </w:rPr>
                    <w:t>2</w:t>
                  </w:r>
                </w:p>
              </w:tc>
              <w:tc>
                <w:tcPr>
                  <w:tcW w:w="1991" w:type="dxa"/>
                </w:tcPr>
                <w:p>
                  <w:pPr>
                    <w:jc w:val="center"/>
                  </w:pPr>
                  <w:r>
                    <w:rPr>
                      <w:rFonts w:hint="eastAsia"/>
                    </w:rPr>
                    <w:t>无缝钢管</w:t>
                  </w:r>
                </w:p>
              </w:tc>
              <w:tc>
                <w:tcPr>
                  <w:tcW w:w="2704" w:type="dxa"/>
                </w:tcPr>
                <w:p>
                  <w:pPr>
                    <w:jc w:val="center"/>
                  </w:pPr>
                  <w:r>
                    <w:rPr>
                      <w:rFonts w:hint="eastAsia"/>
                    </w:rPr>
                    <w:t>D219×6</w:t>
                  </w:r>
                </w:p>
              </w:tc>
              <w:tc>
                <w:tcPr>
                  <w:tcW w:w="836" w:type="dxa"/>
                </w:tcPr>
                <w:p>
                  <w:pPr>
                    <w:jc w:val="center"/>
                  </w:pPr>
                  <w:r>
                    <w:rPr>
                      <w:rFonts w:hint="eastAsia"/>
                    </w:rPr>
                    <w:t>10</w:t>
                  </w:r>
                </w:p>
              </w:tc>
              <w:tc>
                <w:tcPr>
                  <w:tcW w:w="897" w:type="dxa"/>
                </w:tcPr>
                <w:p>
                  <w:pPr>
                    <w:jc w:val="center"/>
                  </w:pPr>
                  <w:r>
                    <w:rPr>
                      <w:rFonts w:hint="eastAsia"/>
                    </w:rPr>
                    <w:t>米</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3</w:t>
                  </w:r>
                </w:p>
              </w:tc>
              <w:tc>
                <w:tcPr>
                  <w:tcW w:w="1991" w:type="dxa"/>
                </w:tcPr>
                <w:p>
                  <w:pPr>
                    <w:jc w:val="center"/>
                  </w:pPr>
                  <w:r>
                    <w:rPr>
                      <w:rFonts w:hint="eastAsia"/>
                    </w:rPr>
                    <w:t>热熔三通</w:t>
                  </w:r>
                </w:p>
              </w:tc>
              <w:tc>
                <w:tcPr>
                  <w:tcW w:w="2704" w:type="dxa"/>
                </w:tcPr>
                <w:p>
                  <w:pPr>
                    <w:jc w:val="center"/>
                  </w:pPr>
                  <w:r>
                    <w:rPr>
                      <w:rFonts w:hint="eastAsia"/>
                    </w:rPr>
                    <w:t>PEdn200 SDR17 PE100</w:t>
                  </w:r>
                </w:p>
              </w:tc>
              <w:tc>
                <w:tcPr>
                  <w:tcW w:w="836" w:type="dxa"/>
                </w:tcPr>
                <w:p>
                  <w:pPr>
                    <w:jc w:val="center"/>
                  </w:pPr>
                  <w:r>
                    <w:rPr>
                      <w:rFonts w:hint="eastAsia"/>
                    </w:rPr>
                    <w:t>1</w:t>
                  </w:r>
                </w:p>
              </w:tc>
              <w:tc>
                <w:tcPr>
                  <w:tcW w:w="897" w:type="dxa"/>
                </w:tcPr>
                <w:p>
                  <w:pPr>
                    <w:jc w:val="center"/>
                  </w:pPr>
                  <w:r>
                    <w:rPr>
                      <w:rFonts w:hint="eastAsia"/>
                    </w:rPr>
                    <w:t>个</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4</w:t>
                  </w:r>
                </w:p>
              </w:tc>
              <w:tc>
                <w:tcPr>
                  <w:tcW w:w="1991" w:type="dxa"/>
                </w:tcPr>
                <w:p>
                  <w:pPr>
                    <w:jc w:val="center"/>
                  </w:pPr>
                  <w:r>
                    <w:rPr>
                      <w:rFonts w:hint="eastAsia"/>
                    </w:rPr>
                    <w:t>热熔变径</w:t>
                  </w:r>
                </w:p>
              </w:tc>
              <w:tc>
                <w:tcPr>
                  <w:tcW w:w="2704" w:type="dxa"/>
                </w:tcPr>
                <w:p>
                  <w:pPr>
                    <w:jc w:val="center"/>
                  </w:pPr>
                  <w:r>
                    <w:rPr>
                      <w:rFonts w:hint="eastAsia"/>
                    </w:rPr>
                    <w:t>PEdn200/160 SDR17 PE100</w:t>
                  </w:r>
                </w:p>
              </w:tc>
              <w:tc>
                <w:tcPr>
                  <w:tcW w:w="836" w:type="dxa"/>
                </w:tcPr>
                <w:p>
                  <w:pPr>
                    <w:jc w:val="center"/>
                  </w:pPr>
                  <w:r>
                    <w:rPr>
                      <w:rFonts w:hint="eastAsia"/>
                    </w:rPr>
                    <w:t>1</w:t>
                  </w:r>
                </w:p>
              </w:tc>
              <w:tc>
                <w:tcPr>
                  <w:tcW w:w="897" w:type="dxa"/>
                </w:tcPr>
                <w:p>
                  <w:pPr>
                    <w:jc w:val="center"/>
                  </w:pPr>
                  <w:r>
                    <w:rPr>
                      <w:rFonts w:hint="eastAsia"/>
                    </w:rPr>
                    <w:t>个</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5</w:t>
                  </w:r>
                </w:p>
              </w:tc>
              <w:tc>
                <w:tcPr>
                  <w:tcW w:w="1991" w:type="dxa"/>
                </w:tcPr>
                <w:p>
                  <w:pPr>
                    <w:jc w:val="center"/>
                  </w:pPr>
                  <w:r>
                    <w:rPr>
                      <w:rFonts w:hint="eastAsia"/>
                    </w:rPr>
                    <w:t>90°热熔弯头</w:t>
                  </w:r>
                </w:p>
              </w:tc>
              <w:tc>
                <w:tcPr>
                  <w:tcW w:w="2704" w:type="dxa"/>
                </w:tcPr>
                <w:p>
                  <w:pPr>
                    <w:jc w:val="center"/>
                  </w:pPr>
                  <w:r>
                    <w:rPr>
                      <w:rFonts w:hint="eastAsia"/>
                    </w:rPr>
                    <w:t>PEdn200 SDR17 PE100</w:t>
                  </w:r>
                </w:p>
              </w:tc>
              <w:tc>
                <w:tcPr>
                  <w:tcW w:w="836" w:type="dxa"/>
                </w:tcPr>
                <w:p>
                  <w:pPr>
                    <w:jc w:val="center"/>
                  </w:pPr>
                  <w:r>
                    <w:rPr>
                      <w:rFonts w:hint="eastAsia"/>
                    </w:rPr>
                    <w:t>1</w:t>
                  </w:r>
                </w:p>
              </w:tc>
              <w:tc>
                <w:tcPr>
                  <w:tcW w:w="897" w:type="dxa"/>
                </w:tcPr>
                <w:p>
                  <w:pPr>
                    <w:jc w:val="center"/>
                  </w:pPr>
                  <w:r>
                    <w:rPr>
                      <w:rFonts w:hint="eastAsia"/>
                    </w:rPr>
                    <w:t>个</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3" w:type="dxa"/>
                </w:tcPr>
                <w:p>
                  <w:pPr>
                    <w:jc w:val="center"/>
                  </w:pPr>
                  <w:r>
                    <w:rPr>
                      <w:rFonts w:hint="eastAsia"/>
                    </w:rPr>
                    <w:t>6</w:t>
                  </w:r>
                </w:p>
              </w:tc>
              <w:tc>
                <w:tcPr>
                  <w:tcW w:w="1991" w:type="dxa"/>
                </w:tcPr>
                <w:p>
                  <w:pPr>
                    <w:jc w:val="center"/>
                  </w:pPr>
                  <w:r>
                    <w:rPr>
                      <w:rFonts w:hint="eastAsia"/>
                    </w:rPr>
                    <w:t>钢塑转换</w:t>
                  </w:r>
                </w:p>
              </w:tc>
              <w:tc>
                <w:tcPr>
                  <w:tcW w:w="2704" w:type="dxa"/>
                </w:tcPr>
                <w:p>
                  <w:pPr>
                    <w:jc w:val="center"/>
                  </w:pPr>
                  <w:r>
                    <w:rPr>
                      <w:rFonts w:hint="eastAsia"/>
                    </w:rPr>
                    <w:t>PEdn200/D219</w:t>
                  </w:r>
                </w:p>
              </w:tc>
              <w:tc>
                <w:tcPr>
                  <w:tcW w:w="836" w:type="dxa"/>
                </w:tcPr>
                <w:p>
                  <w:pPr>
                    <w:jc w:val="center"/>
                  </w:pPr>
                  <w:r>
                    <w:rPr>
                      <w:rFonts w:hint="eastAsia"/>
                    </w:rPr>
                    <w:t>3</w:t>
                  </w:r>
                </w:p>
              </w:tc>
              <w:tc>
                <w:tcPr>
                  <w:tcW w:w="897" w:type="dxa"/>
                </w:tcPr>
                <w:p>
                  <w:pPr>
                    <w:jc w:val="center"/>
                  </w:pPr>
                  <w:r>
                    <w:rPr>
                      <w:rFonts w:hint="eastAsia"/>
                    </w:rPr>
                    <w:t>个</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7</w:t>
                  </w:r>
                </w:p>
              </w:tc>
              <w:tc>
                <w:tcPr>
                  <w:tcW w:w="1991" w:type="dxa"/>
                </w:tcPr>
                <w:p>
                  <w:pPr>
                    <w:jc w:val="center"/>
                  </w:pPr>
                  <w:r>
                    <w:rPr>
                      <w:rFonts w:hint="eastAsia"/>
                    </w:rPr>
                    <w:t>电熔套筒</w:t>
                  </w:r>
                </w:p>
              </w:tc>
              <w:tc>
                <w:tcPr>
                  <w:tcW w:w="2704" w:type="dxa"/>
                </w:tcPr>
                <w:p>
                  <w:pPr>
                    <w:jc w:val="center"/>
                  </w:pPr>
                  <w:r>
                    <w:rPr>
                      <w:rFonts w:hint="eastAsia"/>
                    </w:rPr>
                    <w:t>PEdn200 SDR11 PE100</w:t>
                  </w:r>
                </w:p>
              </w:tc>
              <w:tc>
                <w:tcPr>
                  <w:tcW w:w="836" w:type="dxa"/>
                </w:tcPr>
                <w:p>
                  <w:pPr>
                    <w:jc w:val="center"/>
                  </w:pPr>
                  <w:r>
                    <w:rPr>
                      <w:rFonts w:hint="eastAsia"/>
                    </w:rPr>
                    <w:t>5</w:t>
                  </w:r>
                </w:p>
              </w:tc>
              <w:tc>
                <w:tcPr>
                  <w:tcW w:w="897" w:type="dxa"/>
                </w:tcPr>
                <w:p>
                  <w:pPr>
                    <w:jc w:val="center"/>
                  </w:pPr>
                  <w:r>
                    <w:rPr>
                      <w:rFonts w:hint="eastAsia"/>
                    </w:rPr>
                    <w:t>个</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8</w:t>
                  </w:r>
                </w:p>
              </w:tc>
              <w:tc>
                <w:tcPr>
                  <w:tcW w:w="1991" w:type="dxa"/>
                </w:tcPr>
                <w:p>
                  <w:pPr>
                    <w:jc w:val="center"/>
                  </w:pPr>
                  <w:r>
                    <w:rPr>
                      <w:rFonts w:hint="eastAsia"/>
                    </w:rPr>
                    <w:t>电熔套筒</w:t>
                  </w:r>
                </w:p>
              </w:tc>
              <w:tc>
                <w:tcPr>
                  <w:tcW w:w="2704" w:type="dxa"/>
                </w:tcPr>
                <w:p>
                  <w:pPr>
                    <w:jc w:val="center"/>
                  </w:pPr>
                  <w:r>
                    <w:rPr>
                      <w:rFonts w:hint="eastAsia"/>
                    </w:rPr>
                    <w:t>PEdn160 SDR11 PE100</w:t>
                  </w:r>
                </w:p>
              </w:tc>
              <w:tc>
                <w:tcPr>
                  <w:tcW w:w="836" w:type="dxa"/>
                </w:tcPr>
                <w:p>
                  <w:pPr>
                    <w:jc w:val="center"/>
                  </w:pPr>
                  <w:r>
                    <w:rPr>
                      <w:rFonts w:hint="eastAsia"/>
                    </w:rPr>
                    <w:t>3</w:t>
                  </w:r>
                </w:p>
              </w:tc>
              <w:tc>
                <w:tcPr>
                  <w:tcW w:w="897" w:type="dxa"/>
                </w:tcPr>
                <w:p>
                  <w:pPr>
                    <w:jc w:val="center"/>
                  </w:pPr>
                  <w:r>
                    <w:rPr>
                      <w:rFonts w:hint="eastAsia"/>
                    </w:rPr>
                    <w:t>个</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9</w:t>
                  </w:r>
                </w:p>
              </w:tc>
              <w:tc>
                <w:tcPr>
                  <w:tcW w:w="1991" w:type="dxa"/>
                </w:tcPr>
                <w:p>
                  <w:pPr>
                    <w:jc w:val="center"/>
                  </w:pPr>
                  <w:r>
                    <w:rPr>
                      <w:rFonts w:hint="eastAsia"/>
                    </w:rPr>
                    <w:t>90°钢制弯头</w:t>
                  </w:r>
                </w:p>
              </w:tc>
              <w:tc>
                <w:tcPr>
                  <w:tcW w:w="2704" w:type="dxa"/>
                </w:tcPr>
                <w:p>
                  <w:pPr>
                    <w:jc w:val="center"/>
                  </w:pPr>
                  <w:r>
                    <w:rPr>
                      <w:rFonts w:hint="eastAsia"/>
                    </w:rPr>
                    <w:t>DN200 1.5D Ⅱ系列</w:t>
                  </w:r>
                </w:p>
              </w:tc>
              <w:tc>
                <w:tcPr>
                  <w:tcW w:w="836" w:type="dxa"/>
                </w:tcPr>
                <w:p>
                  <w:pPr>
                    <w:jc w:val="center"/>
                  </w:pPr>
                  <w:r>
                    <w:rPr>
                      <w:rFonts w:hint="eastAsia"/>
                    </w:rPr>
                    <w:t>3</w:t>
                  </w:r>
                </w:p>
              </w:tc>
              <w:tc>
                <w:tcPr>
                  <w:tcW w:w="897" w:type="dxa"/>
                </w:tcPr>
                <w:p>
                  <w:pPr>
                    <w:jc w:val="center"/>
                  </w:pPr>
                  <w:r>
                    <w:rPr>
                      <w:rFonts w:hint="eastAsia"/>
                    </w:rPr>
                    <w:t>个</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3" w:type="dxa"/>
                </w:tcPr>
                <w:p>
                  <w:pPr>
                    <w:jc w:val="center"/>
                  </w:pPr>
                  <w:r>
                    <w:rPr>
                      <w:rFonts w:hint="eastAsia"/>
                    </w:rPr>
                    <w:t>10</w:t>
                  </w:r>
                </w:p>
              </w:tc>
              <w:tc>
                <w:tcPr>
                  <w:tcW w:w="1991" w:type="dxa"/>
                </w:tcPr>
                <w:p>
                  <w:pPr>
                    <w:jc w:val="center"/>
                  </w:pPr>
                  <w:r>
                    <w:rPr>
                      <w:rFonts w:hint="eastAsia"/>
                    </w:rPr>
                    <w:t>PE双放散球阀</w:t>
                  </w:r>
                </w:p>
              </w:tc>
              <w:tc>
                <w:tcPr>
                  <w:tcW w:w="2704" w:type="dxa"/>
                </w:tcPr>
                <w:p>
                  <w:pPr>
                    <w:jc w:val="center"/>
                  </w:pPr>
                  <w:r>
                    <w:rPr>
                      <w:rFonts w:hint="eastAsia"/>
                    </w:rPr>
                    <w:t>PEdn200 SDR11</w:t>
                  </w:r>
                </w:p>
              </w:tc>
              <w:tc>
                <w:tcPr>
                  <w:tcW w:w="836" w:type="dxa"/>
                </w:tcPr>
                <w:p>
                  <w:pPr>
                    <w:jc w:val="center"/>
                  </w:pPr>
                  <w:r>
                    <w:rPr>
                      <w:rFonts w:hint="eastAsia"/>
                    </w:rPr>
                    <w:t>1</w:t>
                  </w:r>
                </w:p>
              </w:tc>
              <w:tc>
                <w:tcPr>
                  <w:tcW w:w="897" w:type="dxa"/>
                </w:tcPr>
                <w:p>
                  <w:pPr>
                    <w:jc w:val="center"/>
                  </w:pPr>
                  <w:r>
                    <w:rPr>
                      <w:rFonts w:hint="eastAsia"/>
                    </w:rPr>
                    <w:t>座</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二</w:t>
                  </w:r>
                </w:p>
              </w:tc>
              <w:tc>
                <w:tcPr>
                  <w:tcW w:w="1991" w:type="dxa"/>
                </w:tcPr>
                <w:p>
                  <w:pPr>
                    <w:jc w:val="center"/>
                  </w:pPr>
                  <w:r>
                    <w:rPr>
                      <w:rFonts w:hint="eastAsia"/>
                    </w:rPr>
                    <w:t>调压计量柜前部分</w:t>
                  </w:r>
                </w:p>
              </w:tc>
              <w:tc>
                <w:tcPr>
                  <w:tcW w:w="2704" w:type="dxa"/>
                </w:tcPr>
                <w:p>
                  <w:pPr>
                    <w:jc w:val="center"/>
                  </w:pPr>
                </w:p>
              </w:tc>
              <w:tc>
                <w:tcPr>
                  <w:tcW w:w="836" w:type="dxa"/>
                </w:tcPr>
                <w:p>
                  <w:pPr>
                    <w:jc w:val="center"/>
                  </w:pPr>
                </w:p>
              </w:tc>
              <w:tc>
                <w:tcPr>
                  <w:tcW w:w="897" w:type="dxa"/>
                </w:tcPr>
                <w:p>
                  <w:pPr>
                    <w:jc w:val="center"/>
                  </w:pP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1</w:t>
                  </w:r>
                </w:p>
              </w:tc>
              <w:tc>
                <w:tcPr>
                  <w:tcW w:w="1991" w:type="dxa"/>
                </w:tcPr>
                <w:p>
                  <w:pPr>
                    <w:jc w:val="center"/>
                  </w:pPr>
                  <w:r>
                    <w:rPr>
                      <w:rFonts w:hint="eastAsia"/>
                    </w:rPr>
                    <w:t>PE管</w:t>
                  </w:r>
                </w:p>
              </w:tc>
              <w:tc>
                <w:tcPr>
                  <w:tcW w:w="2704" w:type="dxa"/>
                </w:tcPr>
                <w:p>
                  <w:pPr>
                    <w:jc w:val="center"/>
                  </w:pPr>
                  <w:r>
                    <w:rPr>
                      <w:rFonts w:hint="eastAsia"/>
                    </w:rPr>
                    <w:t>PEdn250 SDR17</w:t>
                  </w:r>
                </w:p>
              </w:tc>
              <w:tc>
                <w:tcPr>
                  <w:tcW w:w="836" w:type="dxa"/>
                </w:tcPr>
                <w:p>
                  <w:pPr>
                    <w:jc w:val="center"/>
                  </w:pPr>
                  <w:r>
                    <w:rPr>
                      <w:rFonts w:hint="eastAsia"/>
                    </w:rPr>
                    <w:t>12</w:t>
                  </w:r>
                </w:p>
              </w:tc>
              <w:tc>
                <w:tcPr>
                  <w:tcW w:w="897" w:type="dxa"/>
                </w:tcPr>
                <w:p>
                  <w:pPr>
                    <w:jc w:val="center"/>
                  </w:pPr>
                  <w:r>
                    <w:rPr>
                      <w:rFonts w:hint="eastAsia"/>
                    </w:rPr>
                    <w:t>米</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2</w:t>
                  </w:r>
                </w:p>
              </w:tc>
              <w:tc>
                <w:tcPr>
                  <w:tcW w:w="1991" w:type="dxa"/>
                </w:tcPr>
                <w:p>
                  <w:pPr>
                    <w:jc w:val="center"/>
                  </w:pPr>
                  <w:r>
                    <w:rPr>
                      <w:rFonts w:hint="eastAsia"/>
                    </w:rPr>
                    <w:t>无缝钢管</w:t>
                  </w:r>
                </w:p>
              </w:tc>
              <w:tc>
                <w:tcPr>
                  <w:tcW w:w="2704" w:type="dxa"/>
                </w:tcPr>
                <w:p>
                  <w:pPr>
                    <w:jc w:val="center"/>
                  </w:pPr>
                  <w:r>
                    <w:rPr>
                      <w:rFonts w:hint="eastAsia"/>
                    </w:rPr>
                    <w:t>D219×6</w:t>
                  </w:r>
                </w:p>
              </w:tc>
              <w:tc>
                <w:tcPr>
                  <w:tcW w:w="836" w:type="dxa"/>
                </w:tcPr>
                <w:p>
                  <w:pPr>
                    <w:jc w:val="center"/>
                  </w:pPr>
                  <w:r>
                    <w:rPr>
                      <w:rFonts w:hint="eastAsia"/>
                    </w:rPr>
                    <w:t>55</w:t>
                  </w:r>
                </w:p>
              </w:tc>
              <w:tc>
                <w:tcPr>
                  <w:tcW w:w="897" w:type="dxa"/>
                </w:tcPr>
                <w:p>
                  <w:pPr>
                    <w:jc w:val="center"/>
                  </w:pPr>
                  <w:r>
                    <w:rPr>
                      <w:rFonts w:hint="eastAsia"/>
                    </w:rPr>
                    <w:t>米</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3" w:type="dxa"/>
                </w:tcPr>
                <w:p>
                  <w:pPr>
                    <w:jc w:val="center"/>
                  </w:pPr>
                  <w:r>
                    <w:rPr>
                      <w:rFonts w:hint="eastAsia"/>
                    </w:rPr>
                    <w:t>3</w:t>
                  </w:r>
                </w:p>
              </w:tc>
              <w:tc>
                <w:tcPr>
                  <w:tcW w:w="1991" w:type="dxa"/>
                </w:tcPr>
                <w:p>
                  <w:pPr>
                    <w:jc w:val="center"/>
                  </w:pPr>
                  <w:r>
                    <w:rPr>
                      <w:rFonts w:hint="eastAsia"/>
                    </w:rPr>
                    <w:t>无缝钢管</w:t>
                  </w:r>
                </w:p>
              </w:tc>
              <w:tc>
                <w:tcPr>
                  <w:tcW w:w="2704" w:type="dxa"/>
                </w:tcPr>
                <w:p>
                  <w:pPr>
                    <w:jc w:val="center"/>
                  </w:pPr>
                  <w:r>
                    <w:rPr>
                      <w:rFonts w:hint="eastAsia"/>
                    </w:rPr>
                    <w:t>D159×5</w:t>
                  </w:r>
                </w:p>
              </w:tc>
              <w:tc>
                <w:tcPr>
                  <w:tcW w:w="836" w:type="dxa"/>
                </w:tcPr>
                <w:p>
                  <w:pPr>
                    <w:jc w:val="center"/>
                  </w:pPr>
                  <w:r>
                    <w:rPr>
                      <w:rFonts w:hint="eastAsia"/>
                    </w:rPr>
                    <w:t>8</w:t>
                  </w:r>
                </w:p>
              </w:tc>
              <w:tc>
                <w:tcPr>
                  <w:tcW w:w="897" w:type="dxa"/>
                </w:tcPr>
                <w:p>
                  <w:pPr>
                    <w:jc w:val="center"/>
                  </w:pPr>
                  <w:r>
                    <w:rPr>
                      <w:rFonts w:hint="eastAsia"/>
                    </w:rPr>
                    <w:t>米</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4</w:t>
                  </w:r>
                </w:p>
              </w:tc>
              <w:tc>
                <w:tcPr>
                  <w:tcW w:w="1991" w:type="dxa"/>
                </w:tcPr>
                <w:p>
                  <w:pPr>
                    <w:jc w:val="center"/>
                  </w:pPr>
                  <w:r>
                    <w:rPr>
                      <w:rFonts w:hint="eastAsia"/>
                    </w:rPr>
                    <w:t>无缝钢管</w:t>
                  </w:r>
                </w:p>
              </w:tc>
              <w:tc>
                <w:tcPr>
                  <w:tcW w:w="2704" w:type="dxa"/>
                </w:tcPr>
                <w:p>
                  <w:pPr>
                    <w:jc w:val="center"/>
                  </w:pPr>
                  <w:r>
                    <w:rPr>
                      <w:rFonts w:hint="eastAsia"/>
                    </w:rPr>
                    <w:t>D89×4.5</w:t>
                  </w:r>
                </w:p>
              </w:tc>
              <w:tc>
                <w:tcPr>
                  <w:tcW w:w="836" w:type="dxa"/>
                </w:tcPr>
                <w:p>
                  <w:pPr>
                    <w:jc w:val="center"/>
                  </w:pPr>
                  <w:r>
                    <w:rPr>
                      <w:rFonts w:hint="eastAsia"/>
                    </w:rPr>
                    <w:t>5</w:t>
                  </w:r>
                </w:p>
              </w:tc>
              <w:tc>
                <w:tcPr>
                  <w:tcW w:w="897" w:type="dxa"/>
                </w:tcPr>
                <w:p>
                  <w:pPr>
                    <w:jc w:val="center"/>
                  </w:pPr>
                  <w:r>
                    <w:rPr>
                      <w:rFonts w:hint="eastAsia"/>
                    </w:rPr>
                    <w:t>米</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5</w:t>
                  </w:r>
                </w:p>
              </w:tc>
              <w:tc>
                <w:tcPr>
                  <w:tcW w:w="1991" w:type="dxa"/>
                </w:tcPr>
                <w:p>
                  <w:pPr>
                    <w:jc w:val="center"/>
                  </w:pPr>
                  <w:r>
                    <w:rPr>
                      <w:rFonts w:hint="eastAsia"/>
                    </w:rPr>
                    <w:t>无缝钢管</w:t>
                  </w:r>
                </w:p>
              </w:tc>
              <w:tc>
                <w:tcPr>
                  <w:tcW w:w="2704" w:type="dxa"/>
                </w:tcPr>
                <w:p>
                  <w:pPr>
                    <w:jc w:val="center"/>
                  </w:pPr>
                  <w:r>
                    <w:rPr>
                      <w:rFonts w:hint="eastAsia"/>
                    </w:rPr>
                    <w:t>D57×4</w:t>
                  </w:r>
                </w:p>
              </w:tc>
              <w:tc>
                <w:tcPr>
                  <w:tcW w:w="836" w:type="dxa"/>
                </w:tcPr>
                <w:p>
                  <w:pPr>
                    <w:jc w:val="center"/>
                  </w:pPr>
                  <w:r>
                    <w:rPr>
                      <w:rFonts w:hint="eastAsia"/>
                    </w:rPr>
                    <w:t>30</w:t>
                  </w:r>
                </w:p>
              </w:tc>
              <w:tc>
                <w:tcPr>
                  <w:tcW w:w="897" w:type="dxa"/>
                </w:tcPr>
                <w:p>
                  <w:pPr>
                    <w:jc w:val="center"/>
                  </w:pPr>
                  <w:r>
                    <w:rPr>
                      <w:rFonts w:hint="eastAsia"/>
                    </w:rPr>
                    <w:t>米</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6</w:t>
                  </w:r>
                </w:p>
              </w:tc>
              <w:tc>
                <w:tcPr>
                  <w:tcW w:w="1991" w:type="dxa"/>
                </w:tcPr>
                <w:p>
                  <w:pPr>
                    <w:jc w:val="center"/>
                  </w:pPr>
                  <w:r>
                    <w:rPr>
                      <w:rFonts w:hint="eastAsia"/>
                    </w:rPr>
                    <w:t>90°热熔弯头</w:t>
                  </w:r>
                </w:p>
              </w:tc>
              <w:tc>
                <w:tcPr>
                  <w:tcW w:w="2704" w:type="dxa"/>
                </w:tcPr>
                <w:p>
                  <w:pPr>
                    <w:jc w:val="center"/>
                  </w:pPr>
                  <w:r>
                    <w:rPr>
                      <w:rFonts w:hint="eastAsia"/>
                    </w:rPr>
                    <w:t>PEdn250 SDR17 PE100</w:t>
                  </w:r>
                </w:p>
              </w:tc>
              <w:tc>
                <w:tcPr>
                  <w:tcW w:w="836" w:type="dxa"/>
                </w:tcPr>
                <w:p>
                  <w:pPr>
                    <w:jc w:val="center"/>
                  </w:pPr>
                  <w:r>
                    <w:rPr>
                      <w:rFonts w:hint="eastAsia"/>
                    </w:rPr>
                    <w:t>1</w:t>
                  </w:r>
                </w:p>
              </w:tc>
              <w:tc>
                <w:tcPr>
                  <w:tcW w:w="897" w:type="dxa"/>
                </w:tcPr>
                <w:p>
                  <w:pPr>
                    <w:jc w:val="center"/>
                  </w:pPr>
                  <w:r>
                    <w:rPr>
                      <w:rFonts w:hint="eastAsia"/>
                    </w:rPr>
                    <w:t>个</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3" w:type="dxa"/>
                </w:tcPr>
                <w:p>
                  <w:pPr>
                    <w:jc w:val="center"/>
                  </w:pPr>
                  <w:r>
                    <w:rPr>
                      <w:rFonts w:hint="eastAsia"/>
                    </w:rPr>
                    <w:t>7</w:t>
                  </w:r>
                </w:p>
              </w:tc>
              <w:tc>
                <w:tcPr>
                  <w:tcW w:w="1991" w:type="dxa"/>
                </w:tcPr>
                <w:p>
                  <w:pPr>
                    <w:jc w:val="center"/>
                  </w:pPr>
                  <w:r>
                    <w:rPr>
                      <w:rFonts w:hint="eastAsia"/>
                    </w:rPr>
                    <w:t>钢塑转换</w:t>
                  </w:r>
                </w:p>
              </w:tc>
              <w:tc>
                <w:tcPr>
                  <w:tcW w:w="2704" w:type="dxa"/>
                </w:tcPr>
                <w:p>
                  <w:pPr>
                    <w:jc w:val="center"/>
                  </w:pPr>
                  <w:r>
                    <w:rPr>
                      <w:rFonts w:hint="eastAsia"/>
                    </w:rPr>
                    <w:t>PEdn250/D273</w:t>
                  </w:r>
                </w:p>
              </w:tc>
              <w:tc>
                <w:tcPr>
                  <w:tcW w:w="836" w:type="dxa"/>
                </w:tcPr>
                <w:p>
                  <w:pPr>
                    <w:jc w:val="center"/>
                  </w:pPr>
                  <w:r>
                    <w:rPr>
                      <w:rFonts w:hint="eastAsia"/>
                    </w:rPr>
                    <w:t>2</w:t>
                  </w:r>
                </w:p>
              </w:tc>
              <w:tc>
                <w:tcPr>
                  <w:tcW w:w="897" w:type="dxa"/>
                </w:tcPr>
                <w:p>
                  <w:pPr>
                    <w:jc w:val="center"/>
                  </w:pPr>
                  <w:r>
                    <w:rPr>
                      <w:rFonts w:hint="eastAsia"/>
                    </w:rPr>
                    <w:t>个</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8</w:t>
                  </w:r>
                </w:p>
              </w:tc>
              <w:tc>
                <w:tcPr>
                  <w:tcW w:w="1991" w:type="dxa"/>
                </w:tcPr>
                <w:p>
                  <w:pPr>
                    <w:jc w:val="center"/>
                  </w:pPr>
                  <w:r>
                    <w:rPr>
                      <w:rFonts w:hint="eastAsia"/>
                    </w:rPr>
                    <w:t>电熔套筒</w:t>
                  </w:r>
                </w:p>
              </w:tc>
              <w:tc>
                <w:tcPr>
                  <w:tcW w:w="2704" w:type="dxa"/>
                </w:tcPr>
                <w:p>
                  <w:pPr>
                    <w:jc w:val="center"/>
                  </w:pPr>
                  <w:r>
                    <w:rPr>
                      <w:rFonts w:hint="eastAsia"/>
                    </w:rPr>
                    <w:t>PEdn250 SDR11 PE100</w:t>
                  </w:r>
                </w:p>
              </w:tc>
              <w:tc>
                <w:tcPr>
                  <w:tcW w:w="836" w:type="dxa"/>
                </w:tcPr>
                <w:p>
                  <w:pPr>
                    <w:jc w:val="center"/>
                  </w:pPr>
                  <w:r>
                    <w:rPr>
                      <w:rFonts w:hint="eastAsia"/>
                    </w:rPr>
                    <w:t>2</w:t>
                  </w:r>
                </w:p>
              </w:tc>
              <w:tc>
                <w:tcPr>
                  <w:tcW w:w="897" w:type="dxa"/>
                </w:tcPr>
                <w:p>
                  <w:pPr>
                    <w:jc w:val="center"/>
                  </w:pPr>
                  <w:r>
                    <w:rPr>
                      <w:rFonts w:hint="eastAsia"/>
                    </w:rPr>
                    <w:t>个</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9</w:t>
                  </w:r>
                </w:p>
              </w:tc>
              <w:tc>
                <w:tcPr>
                  <w:tcW w:w="1991" w:type="dxa"/>
                </w:tcPr>
                <w:p>
                  <w:pPr>
                    <w:jc w:val="center"/>
                  </w:pPr>
                  <w:r>
                    <w:rPr>
                      <w:rFonts w:hint="eastAsia"/>
                    </w:rPr>
                    <w:t>等径三通</w:t>
                  </w:r>
                </w:p>
              </w:tc>
              <w:tc>
                <w:tcPr>
                  <w:tcW w:w="2704" w:type="dxa"/>
                </w:tcPr>
                <w:p>
                  <w:pPr>
                    <w:jc w:val="center"/>
                  </w:pPr>
                  <w:r>
                    <w:rPr>
                      <w:rFonts w:hint="eastAsia"/>
                    </w:rPr>
                    <w:t>DN200 Ⅱ系列</w:t>
                  </w:r>
                </w:p>
              </w:tc>
              <w:tc>
                <w:tcPr>
                  <w:tcW w:w="836" w:type="dxa"/>
                </w:tcPr>
                <w:p>
                  <w:pPr>
                    <w:jc w:val="center"/>
                  </w:pPr>
                  <w:r>
                    <w:rPr>
                      <w:rFonts w:hint="eastAsia"/>
                    </w:rPr>
                    <w:t>2</w:t>
                  </w:r>
                </w:p>
              </w:tc>
              <w:tc>
                <w:tcPr>
                  <w:tcW w:w="897" w:type="dxa"/>
                </w:tcPr>
                <w:p>
                  <w:pPr>
                    <w:jc w:val="center"/>
                  </w:pPr>
                  <w:r>
                    <w:rPr>
                      <w:rFonts w:hint="eastAsia"/>
                    </w:rPr>
                    <w:t>个</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10</w:t>
                  </w:r>
                </w:p>
              </w:tc>
              <w:tc>
                <w:tcPr>
                  <w:tcW w:w="1991" w:type="dxa"/>
                </w:tcPr>
                <w:p>
                  <w:pPr>
                    <w:jc w:val="center"/>
                  </w:pPr>
                  <w:r>
                    <w:rPr>
                      <w:rFonts w:hint="eastAsia"/>
                    </w:rPr>
                    <w:t>90°钢制弯头</w:t>
                  </w:r>
                </w:p>
              </w:tc>
              <w:tc>
                <w:tcPr>
                  <w:tcW w:w="2704" w:type="dxa"/>
                </w:tcPr>
                <w:p>
                  <w:pPr>
                    <w:jc w:val="center"/>
                  </w:pPr>
                  <w:r>
                    <w:rPr>
                      <w:rFonts w:hint="eastAsia"/>
                    </w:rPr>
                    <w:t>DN200 1.5D Ⅱ系列</w:t>
                  </w:r>
                </w:p>
              </w:tc>
              <w:tc>
                <w:tcPr>
                  <w:tcW w:w="836" w:type="dxa"/>
                </w:tcPr>
                <w:p>
                  <w:pPr>
                    <w:jc w:val="center"/>
                  </w:pPr>
                  <w:r>
                    <w:rPr>
                      <w:rFonts w:hint="eastAsia"/>
                    </w:rPr>
                    <w:t>12</w:t>
                  </w:r>
                </w:p>
              </w:tc>
              <w:tc>
                <w:tcPr>
                  <w:tcW w:w="897" w:type="dxa"/>
                </w:tcPr>
                <w:p>
                  <w:pPr>
                    <w:jc w:val="center"/>
                  </w:pPr>
                  <w:r>
                    <w:rPr>
                      <w:rFonts w:hint="eastAsia"/>
                    </w:rPr>
                    <w:t>个</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3" w:type="dxa"/>
                </w:tcPr>
                <w:p>
                  <w:pPr>
                    <w:jc w:val="center"/>
                  </w:pPr>
                  <w:r>
                    <w:rPr>
                      <w:rFonts w:hint="eastAsia"/>
                    </w:rPr>
                    <w:t>11</w:t>
                  </w:r>
                </w:p>
              </w:tc>
              <w:tc>
                <w:tcPr>
                  <w:tcW w:w="1991" w:type="dxa"/>
                </w:tcPr>
                <w:p>
                  <w:pPr>
                    <w:jc w:val="center"/>
                  </w:pPr>
                  <w:r>
                    <w:rPr>
                      <w:rFonts w:hint="eastAsia"/>
                    </w:rPr>
                    <w:t>90°钢制弯头</w:t>
                  </w:r>
                </w:p>
              </w:tc>
              <w:tc>
                <w:tcPr>
                  <w:tcW w:w="2704" w:type="dxa"/>
                </w:tcPr>
                <w:p>
                  <w:pPr>
                    <w:jc w:val="center"/>
                  </w:pPr>
                  <w:r>
                    <w:rPr>
                      <w:rFonts w:hint="eastAsia"/>
                    </w:rPr>
                    <w:t>DN200/150 1.5D Ⅱ系列</w:t>
                  </w:r>
                </w:p>
              </w:tc>
              <w:tc>
                <w:tcPr>
                  <w:tcW w:w="836" w:type="dxa"/>
                </w:tcPr>
                <w:p>
                  <w:pPr>
                    <w:jc w:val="center"/>
                  </w:pPr>
                  <w:r>
                    <w:rPr>
                      <w:rFonts w:hint="eastAsia"/>
                    </w:rPr>
                    <w:t>2</w:t>
                  </w:r>
                </w:p>
              </w:tc>
              <w:tc>
                <w:tcPr>
                  <w:tcW w:w="897" w:type="dxa"/>
                </w:tcPr>
                <w:p>
                  <w:pPr>
                    <w:jc w:val="center"/>
                  </w:pPr>
                  <w:r>
                    <w:rPr>
                      <w:rFonts w:hint="eastAsia"/>
                    </w:rPr>
                    <w:t>个</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12</w:t>
                  </w:r>
                </w:p>
              </w:tc>
              <w:tc>
                <w:tcPr>
                  <w:tcW w:w="1991" w:type="dxa"/>
                </w:tcPr>
                <w:p>
                  <w:pPr>
                    <w:jc w:val="center"/>
                  </w:pPr>
                  <w:r>
                    <w:rPr>
                      <w:rFonts w:hint="eastAsia"/>
                    </w:rPr>
                    <w:t>90°钢制弯头</w:t>
                  </w:r>
                </w:p>
              </w:tc>
              <w:tc>
                <w:tcPr>
                  <w:tcW w:w="2704" w:type="dxa"/>
                </w:tcPr>
                <w:p>
                  <w:pPr>
                    <w:jc w:val="center"/>
                  </w:pPr>
                  <w:r>
                    <w:rPr>
                      <w:rFonts w:hint="eastAsia"/>
                    </w:rPr>
                    <w:t>DN150/80 1.5D Ⅱ系列</w:t>
                  </w:r>
                </w:p>
              </w:tc>
              <w:tc>
                <w:tcPr>
                  <w:tcW w:w="836" w:type="dxa"/>
                </w:tcPr>
                <w:p>
                  <w:pPr>
                    <w:jc w:val="center"/>
                  </w:pPr>
                  <w:r>
                    <w:rPr>
                      <w:rFonts w:hint="eastAsia"/>
                    </w:rPr>
                    <w:t>2</w:t>
                  </w:r>
                </w:p>
              </w:tc>
              <w:tc>
                <w:tcPr>
                  <w:tcW w:w="897" w:type="dxa"/>
                </w:tcPr>
                <w:p>
                  <w:pPr>
                    <w:jc w:val="center"/>
                  </w:pPr>
                  <w:r>
                    <w:rPr>
                      <w:rFonts w:hint="eastAsia"/>
                    </w:rPr>
                    <w:t>个</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13</w:t>
                  </w:r>
                </w:p>
              </w:tc>
              <w:tc>
                <w:tcPr>
                  <w:tcW w:w="1991" w:type="dxa"/>
                </w:tcPr>
                <w:p>
                  <w:pPr>
                    <w:jc w:val="center"/>
                  </w:pPr>
                  <w:r>
                    <w:rPr>
                      <w:rFonts w:hint="eastAsia"/>
                    </w:rPr>
                    <w:t>等径三通</w:t>
                  </w:r>
                </w:p>
              </w:tc>
              <w:tc>
                <w:tcPr>
                  <w:tcW w:w="2704" w:type="dxa"/>
                </w:tcPr>
                <w:p>
                  <w:pPr>
                    <w:jc w:val="center"/>
                  </w:pPr>
                  <w:r>
                    <w:rPr>
                      <w:rFonts w:hint="eastAsia"/>
                    </w:rPr>
                    <w:t>DN50  Ⅱ系列</w:t>
                  </w:r>
                </w:p>
              </w:tc>
              <w:tc>
                <w:tcPr>
                  <w:tcW w:w="836" w:type="dxa"/>
                </w:tcPr>
                <w:p>
                  <w:pPr>
                    <w:jc w:val="center"/>
                  </w:pPr>
                  <w:r>
                    <w:rPr>
                      <w:rFonts w:hint="eastAsia"/>
                    </w:rPr>
                    <w:t>2</w:t>
                  </w:r>
                </w:p>
              </w:tc>
              <w:tc>
                <w:tcPr>
                  <w:tcW w:w="897" w:type="dxa"/>
                </w:tcPr>
                <w:p>
                  <w:pPr>
                    <w:jc w:val="center"/>
                  </w:pPr>
                  <w:r>
                    <w:rPr>
                      <w:rFonts w:hint="eastAsia"/>
                    </w:rPr>
                    <w:t>个</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14</w:t>
                  </w:r>
                </w:p>
              </w:tc>
              <w:tc>
                <w:tcPr>
                  <w:tcW w:w="1991" w:type="dxa"/>
                </w:tcPr>
                <w:p>
                  <w:pPr>
                    <w:jc w:val="center"/>
                  </w:pPr>
                  <w:r>
                    <w:rPr>
                      <w:rFonts w:hint="eastAsia"/>
                    </w:rPr>
                    <w:t>90°钢制弯头</w:t>
                  </w:r>
                </w:p>
              </w:tc>
              <w:tc>
                <w:tcPr>
                  <w:tcW w:w="2704" w:type="dxa"/>
                </w:tcPr>
                <w:p>
                  <w:pPr>
                    <w:jc w:val="center"/>
                  </w:pPr>
                  <w:r>
                    <w:rPr>
                      <w:rFonts w:hint="eastAsia"/>
                    </w:rPr>
                    <w:t>DN50 1.5D Ⅱ系列</w:t>
                  </w:r>
                </w:p>
              </w:tc>
              <w:tc>
                <w:tcPr>
                  <w:tcW w:w="836" w:type="dxa"/>
                </w:tcPr>
                <w:p>
                  <w:pPr>
                    <w:jc w:val="center"/>
                  </w:pPr>
                  <w:r>
                    <w:rPr>
                      <w:rFonts w:hint="eastAsia"/>
                    </w:rPr>
                    <w:t>5</w:t>
                  </w:r>
                </w:p>
              </w:tc>
              <w:tc>
                <w:tcPr>
                  <w:tcW w:w="897" w:type="dxa"/>
                </w:tcPr>
                <w:p>
                  <w:pPr>
                    <w:jc w:val="center"/>
                  </w:pPr>
                  <w:r>
                    <w:rPr>
                      <w:rFonts w:hint="eastAsia"/>
                    </w:rPr>
                    <w:t>个</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3" w:type="dxa"/>
                </w:tcPr>
                <w:p>
                  <w:pPr>
                    <w:jc w:val="center"/>
                  </w:pPr>
                  <w:r>
                    <w:rPr>
                      <w:rFonts w:hint="eastAsia"/>
                    </w:rPr>
                    <w:t>15</w:t>
                  </w:r>
                </w:p>
              </w:tc>
              <w:tc>
                <w:tcPr>
                  <w:tcW w:w="1991" w:type="dxa"/>
                </w:tcPr>
                <w:p>
                  <w:pPr>
                    <w:jc w:val="center"/>
                  </w:pPr>
                  <w:r>
                    <w:rPr>
                      <w:rFonts w:hint="eastAsia"/>
                    </w:rPr>
                    <w:t>电磁阀</w:t>
                  </w:r>
                </w:p>
              </w:tc>
              <w:tc>
                <w:tcPr>
                  <w:tcW w:w="2704" w:type="dxa"/>
                </w:tcPr>
                <w:p>
                  <w:pPr>
                    <w:jc w:val="center"/>
                  </w:pPr>
                  <w:r>
                    <w:rPr>
                      <w:rFonts w:hint="eastAsia"/>
                    </w:rPr>
                    <w:t>DN200 PN1.6</w:t>
                  </w:r>
                </w:p>
              </w:tc>
              <w:tc>
                <w:tcPr>
                  <w:tcW w:w="836" w:type="dxa"/>
                </w:tcPr>
                <w:p>
                  <w:pPr>
                    <w:jc w:val="center"/>
                  </w:pPr>
                  <w:r>
                    <w:rPr>
                      <w:rFonts w:hint="eastAsia"/>
                    </w:rPr>
                    <w:t>1</w:t>
                  </w:r>
                </w:p>
              </w:tc>
              <w:tc>
                <w:tcPr>
                  <w:tcW w:w="897" w:type="dxa"/>
                </w:tcPr>
                <w:p>
                  <w:pPr>
                    <w:jc w:val="center"/>
                  </w:pPr>
                  <w:r>
                    <w:rPr>
                      <w:rFonts w:hint="eastAsia"/>
                    </w:rPr>
                    <w:t>只</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16</w:t>
                  </w:r>
                </w:p>
              </w:tc>
              <w:tc>
                <w:tcPr>
                  <w:tcW w:w="1991" w:type="dxa"/>
                </w:tcPr>
                <w:p>
                  <w:pPr>
                    <w:jc w:val="center"/>
                  </w:pPr>
                  <w:r>
                    <w:rPr>
                      <w:rFonts w:hint="eastAsia"/>
                    </w:rPr>
                    <w:t>法兰球阀</w:t>
                  </w:r>
                </w:p>
              </w:tc>
              <w:tc>
                <w:tcPr>
                  <w:tcW w:w="2704" w:type="dxa"/>
                </w:tcPr>
                <w:p>
                  <w:pPr>
                    <w:jc w:val="center"/>
                  </w:pPr>
                  <w:r>
                    <w:rPr>
                      <w:rFonts w:hint="eastAsia"/>
                    </w:rPr>
                    <w:t>Q347F-16C DN200</w:t>
                  </w:r>
                </w:p>
              </w:tc>
              <w:tc>
                <w:tcPr>
                  <w:tcW w:w="836" w:type="dxa"/>
                </w:tcPr>
                <w:p>
                  <w:pPr>
                    <w:jc w:val="center"/>
                  </w:pPr>
                  <w:r>
                    <w:rPr>
                      <w:rFonts w:hint="eastAsia"/>
                    </w:rPr>
                    <w:t>1</w:t>
                  </w:r>
                </w:p>
              </w:tc>
              <w:tc>
                <w:tcPr>
                  <w:tcW w:w="897" w:type="dxa"/>
                </w:tcPr>
                <w:p>
                  <w:pPr>
                    <w:jc w:val="center"/>
                  </w:pPr>
                  <w:r>
                    <w:rPr>
                      <w:rFonts w:hint="eastAsia"/>
                    </w:rPr>
                    <w:t>只</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17</w:t>
                  </w:r>
                </w:p>
              </w:tc>
              <w:tc>
                <w:tcPr>
                  <w:tcW w:w="1991" w:type="dxa"/>
                </w:tcPr>
                <w:p>
                  <w:pPr>
                    <w:jc w:val="center"/>
                  </w:pPr>
                  <w:r>
                    <w:rPr>
                      <w:rFonts w:hint="eastAsia"/>
                    </w:rPr>
                    <w:t>法兰球阀</w:t>
                  </w:r>
                </w:p>
              </w:tc>
              <w:tc>
                <w:tcPr>
                  <w:tcW w:w="2704" w:type="dxa"/>
                </w:tcPr>
                <w:p>
                  <w:pPr>
                    <w:jc w:val="center"/>
                  </w:pPr>
                  <w:r>
                    <w:rPr>
                      <w:rFonts w:hint="eastAsia"/>
                    </w:rPr>
                    <w:t>Q347F-16C DN150</w:t>
                  </w:r>
                </w:p>
              </w:tc>
              <w:tc>
                <w:tcPr>
                  <w:tcW w:w="836" w:type="dxa"/>
                </w:tcPr>
                <w:p>
                  <w:pPr>
                    <w:jc w:val="center"/>
                  </w:pPr>
                  <w:r>
                    <w:rPr>
                      <w:rFonts w:hint="eastAsia"/>
                    </w:rPr>
                    <w:t>2</w:t>
                  </w:r>
                </w:p>
              </w:tc>
              <w:tc>
                <w:tcPr>
                  <w:tcW w:w="897" w:type="dxa"/>
                </w:tcPr>
                <w:p>
                  <w:pPr>
                    <w:jc w:val="center"/>
                  </w:pPr>
                  <w:r>
                    <w:rPr>
                      <w:rFonts w:hint="eastAsia"/>
                    </w:rPr>
                    <w:t>只</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18</w:t>
                  </w:r>
                </w:p>
              </w:tc>
              <w:tc>
                <w:tcPr>
                  <w:tcW w:w="1991" w:type="dxa"/>
                </w:tcPr>
                <w:p>
                  <w:pPr>
                    <w:jc w:val="center"/>
                  </w:pPr>
                  <w:r>
                    <w:rPr>
                      <w:rFonts w:hint="eastAsia"/>
                    </w:rPr>
                    <w:t>法兰球阀</w:t>
                  </w:r>
                </w:p>
              </w:tc>
              <w:tc>
                <w:tcPr>
                  <w:tcW w:w="2704" w:type="dxa"/>
                </w:tcPr>
                <w:p>
                  <w:pPr>
                    <w:jc w:val="center"/>
                  </w:pPr>
                  <w:r>
                    <w:rPr>
                      <w:rFonts w:hint="eastAsia"/>
                    </w:rPr>
                    <w:t>Q47F-16C DN50</w:t>
                  </w:r>
                </w:p>
              </w:tc>
              <w:tc>
                <w:tcPr>
                  <w:tcW w:w="836" w:type="dxa"/>
                </w:tcPr>
                <w:p>
                  <w:pPr>
                    <w:jc w:val="center"/>
                  </w:pPr>
                  <w:r>
                    <w:rPr>
                      <w:rFonts w:hint="eastAsia"/>
                    </w:rPr>
                    <w:t>2</w:t>
                  </w:r>
                </w:p>
              </w:tc>
              <w:tc>
                <w:tcPr>
                  <w:tcW w:w="897" w:type="dxa"/>
                </w:tcPr>
                <w:p>
                  <w:pPr>
                    <w:jc w:val="center"/>
                  </w:pPr>
                  <w:r>
                    <w:rPr>
                      <w:rFonts w:hint="eastAsia"/>
                    </w:rPr>
                    <w:t>只</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3" w:type="dxa"/>
                  <w:vAlign w:val="center"/>
                </w:tcPr>
                <w:p>
                  <w:pPr>
                    <w:jc w:val="center"/>
                  </w:pPr>
                  <w:r>
                    <w:rPr>
                      <w:rFonts w:hint="eastAsia"/>
                    </w:rPr>
                    <w:t>19</w:t>
                  </w:r>
                </w:p>
              </w:tc>
              <w:tc>
                <w:tcPr>
                  <w:tcW w:w="1991" w:type="dxa"/>
                </w:tcPr>
                <w:p>
                  <w:pPr>
                    <w:jc w:val="center"/>
                  </w:pPr>
                  <w:r>
                    <w:rPr>
                      <w:rFonts w:hint="eastAsia"/>
                    </w:rPr>
                    <w:t>螺纹球阀</w:t>
                  </w:r>
                </w:p>
              </w:tc>
              <w:tc>
                <w:tcPr>
                  <w:tcW w:w="2704" w:type="dxa"/>
                </w:tcPr>
                <w:p>
                  <w:pPr>
                    <w:jc w:val="center"/>
                  </w:pPr>
                  <w:r>
                    <w:rPr>
                      <w:rFonts w:hint="eastAsia"/>
                    </w:rPr>
                    <w:t>Q11F-16T DN15</w:t>
                  </w:r>
                </w:p>
              </w:tc>
              <w:tc>
                <w:tcPr>
                  <w:tcW w:w="836" w:type="dxa"/>
                </w:tcPr>
                <w:p>
                  <w:pPr>
                    <w:jc w:val="center"/>
                  </w:pPr>
                  <w:r>
                    <w:rPr>
                      <w:rFonts w:hint="eastAsia"/>
                    </w:rPr>
                    <w:t>2</w:t>
                  </w:r>
                </w:p>
              </w:tc>
              <w:tc>
                <w:tcPr>
                  <w:tcW w:w="897" w:type="dxa"/>
                </w:tcPr>
                <w:p>
                  <w:pPr>
                    <w:jc w:val="center"/>
                  </w:pPr>
                  <w:r>
                    <w:rPr>
                      <w:rFonts w:hint="eastAsia"/>
                    </w:rPr>
                    <w:t>只</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Align w:val="center"/>
                </w:tcPr>
                <w:p>
                  <w:pPr>
                    <w:jc w:val="center"/>
                  </w:pPr>
                  <w:r>
                    <w:rPr>
                      <w:rFonts w:hint="eastAsia"/>
                    </w:rPr>
                    <w:t>20</w:t>
                  </w:r>
                </w:p>
              </w:tc>
              <w:tc>
                <w:tcPr>
                  <w:tcW w:w="1991" w:type="dxa"/>
                  <w:vAlign w:val="center"/>
                </w:tcPr>
                <w:p>
                  <w:pPr>
                    <w:jc w:val="center"/>
                  </w:pPr>
                  <w:r>
                    <w:rPr>
                      <w:rFonts w:hint="eastAsia"/>
                    </w:rPr>
                    <w:t>调压柜</w:t>
                  </w:r>
                </w:p>
              </w:tc>
              <w:tc>
                <w:tcPr>
                  <w:tcW w:w="2704" w:type="dxa"/>
                </w:tcPr>
                <w:p>
                  <w:pPr>
                    <w:jc w:val="center"/>
                  </w:pPr>
                  <w:r>
                    <w:rPr>
                      <w:rFonts w:hint="eastAsia"/>
                    </w:rPr>
                    <w:t>RX2000/0.4C-M</w:t>
                  </w:r>
                </w:p>
                <w:p>
                  <w:pPr>
                    <w:jc w:val="center"/>
                  </w:pPr>
                  <w:r>
                    <w:rPr>
                      <w:rFonts w:hint="eastAsia"/>
                    </w:rPr>
                    <w:t>进口压力：0.1-0.4MPa</w:t>
                  </w:r>
                </w:p>
                <w:p>
                  <w:pPr>
                    <w:jc w:val="center"/>
                  </w:pPr>
                  <w:r>
                    <w:rPr>
                      <w:rFonts w:hint="eastAsia"/>
                    </w:rPr>
                    <w:t>出口压力：70kPa</w:t>
                  </w:r>
                </w:p>
                <w:p>
                  <w:pPr>
                    <w:jc w:val="center"/>
                  </w:pPr>
                  <w:r>
                    <w:rPr>
                      <w:rFonts w:hint="eastAsia"/>
                    </w:rPr>
                    <w:t>进出口管径：DN200/200</w:t>
                  </w:r>
                </w:p>
                <w:p>
                  <w:pPr>
                    <w:jc w:val="center"/>
                  </w:pPr>
                  <w:r>
                    <w:rPr>
                      <w:rFonts w:hint="eastAsia"/>
                    </w:rPr>
                    <w:t>带计量口（调压后）</w:t>
                  </w:r>
                </w:p>
              </w:tc>
              <w:tc>
                <w:tcPr>
                  <w:tcW w:w="836" w:type="dxa"/>
                  <w:vAlign w:val="center"/>
                </w:tcPr>
                <w:p>
                  <w:pPr>
                    <w:jc w:val="center"/>
                  </w:pPr>
                  <w:r>
                    <w:rPr>
                      <w:rFonts w:hint="eastAsia"/>
                    </w:rPr>
                    <w:t>1</w:t>
                  </w:r>
                </w:p>
              </w:tc>
              <w:tc>
                <w:tcPr>
                  <w:tcW w:w="897" w:type="dxa"/>
                  <w:vAlign w:val="center"/>
                </w:tcPr>
                <w:p>
                  <w:pPr>
                    <w:jc w:val="center"/>
                  </w:pPr>
                  <w:r>
                    <w:rPr>
                      <w:rFonts w:hint="eastAsia"/>
                    </w:rPr>
                    <w:t>台</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21</w:t>
                  </w:r>
                </w:p>
              </w:tc>
              <w:tc>
                <w:tcPr>
                  <w:tcW w:w="1991" w:type="dxa"/>
                  <w:vAlign w:val="center"/>
                </w:tcPr>
                <w:p>
                  <w:pPr>
                    <w:jc w:val="center"/>
                  </w:pPr>
                  <w:r>
                    <w:rPr>
                      <w:rFonts w:hint="eastAsia"/>
                    </w:rPr>
                    <w:t>涡轮流量计</w:t>
                  </w:r>
                </w:p>
              </w:tc>
              <w:tc>
                <w:tcPr>
                  <w:tcW w:w="2704" w:type="dxa"/>
                  <w:vAlign w:val="center"/>
                </w:tcPr>
                <w:p>
                  <w:pPr>
                    <w:jc w:val="center"/>
                  </w:pPr>
                  <w:r>
                    <w:rPr>
                      <w:rFonts w:hint="eastAsia"/>
                    </w:rPr>
                    <w:t>DN200-G1000-1.0级</w:t>
                  </w:r>
                </w:p>
              </w:tc>
              <w:tc>
                <w:tcPr>
                  <w:tcW w:w="836" w:type="dxa"/>
                  <w:vAlign w:val="center"/>
                </w:tcPr>
                <w:p>
                  <w:pPr>
                    <w:jc w:val="center"/>
                  </w:pPr>
                  <w:r>
                    <w:rPr>
                      <w:rFonts w:hint="eastAsia"/>
                    </w:rPr>
                    <w:t>2</w:t>
                  </w:r>
                </w:p>
              </w:tc>
              <w:tc>
                <w:tcPr>
                  <w:tcW w:w="897" w:type="dxa"/>
                  <w:vAlign w:val="center"/>
                </w:tcPr>
                <w:p>
                  <w:pPr>
                    <w:jc w:val="center"/>
                  </w:pPr>
                  <w:r>
                    <w:rPr>
                      <w:rFonts w:hint="eastAsia"/>
                    </w:rPr>
                    <w:t>台</w:t>
                  </w:r>
                </w:p>
              </w:tc>
              <w:tc>
                <w:tcPr>
                  <w:tcW w:w="66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22</w:t>
                  </w:r>
                </w:p>
              </w:tc>
              <w:tc>
                <w:tcPr>
                  <w:tcW w:w="1991" w:type="dxa"/>
                </w:tcPr>
                <w:p>
                  <w:pPr>
                    <w:jc w:val="center"/>
                  </w:pPr>
                  <w:r>
                    <w:rPr>
                      <w:rFonts w:hint="eastAsia"/>
                    </w:rPr>
                    <w:t>膜盒式压力表</w:t>
                  </w:r>
                </w:p>
              </w:tc>
              <w:tc>
                <w:tcPr>
                  <w:tcW w:w="2704" w:type="dxa"/>
                </w:tcPr>
                <w:p>
                  <w:pPr>
                    <w:jc w:val="center"/>
                  </w:pPr>
                  <w:r>
                    <w:rPr>
                      <w:rFonts w:hint="eastAsia"/>
                    </w:rPr>
                    <w:t>Y100_0-0.1MPa</w:t>
                  </w:r>
                </w:p>
              </w:tc>
              <w:tc>
                <w:tcPr>
                  <w:tcW w:w="836" w:type="dxa"/>
                </w:tcPr>
                <w:p>
                  <w:pPr>
                    <w:jc w:val="center"/>
                  </w:pPr>
                  <w:r>
                    <w:rPr>
                      <w:rFonts w:hint="eastAsia"/>
                    </w:rPr>
                    <w:t>2</w:t>
                  </w:r>
                </w:p>
              </w:tc>
              <w:tc>
                <w:tcPr>
                  <w:tcW w:w="897" w:type="dxa"/>
                </w:tcPr>
                <w:p>
                  <w:pPr>
                    <w:jc w:val="center"/>
                  </w:pPr>
                  <w:r>
                    <w:rPr>
                      <w:rFonts w:hint="eastAsia"/>
                    </w:rPr>
                    <w:t>只</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3" w:type="dxa"/>
                </w:tcPr>
                <w:p>
                  <w:pPr>
                    <w:jc w:val="center"/>
                  </w:pPr>
                  <w:r>
                    <w:rPr>
                      <w:rFonts w:hint="eastAsia"/>
                    </w:rPr>
                    <w:t>23</w:t>
                  </w:r>
                </w:p>
              </w:tc>
              <w:tc>
                <w:tcPr>
                  <w:tcW w:w="1991" w:type="dxa"/>
                </w:tcPr>
                <w:p>
                  <w:pPr>
                    <w:jc w:val="center"/>
                  </w:pPr>
                  <w:r>
                    <w:rPr>
                      <w:rFonts w:hint="eastAsia"/>
                    </w:rPr>
                    <w:t>金属软管</w:t>
                  </w:r>
                </w:p>
              </w:tc>
              <w:tc>
                <w:tcPr>
                  <w:tcW w:w="2704" w:type="dxa"/>
                </w:tcPr>
                <w:p>
                  <w:pPr>
                    <w:jc w:val="center"/>
                  </w:pPr>
                  <w:r>
                    <w:rPr>
                      <w:rFonts w:hint="eastAsia"/>
                    </w:rPr>
                    <w:t>DN200-PN16-0.5m</w:t>
                  </w:r>
                </w:p>
              </w:tc>
              <w:tc>
                <w:tcPr>
                  <w:tcW w:w="836" w:type="dxa"/>
                </w:tcPr>
                <w:p>
                  <w:pPr>
                    <w:jc w:val="center"/>
                  </w:pPr>
                  <w:r>
                    <w:rPr>
                      <w:rFonts w:hint="eastAsia"/>
                    </w:rPr>
                    <w:t>1</w:t>
                  </w:r>
                </w:p>
              </w:tc>
              <w:tc>
                <w:tcPr>
                  <w:tcW w:w="897" w:type="dxa"/>
                </w:tcPr>
                <w:p>
                  <w:pPr>
                    <w:jc w:val="center"/>
                  </w:pPr>
                  <w:r>
                    <w:rPr>
                      <w:rFonts w:hint="eastAsia"/>
                    </w:rPr>
                    <w:t>根</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tcPr>
                <w:p>
                  <w:pPr>
                    <w:jc w:val="center"/>
                  </w:pPr>
                  <w:r>
                    <w:rPr>
                      <w:rFonts w:hint="eastAsia"/>
                    </w:rPr>
                    <w:t>24</w:t>
                  </w:r>
                </w:p>
              </w:tc>
              <w:tc>
                <w:tcPr>
                  <w:tcW w:w="1991" w:type="dxa"/>
                </w:tcPr>
                <w:p>
                  <w:pPr>
                    <w:jc w:val="center"/>
                  </w:pPr>
                  <w:r>
                    <w:rPr>
                      <w:rFonts w:hint="eastAsia"/>
                    </w:rPr>
                    <w:t>金属软管</w:t>
                  </w:r>
                </w:p>
              </w:tc>
              <w:tc>
                <w:tcPr>
                  <w:tcW w:w="2704" w:type="dxa"/>
                </w:tcPr>
                <w:p>
                  <w:pPr>
                    <w:jc w:val="center"/>
                  </w:pPr>
                  <w:r>
                    <w:rPr>
                      <w:rFonts w:hint="eastAsia"/>
                    </w:rPr>
                    <w:t>DN80-PN16-0.5m</w:t>
                  </w:r>
                </w:p>
              </w:tc>
              <w:tc>
                <w:tcPr>
                  <w:tcW w:w="836" w:type="dxa"/>
                </w:tcPr>
                <w:p>
                  <w:pPr>
                    <w:jc w:val="center"/>
                  </w:pPr>
                  <w:r>
                    <w:rPr>
                      <w:rFonts w:hint="eastAsia"/>
                    </w:rPr>
                    <w:t>2</w:t>
                  </w:r>
                </w:p>
              </w:tc>
              <w:tc>
                <w:tcPr>
                  <w:tcW w:w="897" w:type="dxa"/>
                </w:tcPr>
                <w:p>
                  <w:pPr>
                    <w:jc w:val="center"/>
                  </w:pPr>
                  <w:r>
                    <w:rPr>
                      <w:rFonts w:hint="eastAsia"/>
                    </w:rPr>
                    <w:t>根</w:t>
                  </w:r>
                </w:p>
              </w:tc>
              <w:tc>
                <w:tcPr>
                  <w:tcW w:w="6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Align w:val="center"/>
                </w:tcPr>
                <w:p>
                  <w:pPr>
                    <w:jc w:val="center"/>
                  </w:pPr>
                  <w:r>
                    <w:rPr>
                      <w:rFonts w:hint="eastAsia"/>
                    </w:rPr>
                    <w:t>三</w:t>
                  </w:r>
                </w:p>
              </w:tc>
              <w:tc>
                <w:tcPr>
                  <w:tcW w:w="1991" w:type="dxa"/>
                  <w:vAlign w:val="center"/>
                </w:tcPr>
                <w:p>
                  <w:pPr>
                    <w:jc w:val="center"/>
                  </w:pPr>
                  <w:r>
                    <w:rPr>
                      <w:rFonts w:hint="eastAsia"/>
                    </w:rPr>
                    <w:t>可燃其它报警系统</w:t>
                  </w:r>
                </w:p>
              </w:tc>
              <w:tc>
                <w:tcPr>
                  <w:tcW w:w="2704" w:type="dxa"/>
                  <w:vAlign w:val="center"/>
                </w:tcPr>
                <w:p>
                  <w:pPr>
                    <w:jc w:val="center"/>
                  </w:pPr>
                </w:p>
              </w:tc>
              <w:tc>
                <w:tcPr>
                  <w:tcW w:w="836" w:type="dxa"/>
                  <w:vAlign w:val="center"/>
                </w:tcPr>
                <w:p>
                  <w:pPr>
                    <w:jc w:val="center"/>
                  </w:pPr>
                </w:p>
              </w:tc>
              <w:tc>
                <w:tcPr>
                  <w:tcW w:w="897" w:type="dxa"/>
                  <w:vAlign w:val="center"/>
                </w:tcPr>
                <w:p>
                  <w:pPr>
                    <w:jc w:val="center"/>
                  </w:pPr>
                </w:p>
              </w:tc>
              <w:tc>
                <w:tcPr>
                  <w:tcW w:w="66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Align w:val="center"/>
                </w:tcPr>
                <w:p>
                  <w:pPr>
                    <w:jc w:val="center"/>
                  </w:pPr>
                  <w:r>
                    <w:rPr>
                      <w:rFonts w:hint="eastAsia"/>
                    </w:rPr>
                    <w:t>1</w:t>
                  </w:r>
                </w:p>
              </w:tc>
              <w:tc>
                <w:tcPr>
                  <w:tcW w:w="1991" w:type="dxa"/>
                  <w:vAlign w:val="center"/>
                </w:tcPr>
                <w:p>
                  <w:pPr>
                    <w:jc w:val="center"/>
                  </w:pPr>
                  <w:r>
                    <w:rPr>
                      <w:rFonts w:hint="eastAsia"/>
                    </w:rPr>
                    <w:t>报警控制器</w:t>
                  </w:r>
                </w:p>
              </w:tc>
              <w:tc>
                <w:tcPr>
                  <w:tcW w:w="2704" w:type="dxa"/>
                  <w:vAlign w:val="center"/>
                </w:tcPr>
                <w:p>
                  <w:pPr>
                    <w:jc w:val="center"/>
                  </w:pPr>
                </w:p>
              </w:tc>
              <w:tc>
                <w:tcPr>
                  <w:tcW w:w="836" w:type="dxa"/>
                  <w:vAlign w:val="center"/>
                </w:tcPr>
                <w:p>
                  <w:pPr>
                    <w:jc w:val="center"/>
                  </w:pPr>
                  <w:r>
                    <w:rPr>
                      <w:rFonts w:hint="eastAsia"/>
                    </w:rPr>
                    <w:t>1</w:t>
                  </w:r>
                </w:p>
              </w:tc>
              <w:tc>
                <w:tcPr>
                  <w:tcW w:w="897" w:type="dxa"/>
                  <w:vAlign w:val="center"/>
                </w:tcPr>
                <w:p>
                  <w:pPr>
                    <w:jc w:val="center"/>
                  </w:pPr>
                  <w:r>
                    <w:rPr>
                      <w:rFonts w:hint="eastAsia"/>
                    </w:rPr>
                    <w:t>台</w:t>
                  </w:r>
                </w:p>
              </w:tc>
              <w:tc>
                <w:tcPr>
                  <w:tcW w:w="66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3" w:type="dxa"/>
                  <w:vAlign w:val="center"/>
                </w:tcPr>
                <w:p>
                  <w:pPr>
                    <w:jc w:val="center"/>
                  </w:pPr>
                  <w:r>
                    <w:rPr>
                      <w:rFonts w:hint="eastAsia"/>
                    </w:rPr>
                    <w:t>2</w:t>
                  </w:r>
                </w:p>
              </w:tc>
              <w:tc>
                <w:tcPr>
                  <w:tcW w:w="1991" w:type="dxa"/>
                  <w:vAlign w:val="center"/>
                </w:tcPr>
                <w:p>
                  <w:pPr>
                    <w:jc w:val="center"/>
                  </w:pPr>
                  <w:r>
                    <w:rPr>
                      <w:rFonts w:hint="eastAsia"/>
                    </w:rPr>
                    <w:t>电磁阀联动控制箱</w:t>
                  </w:r>
                </w:p>
              </w:tc>
              <w:tc>
                <w:tcPr>
                  <w:tcW w:w="2704" w:type="dxa"/>
                  <w:vAlign w:val="center"/>
                </w:tcPr>
                <w:p>
                  <w:pPr>
                    <w:jc w:val="center"/>
                  </w:pPr>
                </w:p>
              </w:tc>
              <w:tc>
                <w:tcPr>
                  <w:tcW w:w="836" w:type="dxa"/>
                  <w:vAlign w:val="center"/>
                </w:tcPr>
                <w:p>
                  <w:pPr>
                    <w:jc w:val="center"/>
                  </w:pPr>
                  <w:r>
                    <w:rPr>
                      <w:rFonts w:hint="eastAsia"/>
                    </w:rPr>
                    <w:t>1</w:t>
                  </w:r>
                </w:p>
              </w:tc>
              <w:tc>
                <w:tcPr>
                  <w:tcW w:w="897" w:type="dxa"/>
                  <w:vAlign w:val="center"/>
                </w:tcPr>
                <w:p>
                  <w:pPr>
                    <w:jc w:val="center"/>
                  </w:pPr>
                  <w:r>
                    <w:rPr>
                      <w:rFonts w:hint="eastAsia"/>
                    </w:rPr>
                    <w:t>台</w:t>
                  </w:r>
                </w:p>
              </w:tc>
              <w:tc>
                <w:tcPr>
                  <w:tcW w:w="66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Align w:val="center"/>
                </w:tcPr>
                <w:p>
                  <w:pPr>
                    <w:jc w:val="center"/>
                  </w:pPr>
                  <w:r>
                    <w:rPr>
                      <w:rFonts w:hint="eastAsia"/>
                    </w:rPr>
                    <w:t>3</w:t>
                  </w:r>
                </w:p>
              </w:tc>
              <w:tc>
                <w:tcPr>
                  <w:tcW w:w="1991" w:type="dxa"/>
                  <w:vAlign w:val="center"/>
                </w:tcPr>
                <w:p>
                  <w:pPr>
                    <w:jc w:val="center"/>
                  </w:pPr>
                  <w:r>
                    <w:rPr>
                      <w:rFonts w:hint="eastAsia"/>
                    </w:rPr>
                    <w:t>可燃气体探测器</w:t>
                  </w:r>
                </w:p>
              </w:tc>
              <w:tc>
                <w:tcPr>
                  <w:tcW w:w="2704" w:type="dxa"/>
                  <w:vAlign w:val="center"/>
                </w:tcPr>
                <w:p>
                  <w:pPr>
                    <w:jc w:val="center"/>
                  </w:pPr>
                </w:p>
              </w:tc>
              <w:tc>
                <w:tcPr>
                  <w:tcW w:w="836" w:type="dxa"/>
                  <w:vAlign w:val="center"/>
                </w:tcPr>
                <w:p>
                  <w:pPr>
                    <w:jc w:val="center"/>
                  </w:pPr>
                  <w:r>
                    <w:rPr>
                      <w:rFonts w:hint="eastAsia"/>
                    </w:rPr>
                    <w:t>4</w:t>
                  </w:r>
                </w:p>
              </w:tc>
              <w:tc>
                <w:tcPr>
                  <w:tcW w:w="897" w:type="dxa"/>
                  <w:vAlign w:val="center"/>
                </w:tcPr>
                <w:p>
                  <w:pPr>
                    <w:jc w:val="center"/>
                  </w:pPr>
                  <w:r>
                    <w:rPr>
                      <w:rFonts w:hint="eastAsia"/>
                    </w:rPr>
                    <w:t>台</w:t>
                  </w:r>
                </w:p>
              </w:tc>
              <w:tc>
                <w:tcPr>
                  <w:tcW w:w="66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Align w:val="center"/>
                </w:tcPr>
                <w:p>
                  <w:pPr>
                    <w:jc w:val="center"/>
                  </w:pPr>
                  <w:r>
                    <w:rPr>
                      <w:rFonts w:hint="eastAsia"/>
                    </w:rPr>
                    <w:t>四</w:t>
                  </w:r>
                </w:p>
              </w:tc>
              <w:tc>
                <w:tcPr>
                  <w:tcW w:w="1991" w:type="dxa"/>
                  <w:vAlign w:val="center"/>
                </w:tcPr>
                <w:p>
                  <w:pPr>
                    <w:spacing w:line="320" w:lineRule="exact"/>
                    <w:jc w:val="center"/>
                  </w:pPr>
                  <w:r>
                    <w:rPr>
                      <w:rFonts w:hint="eastAsia"/>
                    </w:rPr>
                    <w:t>天然气燃烧器</w:t>
                  </w:r>
                </w:p>
                <w:p>
                  <w:pPr>
                    <w:spacing w:line="320" w:lineRule="exact"/>
                    <w:jc w:val="center"/>
                  </w:pPr>
                  <w:r>
                    <w:rPr>
                      <w:rFonts w:hint="eastAsia"/>
                    </w:rPr>
                    <w:t>及控制系统</w:t>
                  </w:r>
                </w:p>
              </w:tc>
              <w:tc>
                <w:tcPr>
                  <w:tcW w:w="2704" w:type="dxa"/>
                  <w:vAlign w:val="center"/>
                </w:tcPr>
                <w:p>
                  <w:pPr>
                    <w:jc w:val="center"/>
                  </w:pPr>
                </w:p>
              </w:tc>
              <w:tc>
                <w:tcPr>
                  <w:tcW w:w="836" w:type="dxa"/>
                  <w:vAlign w:val="center"/>
                </w:tcPr>
                <w:p>
                  <w:pPr>
                    <w:jc w:val="center"/>
                  </w:pPr>
                </w:p>
              </w:tc>
              <w:tc>
                <w:tcPr>
                  <w:tcW w:w="897" w:type="dxa"/>
                  <w:vAlign w:val="center"/>
                </w:tcPr>
                <w:p>
                  <w:pPr>
                    <w:jc w:val="center"/>
                  </w:pPr>
                </w:p>
              </w:tc>
              <w:tc>
                <w:tcPr>
                  <w:tcW w:w="66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Align w:val="center"/>
                </w:tcPr>
                <w:p>
                  <w:pPr>
                    <w:jc w:val="center"/>
                  </w:pPr>
                  <w:r>
                    <w:rPr>
                      <w:rFonts w:hint="eastAsia"/>
                    </w:rPr>
                    <w:t>1</w:t>
                  </w:r>
                </w:p>
              </w:tc>
              <w:tc>
                <w:tcPr>
                  <w:tcW w:w="1991" w:type="dxa"/>
                  <w:vAlign w:val="center"/>
                </w:tcPr>
                <w:p>
                  <w:pPr>
                    <w:spacing w:line="320" w:lineRule="exact"/>
                    <w:jc w:val="center"/>
                  </w:pPr>
                  <w:r>
                    <w:rPr>
                      <w:rFonts w:hint="eastAsia"/>
                    </w:rPr>
                    <w:t>天然气燃烧器</w:t>
                  </w:r>
                </w:p>
                <w:p>
                  <w:pPr>
                    <w:spacing w:line="320" w:lineRule="exact"/>
                    <w:jc w:val="center"/>
                  </w:pPr>
                  <w:r>
                    <w:rPr>
                      <w:rFonts w:hint="eastAsia"/>
                    </w:rPr>
                    <w:t>及控制系统</w:t>
                  </w:r>
                </w:p>
              </w:tc>
              <w:tc>
                <w:tcPr>
                  <w:tcW w:w="2704" w:type="dxa"/>
                  <w:vAlign w:val="center"/>
                </w:tcPr>
                <w:p>
                  <w:pPr>
                    <w:jc w:val="center"/>
                  </w:pPr>
                  <w:r>
                    <w:rPr>
                      <w:rFonts w:hint="eastAsia"/>
                    </w:rPr>
                    <w:t>RS610/M</w:t>
                  </w:r>
                </w:p>
              </w:tc>
              <w:tc>
                <w:tcPr>
                  <w:tcW w:w="836" w:type="dxa"/>
                  <w:vAlign w:val="center"/>
                </w:tcPr>
                <w:p>
                  <w:pPr>
                    <w:jc w:val="center"/>
                  </w:pPr>
                  <w:r>
                    <w:rPr>
                      <w:rFonts w:hint="eastAsia"/>
                    </w:rPr>
                    <w:t>1</w:t>
                  </w:r>
                </w:p>
              </w:tc>
              <w:tc>
                <w:tcPr>
                  <w:tcW w:w="897" w:type="dxa"/>
                  <w:vAlign w:val="center"/>
                </w:tcPr>
                <w:p>
                  <w:pPr>
                    <w:jc w:val="center"/>
                  </w:pPr>
                  <w:r>
                    <w:rPr>
                      <w:rFonts w:hint="eastAsia"/>
                    </w:rPr>
                    <w:t>套</w:t>
                  </w:r>
                </w:p>
              </w:tc>
              <w:tc>
                <w:tcPr>
                  <w:tcW w:w="662" w:type="dxa"/>
                </w:tcPr>
                <w:p>
                  <w:pPr>
                    <w:jc w:val="center"/>
                  </w:pPr>
                </w:p>
              </w:tc>
            </w:tr>
          </w:tbl>
          <w:p>
            <w:pPr>
              <w:pStyle w:val="46"/>
              <w:spacing w:line="360" w:lineRule="auto"/>
              <w:ind w:firstLine="420"/>
              <w:jc w:val="center"/>
              <w:rPr>
                <w:szCs w:val="28"/>
              </w:rPr>
            </w:pPr>
          </w:p>
          <w:p>
            <w:pPr>
              <w:pStyle w:val="46"/>
              <w:spacing w:line="360" w:lineRule="auto"/>
              <w:ind w:firstLine="482"/>
              <w:jc w:val="both"/>
              <w:rPr>
                <w:rFonts w:cs="Times New Roman"/>
                <w:b/>
                <w:bCs/>
                <w:sz w:val="24"/>
              </w:rPr>
            </w:pPr>
            <w:r>
              <w:rPr>
                <w:rFonts w:cs="Times New Roman"/>
                <w:b/>
                <w:bCs/>
                <w:sz w:val="24"/>
              </w:rPr>
              <w:t>6</w:t>
            </w:r>
            <w:r>
              <w:rPr>
                <w:rFonts w:hint="eastAsia" w:cs="Times New Roman"/>
                <w:b/>
                <w:bCs/>
                <w:sz w:val="24"/>
              </w:rPr>
              <w:t>、平面布置</w:t>
            </w:r>
          </w:p>
          <w:p>
            <w:pPr>
              <w:pStyle w:val="46"/>
              <w:spacing w:line="360" w:lineRule="auto"/>
              <w:jc w:val="both"/>
              <w:rPr>
                <w:sz w:val="24"/>
              </w:rPr>
            </w:pPr>
            <w:r>
              <w:rPr>
                <w:rFonts w:hint="eastAsia"/>
                <w:sz w:val="24"/>
              </w:rPr>
              <w:t>项目位于云南磷化集团有限公司热风炉装置处。本项目无新增占地面积，天然气由厂区南侧倚阳路已建成市政中压燃气管道引入，并铺设完善天然气管网，通过天然气燃烧器及控制系统，通过原有热风炉对空气进行增温。厂区平面布置图详见附图2。</w:t>
            </w:r>
          </w:p>
          <w:p>
            <w:pPr>
              <w:pStyle w:val="46"/>
              <w:spacing w:line="360" w:lineRule="auto"/>
              <w:jc w:val="both"/>
              <w:rPr>
                <w:rFonts w:cs="Times New Roman"/>
                <w:sz w:val="24"/>
              </w:rPr>
            </w:pPr>
            <w:r>
              <w:rPr>
                <w:rFonts w:hint="eastAsia" w:cs="Times New Roman"/>
                <w:sz w:val="24"/>
              </w:rPr>
              <w:t>项目区厂界周边最近的敏感目标为栗园新村，位于厂界东侧</w:t>
            </w:r>
            <w:r>
              <w:rPr>
                <w:rFonts w:cs="Times New Roman"/>
                <w:sz w:val="24"/>
              </w:rPr>
              <w:t>87</w:t>
            </w:r>
            <w:r>
              <w:rPr>
                <w:rFonts w:hint="eastAsia" w:cs="Times New Roman"/>
                <w:sz w:val="24"/>
              </w:rPr>
              <w:t>0m，项目地常年主导为西南风，位于项目测风向。项目与周边敏感点关系详见附图</w:t>
            </w:r>
            <w:r>
              <w:rPr>
                <w:rFonts w:cs="Times New Roman"/>
                <w:sz w:val="24"/>
              </w:rPr>
              <w:t>1</w:t>
            </w:r>
            <w:r>
              <w:rPr>
                <w:rFonts w:hint="eastAsia" w:cs="Times New Roman"/>
                <w:sz w:val="24"/>
              </w:rPr>
              <w:t>。</w:t>
            </w:r>
          </w:p>
          <w:p>
            <w:pPr>
              <w:pStyle w:val="46"/>
              <w:spacing w:line="360" w:lineRule="auto"/>
              <w:ind w:firstLine="482"/>
              <w:jc w:val="both"/>
              <w:rPr>
                <w:rFonts w:cs="Times New Roman"/>
                <w:b/>
                <w:bCs/>
                <w:sz w:val="24"/>
              </w:rPr>
            </w:pPr>
            <w:r>
              <w:rPr>
                <w:rFonts w:cs="Times New Roman"/>
                <w:b/>
                <w:bCs/>
                <w:sz w:val="24"/>
              </w:rPr>
              <w:t>7</w:t>
            </w:r>
            <w:r>
              <w:rPr>
                <w:rFonts w:hint="eastAsia" w:cs="Times New Roman"/>
                <w:b/>
                <w:bCs/>
                <w:sz w:val="24"/>
              </w:rPr>
              <w:t>、劳动定员及工作制度</w:t>
            </w:r>
          </w:p>
          <w:p>
            <w:pPr>
              <w:pStyle w:val="75"/>
              <w:snapToGrid w:val="0"/>
              <w:spacing w:line="360" w:lineRule="auto"/>
              <w:ind w:firstLine="480" w:firstLineChars="200"/>
              <w:rPr>
                <w:rFonts w:ascii="Times New Roman" w:hAnsi="Times New Roman"/>
                <w:b/>
                <w:bCs/>
                <w:sz w:val="24"/>
                <w:szCs w:val="24"/>
                <w:lang w:val="en-US"/>
              </w:rPr>
            </w:pPr>
            <w:r>
              <w:rPr>
                <w:rFonts w:hint="eastAsia" w:ascii="Times New Roman" w:hAnsi="Times New Roman"/>
                <w:sz w:val="24"/>
                <w:szCs w:val="24"/>
                <w:lang w:val="en-US"/>
              </w:rPr>
              <w:t>生产装置年操作时间按300天计，生产为24小时连续生产，操作工人为三班两运转制，由于本次技改为新增一套天然气燃烧系统，生产人员沿用饲钙装置生产人员，不新增生产定员。</w:t>
            </w:r>
          </w:p>
          <w:p>
            <w:pPr>
              <w:pStyle w:val="46"/>
              <w:spacing w:line="360" w:lineRule="auto"/>
              <w:ind w:firstLine="482"/>
              <w:jc w:val="both"/>
              <w:rPr>
                <w:rFonts w:cs="Times New Roman"/>
                <w:b/>
                <w:bCs/>
                <w:sz w:val="24"/>
              </w:rPr>
            </w:pPr>
            <w:r>
              <w:rPr>
                <w:rFonts w:cs="Times New Roman"/>
                <w:b/>
                <w:bCs/>
                <w:sz w:val="24"/>
              </w:rPr>
              <w:t>8</w:t>
            </w:r>
            <w:r>
              <w:rPr>
                <w:rFonts w:hint="eastAsia" w:cs="Times New Roman"/>
                <w:b/>
                <w:bCs/>
                <w:sz w:val="24"/>
              </w:rPr>
              <w:t>、环保投资</w:t>
            </w:r>
          </w:p>
          <w:p>
            <w:pPr>
              <w:adjustRightInd w:val="0"/>
              <w:snapToGrid w:val="0"/>
              <w:spacing w:line="360" w:lineRule="auto"/>
              <w:ind w:firstLine="480" w:firstLineChars="200"/>
              <w:rPr>
                <w:bCs/>
                <w:sz w:val="24"/>
              </w:rPr>
            </w:pPr>
            <w:r>
              <w:rPr>
                <w:rFonts w:hint="eastAsia"/>
                <w:bCs/>
                <w:sz w:val="24"/>
              </w:rPr>
              <w:t>本项目为热风炉燃烧技改，使热风炉具备燃烧天然气的能力。技改完成后运营期环保设施依托原有措施，因此本次环保投资主要考虑施工期环保措施的投资。</w:t>
            </w:r>
          </w:p>
          <w:p>
            <w:pPr>
              <w:adjustRightInd w:val="0"/>
              <w:snapToGrid w:val="0"/>
              <w:spacing w:line="360" w:lineRule="auto"/>
              <w:ind w:firstLine="480" w:firstLineChars="200"/>
              <w:rPr>
                <w:rFonts w:cs="宋体"/>
                <w:bCs/>
                <w:sz w:val="24"/>
              </w:rPr>
            </w:pPr>
            <w:r>
              <w:rPr>
                <w:bCs/>
                <w:sz w:val="24"/>
              </w:rPr>
              <w:t>项目总投资</w:t>
            </w:r>
            <w:r>
              <w:rPr>
                <w:rFonts w:cs="宋体"/>
                <w:bCs/>
                <w:sz w:val="24"/>
              </w:rPr>
              <w:t>163.48</w:t>
            </w:r>
            <w:r>
              <w:rPr>
                <w:bCs/>
                <w:sz w:val="24"/>
              </w:rPr>
              <w:t>万元，其中环保投资</w:t>
            </w:r>
            <w:r>
              <w:rPr>
                <w:rFonts w:hint="eastAsia"/>
                <w:bCs/>
                <w:sz w:val="24"/>
              </w:rPr>
              <w:t>5.7</w:t>
            </w:r>
            <w:r>
              <w:rPr>
                <w:bCs/>
                <w:sz w:val="24"/>
              </w:rPr>
              <w:t>万元，占总投资的3.</w:t>
            </w:r>
            <w:r>
              <w:rPr>
                <w:rFonts w:hint="eastAsia"/>
                <w:bCs/>
                <w:sz w:val="24"/>
              </w:rPr>
              <w:t>48</w:t>
            </w:r>
            <w:r>
              <w:rPr>
                <w:bCs/>
                <w:sz w:val="24"/>
              </w:rPr>
              <w:t>%。环保投资明细详见下表。</w:t>
            </w:r>
          </w:p>
          <w:p>
            <w:pPr>
              <w:adjustRightInd w:val="0"/>
              <w:spacing w:line="360" w:lineRule="auto"/>
              <w:ind w:firstLine="422" w:firstLineChars="200"/>
              <w:jc w:val="center"/>
              <w:outlineLvl w:val="0"/>
              <w:rPr>
                <w:b/>
              </w:rPr>
            </w:pPr>
            <w:bookmarkStart w:id="12" w:name="_Toc117775772"/>
            <w:r>
              <w:rPr>
                <w:b/>
              </w:rPr>
              <w:t>表2-8  项目环保投资一览表    单位：万元</w:t>
            </w:r>
            <w:bookmarkEnd w:id="12"/>
          </w:p>
          <w:tbl>
            <w:tblPr>
              <w:tblStyle w:val="22"/>
              <w:tblW w:w="77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3"/>
              <w:gridCol w:w="1373"/>
              <w:gridCol w:w="4622"/>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603" w:type="dxa"/>
                  <w:tcMar>
                    <w:top w:w="10" w:type="dxa"/>
                    <w:left w:w="10" w:type="dxa"/>
                    <w:bottom w:w="0" w:type="dxa"/>
                    <w:right w:w="10" w:type="dxa"/>
                  </w:tcMar>
                  <w:vAlign w:val="center"/>
                </w:tcPr>
                <w:p>
                  <w:pPr>
                    <w:widowControl/>
                    <w:jc w:val="center"/>
                    <w:textAlignment w:val="center"/>
                    <w:rPr>
                      <w:b/>
                      <w:szCs w:val="21"/>
                    </w:rPr>
                  </w:pPr>
                  <w:r>
                    <w:rPr>
                      <w:b/>
                      <w:kern w:val="0"/>
                      <w:szCs w:val="21"/>
                    </w:rPr>
                    <w:t>污染源</w:t>
                  </w:r>
                </w:p>
              </w:tc>
              <w:tc>
                <w:tcPr>
                  <w:tcW w:w="1373" w:type="dxa"/>
                  <w:tcMar>
                    <w:top w:w="10" w:type="dxa"/>
                    <w:left w:w="10" w:type="dxa"/>
                    <w:bottom w:w="0" w:type="dxa"/>
                    <w:right w:w="10" w:type="dxa"/>
                  </w:tcMar>
                  <w:vAlign w:val="center"/>
                </w:tcPr>
                <w:p>
                  <w:pPr>
                    <w:widowControl/>
                    <w:jc w:val="center"/>
                    <w:textAlignment w:val="center"/>
                    <w:rPr>
                      <w:b/>
                      <w:szCs w:val="21"/>
                    </w:rPr>
                  </w:pPr>
                  <w:r>
                    <w:rPr>
                      <w:b/>
                      <w:kern w:val="0"/>
                      <w:szCs w:val="21"/>
                    </w:rPr>
                    <w:t>治理对象</w:t>
                  </w:r>
                </w:p>
              </w:tc>
              <w:tc>
                <w:tcPr>
                  <w:tcW w:w="4622" w:type="dxa"/>
                  <w:tcMar>
                    <w:top w:w="10" w:type="dxa"/>
                    <w:left w:w="10" w:type="dxa"/>
                    <w:bottom w:w="0" w:type="dxa"/>
                    <w:right w:w="10" w:type="dxa"/>
                  </w:tcMar>
                  <w:vAlign w:val="center"/>
                </w:tcPr>
                <w:p>
                  <w:pPr>
                    <w:widowControl/>
                    <w:jc w:val="center"/>
                    <w:textAlignment w:val="center"/>
                    <w:rPr>
                      <w:b/>
                      <w:szCs w:val="21"/>
                    </w:rPr>
                  </w:pPr>
                  <w:r>
                    <w:rPr>
                      <w:b/>
                      <w:kern w:val="0"/>
                      <w:szCs w:val="21"/>
                    </w:rPr>
                    <w:t>治理设施、措施</w:t>
                  </w:r>
                </w:p>
              </w:tc>
              <w:tc>
                <w:tcPr>
                  <w:tcW w:w="1185" w:type="dxa"/>
                  <w:tcMar>
                    <w:top w:w="10" w:type="dxa"/>
                    <w:left w:w="10" w:type="dxa"/>
                    <w:bottom w:w="0" w:type="dxa"/>
                    <w:right w:w="10" w:type="dxa"/>
                  </w:tcMar>
                  <w:vAlign w:val="center"/>
                </w:tcPr>
                <w:p>
                  <w:pPr>
                    <w:widowControl/>
                    <w:jc w:val="center"/>
                    <w:textAlignment w:val="center"/>
                    <w:rPr>
                      <w:b/>
                      <w:szCs w:val="21"/>
                    </w:rPr>
                  </w:pPr>
                  <w:r>
                    <w:rPr>
                      <w:b/>
                      <w:kern w:val="0"/>
                      <w:szCs w:val="21"/>
                    </w:rPr>
                    <w:t>投资（万元）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603" w:type="dxa"/>
                  <w:vMerge w:val="restart"/>
                  <w:tcMar>
                    <w:top w:w="10" w:type="dxa"/>
                    <w:left w:w="10" w:type="dxa"/>
                    <w:bottom w:w="0" w:type="dxa"/>
                    <w:right w:w="10" w:type="dxa"/>
                  </w:tcMar>
                  <w:vAlign w:val="center"/>
                </w:tcPr>
                <w:p>
                  <w:pPr>
                    <w:widowControl/>
                    <w:jc w:val="center"/>
                    <w:textAlignment w:val="center"/>
                    <w:rPr>
                      <w:kern w:val="0"/>
                      <w:szCs w:val="21"/>
                    </w:rPr>
                  </w:pPr>
                  <w:r>
                    <w:rPr>
                      <w:kern w:val="0"/>
                      <w:szCs w:val="21"/>
                    </w:rPr>
                    <w:t>施工期</w:t>
                  </w:r>
                </w:p>
              </w:tc>
              <w:tc>
                <w:tcPr>
                  <w:tcW w:w="1373" w:type="dxa"/>
                  <w:tcMar>
                    <w:top w:w="10" w:type="dxa"/>
                    <w:left w:w="10" w:type="dxa"/>
                    <w:bottom w:w="0" w:type="dxa"/>
                    <w:right w:w="10" w:type="dxa"/>
                  </w:tcMar>
                  <w:vAlign w:val="center"/>
                </w:tcPr>
                <w:p>
                  <w:pPr>
                    <w:widowControl/>
                    <w:jc w:val="center"/>
                    <w:textAlignment w:val="center"/>
                    <w:rPr>
                      <w:kern w:val="0"/>
                      <w:szCs w:val="21"/>
                    </w:rPr>
                  </w:pPr>
                  <w:r>
                    <w:rPr>
                      <w:kern w:val="0"/>
                      <w:szCs w:val="21"/>
                    </w:rPr>
                    <w:t>废气</w:t>
                  </w:r>
                </w:p>
              </w:tc>
              <w:tc>
                <w:tcPr>
                  <w:tcW w:w="4622" w:type="dxa"/>
                  <w:tcMar>
                    <w:top w:w="10" w:type="dxa"/>
                    <w:left w:w="10" w:type="dxa"/>
                    <w:bottom w:w="0" w:type="dxa"/>
                    <w:right w:w="10" w:type="dxa"/>
                  </w:tcMar>
                  <w:vAlign w:val="center"/>
                </w:tcPr>
                <w:p>
                  <w:pPr>
                    <w:widowControl/>
                    <w:jc w:val="center"/>
                    <w:textAlignment w:val="center"/>
                    <w:rPr>
                      <w:kern w:val="0"/>
                      <w:szCs w:val="21"/>
                    </w:rPr>
                  </w:pPr>
                  <w:r>
                    <w:rPr>
                      <w:rFonts w:hint="eastAsia"/>
                      <w:kern w:val="0"/>
                      <w:szCs w:val="21"/>
                    </w:rPr>
                    <w:t>洒水降尘，运输车辆使用篷布遮盖</w:t>
                  </w:r>
                </w:p>
              </w:tc>
              <w:tc>
                <w:tcPr>
                  <w:tcW w:w="1185" w:type="dxa"/>
                  <w:tcMar>
                    <w:top w:w="10" w:type="dxa"/>
                    <w:left w:w="10" w:type="dxa"/>
                    <w:bottom w:w="0" w:type="dxa"/>
                    <w:right w:w="10" w:type="dxa"/>
                  </w:tcMar>
                  <w:vAlign w:val="center"/>
                </w:tcPr>
                <w:p>
                  <w:pPr>
                    <w:widowControl/>
                    <w:jc w:val="center"/>
                    <w:textAlignment w:val="center"/>
                    <w:rPr>
                      <w:szCs w:val="21"/>
                    </w:rPr>
                  </w:pPr>
                  <w:r>
                    <w:rPr>
                      <w:rFonts w:hint="eastAsia"/>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603" w:type="dxa"/>
                  <w:vMerge w:val="continue"/>
                  <w:tcMar>
                    <w:top w:w="10" w:type="dxa"/>
                    <w:left w:w="10" w:type="dxa"/>
                    <w:bottom w:w="0" w:type="dxa"/>
                    <w:right w:w="10" w:type="dxa"/>
                  </w:tcMar>
                  <w:vAlign w:val="center"/>
                </w:tcPr>
                <w:p>
                  <w:pPr>
                    <w:widowControl/>
                    <w:jc w:val="center"/>
                    <w:textAlignment w:val="center"/>
                    <w:rPr>
                      <w:kern w:val="0"/>
                      <w:szCs w:val="21"/>
                    </w:rPr>
                  </w:pPr>
                </w:p>
              </w:tc>
              <w:tc>
                <w:tcPr>
                  <w:tcW w:w="1373" w:type="dxa"/>
                  <w:tcMar>
                    <w:top w:w="10" w:type="dxa"/>
                    <w:left w:w="10" w:type="dxa"/>
                    <w:bottom w:w="0" w:type="dxa"/>
                    <w:right w:w="10" w:type="dxa"/>
                  </w:tcMar>
                  <w:vAlign w:val="center"/>
                </w:tcPr>
                <w:p>
                  <w:pPr>
                    <w:widowControl/>
                    <w:jc w:val="center"/>
                    <w:textAlignment w:val="center"/>
                    <w:rPr>
                      <w:kern w:val="0"/>
                      <w:szCs w:val="21"/>
                    </w:rPr>
                  </w:pPr>
                  <w:r>
                    <w:rPr>
                      <w:kern w:val="0"/>
                      <w:szCs w:val="21"/>
                    </w:rPr>
                    <w:t>噪声</w:t>
                  </w:r>
                </w:p>
              </w:tc>
              <w:tc>
                <w:tcPr>
                  <w:tcW w:w="4622" w:type="dxa"/>
                  <w:tcMar>
                    <w:top w:w="10" w:type="dxa"/>
                    <w:left w:w="10" w:type="dxa"/>
                    <w:bottom w:w="0" w:type="dxa"/>
                    <w:right w:w="10" w:type="dxa"/>
                  </w:tcMar>
                  <w:vAlign w:val="center"/>
                </w:tcPr>
                <w:p>
                  <w:pPr>
                    <w:widowControl/>
                    <w:jc w:val="center"/>
                    <w:textAlignment w:val="center"/>
                    <w:rPr>
                      <w:kern w:val="0"/>
                      <w:szCs w:val="21"/>
                    </w:rPr>
                  </w:pPr>
                  <w:r>
                    <w:rPr>
                      <w:kern w:val="0"/>
                      <w:szCs w:val="21"/>
                    </w:rPr>
                    <w:t>隔声、减振、选用低噪声设备、合理安排施工时间</w:t>
                  </w:r>
                </w:p>
              </w:tc>
              <w:tc>
                <w:tcPr>
                  <w:tcW w:w="1185" w:type="dxa"/>
                  <w:tcMar>
                    <w:top w:w="10" w:type="dxa"/>
                    <w:left w:w="10" w:type="dxa"/>
                    <w:bottom w:w="0" w:type="dxa"/>
                    <w:right w:w="10" w:type="dxa"/>
                  </w:tcMar>
                  <w:vAlign w:val="center"/>
                </w:tcPr>
                <w:p>
                  <w:pPr>
                    <w:widowControl/>
                    <w:jc w:val="center"/>
                    <w:textAlignment w:val="center"/>
                    <w:rPr>
                      <w:szCs w:val="21"/>
                    </w:rPr>
                  </w:pPr>
                  <w:r>
                    <w:rPr>
                      <w:rFonts w:hint="eastAsia"/>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603" w:type="dxa"/>
                  <w:vMerge w:val="continue"/>
                  <w:tcMar>
                    <w:top w:w="10" w:type="dxa"/>
                    <w:left w:w="10" w:type="dxa"/>
                    <w:bottom w:w="0" w:type="dxa"/>
                    <w:right w:w="10" w:type="dxa"/>
                  </w:tcMar>
                  <w:vAlign w:val="center"/>
                </w:tcPr>
                <w:p>
                  <w:pPr>
                    <w:widowControl/>
                    <w:jc w:val="center"/>
                    <w:textAlignment w:val="center"/>
                    <w:rPr>
                      <w:kern w:val="0"/>
                      <w:szCs w:val="21"/>
                    </w:rPr>
                  </w:pPr>
                </w:p>
              </w:tc>
              <w:tc>
                <w:tcPr>
                  <w:tcW w:w="1373" w:type="dxa"/>
                  <w:tcMar>
                    <w:top w:w="10" w:type="dxa"/>
                    <w:left w:w="10" w:type="dxa"/>
                    <w:bottom w:w="0" w:type="dxa"/>
                    <w:right w:w="10" w:type="dxa"/>
                  </w:tcMar>
                  <w:vAlign w:val="center"/>
                </w:tcPr>
                <w:p>
                  <w:pPr>
                    <w:widowControl/>
                    <w:jc w:val="center"/>
                    <w:textAlignment w:val="center"/>
                    <w:rPr>
                      <w:kern w:val="0"/>
                      <w:szCs w:val="21"/>
                    </w:rPr>
                  </w:pPr>
                  <w:r>
                    <w:rPr>
                      <w:kern w:val="0"/>
                      <w:szCs w:val="21"/>
                    </w:rPr>
                    <w:t>固废</w:t>
                  </w:r>
                </w:p>
              </w:tc>
              <w:tc>
                <w:tcPr>
                  <w:tcW w:w="4622" w:type="dxa"/>
                  <w:tcMar>
                    <w:top w:w="10" w:type="dxa"/>
                    <w:left w:w="10" w:type="dxa"/>
                    <w:bottom w:w="0" w:type="dxa"/>
                    <w:right w:w="10" w:type="dxa"/>
                  </w:tcMar>
                  <w:vAlign w:val="center"/>
                </w:tcPr>
                <w:p>
                  <w:pPr>
                    <w:widowControl/>
                    <w:jc w:val="center"/>
                    <w:textAlignment w:val="center"/>
                    <w:rPr>
                      <w:kern w:val="0"/>
                      <w:szCs w:val="21"/>
                    </w:rPr>
                  </w:pPr>
                  <w:r>
                    <w:rPr>
                      <w:kern w:val="0"/>
                      <w:szCs w:val="21"/>
                    </w:rPr>
                    <w:t>建筑垃圾</w:t>
                  </w:r>
                  <w:r>
                    <w:rPr>
                      <w:rFonts w:hint="eastAsia"/>
                      <w:kern w:val="0"/>
                      <w:szCs w:val="21"/>
                    </w:rPr>
                    <w:t>回收利用，</w:t>
                  </w:r>
                  <w:r>
                    <w:rPr>
                      <w:kern w:val="0"/>
                      <w:szCs w:val="21"/>
                    </w:rPr>
                    <w:t>清运至合法消纳场处置</w:t>
                  </w:r>
                </w:p>
              </w:tc>
              <w:tc>
                <w:tcPr>
                  <w:tcW w:w="1185" w:type="dxa"/>
                  <w:tcMar>
                    <w:top w:w="10" w:type="dxa"/>
                    <w:left w:w="10" w:type="dxa"/>
                    <w:bottom w:w="0" w:type="dxa"/>
                    <w:right w:w="10" w:type="dxa"/>
                  </w:tcMar>
                  <w:vAlign w:val="center"/>
                </w:tcPr>
                <w:p>
                  <w:pPr>
                    <w:widowControl/>
                    <w:jc w:val="center"/>
                    <w:textAlignment w:val="center"/>
                    <w:rPr>
                      <w:szCs w:val="21"/>
                    </w:rPr>
                  </w:pPr>
                  <w:r>
                    <w:rPr>
                      <w:rFonts w:hint="eastAsia"/>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6598" w:type="dxa"/>
                  <w:gridSpan w:val="3"/>
                  <w:tcMar>
                    <w:top w:w="10" w:type="dxa"/>
                    <w:left w:w="10" w:type="dxa"/>
                    <w:bottom w:w="0" w:type="dxa"/>
                    <w:right w:w="10" w:type="dxa"/>
                  </w:tcMar>
                  <w:vAlign w:val="center"/>
                </w:tcPr>
                <w:p>
                  <w:pPr>
                    <w:widowControl/>
                    <w:jc w:val="center"/>
                    <w:textAlignment w:val="center"/>
                    <w:rPr>
                      <w:kern w:val="0"/>
                      <w:szCs w:val="21"/>
                    </w:rPr>
                  </w:pPr>
                  <w:r>
                    <w:rPr>
                      <w:b/>
                      <w:kern w:val="0"/>
                      <w:szCs w:val="21"/>
                    </w:rPr>
                    <w:t>合计</w:t>
                  </w:r>
                </w:p>
              </w:tc>
              <w:tc>
                <w:tcPr>
                  <w:tcW w:w="1185" w:type="dxa"/>
                  <w:tcMar>
                    <w:top w:w="10" w:type="dxa"/>
                    <w:left w:w="10" w:type="dxa"/>
                    <w:bottom w:w="0" w:type="dxa"/>
                    <w:right w:w="10" w:type="dxa"/>
                  </w:tcMar>
                  <w:vAlign w:val="center"/>
                </w:tcPr>
                <w:p>
                  <w:pPr>
                    <w:widowControl/>
                    <w:jc w:val="center"/>
                    <w:textAlignment w:val="center"/>
                    <w:rPr>
                      <w:szCs w:val="21"/>
                    </w:rPr>
                  </w:pPr>
                  <w:r>
                    <w:rPr>
                      <w:szCs w:val="21"/>
                    </w:rPr>
                    <w:fldChar w:fldCharType="begin"/>
                  </w:r>
                  <w:r>
                    <w:rPr>
                      <w:szCs w:val="21"/>
                    </w:rPr>
                    <w:instrText xml:space="preserve"> =SUM(ABOVE) </w:instrText>
                  </w:r>
                  <w:r>
                    <w:rPr>
                      <w:szCs w:val="21"/>
                    </w:rPr>
                    <w:fldChar w:fldCharType="separate"/>
                  </w:r>
                  <w:r>
                    <w:rPr>
                      <w:szCs w:val="21"/>
                    </w:rPr>
                    <w:t>5.7</w:t>
                  </w:r>
                  <w:r>
                    <w:rPr>
                      <w:szCs w:val="21"/>
                    </w:rPr>
                    <w:fldChar w:fldCharType="end"/>
                  </w:r>
                </w:p>
              </w:tc>
            </w:tr>
          </w:tbl>
          <w:p>
            <w:pPr>
              <w:pStyle w:val="46"/>
              <w:spacing w:line="360" w:lineRule="auto"/>
              <w:ind w:firstLine="422"/>
              <w:jc w:val="both"/>
              <w:rPr>
                <w:rFonts w:cs="Times New Roman"/>
                <w:b/>
                <w:bCs/>
              </w:rPr>
            </w:pPr>
          </w:p>
          <w:p>
            <w:pPr>
              <w:pStyle w:val="46"/>
              <w:spacing w:line="360" w:lineRule="auto"/>
              <w:ind w:firstLine="422"/>
              <w:jc w:val="both"/>
              <w:rPr>
                <w:rFonts w:cs="Times New Roman"/>
                <w:b/>
                <w:bCs/>
              </w:rPr>
            </w:pPr>
          </w:p>
          <w:p>
            <w:pPr>
              <w:spacing w:line="360" w:lineRule="auto"/>
              <w:ind w:firstLine="422" w:firstLineChars="200"/>
              <w:rPr>
                <w:b/>
                <w:bCs/>
              </w:rPr>
            </w:pPr>
          </w:p>
        </w:tc>
      </w:tr>
    </w:tbl>
    <w:p>
      <w:r>
        <w:br w:type="page"/>
      </w:r>
    </w:p>
    <w:tbl>
      <w:tblPr>
        <w:tblStyle w:val="22"/>
        <w:tblW w:w="882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1"/>
        <w:gridCol w:w="8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31" w:type="dxa"/>
            <w:vAlign w:val="center"/>
          </w:tcPr>
          <w:p>
            <w:pPr>
              <w:pStyle w:val="18"/>
              <w:adjustRightInd w:val="0"/>
              <w:snapToGrid w:val="0"/>
              <w:spacing w:before="0" w:beforeAutospacing="0" w:after="0" w:afterAutospacing="0"/>
              <w:jc w:val="center"/>
              <w:rPr>
                <w:rFonts w:ascii="Times New Roman" w:hAnsi="Times New Roman" w:cs="宋体"/>
                <w:sz w:val="21"/>
                <w:szCs w:val="21"/>
              </w:rPr>
            </w:pPr>
            <w:r>
              <w:rPr>
                <w:rFonts w:hint="eastAsia" w:ascii="Times New Roman" w:hAnsi="Times New Roman" w:cs="宋体"/>
                <w:sz w:val="21"/>
                <w:szCs w:val="21"/>
              </w:rPr>
              <w:t>工艺流程和产排污环节</w:t>
            </w:r>
          </w:p>
        </w:tc>
        <w:tc>
          <w:tcPr>
            <w:tcW w:w="8393" w:type="dxa"/>
          </w:tcPr>
          <w:p>
            <w:pPr>
              <w:pStyle w:val="46"/>
              <w:spacing w:line="360" w:lineRule="auto"/>
              <w:ind w:firstLine="482"/>
              <w:jc w:val="both"/>
              <w:rPr>
                <w:rFonts w:cs="Times New Roman"/>
                <w:b/>
                <w:bCs/>
                <w:sz w:val="24"/>
              </w:rPr>
            </w:pPr>
            <w:r>
              <w:rPr>
                <w:rFonts w:hint="eastAsia" w:cs="Times New Roman"/>
                <w:b/>
                <w:bCs/>
                <w:sz w:val="24"/>
              </w:rPr>
              <w:t>一、施工期</w:t>
            </w:r>
          </w:p>
          <w:p>
            <w:pPr>
              <w:spacing w:line="360" w:lineRule="auto"/>
              <w:ind w:firstLine="470" w:firstLineChars="196"/>
              <w:rPr>
                <w:sz w:val="24"/>
              </w:rPr>
            </w:pPr>
            <w:r>
              <w:rPr>
                <w:rFonts w:hint="eastAsia"/>
                <w:sz w:val="24"/>
              </w:rPr>
              <w:t>本项目为技改项目，项目位于磷化工事业部原有1</w:t>
            </w:r>
            <w:r>
              <w:rPr>
                <w:sz w:val="24"/>
              </w:rPr>
              <w:t>5</w:t>
            </w:r>
            <w:r>
              <w:rPr>
                <w:rFonts w:hint="eastAsia"/>
                <w:sz w:val="24"/>
              </w:rPr>
              <w:t>万吨饲钙装置区热风炉位置。本次项目无需进行设备等拆除工作，仅对现有热风炉顶部增设一套天然气燃烧器及控制系统，并配置天然气管道。根据建设单位提供资料，计划施工期为5个月。本次项目施工期主要进行天然气管网铺设、设备安装等，无新增占地面积，土建工程较少。主要污染物包括扬尘、废水、噪声和固体废弃物。施工期工艺流程及产污情况见图 2-1。</w:t>
            </w:r>
          </w:p>
          <w:p>
            <w:pPr>
              <w:pStyle w:val="76"/>
              <w:spacing w:before="0" w:beforeAutospacing="0" w:after="0"/>
              <w:ind w:left="0" w:leftChars="0" w:firstLine="0" w:firstLineChars="0"/>
              <w:jc w:val="center"/>
              <w:rPr>
                <w:rFonts w:eastAsia="宋体" w:cs="Times New Roman"/>
                <w:b/>
                <w:bCs/>
                <w:sz w:val="18"/>
                <w:szCs w:val="18"/>
              </w:rPr>
            </w:pPr>
            <w:r>
              <w:rPr>
                <w:rFonts w:eastAsia="宋体"/>
              </w:rPr>
              <w:object>
                <v:shape id="_x0000_i1025" o:spt="75" type="#_x0000_t75" style="height:244.9pt;width:403.1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adjustRightInd w:val="0"/>
              <w:spacing w:line="360" w:lineRule="auto"/>
              <w:ind w:firstLine="422" w:firstLineChars="200"/>
              <w:jc w:val="center"/>
              <w:outlineLvl w:val="0"/>
              <w:rPr>
                <w:b/>
              </w:rPr>
            </w:pPr>
            <w:bookmarkStart w:id="13" w:name="_Toc117775773"/>
            <w:r>
              <w:rPr>
                <w:b/>
              </w:rPr>
              <w:t>图2-1  施工期工艺流程及产污节点图</w:t>
            </w:r>
            <w:bookmarkEnd w:id="13"/>
          </w:p>
          <w:p>
            <w:pPr>
              <w:spacing w:line="360" w:lineRule="auto"/>
              <w:ind w:firstLine="472" w:firstLineChars="196"/>
              <w:rPr>
                <w:b/>
                <w:bCs/>
                <w:sz w:val="24"/>
              </w:rPr>
            </w:pPr>
            <w:r>
              <w:rPr>
                <w:b/>
                <w:bCs/>
                <w:sz w:val="24"/>
              </w:rPr>
              <w:t>施工流程简述：</w:t>
            </w:r>
          </w:p>
          <w:p>
            <w:pPr>
              <w:numPr>
                <w:ilvl w:val="3"/>
                <w:numId w:val="2"/>
              </w:numPr>
              <w:spacing w:line="360" w:lineRule="auto"/>
              <w:ind w:left="0" w:firstLine="480" w:firstLineChars="200"/>
              <w:jc w:val="left"/>
              <w:rPr>
                <w:sz w:val="24"/>
              </w:rPr>
            </w:pPr>
            <w:r>
              <w:rPr>
                <w:sz w:val="24"/>
              </w:rPr>
              <w:t>基础工程：根据施工图纸放线，采用挖掘机等机械辅以人工的方法，开挖</w:t>
            </w:r>
            <w:r>
              <w:rPr>
                <w:rFonts w:hint="eastAsia"/>
                <w:sz w:val="24"/>
              </w:rPr>
              <w:t>管沟</w:t>
            </w:r>
            <w:r>
              <w:rPr>
                <w:sz w:val="24"/>
              </w:rPr>
              <w:t>，该过程主要产生废气、废水、噪声和固废。</w:t>
            </w:r>
          </w:p>
          <w:p>
            <w:pPr>
              <w:numPr>
                <w:ilvl w:val="3"/>
                <w:numId w:val="2"/>
              </w:numPr>
              <w:spacing w:line="360" w:lineRule="auto"/>
              <w:ind w:left="0" w:firstLine="480" w:firstLineChars="200"/>
              <w:jc w:val="left"/>
              <w:rPr>
                <w:sz w:val="24"/>
              </w:rPr>
            </w:pPr>
            <w:r>
              <w:rPr>
                <w:rFonts w:hint="eastAsia"/>
                <w:sz w:val="24"/>
              </w:rPr>
              <w:t>管道铺设</w:t>
            </w:r>
            <w:r>
              <w:rPr>
                <w:sz w:val="24"/>
              </w:rPr>
              <w:t>工程：</w:t>
            </w:r>
            <w:r>
              <w:rPr>
                <w:rFonts w:hint="eastAsia"/>
                <w:sz w:val="24"/>
              </w:rPr>
              <w:t>部分管网采取开槽埋管，从燃气调压计量柜到厂区东侧道路，天然气管线为地埋铺设，长度约为6</w:t>
            </w:r>
            <w:r>
              <w:rPr>
                <w:sz w:val="24"/>
              </w:rPr>
              <w:t>0m，</w:t>
            </w:r>
            <w:r>
              <w:rPr>
                <w:rFonts w:hint="eastAsia"/>
                <w:sz w:val="24"/>
              </w:rPr>
              <w:t>燃气调压计量柜到装置区，为架空铺设，长度约3</w:t>
            </w:r>
            <w:r>
              <w:rPr>
                <w:sz w:val="24"/>
              </w:rPr>
              <w:t>6m</w:t>
            </w:r>
            <w:r>
              <w:rPr>
                <w:rFonts w:hint="eastAsia"/>
                <w:sz w:val="24"/>
              </w:rPr>
              <w:t>。</w:t>
            </w:r>
            <w:r>
              <w:rPr>
                <w:sz w:val="24"/>
              </w:rPr>
              <w:t>该过程主要产生噪声。</w:t>
            </w:r>
          </w:p>
          <w:p>
            <w:pPr>
              <w:numPr>
                <w:ilvl w:val="3"/>
                <w:numId w:val="2"/>
              </w:numPr>
              <w:spacing w:line="360" w:lineRule="auto"/>
              <w:ind w:left="0" w:firstLine="480" w:firstLineChars="200"/>
              <w:jc w:val="left"/>
              <w:rPr>
                <w:sz w:val="24"/>
              </w:rPr>
            </w:pPr>
            <w:r>
              <w:rPr>
                <w:rFonts w:hint="eastAsia"/>
                <w:sz w:val="24"/>
              </w:rPr>
              <w:t>回填土方、路面修复：管道铺设完成后，对开挖路面进行回填、路面修复，该过程主要产生扬尘、噪声。</w:t>
            </w:r>
          </w:p>
          <w:p>
            <w:pPr>
              <w:numPr>
                <w:ilvl w:val="3"/>
                <w:numId w:val="2"/>
              </w:numPr>
              <w:spacing w:line="360" w:lineRule="auto"/>
              <w:ind w:left="0" w:firstLine="480" w:firstLineChars="200"/>
              <w:jc w:val="left"/>
              <w:rPr>
                <w:sz w:val="24"/>
              </w:rPr>
            </w:pPr>
            <w:r>
              <w:rPr>
                <w:sz w:val="24"/>
              </w:rPr>
              <w:t>室内外装修、设备安装：设备基础构筑，安装</w:t>
            </w:r>
            <w:r>
              <w:rPr>
                <w:rFonts w:hint="eastAsia"/>
                <w:sz w:val="24"/>
              </w:rPr>
              <w:t>支撑</w:t>
            </w:r>
            <w:r>
              <w:rPr>
                <w:sz w:val="24"/>
              </w:rPr>
              <w:t>柱、设备、设施等， 配套水电安装，</w:t>
            </w:r>
            <w:r>
              <w:rPr>
                <w:rFonts w:hint="eastAsia"/>
                <w:sz w:val="24"/>
              </w:rPr>
              <w:t>装置旁设置安全告知牌、警示牌</w:t>
            </w:r>
            <w:r>
              <w:rPr>
                <w:sz w:val="24"/>
              </w:rPr>
              <w:t>及其它装修，该过程主要产生废气、噪声和固废。</w:t>
            </w:r>
          </w:p>
          <w:p>
            <w:pPr>
              <w:numPr>
                <w:ilvl w:val="3"/>
                <w:numId w:val="2"/>
              </w:numPr>
              <w:spacing w:line="360" w:lineRule="auto"/>
              <w:ind w:left="0" w:firstLine="480" w:firstLineChars="200"/>
              <w:jc w:val="left"/>
              <w:rPr>
                <w:sz w:val="24"/>
              </w:rPr>
            </w:pPr>
            <w:r>
              <w:rPr>
                <w:sz w:val="24"/>
              </w:rPr>
              <w:t>“三场”设置情况</w:t>
            </w:r>
          </w:p>
          <w:p>
            <w:pPr>
              <w:spacing w:line="360" w:lineRule="auto"/>
              <w:ind w:firstLine="480" w:firstLineChars="200"/>
              <w:jc w:val="left"/>
              <w:rPr>
                <w:sz w:val="24"/>
              </w:rPr>
            </w:pPr>
            <w:r>
              <w:rPr>
                <w:sz w:val="24"/>
              </w:rPr>
              <w:t>砂、石料场：本项目所需砂、石料均外购附近合法砂石料场，项目不设置临时砂、石料</w:t>
            </w:r>
            <w:r>
              <w:rPr>
                <w:rFonts w:hint="eastAsia"/>
                <w:sz w:val="24"/>
              </w:rPr>
              <w:t>场</w:t>
            </w:r>
            <w:r>
              <w:rPr>
                <w:sz w:val="24"/>
              </w:rPr>
              <w:t>。</w:t>
            </w:r>
          </w:p>
          <w:p>
            <w:pPr>
              <w:spacing w:line="360" w:lineRule="auto"/>
              <w:ind w:firstLine="480" w:firstLineChars="200"/>
              <w:jc w:val="left"/>
              <w:rPr>
                <w:sz w:val="24"/>
              </w:rPr>
            </w:pPr>
            <w:r>
              <w:rPr>
                <w:sz w:val="24"/>
              </w:rPr>
              <w:t>弃渣场：本工程</w:t>
            </w:r>
            <w:r>
              <w:rPr>
                <w:rFonts w:hint="eastAsia"/>
                <w:sz w:val="24"/>
              </w:rPr>
              <w:t>区域场地较为平整，</w:t>
            </w:r>
            <w:r>
              <w:rPr>
                <w:sz w:val="24"/>
              </w:rPr>
              <w:t>土石方</w:t>
            </w:r>
            <w:r>
              <w:rPr>
                <w:rFonts w:hint="eastAsia"/>
                <w:sz w:val="24"/>
              </w:rPr>
              <w:t>开挖较小，可</w:t>
            </w:r>
            <w:r>
              <w:rPr>
                <w:sz w:val="24"/>
              </w:rPr>
              <w:t>全部回填，无弃土产生，不设弃渣场。</w:t>
            </w:r>
          </w:p>
          <w:p>
            <w:pPr>
              <w:spacing w:line="360" w:lineRule="auto"/>
              <w:ind w:firstLine="480" w:firstLineChars="200"/>
              <w:jc w:val="left"/>
              <w:rPr>
                <w:sz w:val="24"/>
              </w:rPr>
            </w:pPr>
            <w:r>
              <w:rPr>
                <w:sz w:val="24"/>
              </w:rPr>
              <w:t>堆料场：施工期使用商品混凝土，项目不设临时堆料场。</w:t>
            </w:r>
          </w:p>
          <w:p>
            <w:pPr>
              <w:adjustRightInd w:val="0"/>
              <w:snapToGrid w:val="0"/>
              <w:spacing w:line="360" w:lineRule="auto"/>
              <w:ind w:firstLine="480" w:firstLineChars="200"/>
              <w:rPr>
                <w:sz w:val="24"/>
              </w:rPr>
            </w:pPr>
            <w:r>
              <w:rPr>
                <w:sz w:val="24"/>
              </w:rPr>
              <w:t>故项目施工期施工场地不设置“三场”。</w:t>
            </w:r>
          </w:p>
          <w:p>
            <w:pPr>
              <w:pStyle w:val="46"/>
              <w:spacing w:line="360" w:lineRule="auto"/>
              <w:ind w:firstLine="482"/>
              <w:jc w:val="both"/>
              <w:rPr>
                <w:rFonts w:cs="Times New Roman"/>
                <w:b/>
                <w:bCs/>
                <w:sz w:val="24"/>
              </w:rPr>
            </w:pPr>
            <w:r>
              <w:rPr>
                <w:rFonts w:hint="eastAsia" w:cs="Times New Roman"/>
                <w:b/>
                <w:bCs/>
                <w:sz w:val="24"/>
              </w:rPr>
              <w:t>二、运营期</w:t>
            </w:r>
          </w:p>
          <w:p>
            <w:pPr>
              <w:adjustRightInd w:val="0"/>
              <w:snapToGrid w:val="0"/>
              <w:spacing w:line="360" w:lineRule="auto"/>
              <w:ind w:firstLine="480" w:firstLineChars="200"/>
              <w:rPr>
                <w:sz w:val="24"/>
              </w:rPr>
            </w:pPr>
            <w:r>
              <w:rPr>
                <w:rFonts w:hint="eastAsia"/>
                <w:sz w:val="24"/>
              </w:rPr>
              <w:t>本次技改内容为：1</w:t>
            </w:r>
            <w:r>
              <w:rPr>
                <w:sz w:val="24"/>
              </w:rPr>
              <w:t>5</w:t>
            </w:r>
            <w:r>
              <w:rPr>
                <w:rFonts w:hint="eastAsia"/>
                <w:sz w:val="24"/>
              </w:rPr>
              <w:t>万吨/年饲钙装置热风炉技改，增加一套天然气燃烧装置。</w:t>
            </w:r>
          </w:p>
          <w:p>
            <w:pPr>
              <w:pStyle w:val="46"/>
              <w:spacing w:line="360" w:lineRule="auto"/>
              <w:ind w:firstLine="482"/>
              <w:jc w:val="both"/>
              <w:rPr>
                <w:rFonts w:cs="Times New Roman"/>
                <w:b/>
                <w:bCs/>
                <w:sz w:val="24"/>
              </w:rPr>
            </w:pPr>
            <w:r>
              <w:rPr>
                <w:rFonts w:hint="eastAsia" w:cs="Times New Roman"/>
                <w:b/>
                <w:bCs/>
                <w:sz w:val="24"/>
              </w:rPr>
              <w:t>工艺流程图：</w:t>
            </w:r>
          </w:p>
          <w:p>
            <w:pPr>
              <w:adjustRightInd w:val="0"/>
              <w:spacing w:line="360" w:lineRule="auto"/>
              <w:jc w:val="center"/>
              <w:outlineLvl w:val="0"/>
              <w:rPr>
                <w:b/>
              </w:rPr>
            </w:pPr>
            <w:bookmarkStart w:id="14" w:name="_Toc117775774"/>
            <w:r>
              <w:object>
                <v:shape id="_x0000_i1026" o:spt="75" type="#_x0000_t75" style="height:253.75pt;width:378.3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p>
            <w:pPr>
              <w:adjustRightInd w:val="0"/>
              <w:spacing w:line="360" w:lineRule="auto"/>
              <w:jc w:val="center"/>
              <w:outlineLvl w:val="0"/>
              <w:rPr>
                <w:b/>
              </w:rPr>
            </w:pPr>
            <w:r>
              <w:rPr>
                <w:rFonts w:hint="eastAsia"/>
                <w:b/>
              </w:rPr>
              <w:t>图2</w:t>
            </w:r>
            <w:r>
              <w:rPr>
                <w:b/>
              </w:rPr>
              <w:t xml:space="preserve">-2   </w:t>
            </w:r>
            <w:r>
              <w:rPr>
                <w:rFonts w:hint="eastAsia"/>
                <w:b/>
              </w:rPr>
              <w:t>运营期</w:t>
            </w:r>
            <w:r>
              <w:rPr>
                <w:b/>
              </w:rPr>
              <w:t>工艺流程及产污节点图</w:t>
            </w:r>
            <w:bookmarkEnd w:id="14"/>
          </w:p>
          <w:p>
            <w:pPr>
              <w:pStyle w:val="46"/>
              <w:spacing w:line="360" w:lineRule="auto"/>
              <w:ind w:firstLine="482"/>
              <w:jc w:val="both"/>
              <w:rPr>
                <w:rFonts w:cs="Times New Roman"/>
                <w:b/>
                <w:bCs/>
                <w:sz w:val="24"/>
              </w:rPr>
            </w:pPr>
            <w:r>
              <w:rPr>
                <w:rFonts w:hint="eastAsia" w:cs="Times New Roman"/>
                <w:b/>
                <w:bCs/>
                <w:sz w:val="24"/>
              </w:rPr>
              <w:t>工艺流程简述：</w:t>
            </w:r>
          </w:p>
          <w:p>
            <w:pPr>
              <w:adjustRightInd w:val="0"/>
              <w:snapToGrid w:val="0"/>
              <w:spacing w:line="360" w:lineRule="auto"/>
              <w:ind w:firstLine="480" w:firstLineChars="200"/>
              <w:rPr>
                <w:sz w:val="24"/>
              </w:rPr>
            </w:pPr>
            <w:r>
              <w:rPr>
                <w:rFonts w:hint="eastAsia"/>
                <w:sz w:val="24"/>
              </w:rPr>
              <w:t>技改完成后，热风炉具备燃煤和燃天然气的能力，全年使用6</w:t>
            </w:r>
            <w:r>
              <w:rPr>
                <w:sz w:val="24"/>
              </w:rPr>
              <w:t>00h</w:t>
            </w:r>
            <w:r>
              <w:rPr>
                <w:rFonts w:hint="eastAsia"/>
                <w:sz w:val="24"/>
              </w:rPr>
              <w:t>天然气进行供热，6</w:t>
            </w:r>
            <w:r>
              <w:rPr>
                <w:sz w:val="24"/>
              </w:rPr>
              <w:t>600</w:t>
            </w:r>
            <w:r>
              <w:rPr>
                <w:rFonts w:hint="eastAsia"/>
                <w:sz w:val="24"/>
              </w:rPr>
              <w:t>h燃煤进行供热。热风炉每小时额定供热量为1</w:t>
            </w:r>
            <w:r>
              <w:rPr>
                <w:sz w:val="24"/>
              </w:rPr>
              <w:t>100</w:t>
            </w:r>
            <w:r>
              <w:rPr>
                <w:rFonts w:hint="eastAsia"/>
                <w:sz w:val="24"/>
              </w:rPr>
              <w:t>万大卡。约1000℃的洁净热风在混风室中掺入一定量的冷风，混合成工艺所需温度500℃的热风，热风温度稳定性±5℃，热风经管道进入干燥器对产品进行干燥。造粒和干燥的废气经旋风收尘器+喷雾干燥洗涤塔后达标排放。</w:t>
            </w:r>
          </w:p>
          <w:p>
            <w:pPr>
              <w:adjustRightInd w:val="0"/>
              <w:snapToGrid w:val="0"/>
              <w:spacing w:line="360" w:lineRule="auto"/>
              <w:ind w:firstLine="480" w:firstLineChars="200"/>
              <w:rPr>
                <w:sz w:val="24"/>
              </w:rPr>
            </w:pPr>
            <w:r>
              <w:rPr>
                <w:sz w:val="24"/>
              </w:rPr>
              <w:t>粒化和干燥好的MDCP半成品经筛分、破碎后，合格成品送至成品包装工序。粉料作为返料返回混合器与新鲜料浆混合后再造粒。</w:t>
            </w:r>
            <w:r>
              <w:rPr>
                <w:rFonts w:hint="eastAsia"/>
                <w:sz w:val="24"/>
              </w:rPr>
              <w:t>粉碎、筛分产生的无组织粉尘及经过二级收尘设施回收粉尘后与干燥的废气混合后，送入旋风收尘器+喷雾干燥洗涤塔处理后达标排放。</w:t>
            </w:r>
          </w:p>
          <w:p>
            <w:pPr>
              <w:adjustRightInd w:val="0"/>
              <w:snapToGrid w:val="0"/>
              <w:spacing w:line="360" w:lineRule="auto"/>
              <w:rPr>
                <w:b/>
                <w:bCs/>
                <w:sz w:val="24"/>
              </w:rPr>
            </w:pPr>
            <w:r>
              <w:rPr>
                <w:rFonts w:hint="eastAsia"/>
                <w:b/>
                <w:bCs/>
                <w:sz w:val="24"/>
              </w:rPr>
              <w:t>尾气治理流程简述：</w:t>
            </w:r>
          </w:p>
          <w:p>
            <w:pPr>
              <w:pStyle w:val="46"/>
              <w:spacing w:line="360" w:lineRule="auto"/>
              <w:jc w:val="both"/>
              <w:rPr>
                <w:sz w:val="24"/>
              </w:rPr>
            </w:pPr>
            <w:r>
              <w:rPr>
                <w:rFonts w:hint="eastAsia"/>
                <w:sz w:val="24"/>
              </w:rPr>
              <w:t>15万吨/年饲钙装置的热风炉燃烧燃料产生的热空气送入干燥塔干燥物料，干燥后的废气与造粒废气混合后一起排至旋风除尘器+喷雾干燥尾气洗涤塔进一步处理，最后与经过处理后的10万吨/年MCP装置的造粒废气和干燥废气一起经一根排气筒外排（高4</w:t>
            </w:r>
            <w:r>
              <w:rPr>
                <w:sz w:val="24"/>
              </w:rPr>
              <w:t>0m</w:t>
            </w:r>
            <w:r>
              <w:rPr>
                <w:rFonts w:hint="eastAsia"/>
                <w:sz w:val="24"/>
              </w:rPr>
              <w:t>，内径1</w:t>
            </w:r>
            <w:r>
              <w:rPr>
                <w:sz w:val="24"/>
              </w:rPr>
              <w:t>.8m</w:t>
            </w:r>
            <w:r>
              <w:rPr>
                <w:rFonts w:hint="eastAsia"/>
                <w:sz w:val="24"/>
              </w:rPr>
              <w:t>）。MDCP装置干燥尾气除尘后采用碱洗涤塔装置脱硫，脱硫效率达65%以上，除尘效率为99.5%。</w:t>
            </w:r>
          </w:p>
          <w:p>
            <w:pPr>
              <w:adjustRightInd w:val="0"/>
              <w:snapToGrid w:val="0"/>
              <w:spacing w:line="360" w:lineRule="auto"/>
              <w:rPr>
                <w:b/>
                <w:bCs/>
                <w:sz w:val="24"/>
              </w:rPr>
            </w:pPr>
            <w:r>
              <w:rPr>
                <w:rFonts w:hint="eastAsia"/>
                <w:b/>
                <w:bCs/>
                <w:sz w:val="24"/>
              </w:rPr>
              <w:t>硫平衡：</w:t>
            </w:r>
          </w:p>
          <w:p>
            <w:pPr>
              <w:pStyle w:val="18"/>
              <w:widowControl w:val="0"/>
              <w:adjustRightInd w:val="0"/>
              <w:snapToGrid w:val="0"/>
              <w:spacing w:before="0" w:beforeAutospacing="0" w:after="0" w:afterAutospacing="0" w:line="360" w:lineRule="auto"/>
              <w:ind w:firstLine="420"/>
              <w:jc w:val="both"/>
              <w:rPr>
                <w:rFonts w:ascii="Times New Roman" w:hAnsi="Times New Roman"/>
              </w:rPr>
            </w:pPr>
            <w:r>
              <w:rPr>
                <w:rFonts w:hint="eastAsia" w:ascii="Times New Roman" w:hAnsi="Times New Roman"/>
                <w:kern w:val="2"/>
              </w:rPr>
              <w:t>根据生产装置物料平衡，1</w:t>
            </w:r>
            <w:r>
              <w:rPr>
                <w:rFonts w:ascii="Times New Roman" w:hAnsi="Times New Roman"/>
                <w:kern w:val="2"/>
              </w:rPr>
              <w:t>5</w:t>
            </w:r>
            <w:r>
              <w:rPr>
                <w:rFonts w:hint="eastAsia" w:ascii="Times New Roman" w:hAnsi="Times New Roman"/>
                <w:kern w:val="2"/>
              </w:rPr>
              <w:t>万吨/年饲钙装置硫平衡见表</w:t>
            </w:r>
            <w:r>
              <w:rPr>
                <w:rFonts w:ascii="Times New Roman" w:hAnsi="Times New Roman"/>
                <w:kern w:val="2"/>
              </w:rPr>
              <w:t>2-9</w:t>
            </w:r>
            <w:r>
              <w:rPr>
                <w:rFonts w:hint="eastAsia" w:ascii="Times New Roman" w:hAnsi="Times New Roman"/>
                <w:kern w:val="2"/>
              </w:rPr>
              <w:t>和图</w:t>
            </w:r>
            <w:r>
              <w:rPr>
                <w:rFonts w:ascii="Times New Roman" w:hAnsi="Times New Roman"/>
                <w:kern w:val="2"/>
              </w:rPr>
              <w:t>2-3</w:t>
            </w:r>
            <w:r>
              <w:rPr>
                <w:rFonts w:hint="eastAsia" w:ascii="Times New Roman" w:hAnsi="Times New Roman"/>
                <w:kern w:val="2"/>
              </w:rPr>
              <w:t>。</w:t>
            </w:r>
          </w:p>
          <w:p>
            <w:pPr>
              <w:adjustRightInd w:val="0"/>
              <w:spacing w:line="360" w:lineRule="auto"/>
              <w:ind w:firstLine="422" w:firstLineChars="200"/>
              <w:jc w:val="center"/>
              <w:outlineLvl w:val="0"/>
              <w:rPr>
                <w:b/>
              </w:rPr>
            </w:pPr>
            <w:bookmarkStart w:id="15" w:name="_Toc117775775"/>
            <w:r>
              <w:rPr>
                <w:rFonts w:hint="eastAsia"/>
                <w:b/>
              </w:rPr>
              <w:t>表2</w:t>
            </w:r>
            <w:r>
              <w:rPr>
                <w:b/>
              </w:rPr>
              <w:t xml:space="preserve">-9   </w:t>
            </w:r>
            <w:r>
              <w:rPr>
                <w:rFonts w:hint="eastAsia"/>
                <w:b/>
              </w:rPr>
              <w:t>装置硫平衡表（单位：</w:t>
            </w:r>
            <w:r>
              <w:rPr>
                <w:b/>
              </w:rPr>
              <w:t>t/a</w:t>
            </w:r>
            <w:r>
              <w:rPr>
                <w:rFonts w:hint="eastAsia"/>
                <w:b/>
              </w:rPr>
              <w:t>）</w:t>
            </w:r>
            <w:bookmarkEnd w:id="15"/>
          </w:p>
          <w:tbl>
            <w:tblPr>
              <w:tblStyle w:val="22"/>
              <w:tblW w:w="805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3"/>
              <w:gridCol w:w="2013"/>
              <w:gridCol w:w="2013"/>
              <w:gridCol w:w="2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7" w:hRule="atLeast"/>
                <w:jc w:val="center"/>
              </w:trPr>
              <w:tc>
                <w:tcPr>
                  <w:tcW w:w="4026" w:type="dxa"/>
                  <w:gridSpan w:val="2"/>
                  <w:vAlign w:val="center"/>
                </w:tcPr>
                <w:p>
                  <w:pPr>
                    <w:widowControl/>
                    <w:jc w:val="center"/>
                    <w:rPr>
                      <w:b/>
                      <w:kern w:val="0"/>
                      <w:szCs w:val="21"/>
                    </w:rPr>
                  </w:pPr>
                  <w:r>
                    <w:rPr>
                      <w:rFonts w:hint="eastAsia"/>
                      <w:b/>
                      <w:kern w:val="0"/>
                      <w:szCs w:val="21"/>
                    </w:rPr>
                    <w:t>带入</w:t>
                  </w:r>
                </w:p>
              </w:tc>
              <w:tc>
                <w:tcPr>
                  <w:tcW w:w="4027" w:type="dxa"/>
                  <w:gridSpan w:val="2"/>
                  <w:vAlign w:val="center"/>
                </w:tcPr>
                <w:p>
                  <w:pPr>
                    <w:widowControl/>
                    <w:jc w:val="center"/>
                    <w:rPr>
                      <w:b/>
                      <w:kern w:val="0"/>
                      <w:szCs w:val="21"/>
                    </w:rPr>
                  </w:pPr>
                  <w:r>
                    <w:rPr>
                      <w:rFonts w:hint="eastAsia"/>
                      <w:b/>
                      <w:kern w:val="0"/>
                      <w:szCs w:val="21"/>
                    </w:rPr>
                    <w:t>带出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7" w:hRule="atLeast"/>
                <w:jc w:val="center"/>
              </w:trPr>
              <w:tc>
                <w:tcPr>
                  <w:tcW w:w="2013" w:type="dxa"/>
                  <w:vAlign w:val="center"/>
                </w:tcPr>
                <w:p>
                  <w:pPr>
                    <w:widowControl/>
                    <w:jc w:val="center"/>
                    <w:rPr>
                      <w:b/>
                      <w:kern w:val="0"/>
                      <w:szCs w:val="21"/>
                    </w:rPr>
                  </w:pPr>
                  <w:r>
                    <w:rPr>
                      <w:rFonts w:hint="eastAsia"/>
                      <w:b/>
                      <w:kern w:val="0"/>
                      <w:szCs w:val="21"/>
                    </w:rPr>
                    <w:t>物料</w:t>
                  </w:r>
                </w:p>
              </w:tc>
              <w:tc>
                <w:tcPr>
                  <w:tcW w:w="2013" w:type="dxa"/>
                  <w:vAlign w:val="center"/>
                </w:tcPr>
                <w:p>
                  <w:pPr>
                    <w:widowControl/>
                    <w:jc w:val="center"/>
                    <w:rPr>
                      <w:b/>
                      <w:kern w:val="0"/>
                      <w:szCs w:val="21"/>
                    </w:rPr>
                  </w:pPr>
                  <w:r>
                    <w:rPr>
                      <w:rFonts w:hint="eastAsia"/>
                      <w:b/>
                      <w:kern w:val="0"/>
                      <w:szCs w:val="21"/>
                    </w:rPr>
                    <w:t>数量（</w:t>
                  </w:r>
                  <w:r>
                    <w:rPr>
                      <w:b/>
                      <w:kern w:val="0"/>
                      <w:szCs w:val="21"/>
                    </w:rPr>
                    <w:t>t/a</w:t>
                  </w:r>
                  <w:r>
                    <w:rPr>
                      <w:rFonts w:hint="eastAsia"/>
                      <w:b/>
                      <w:kern w:val="0"/>
                      <w:szCs w:val="21"/>
                    </w:rPr>
                    <w:t>）</w:t>
                  </w:r>
                </w:p>
              </w:tc>
              <w:tc>
                <w:tcPr>
                  <w:tcW w:w="2013" w:type="dxa"/>
                  <w:vAlign w:val="center"/>
                </w:tcPr>
                <w:p>
                  <w:pPr>
                    <w:widowControl/>
                    <w:jc w:val="center"/>
                    <w:rPr>
                      <w:b/>
                      <w:kern w:val="0"/>
                      <w:szCs w:val="21"/>
                    </w:rPr>
                  </w:pPr>
                  <w:r>
                    <w:rPr>
                      <w:rFonts w:hint="eastAsia"/>
                      <w:b/>
                      <w:kern w:val="0"/>
                      <w:szCs w:val="21"/>
                    </w:rPr>
                    <w:t>物料</w:t>
                  </w:r>
                </w:p>
              </w:tc>
              <w:tc>
                <w:tcPr>
                  <w:tcW w:w="2014" w:type="dxa"/>
                  <w:vAlign w:val="center"/>
                </w:tcPr>
                <w:p>
                  <w:pPr>
                    <w:widowControl/>
                    <w:jc w:val="center"/>
                    <w:rPr>
                      <w:b/>
                      <w:kern w:val="0"/>
                      <w:szCs w:val="21"/>
                    </w:rPr>
                  </w:pPr>
                  <w:r>
                    <w:rPr>
                      <w:rFonts w:hint="eastAsia"/>
                      <w:b/>
                      <w:kern w:val="0"/>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 w:hRule="atLeast"/>
                <w:jc w:val="center"/>
              </w:trPr>
              <w:tc>
                <w:tcPr>
                  <w:tcW w:w="2013" w:type="dxa"/>
                  <w:tcBorders>
                    <w:bottom w:val="single" w:color="000000" w:sz="4" w:space="0"/>
                  </w:tcBorders>
                  <w:vAlign w:val="center"/>
                </w:tcPr>
                <w:p>
                  <w:pPr>
                    <w:widowControl/>
                    <w:jc w:val="center"/>
                    <w:rPr>
                      <w:kern w:val="0"/>
                      <w:szCs w:val="21"/>
                    </w:rPr>
                  </w:pPr>
                  <w:r>
                    <w:rPr>
                      <w:rFonts w:hint="eastAsia"/>
                      <w:kern w:val="0"/>
                      <w:szCs w:val="21"/>
                    </w:rPr>
                    <w:t>燃煤</w:t>
                  </w:r>
                </w:p>
              </w:tc>
              <w:tc>
                <w:tcPr>
                  <w:tcW w:w="2013" w:type="dxa"/>
                  <w:tcBorders>
                    <w:bottom w:val="single" w:color="000000" w:sz="4" w:space="0"/>
                  </w:tcBorders>
                  <w:vAlign w:val="center"/>
                </w:tcPr>
                <w:p>
                  <w:pPr>
                    <w:widowControl/>
                    <w:jc w:val="center"/>
                    <w:rPr>
                      <w:kern w:val="0"/>
                      <w:szCs w:val="21"/>
                    </w:rPr>
                  </w:pPr>
                  <w:r>
                    <w:rPr>
                      <w:rFonts w:hint="eastAsia"/>
                      <w:kern w:val="0"/>
                      <w:szCs w:val="21"/>
                    </w:rPr>
                    <w:t>2</w:t>
                  </w:r>
                  <w:r>
                    <w:rPr>
                      <w:kern w:val="0"/>
                      <w:szCs w:val="21"/>
                    </w:rPr>
                    <w:t>0.361</w:t>
                  </w:r>
                </w:p>
              </w:tc>
              <w:tc>
                <w:tcPr>
                  <w:tcW w:w="2013" w:type="dxa"/>
                  <w:vMerge w:val="restart"/>
                  <w:tcBorders>
                    <w:bottom w:val="single" w:color="000000" w:sz="4" w:space="0"/>
                  </w:tcBorders>
                  <w:vAlign w:val="center"/>
                </w:tcPr>
                <w:p>
                  <w:pPr>
                    <w:widowControl/>
                    <w:jc w:val="center"/>
                    <w:rPr>
                      <w:kern w:val="0"/>
                      <w:szCs w:val="21"/>
                    </w:rPr>
                  </w:pPr>
                  <w:r>
                    <w:rPr>
                      <w:rFonts w:hint="eastAsia"/>
                      <w:kern w:val="0"/>
                      <w:szCs w:val="21"/>
                    </w:rPr>
                    <w:t>废气带走</w:t>
                  </w:r>
                </w:p>
              </w:tc>
              <w:tc>
                <w:tcPr>
                  <w:tcW w:w="2014" w:type="dxa"/>
                  <w:vMerge w:val="restart"/>
                  <w:vAlign w:val="center"/>
                </w:tcPr>
                <w:p>
                  <w:pPr>
                    <w:jc w:val="center"/>
                    <w:rPr>
                      <w:szCs w:val="21"/>
                    </w:rPr>
                  </w:pPr>
                  <w:r>
                    <w:rPr>
                      <w:rFonts w:hint="eastAsia"/>
                      <w:kern w:val="0"/>
                      <w:szCs w:val="21"/>
                    </w:rPr>
                    <w:t>2</w:t>
                  </w:r>
                  <w:r>
                    <w:rPr>
                      <w:kern w:val="0"/>
                      <w:szCs w:val="21"/>
                    </w:rPr>
                    <w:t>0.487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7" w:hRule="atLeast"/>
                <w:jc w:val="center"/>
              </w:trPr>
              <w:tc>
                <w:tcPr>
                  <w:tcW w:w="2013" w:type="dxa"/>
                  <w:vAlign w:val="center"/>
                </w:tcPr>
                <w:p>
                  <w:pPr>
                    <w:widowControl/>
                    <w:jc w:val="center"/>
                    <w:rPr>
                      <w:kern w:val="0"/>
                      <w:szCs w:val="21"/>
                    </w:rPr>
                  </w:pPr>
                  <w:r>
                    <w:rPr>
                      <w:rFonts w:hint="eastAsia"/>
                      <w:kern w:val="0"/>
                      <w:szCs w:val="21"/>
                    </w:rPr>
                    <w:t>天然气</w:t>
                  </w:r>
                </w:p>
              </w:tc>
              <w:tc>
                <w:tcPr>
                  <w:tcW w:w="2013" w:type="dxa"/>
                  <w:vAlign w:val="center"/>
                </w:tcPr>
                <w:p>
                  <w:pPr>
                    <w:widowControl/>
                    <w:jc w:val="center"/>
                    <w:rPr>
                      <w:kern w:val="0"/>
                      <w:szCs w:val="21"/>
                    </w:rPr>
                  </w:pPr>
                  <w:r>
                    <w:rPr>
                      <w:rFonts w:hint="eastAsia"/>
                      <w:kern w:val="0"/>
                      <w:szCs w:val="21"/>
                    </w:rPr>
                    <w:t>0</w:t>
                  </w:r>
                  <w:r>
                    <w:rPr>
                      <w:kern w:val="0"/>
                      <w:szCs w:val="21"/>
                    </w:rPr>
                    <w:t>.126</w:t>
                  </w:r>
                </w:p>
              </w:tc>
              <w:tc>
                <w:tcPr>
                  <w:tcW w:w="2013" w:type="dxa"/>
                  <w:vMerge w:val="continue"/>
                  <w:vAlign w:val="center"/>
                </w:tcPr>
                <w:p>
                  <w:pPr>
                    <w:widowControl/>
                    <w:jc w:val="center"/>
                    <w:rPr>
                      <w:kern w:val="0"/>
                      <w:szCs w:val="21"/>
                    </w:rPr>
                  </w:pPr>
                </w:p>
              </w:tc>
              <w:tc>
                <w:tcPr>
                  <w:tcW w:w="2014" w:type="dxa"/>
                  <w:vMerge w:val="continue"/>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 w:hRule="atLeast"/>
                <w:jc w:val="center"/>
              </w:trPr>
              <w:tc>
                <w:tcPr>
                  <w:tcW w:w="2013" w:type="dxa"/>
                  <w:vAlign w:val="center"/>
                </w:tcPr>
                <w:p>
                  <w:pPr>
                    <w:widowControl/>
                    <w:jc w:val="center"/>
                    <w:rPr>
                      <w:kern w:val="0"/>
                      <w:szCs w:val="21"/>
                    </w:rPr>
                  </w:pPr>
                  <w:r>
                    <w:rPr>
                      <w:rFonts w:hint="eastAsia"/>
                      <w:kern w:val="0"/>
                      <w:szCs w:val="21"/>
                    </w:rPr>
                    <w:t>合计</w:t>
                  </w:r>
                </w:p>
              </w:tc>
              <w:tc>
                <w:tcPr>
                  <w:tcW w:w="2013" w:type="dxa"/>
                  <w:vAlign w:val="center"/>
                </w:tcPr>
                <w:p>
                  <w:pPr>
                    <w:widowControl/>
                    <w:jc w:val="center"/>
                    <w:rPr>
                      <w:kern w:val="0"/>
                      <w:szCs w:val="21"/>
                    </w:rPr>
                  </w:pPr>
                  <w:r>
                    <w:rPr>
                      <w:kern w:val="0"/>
                      <w:szCs w:val="21"/>
                    </w:rPr>
                    <w:t>20.487</w:t>
                  </w:r>
                </w:p>
              </w:tc>
              <w:tc>
                <w:tcPr>
                  <w:tcW w:w="2013" w:type="dxa"/>
                  <w:vAlign w:val="center"/>
                </w:tcPr>
                <w:p>
                  <w:pPr>
                    <w:widowControl/>
                    <w:jc w:val="center"/>
                    <w:rPr>
                      <w:kern w:val="0"/>
                      <w:szCs w:val="21"/>
                    </w:rPr>
                  </w:pPr>
                  <w:r>
                    <w:rPr>
                      <w:rFonts w:hint="eastAsia"/>
                      <w:kern w:val="0"/>
                      <w:szCs w:val="21"/>
                    </w:rPr>
                    <w:t>合计</w:t>
                  </w:r>
                </w:p>
              </w:tc>
              <w:tc>
                <w:tcPr>
                  <w:tcW w:w="2014" w:type="dxa"/>
                  <w:vAlign w:val="center"/>
                </w:tcPr>
                <w:p>
                  <w:pPr>
                    <w:widowControl/>
                    <w:jc w:val="center"/>
                    <w:rPr>
                      <w:kern w:val="0"/>
                      <w:szCs w:val="21"/>
                    </w:rPr>
                  </w:pPr>
                  <w:r>
                    <w:rPr>
                      <w:kern w:val="0"/>
                      <w:szCs w:val="21"/>
                    </w:rPr>
                    <w:t>20.487</w:t>
                  </w:r>
                </w:p>
              </w:tc>
            </w:tr>
          </w:tbl>
          <w:p>
            <w:pPr>
              <w:spacing w:line="360" w:lineRule="auto"/>
              <w:ind w:firstLine="422" w:firstLineChars="200"/>
              <w:jc w:val="center"/>
              <w:rPr>
                <w:b/>
                <w:szCs w:val="21"/>
                <w:highlight w:val="yellow"/>
              </w:rPr>
            </w:pPr>
          </w:p>
          <w:p>
            <w:pPr>
              <w:spacing w:line="360" w:lineRule="auto"/>
              <w:jc w:val="center"/>
              <w:rPr>
                <w:b/>
                <w:szCs w:val="21"/>
                <w:highlight w:val="yellow"/>
              </w:rPr>
            </w:pPr>
            <w:r>
              <w:object>
                <v:shape id="_x0000_i1027" o:spt="75" type="#_x0000_t75" style="height:144pt;width:409pt;" o:ole="t" filled="f" o:preferrelative="t" stroked="f" coordsize="21600,21600">
                  <v:path/>
                  <v:fill on="f" focussize="0,0"/>
                  <v:stroke on="f" joinstyle="miter"/>
                  <v:imagedata r:id="rId12" o:title=""/>
                  <o:lock v:ext="edit" aspectratio="t"/>
                  <w10:wrap type="none"/>
                  <w10:anchorlock/>
                </v:shape>
                <o:OLEObject Type="Embed" ProgID="Visio.Drawing.15" ShapeID="_x0000_i1027" DrawAspect="Content" ObjectID="_1468075727" r:id="rId11">
                  <o:LockedField>false</o:LockedField>
                </o:OLEObject>
              </w:object>
            </w:r>
          </w:p>
          <w:p>
            <w:pPr>
              <w:adjustRightInd w:val="0"/>
              <w:spacing w:line="360" w:lineRule="auto"/>
              <w:ind w:firstLine="422" w:firstLineChars="200"/>
              <w:jc w:val="center"/>
              <w:outlineLvl w:val="0"/>
              <w:rPr>
                <w:b/>
              </w:rPr>
            </w:pPr>
            <w:bookmarkStart w:id="16" w:name="_Toc117775776"/>
            <w:r>
              <w:rPr>
                <w:rFonts w:hint="eastAsia"/>
                <w:b/>
              </w:rPr>
              <w:t>图</w:t>
            </w:r>
            <w:r>
              <w:rPr>
                <w:b/>
              </w:rPr>
              <w:t xml:space="preserve">2-3  </w:t>
            </w:r>
            <w:r>
              <w:rPr>
                <w:rFonts w:hint="eastAsia"/>
                <w:b/>
              </w:rPr>
              <w:t>项目硫平衡图（单位：</w:t>
            </w:r>
            <w:r>
              <w:rPr>
                <w:b/>
              </w:rPr>
              <w:t>t/a</w:t>
            </w:r>
            <w:r>
              <w:rPr>
                <w:rFonts w:hint="eastAsia"/>
                <w:b/>
              </w:rPr>
              <w:t>）</w:t>
            </w:r>
            <w:bookmarkEnd w:id="16"/>
          </w:p>
          <w:p>
            <w:pPr>
              <w:pStyle w:val="46"/>
              <w:spacing w:line="360" w:lineRule="auto"/>
              <w:ind w:firstLine="482"/>
              <w:jc w:val="both"/>
              <w:rPr>
                <w:rFonts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19" w:hRule="atLeast"/>
          <w:jc w:val="center"/>
        </w:trPr>
        <w:tc>
          <w:tcPr>
            <w:tcW w:w="431" w:type="dxa"/>
            <w:vAlign w:val="center"/>
          </w:tcPr>
          <w:p>
            <w:pPr>
              <w:pStyle w:val="18"/>
              <w:adjustRightInd w:val="0"/>
              <w:snapToGrid w:val="0"/>
              <w:spacing w:before="0" w:beforeAutospacing="0" w:after="0" w:afterAutospacing="0"/>
              <w:jc w:val="center"/>
              <w:rPr>
                <w:rFonts w:ascii="Times New Roman" w:hAnsi="Times New Roman" w:cs="宋体"/>
                <w:bCs/>
                <w:kern w:val="2"/>
                <w:sz w:val="21"/>
                <w:szCs w:val="21"/>
              </w:rPr>
            </w:pPr>
            <w:r>
              <w:rPr>
                <w:rFonts w:hint="eastAsia" w:ascii="Times New Roman" w:hAnsi="Times New Roman" w:cs="宋体"/>
                <w:bCs/>
                <w:kern w:val="2"/>
                <w:sz w:val="21"/>
                <w:szCs w:val="21"/>
              </w:rPr>
              <w:t>与项目有关的原有环境污染问题</w:t>
            </w:r>
          </w:p>
        </w:tc>
        <w:tc>
          <w:tcPr>
            <w:tcW w:w="8393" w:type="dxa"/>
          </w:tcPr>
          <w:p>
            <w:pPr>
              <w:pStyle w:val="46"/>
              <w:spacing w:line="360" w:lineRule="auto"/>
              <w:ind w:firstLine="482"/>
              <w:jc w:val="both"/>
              <w:rPr>
                <w:b/>
                <w:kern w:val="0"/>
                <w:sz w:val="24"/>
              </w:rPr>
            </w:pPr>
            <w:r>
              <w:rPr>
                <w:rFonts w:hint="eastAsia"/>
                <w:b/>
                <w:kern w:val="0"/>
                <w:sz w:val="24"/>
              </w:rPr>
              <w:t>1、现有工程履行环境影响评价、竣工环境保护验收、排污许可手续等情况</w:t>
            </w:r>
          </w:p>
          <w:p>
            <w:pPr>
              <w:spacing w:line="360" w:lineRule="auto"/>
              <w:ind w:firstLine="480"/>
              <w:rPr>
                <w:sz w:val="24"/>
              </w:rPr>
            </w:pPr>
            <w:r>
              <w:rPr>
                <w:sz w:val="24"/>
              </w:rPr>
              <w:t>公司</w:t>
            </w:r>
            <w:r>
              <w:rPr>
                <w:rFonts w:hint="eastAsia"/>
                <w:kern w:val="44"/>
                <w:sz w:val="24"/>
              </w:rPr>
              <w:t>磷化工事业部</w:t>
            </w:r>
            <w:r>
              <w:rPr>
                <w:sz w:val="24"/>
              </w:rPr>
              <w:t>现有生产装置属于云南磷化集团有限公司50万吨/年MDCP（835）项目所包含建设内容。</w:t>
            </w:r>
          </w:p>
          <w:p>
            <w:pPr>
              <w:spacing w:line="360" w:lineRule="auto"/>
              <w:ind w:firstLine="480"/>
              <w:rPr>
                <w:sz w:val="24"/>
              </w:rPr>
            </w:pPr>
            <w:r>
              <w:rPr>
                <w:sz w:val="24"/>
              </w:rPr>
              <w:t>2010年7月，云南省环境科学研究院编制完成了《云南磷化集团有限公司50万吨/年MDCP（835）项目环境影响报告书》。2010年1月23日，云南省环境保护厅以“云环审〔2010〕123号”文，《云南省环境保护厅关于云南磷化集团有限公司50万吨/年MDCP（835）项目环境影响报告书的批复》（详见附件），同意项目建设。项目于2011年7月开工建设，2014年5月建成。</w:t>
            </w:r>
          </w:p>
          <w:p>
            <w:pPr>
              <w:spacing w:line="360" w:lineRule="auto"/>
              <w:ind w:firstLine="480"/>
              <w:rPr>
                <w:sz w:val="24"/>
              </w:rPr>
            </w:pPr>
            <w:r>
              <w:rPr>
                <w:rFonts w:hint="eastAsia"/>
                <w:sz w:val="24"/>
              </w:rPr>
              <w:t>后由于项目的饲料级磷酸钙盐生产线由两套2</w:t>
            </w:r>
            <w:r>
              <w:rPr>
                <w:sz w:val="24"/>
              </w:rPr>
              <w:t>5</w:t>
            </w:r>
            <w:r>
              <w:rPr>
                <w:rFonts w:hint="eastAsia"/>
                <w:sz w:val="24"/>
              </w:rPr>
              <w:t>万吨/年变更为1套2</w:t>
            </w:r>
            <w:r>
              <w:rPr>
                <w:sz w:val="24"/>
              </w:rPr>
              <w:t>5</w:t>
            </w:r>
            <w:r>
              <w:rPr>
                <w:rFonts w:hint="eastAsia"/>
                <w:sz w:val="24"/>
              </w:rPr>
              <w:t>万吨/年、1套1</w:t>
            </w:r>
            <w:r>
              <w:rPr>
                <w:sz w:val="24"/>
              </w:rPr>
              <w:t>0</w:t>
            </w:r>
            <w:r>
              <w:rPr>
                <w:rFonts w:hint="eastAsia"/>
                <w:sz w:val="24"/>
              </w:rPr>
              <w:t>万吨/年和1套1</w:t>
            </w:r>
            <w:r>
              <w:rPr>
                <w:sz w:val="24"/>
              </w:rPr>
              <w:t>5</w:t>
            </w:r>
            <w:r>
              <w:rPr>
                <w:rFonts w:hint="eastAsia"/>
                <w:sz w:val="24"/>
              </w:rPr>
              <w:t>万吨/年，配套的热风炉由2台增加为4台；硫磺制酸装置中采用部分铯触媒代替钒触媒；磷石膏堆场排洪竖井由3座改为座，泄洪渠道建设尺寸调整为底宽2</w:t>
            </w:r>
            <w:r>
              <w:rPr>
                <w:sz w:val="24"/>
              </w:rPr>
              <w:t>0</w:t>
            </w:r>
            <w:r>
              <w:rPr>
                <w:rFonts w:hint="eastAsia"/>
                <w:sz w:val="24"/>
              </w:rPr>
              <w:t>米、顶宽4</w:t>
            </w:r>
            <w:r>
              <w:rPr>
                <w:sz w:val="24"/>
              </w:rPr>
              <w:t>0</w:t>
            </w:r>
            <w:r>
              <w:rPr>
                <w:rFonts w:hint="eastAsia"/>
                <w:sz w:val="24"/>
              </w:rPr>
              <w:t>米、高5</w:t>
            </w:r>
            <w:r>
              <w:rPr>
                <w:sz w:val="24"/>
              </w:rPr>
              <w:t>-10</w:t>
            </w:r>
            <w:r>
              <w:rPr>
                <w:rFonts w:hint="eastAsia"/>
                <w:sz w:val="24"/>
              </w:rPr>
              <w:t>米；项目区生活污水由外排园区集中处理变更为回用于磷酸生产工艺用于磷石膏输渣。</w:t>
            </w:r>
            <w:r>
              <w:rPr>
                <w:sz w:val="24"/>
              </w:rPr>
              <w:t>2014年5月6日，云南省环境保护厅以“云环审〔2014〕104号”文，《云南省环境保护厅关于云南磷化集团有限公司835项目补充环境影响报告书的批复》（详见附件），同意项目变更。</w:t>
            </w:r>
          </w:p>
          <w:p>
            <w:pPr>
              <w:spacing w:line="360" w:lineRule="auto"/>
              <w:ind w:firstLine="480"/>
              <w:rPr>
                <w:sz w:val="24"/>
              </w:rPr>
            </w:pPr>
            <w:r>
              <w:rPr>
                <w:sz w:val="24"/>
              </w:rPr>
              <w:t>2015年5月，云南省环境监测中心站编制了《云南磷化集团有限公司50万吨/年MDCP（835）项目竣工环境保护验收监测报告》（云环监字（技）[2015]036号）。2016年5月5日，云南省环境保护厅以“云环验〔2016〕26号”（详见附件），同意项目通过竣工环保验收。</w:t>
            </w:r>
          </w:p>
          <w:p>
            <w:pPr>
              <w:spacing w:line="360" w:lineRule="auto"/>
              <w:ind w:firstLine="480"/>
              <w:rPr>
                <w:sz w:val="24"/>
              </w:rPr>
            </w:pPr>
            <w:r>
              <w:rPr>
                <w:rFonts w:hint="eastAsia"/>
                <w:sz w:val="24"/>
              </w:rPr>
              <w:t>磷化工事业部相关环保手续执行情况详见下表。</w:t>
            </w:r>
          </w:p>
          <w:p>
            <w:pPr>
              <w:adjustRightInd w:val="0"/>
              <w:spacing w:line="360" w:lineRule="auto"/>
              <w:ind w:firstLine="422" w:firstLineChars="200"/>
              <w:jc w:val="center"/>
              <w:outlineLvl w:val="0"/>
              <w:rPr>
                <w:b/>
              </w:rPr>
            </w:pPr>
            <w:bookmarkStart w:id="17" w:name="_Toc117775777"/>
            <w:r>
              <w:rPr>
                <w:rFonts w:hint="eastAsia"/>
                <w:b/>
              </w:rPr>
              <w:t>表2</w:t>
            </w:r>
            <w:r>
              <w:rPr>
                <w:b/>
              </w:rPr>
              <w:t>-10</w:t>
            </w:r>
            <w:r>
              <w:rPr>
                <w:rFonts w:hint="eastAsia"/>
                <w:b/>
              </w:rPr>
              <w:t xml:space="preserve">  磷化工事业部相关环保手续执行情况统计表</w:t>
            </w:r>
            <w:bookmarkEnd w:id="17"/>
          </w:p>
          <w:tbl>
            <w:tblPr>
              <w:tblStyle w:val="22"/>
              <w:tblW w:w="81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680"/>
              <w:gridCol w:w="1410"/>
              <w:gridCol w:w="1805"/>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67"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Cs w:val="21"/>
                    </w:rPr>
                  </w:pPr>
                  <w:r>
                    <w:rPr>
                      <w:b/>
                      <w:bCs/>
                      <w:kern w:val="0"/>
                      <w:szCs w:val="21"/>
                    </w:rPr>
                    <w:t>序号</w:t>
                  </w:r>
                </w:p>
              </w:tc>
              <w:tc>
                <w:tcPr>
                  <w:tcW w:w="2680"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Cs w:val="21"/>
                    </w:rPr>
                  </w:pPr>
                  <w:r>
                    <w:rPr>
                      <w:rFonts w:hint="eastAsia"/>
                      <w:b/>
                      <w:bCs/>
                      <w:kern w:val="0"/>
                      <w:szCs w:val="21"/>
                    </w:rPr>
                    <w:t>事项</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Cs w:val="21"/>
                    </w:rPr>
                  </w:pPr>
                  <w:r>
                    <w:rPr>
                      <w:rFonts w:hint="eastAsia"/>
                      <w:b/>
                      <w:bCs/>
                      <w:kern w:val="0"/>
                      <w:szCs w:val="21"/>
                    </w:rPr>
                    <w:t>相关文号</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Cs w:val="21"/>
                    </w:rPr>
                  </w:pPr>
                  <w:r>
                    <w:rPr>
                      <w:rFonts w:hint="eastAsia"/>
                      <w:b/>
                      <w:bCs/>
                      <w:kern w:val="0"/>
                      <w:szCs w:val="21"/>
                    </w:rPr>
                    <w:t>审批部门</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Cs w:val="21"/>
                    </w:rPr>
                  </w:pPr>
                  <w:r>
                    <w:rPr>
                      <w:rFonts w:hint="eastAsia"/>
                      <w:b/>
                      <w:bCs/>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6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1</w:t>
                  </w:r>
                </w:p>
              </w:tc>
              <w:tc>
                <w:tcPr>
                  <w:tcW w:w="2680"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云南磷化集团有限公司50万吨/年MDCP（835）项目环境影响报告书</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云环审〔2010〕123号</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云南省环境保护厅</w:t>
                  </w:r>
                </w:p>
              </w:tc>
              <w:tc>
                <w:tcPr>
                  <w:tcW w:w="1805" w:type="dxa"/>
                  <w:vMerge w:val="restart"/>
                  <w:tcBorders>
                    <w:top w:val="single" w:color="auto" w:sz="4" w:space="0"/>
                    <w:left w:val="single" w:color="auto" w:sz="4" w:space="0"/>
                    <w:right w:val="single" w:color="auto" w:sz="4" w:space="0"/>
                  </w:tcBorders>
                  <w:vAlign w:val="center"/>
                </w:tcPr>
                <w:p>
                  <w:pPr>
                    <w:jc w:val="center"/>
                    <w:rPr>
                      <w:kern w:val="0"/>
                      <w:szCs w:val="21"/>
                    </w:rPr>
                  </w:pPr>
                  <w:r>
                    <w:rPr>
                      <w:rFonts w:hint="eastAsia"/>
                      <w:kern w:val="0"/>
                      <w:szCs w:val="21"/>
                    </w:rPr>
                    <w:t>《</w:t>
                  </w:r>
                  <w:r>
                    <w:rPr>
                      <w:kern w:val="0"/>
                      <w:szCs w:val="21"/>
                    </w:rPr>
                    <w:t>云南磷化集团有限公司50万吨/年MDCP（835）项目竣工环境保护验收监测报告</w:t>
                  </w:r>
                  <w:r>
                    <w:rPr>
                      <w:rFonts w:hint="eastAsia"/>
                      <w:kern w:val="0"/>
                      <w:szCs w:val="21"/>
                    </w:rPr>
                    <w:t>》（</w:t>
                  </w:r>
                  <w:r>
                    <w:rPr>
                      <w:kern w:val="0"/>
                      <w:szCs w:val="21"/>
                    </w:rPr>
                    <w:t>云环验〔2016〕26号</w:t>
                  </w: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6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2</w:t>
                  </w:r>
                </w:p>
              </w:tc>
              <w:tc>
                <w:tcPr>
                  <w:tcW w:w="2680"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云南磷化集团有限公司835项目补充影响报告书</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云环审〔2014〕104号</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云南省环境保护厅</w:t>
                  </w:r>
                </w:p>
              </w:tc>
              <w:tc>
                <w:tcPr>
                  <w:tcW w:w="1805" w:type="dxa"/>
                  <w:vMerge w:val="continue"/>
                  <w:tcBorders>
                    <w:left w:val="single" w:color="auto" w:sz="4" w:space="0"/>
                    <w:bottom w:val="single" w:color="auto" w:sz="4" w:space="0"/>
                    <w:right w:val="single" w:color="auto" w:sz="4" w:space="0"/>
                  </w:tcBorders>
                  <w:vAlign w:val="center"/>
                </w:tcPr>
                <w:p>
                  <w:pPr>
                    <w:widowControl/>
                    <w:jc w:val="center"/>
                    <w:rPr>
                      <w:kern w:val="0"/>
                      <w:szCs w:val="21"/>
                    </w:rPr>
                  </w:pPr>
                </w:p>
              </w:tc>
            </w:tr>
          </w:tbl>
          <w:p>
            <w:pPr>
              <w:spacing w:line="360" w:lineRule="auto"/>
              <w:ind w:firstLine="480"/>
              <w:rPr>
                <w:sz w:val="24"/>
              </w:rPr>
            </w:pPr>
            <w:r>
              <w:rPr>
                <w:sz w:val="24"/>
              </w:rPr>
              <w:t>云南磷化集团有限公司</w:t>
            </w:r>
            <w:r>
              <w:rPr>
                <w:rFonts w:hint="eastAsia"/>
                <w:sz w:val="24"/>
              </w:rPr>
              <w:t>磷化工事业部</w:t>
            </w:r>
            <w:r>
              <w:rPr>
                <w:sz w:val="24"/>
              </w:rPr>
              <w:t>排污许可证编号为：91530000216524401J002R</w:t>
            </w:r>
            <w:r>
              <w:rPr>
                <w:rFonts w:hint="eastAsia"/>
                <w:sz w:val="24"/>
              </w:rPr>
              <w:t>，</w:t>
            </w:r>
            <w:r>
              <w:rPr>
                <w:sz w:val="24"/>
              </w:rPr>
              <w:t>许可证有效期2021</w:t>
            </w:r>
            <w:r>
              <w:rPr>
                <w:rFonts w:hint="eastAsia"/>
                <w:sz w:val="24"/>
              </w:rPr>
              <w:t>年9月7日至2</w:t>
            </w:r>
            <w:r>
              <w:rPr>
                <w:sz w:val="24"/>
              </w:rPr>
              <w:t>026</w:t>
            </w:r>
            <w:r>
              <w:rPr>
                <w:rFonts w:hint="eastAsia"/>
                <w:sz w:val="24"/>
              </w:rPr>
              <w:t>年9月6日止</w:t>
            </w:r>
            <w:r>
              <w:rPr>
                <w:sz w:val="24"/>
              </w:rPr>
              <w:t>。</w:t>
            </w:r>
          </w:p>
          <w:p>
            <w:pPr>
              <w:spacing w:line="360" w:lineRule="auto"/>
              <w:ind w:firstLine="480"/>
              <w:rPr>
                <w:sz w:val="24"/>
              </w:rPr>
            </w:pPr>
            <w:r>
              <w:rPr>
                <w:sz w:val="24"/>
              </w:rPr>
              <w:t>云南磷化集团有限公司</w:t>
            </w:r>
            <w:r>
              <w:rPr>
                <w:rFonts w:hint="eastAsia"/>
                <w:sz w:val="24"/>
              </w:rPr>
              <w:t>磷化工事业部</w:t>
            </w:r>
            <w:r>
              <w:rPr>
                <w:sz w:val="24"/>
              </w:rPr>
              <w:t>排污许可证核准外排废水总量指标为0，即厂区废水要求</w:t>
            </w:r>
            <w:r>
              <w:rPr>
                <w:rFonts w:hint="eastAsia"/>
                <w:sz w:val="24"/>
              </w:rPr>
              <w:t>不外排</w:t>
            </w:r>
            <w:r>
              <w:rPr>
                <w:sz w:val="24"/>
              </w:rPr>
              <w:t>。</w:t>
            </w:r>
          </w:p>
          <w:p>
            <w:pPr>
              <w:spacing w:line="360" w:lineRule="auto"/>
              <w:ind w:firstLine="480"/>
              <w:rPr>
                <w:sz w:val="24"/>
              </w:rPr>
            </w:pPr>
            <w:r>
              <w:rPr>
                <w:sz w:val="24"/>
              </w:rPr>
              <w:t>公司</w:t>
            </w:r>
            <w:r>
              <w:rPr>
                <w:rFonts w:hint="eastAsia"/>
                <w:sz w:val="24"/>
              </w:rPr>
              <w:t>磷化工事业部</w:t>
            </w:r>
            <w:r>
              <w:rPr>
                <w:sz w:val="24"/>
              </w:rPr>
              <w:t>外排废气排污许可证核准排气筒个数10个</w:t>
            </w:r>
            <w:r>
              <w:rPr>
                <w:rFonts w:hint="eastAsia"/>
                <w:sz w:val="24"/>
              </w:rPr>
              <w:t>，主要排气筒</w:t>
            </w:r>
            <w:r>
              <w:rPr>
                <w:sz w:val="24"/>
              </w:rPr>
              <w:t>3</w:t>
            </w:r>
            <w:r>
              <w:rPr>
                <w:rFonts w:hint="eastAsia"/>
                <w:sz w:val="24"/>
              </w:rPr>
              <w:t>个，分别是：</w:t>
            </w:r>
            <w:r>
              <w:rPr>
                <w:rFonts w:hint="eastAsia"/>
                <w:bCs/>
                <w:kern w:val="0"/>
                <w:sz w:val="24"/>
              </w:rPr>
              <w:t>3</w:t>
            </w:r>
            <w:r>
              <w:rPr>
                <w:bCs/>
                <w:kern w:val="0"/>
                <w:sz w:val="24"/>
              </w:rPr>
              <w:t>0</w:t>
            </w:r>
            <w:r>
              <w:rPr>
                <w:rFonts w:hint="eastAsia"/>
                <w:bCs/>
                <w:kern w:val="0"/>
                <w:sz w:val="24"/>
              </w:rPr>
              <w:t>万吨/年磷酸装置反应尾气排口、8</w:t>
            </w:r>
            <w:r>
              <w:rPr>
                <w:bCs/>
                <w:kern w:val="0"/>
                <w:sz w:val="24"/>
              </w:rPr>
              <w:t>0</w:t>
            </w:r>
            <w:r>
              <w:rPr>
                <w:rFonts w:hint="eastAsia"/>
                <w:bCs/>
                <w:kern w:val="0"/>
                <w:sz w:val="24"/>
              </w:rPr>
              <w:t>万吨/年硫酸装置开车锅炉尾气排口、8</w:t>
            </w:r>
            <w:r>
              <w:rPr>
                <w:bCs/>
                <w:kern w:val="0"/>
                <w:sz w:val="24"/>
              </w:rPr>
              <w:t>0</w:t>
            </w:r>
            <w:r>
              <w:rPr>
                <w:rFonts w:hint="eastAsia"/>
                <w:bCs/>
                <w:kern w:val="0"/>
                <w:sz w:val="24"/>
              </w:rPr>
              <w:t>万吨/年硫酸装置尾气排口。</w:t>
            </w:r>
            <w:r>
              <w:rPr>
                <w:sz w:val="24"/>
              </w:rPr>
              <w:t>核定</w:t>
            </w:r>
            <w:r>
              <w:rPr>
                <w:rFonts w:hint="eastAsia"/>
                <w:sz w:val="24"/>
              </w:rPr>
              <w:t>主要排气筒</w:t>
            </w:r>
            <w:r>
              <w:rPr>
                <w:sz w:val="24"/>
              </w:rPr>
              <w:t>允许</w:t>
            </w:r>
            <w:r>
              <w:rPr>
                <w:rFonts w:hint="eastAsia"/>
                <w:sz w:val="24"/>
              </w:rPr>
              <w:t>排放</w:t>
            </w:r>
            <w:r>
              <w:rPr>
                <w:sz w:val="24"/>
              </w:rPr>
              <w:t>氟化物1.284t/a，SO</w:t>
            </w:r>
            <w:r>
              <w:rPr>
                <w:sz w:val="24"/>
                <w:vertAlign w:val="subscript"/>
              </w:rPr>
              <w:t>2</w:t>
            </w:r>
            <w:r>
              <w:rPr>
                <w:sz w:val="24"/>
              </w:rPr>
              <w:t>393.76t/a。排污许可证复印件见附件。</w:t>
            </w:r>
          </w:p>
          <w:p>
            <w:pPr>
              <w:spacing w:line="360" w:lineRule="auto"/>
              <w:ind w:firstLine="480"/>
              <w:rPr>
                <w:sz w:val="24"/>
              </w:rPr>
            </w:pPr>
            <w:r>
              <w:rPr>
                <w:sz w:val="24"/>
              </w:rPr>
              <w:t>排污许可证核准厂界噪声允许值为昼间65dB(A)，夜间55dB(A)。</w:t>
            </w:r>
          </w:p>
          <w:p>
            <w:pPr>
              <w:pStyle w:val="46"/>
              <w:spacing w:line="360" w:lineRule="auto"/>
              <w:ind w:firstLine="482"/>
              <w:jc w:val="both"/>
              <w:rPr>
                <w:b/>
                <w:kern w:val="0"/>
                <w:sz w:val="24"/>
              </w:rPr>
            </w:pPr>
            <w:r>
              <w:rPr>
                <w:rFonts w:hint="eastAsia"/>
                <w:b/>
                <w:kern w:val="0"/>
                <w:sz w:val="24"/>
              </w:rPr>
              <w:t>2、核算现有工程污染物实际排放总量</w:t>
            </w:r>
          </w:p>
          <w:p>
            <w:pPr>
              <w:pStyle w:val="46"/>
              <w:spacing w:line="360" w:lineRule="auto"/>
              <w:jc w:val="both"/>
              <w:rPr>
                <w:bCs/>
                <w:kern w:val="0"/>
                <w:sz w:val="24"/>
              </w:rPr>
            </w:pPr>
            <w:r>
              <w:rPr>
                <w:rFonts w:hint="eastAsia"/>
                <w:bCs/>
                <w:kern w:val="0"/>
                <w:sz w:val="24"/>
              </w:rPr>
              <w:t>根据2</w:t>
            </w:r>
            <w:r>
              <w:rPr>
                <w:bCs/>
                <w:kern w:val="0"/>
                <w:sz w:val="24"/>
              </w:rPr>
              <w:t>021</w:t>
            </w:r>
            <w:r>
              <w:rPr>
                <w:rFonts w:hint="eastAsia"/>
                <w:bCs/>
                <w:kern w:val="0"/>
                <w:sz w:val="24"/>
              </w:rPr>
              <w:t>年四个季度的监测报告，1</w:t>
            </w:r>
            <w:r>
              <w:rPr>
                <w:bCs/>
                <w:kern w:val="0"/>
                <w:sz w:val="24"/>
              </w:rPr>
              <w:t>0+15</w:t>
            </w:r>
            <w:r>
              <w:rPr>
                <w:rFonts w:hint="eastAsia"/>
                <w:bCs/>
                <w:kern w:val="0"/>
                <w:sz w:val="24"/>
              </w:rPr>
              <w:t>万吨/年饲钙装置干燥+含氟洗涤尾气排口（D</w:t>
            </w:r>
            <w:r>
              <w:rPr>
                <w:bCs/>
                <w:kern w:val="0"/>
                <w:sz w:val="24"/>
              </w:rPr>
              <w:t>A</w:t>
            </w:r>
            <w:r>
              <w:rPr>
                <w:rFonts w:hint="eastAsia"/>
                <w:bCs/>
                <w:kern w:val="0"/>
                <w:sz w:val="24"/>
              </w:rPr>
              <w:t>004），排气筒排放情况详见表2</w:t>
            </w:r>
            <w:r>
              <w:rPr>
                <w:bCs/>
                <w:kern w:val="0"/>
                <w:sz w:val="24"/>
              </w:rPr>
              <w:t>-11</w:t>
            </w:r>
            <w:r>
              <w:rPr>
                <w:rFonts w:hint="eastAsia"/>
                <w:bCs/>
                <w:kern w:val="0"/>
                <w:sz w:val="24"/>
              </w:rPr>
              <w:t>。</w:t>
            </w:r>
          </w:p>
          <w:p>
            <w:pPr>
              <w:pStyle w:val="46"/>
              <w:spacing w:line="360" w:lineRule="auto"/>
              <w:ind w:firstLine="0" w:firstLineChars="0"/>
              <w:jc w:val="center"/>
              <w:rPr>
                <w:b/>
                <w:kern w:val="0"/>
                <w:szCs w:val="21"/>
              </w:rPr>
            </w:pPr>
            <w:r>
              <w:rPr>
                <w:rFonts w:hint="eastAsia"/>
                <w:b/>
                <w:kern w:val="0"/>
                <w:szCs w:val="21"/>
              </w:rPr>
              <w:t>表2</w:t>
            </w:r>
            <w:r>
              <w:rPr>
                <w:b/>
                <w:kern w:val="0"/>
                <w:szCs w:val="21"/>
              </w:rPr>
              <w:t xml:space="preserve">-11  </w:t>
            </w:r>
            <w:r>
              <w:rPr>
                <w:rFonts w:hint="eastAsia"/>
                <w:b/>
                <w:kern w:val="0"/>
                <w:szCs w:val="21"/>
              </w:rPr>
              <w:t>现状1</w:t>
            </w:r>
            <w:r>
              <w:rPr>
                <w:b/>
                <w:kern w:val="0"/>
                <w:szCs w:val="21"/>
              </w:rPr>
              <w:t>0+15</w:t>
            </w:r>
            <w:r>
              <w:rPr>
                <w:rFonts w:hint="eastAsia"/>
                <w:b/>
                <w:kern w:val="0"/>
                <w:szCs w:val="21"/>
              </w:rPr>
              <w:t>万吨/年饲钙装置干燥+含氟洗涤尾气排放情况一览表</w:t>
            </w:r>
          </w:p>
          <w:tbl>
            <w:tblPr>
              <w:tblStyle w:val="23"/>
              <w:tblW w:w="8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709"/>
              <w:gridCol w:w="1275"/>
              <w:gridCol w:w="951"/>
              <w:gridCol w:w="951"/>
              <w:gridCol w:w="951"/>
              <w:gridCol w:w="952"/>
              <w:gridCol w:w="784"/>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Align w:val="center"/>
                </w:tcPr>
                <w:p>
                  <w:pPr>
                    <w:pStyle w:val="46"/>
                    <w:ind w:firstLine="0" w:firstLineChars="0"/>
                    <w:jc w:val="center"/>
                    <w:rPr>
                      <w:b/>
                      <w:kern w:val="0"/>
                      <w:szCs w:val="21"/>
                    </w:rPr>
                  </w:pPr>
                  <w:r>
                    <w:rPr>
                      <w:rFonts w:hint="eastAsia"/>
                      <w:b/>
                      <w:kern w:val="0"/>
                      <w:szCs w:val="21"/>
                    </w:rPr>
                    <w:t>排气筒名称</w:t>
                  </w:r>
                </w:p>
              </w:tc>
              <w:tc>
                <w:tcPr>
                  <w:tcW w:w="1984" w:type="dxa"/>
                  <w:gridSpan w:val="2"/>
                  <w:vAlign w:val="center"/>
                </w:tcPr>
                <w:p>
                  <w:pPr>
                    <w:pStyle w:val="46"/>
                    <w:ind w:firstLine="0" w:firstLineChars="0"/>
                    <w:jc w:val="center"/>
                    <w:rPr>
                      <w:b/>
                      <w:kern w:val="0"/>
                      <w:szCs w:val="21"/>
                    </w:rPr>
                  </w:pPr>
                  <w:r>
                    <w:rPr>
                      <w:rFonts w:hint="eastAsia"/>
                      <w:b/>
                      <w:kern w:val="0"/>
                      <w:szCs w:val="21"/>
                    </w:rPr>
                    <w:t>污染物</w:t>
                  </w:r>
                </w:p>
              </w:tc>
              <w:tc>
                <w:tcPr>
                  <w:tcW w:w="951" w:type="dxa"/>
                  <w:vAlign w:val="center"/>
                </w:tcPr>
                <w:p>
                  <w:pPr>
                    <w:pStyle w:val="46"/>
                    <w:ind w:firstLine="0" w:firstLineChars="0"/>
                    <w:jc w:val="center"/>
                    <w:rPr>
                      <w:b/>
                      <w:kern w:val="0"/>
                      <w:szCs w:val="21"/>
                    </w:rPr>
                  </w:pPr>
                  <w:r>
                    <w:rPr>
                      <w:rFonts w:hint="eastAsia"/>
                      <w:b/>
                      <w:kern w:val="0"/>
                      <w:szCs w:val="21"/>
                    </w:rPr>
                    <w:t>1季度</w:t>
                  </w:r>
                </w:p>
              </w:tc>
              <w:tc>
                <w:tcPr>
                  <w:tcW w:w="951" w:type="dxa"/>
                  <w:vAlign w:val="center"/>
                </w:tcPr>
                <w:p>
                  <w:pPr>
                    <w:pStyle w:val="46"/>
                    <w:ind w:firstLine="0" w:firstLineChars="0"/>
                    <w:jc w:val="center"/>
                    <w:rPr>
                      <w:b/>
                      <w:kern w:val="0"/>
                      <w:szCs w:val="21"/>
                    </w:rPr>
                  </w:pPr>
                  <w:r>
                    <w:rPr>
                      <w:rFonts w:hint="eastAsia"/>
                      <w:b/>
                      <w:kern w:val="0"/>
                      <w:szCs w:val="21"/>
                    </w:rPr>
                    <w:t>2季度</w:t>
                  </w:r>
                </w:p>
              </w:tc>
              <w:tc>
                <w:tcPr>
                  <w:tcW w:w="951" w:type="dxa"/>
                  <w:vAlign w:val="center"/>
                </w:tcPr>
                <w:p>
                  <w:pPr>
                    <w:pStyle w:val="46"/>
                    <w:ind w:firstLine="0" w:firstLineChars="0"/>
                    <w:jc w:val="center"/>
                    <w:rPr>
                      <w:b/>
                      <w:kern w:val="0"/>
                      <w:szCs w:val="21"/>
                    </w:rPr>
                  </w:pPr>
                  <w:r>
                    <w:rPr>
                      <w:rFonts w:hint="eastAsia"/>
                      <w:b/>
                      <w:kern w:val="0"/>
                      <w:szCs w:val="21"/>
                    </w:rPr>
                    <w:t>3季度</w:t>
                  </w:r>
                </w:p>
              </w:tc>
              <w:tc>
                <w:tcPr>
                  <w:tcW w:w="952" w:type="dxa"/>
                  <w:vAlign w:val="center"/>
                </w:tcPr>
                <w:p>
                  <w:pPr>
                    <w:pStyle w:val="46"/>
                    <w:ind w:firstLine="0" w:firstLineChars="0"/>
                    <w:jc w:val="center"/>
                    <w:rPr>
                      <w:b/>
                      <w:kern w:val="0"/>
                      <w:szCs w:val="21"/>
                    </w:rPr>
                  </w:pPr>
                  <w:r>
                    <w:rPr>
                      <w:rFonts w:hint="eastAsia"/>
                      <w:b/>
                      <w:kern w:val="0"/>
                      <w:szCs w:val="21"/>
                    </w:rPr>
                    <w:t>4季度</w:t>
                  </w:r>
                </w:p>
              </w:tc>
              <w:tc>
                <w:tcPr>
                  <w:tcW w:w="784" w:type="dxa"/>
                  <w:vAlign w:val="center"/>
                </w:tcPr>
                <w:p>
                  <w:pPr>
                    <w:pStyle w:val="46"/>
                    <w:ind w:firstLine="0" w:firstLineChars="0"/>
                    <w:jc w:val="center"/>
                    <w:rPr>
                      <w:b/>
                      <w:kern w:val="0"/>
                      <w:szCs w:val="21"/>
                    </w:rPr>
                  </w:pPr>
                  <w:r>
                    <w:rPr>
                      <w:rFonts w:hint="eastAsia"/>
                      <w:b/>
                      <w:kern w:val="0"/>
                      <w:szCs w:val="21"/>
                    </w:rPr>
                    <w:t>标准限制</w:t>
                  </w:r>
                </w:p>
              </w:tc>
              <w:tc>
                <w:tcPr>
                  <w:tcW w:w="729" w:type="dxa"/>
                  <w:vAlign w:val="center"/>
                </w:tcPr>
                <w:p>
                  <w:pPr>
                    <w:pStyle w:val="46"/>
                    <w:ind w:firstLine="0" w:firstLineChars="0"/>
                    <w:jc w:val="center"/>
                    <w:rPr>
                      <w:b/>
                      <w:kern w:val="0"/>
                      <w:szCs w:val="21"/>
                    </w:rPr>
                  </w:pPr>
                  <w:r>
                    <w:rPr>
                      <w:rFonts w:hint="eastAsia"/>
                      <w:b/>
                      <w:kern w:val="0"/>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Merge w:val="restart"/>
                  <w:vAlign w:val="center"/>
                </w:tcPr>
                <w:p>
                  <w:pPr>
                    <w:pStyle w:val="46"/>
                    <w:ind w:firstLine="0" w:firstLineChars="0"/>
                    <w:jc w:val="center"/>
                    <w:rPr>
                      <w:bCs/>
                      <w:kern w:val="0"/>
                      <w:szCs w:val="21"/>
                    </w:rPr>
                  </w:pPr>
                  <w:r>
                    <w:rPr>
                      <w:rFonts w:hint="eastAsia"/>
                      <w:bCs/>
                      <w:kern w:val="0"/>
                      <w:szCs w:val="21"/>
                    </w:rPr>
                    <w:t>D</w:t>
                  </w:r>
                  <w:r>
                    <w:rPr>
                      <w:bCs/>
                      <w:kern w:val="0"/>
                      <w:szCs w:val="21"/>
                    </w:rPr>
                    <w:t>A004</w:t>
                  </w:r>
                </w:p>
              </w:tc>
              <w:tc>
                <w:tcPr>
                  <w:tcW w:w="1984" w:type="dxa"/>
                  <w:gridSpan w:val="2"/>
                  <w:vAlign w:val="center"/>
                </w:tcPr>
                <w:p>
                  <w:pPr>
                    <w:pStyle w:val="46"/>
                    <w:ind w:firstLine="0" w:firstLineChars="0"/>
                    <w:jc w:val="center"/>
                    <w:rPr>
                      <w:bCs/>
                      <w:kern w:val="0"/>
                      <w:szCs w:val="21"/>
                    </w:rPr>
                  </w:pPr>
                  <w:r>
                    <w:rPr>
                      <w:rFonts w:hint="eastAsia"/>
                      <w:bCs/>
                      <w:kern w:val="0"/>
                      <w:szCs w:val="21"/>
                    </w:rPr>
                    <w:t>废气量m</w:t>
                  </w:r>
                  <w:r>
                    <w:rPr>
                      <w:bCs/>
                      <w:kern w:val="0"/>
                      <w:szCs w:val="21"/>
                      <w:vertAlign w:val="superscript"/>
                    </w:rPr>
                    <w:t>3</w:t>
                  </w:r>
                  <w:r>
                    <w:rPr>
                      <w:rFonts w:hint="eastAsia"/>
                      <w:bCs/>
                      <w:kern w:val="0"/>
                      <w:szCs w:val="21"/>
                    </w:rPr>
                    <w:t>/h</w:t>
                  </w:r>
                </w:p>
              </w:tc>
              <w:tc>
                <w:tcPr>
                  <w:tcW w:w="951" w:type="dxa"/>
                  <w:vAlign w:val="center"/>
                </w:tcPr>
                <w:p>
                  <w:pPr>
                    <w:pStyle w:val="46"/>
                    <w:ind w:firstLine="0" w:firstLineChars="0"/>
                    <w:jc w:val="center"/>
                    <w:rPr>
                      <w:bCs/>
                      <w:kern w:val="0"/>
                      <w:szCs w:val="21"/>
                    </w:rPr>
                  </w:pPr>
                  <w:r>
                    <w:rPr>
                      <w:rFonts w:hint="eastAsia"/>
                      <w:bCs/>
                      <w:kern w:val="0"/>
                      <w:szCs w:val="21"/>
                    </w:rPr>
                    <w:t>1</w:t>
                  </w:r>
                  <w:r>
                    <w:rPr>
                      <w:bCs/>
                      <w:kern w:val="0"/>
                      <w:szCs w:val="21"/>
                    </w:rPr>
                    <w:t>25261</w:t>
                  </w:r>
                </w:p>
              </w:tc>
              <w:tc>
                <w:tcPr>
                  <w:tcW w:w="951" w:type="dxa"/>
                  <w:vAlign w:val="center"/>
                </w:tcPr>
                <w:p>
                  <w:pPr>
                    <w:pStyle w:val="46"/>
                    <w:ind w:firstLine="0" w:firstLineChars="0"/>
                    <w:jc w:val="center"/>
                    <w:rPr>
                      <w:bCs/>
                      <w:kern w:val="0"/>
                      <w:szCs w:val="21"/>
                    </w:rPr>
                  </w:pPr>
                  <w:r>
                    <w:rPr>
                      <w:rFonts w:hint="eastAsia"/>
                      <w:bCs/>
                      <w:kern w:val="0"/>
                      <w:szCs w:val="21"/>
                    </w:rPr>
                    <w:t>1</w:t>
                  </w:r>
                  <w:r>
                    <w:rPr>
                      <w:bCs/>
                      <w:kern w:val="0"/>
                      <w:szCs w:val="21"/>
                    </w:rPr>
                    <w:t>26737</w:t>
                  </w:r>
                </w:p>
              </w:tc>
              <w:tc>
                <w:tcPr>
                  <w:tcW w:w="951" w:type="dxa"/>
                  <w:vAlign w:val="center"/>
                </w:tcPr>
                <w:p>
                  <w:pPr>
                    <w:pStyle w:val="46"/>
                    <w:ind w:firstLine="0" w:firstLineChars="0"/>
                    <w:jc w:val="center"/>
                    <w:rPr>
                      <w:bCs/>
                      <w:kern w:val="0"/>
                      <w:szCs w:val="21"/>
                    </w:rPr>
                  </w:pPr>
                  <w:r>
                    <w:rPr>
                      <w:rFonts w:hint="eastAsia"/>
                      <w:bCs/>
                      <w:kern w:val="0"/>
                      <w:szCs w:val="21"/>
                    </w:rPr>
                    <w:t>5</w:t>
                  </w:r>
                  <w:r>
                    <w:rPr>
                      <w:bCs/>
                      <w:kern w:val="0"/>
                      <w:szCs w:val="21"/>
                    </w:rPr>
                    <w:t>6264</w:t>
                  </w:r>
                </w:p>
              </w:tc>
              <w:tc>
                <w:tcPr>
                  <w:tcW w:w="952" w:type="dxa"/>
                  <w:vAlign w:val="center"/>
                </w:tcPr>
                <w:p>
                  <w:pPr>
                    <w:pStyle w:val="46"/>
                    <w:ind w:firstLine="0" w:firstLineChars="0"/>
                    <w:jc w:val="center"/>
                    <w:rPr>
                      <w:bCs/>
                      <w:kern w:val="0"/>
                      <w:szCs w:val="21"/>
                    </w:rPr>
                  </w:pPr>
                  <w:r>
                    <w:rPr>
                      <w:rFonts w:hint="eastAsia"/>
                      <w:bCs/>
                      <w:kern w:val="0"/>
                      <w:szCs w:val="21"/>
                    </w:rPr>
                    <w:t>1</w:t>
                  </w:r>
                  <w:r>
                    <w:rPr>
                      <w:bCs/>
                      <w:kern w:val="0"/>
                      <w:szCs w:val="21"/>
                    </w:rPr>
                    <w:t>51555</w:t>
                  </w:r>
                </w:p>
              </w:tc>
              <w:tc>
                <w:tcPr>
                  <w:tcW w:w="784" w:type="dxa"/>
                  <w:vAlign w:val="center"/>
                </w:tcPr>
                <w:p>
                  <w:pPr>
                    <w:pStyle w:val="46"/>
                    <w:ind w:firstLine="0" w:firstLineChars="0"/>
                    <w:jc w:val="center"/>
                    <w:rPr>
                      <w:bCs/>
                      <w:kern w:val="0"/>
                      <w:szCs w:val="21"/>
                    </w:rPr>
                  </w:pPr>
                  <w:r>
                    <w:rPr>
                      <w:rFonts w:hint="eastAsia"/>
                      <w:bCs/>
                      <w:kern w:val="0"/>
                      <w:szCs w:val="21"/>
                    </w:rPr>
                    <w:t>/</w:t>
                  </w:r>
                </w:p>
              </w:tc>
              <w:tc>
                <w:tcPr>
                  <w:tcW w:w="729" w:type="dxa"/>
                  <w:vAlign w:val="center"/>
                </w:tcPr>
                <w:p>
                  <w:pPr>
                    <w:pStyle w:val="46"/>
                    <w:ind w:firstLine="0" w:firstLineChars="0"/>
                    <w:jc w:val="center"/>
                    <w:rPr>
                      <w:bCs/>
                      <w:kern w:val="0"/>
                      <w:szCs w:val="21"/>
                    </w:rPr>
                  </w:pPr>
                  <w:r>
                    <w:rPr>
                      <w:rFonts w:hint="eastAsia"/>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Merge w:val="continue"/>
                  <w:vAlign w:val="center"/>
                </w:tcPr>
                <w:p>
                  <w:pPr>
                    <w:pStyle w:val="46"/>
                    <w:ind w:firstLine="0" w:firstLineChars="0"/>
                    <w:jc w:val="center"/>
                    <w:rPr>
                      <w:bCs/>
                      <w:kern w:val="0"/>
                      <w:szCs w:val="21"/>
                    </w:rPr>
                  </w:pPr>
                </w:p>
              </w:tc>
              <w:tc>
                <w:tcPr>
                  <w:tcW w:w="709" w:type="dxa"/>
                  <w:vMerge w:val="restart"/>
                  <w:vAlign w:val="center"/>
                </w:tcPr>
                <w:p>
                  <w:pPr>
                    <w:pStyle w:val="46"/>
                    <w:ind w:firstLine="0" w:firstLineChars="0"/>
                    <w:jc w:val="center"/>
                    <w:rPr>
                      <w:bCs/>
                      <w:kern w:val="0"/>
                      <w:szCs w:val="21"/>
                    </w:rPr>
                  </w:pPr>
                  <w:r>
                    <w:rPr>
                      <w:rFonts w:hint="eastAsia"/>
                      <w:bCs/>
                      <w:kern w:val="0"/>
                      <w:szCs w:val="21"/>
                    </w:rPr>
                    <w:t>氟化物</w:t>
                  </w:r>
                </w:p>
              </w:tc>
              <w:tc>
                <w:tcPr>
                  <w:tcW w:w="1275" w:type="dxa"/>
                  <w:vAlign w:val="center"/>
                </w:tcPr>
                <w:p>
                  <w:pPr>
                    <w:pStyle w:val="46"/>
                    <w:ind w:firstLine="0" w:firstLineChars="0"/>
                    <w:jc w:val="center"/>
                    <w:rPr>
                      <w:bCs/>
                      <w:kern w:val="0"/>
                      <w:szCs w:val="21"/>
                    </w:rPr>
                  </w:pPr>
                  <w:r>
                    <w:rPr>
                      <w:rFonts w:hint="eastAsia"/>
                      <w:bCs/>
                      <w:kern w:val="0"/>
                      <w:szCs w:val="21"/>
                    </w:rPr>
                    <w:t>排放浓度mg</w:t>
                  </w:r>
                  <w:r>
                    <w:rPr>
                      <w:bCs/>
                      <w:kern w:val="0"/>
                      <w:szCs w:val="21"/>
                    </w:rPr>
                    <w:t>/m</w:t>
                  </w:r>
                  <w:r>
                    <w:rPr>
                      <w:bCs/>
                      <w:kern w:val="0"/>
                      <w:szCs w:val="21"/>
                      <w:vertAlign w:val="superscript"/>
                    </w:rPr>
                    <w:t>3</w:t>
                  </w:r>
                </w:p>
              </w:tc>
              <w:tc>
                <w:tcPr>
                  <w:tcW w:w="951" w:type="dxa"/>
                  <w:vAlign w:val="center"/>
                </w:tcPr>
                <w:p>
                  <w:pPr>
                    <w:pStyle w:val="46"/>
                    <w:ind w:firstLine="0" w:firstLineChars="0"/>
                    <w:jc w:val="center"/>
                    <w:rPr>
                      <w:bCs/>
                      <w:kern w:val="0"/>
                      <w:szCs w:val="21"/>
                    </w:rPr>
                  </w:pPr>
                  <w:r>
                    <w:rPr>
                      <w:rFonts w:hint="eastAsia"/>
                      <w:bCs/>
                      <w:kern w:val="0"/>
                      <w:szCs w:val="21"/>
                    </w:rPr>
                    <w:t>1</w:t>
                  </w:r>
                  <w:r>
                    <w:rPr>
                      <w:bCs/>
                      <w:kern w:val="0"/>
                      <w:szCs w:val="21"/>
                    </w:rPr>
                    <w:t>.48</w:t>
                  </w:r>
                </w:p>
              </w:tc>
              <w:tc>
                <w:tcPr>
                  <w:tcW w:w="951" w:type="dxa"/>
                  <w:vAlign w:val="center"/>
                </w:tcPr>
                <w:p>
                  <w:pPr>
                    <w:pStyle w:val="46"/>
                    <w:ind w:firstLine="0" w:firstLineChars="0"/>
                    <w:jc w:val="center"/>
                    <w:rPr>
                      <w:bCs/>
                      <w:kern w:val="0"/>
                      <w:szCs w:val="21"/>
                    </w:rPr>
                  </w:pPr>
                  <w:r>
                    <w:rPr>
                      <w:rFonts w:hint="eastAsia"/>
                      <w:bCs/>
                      <w:kern w:val="0"/>
                      <w:szCs w:val="21"/>
                    </w:rPr>
                    <w:t>2</w:t>
                  </w:r>
                  <w:r>
                    <w:rPr>
                      <w:bCs/>
                      <w:kern w:val="0"/>
                      <w:szCs w:val="21"/>
                    </w:rPr>
                    <w:t>.18</w:t>
                  </w:r>
                </w:p>
              </w:tc>
              <w:tc>
                <w:tcPr>
                  <w:tcW w:w="951" w:type="dxa"/>
                  <w:vAlign w:val="center"/>
                </w:tcPr>
                <w:p>
                  <w:pPr>
                    <w:pStyle w:val="46"/>
                    <w:ind w:firstLine="0" w:firstLineChars="0"/>
                    <w:jc w:val="center"/>
                    <w:rPr>
                      <w:bCs/>
                      <w:kern w:val="0"/>
                      <w:szCs w:val="21"/>
                    </w:rPr>
                  </w:pPr>
                  <w:r>
                    <w:rPr>
                      <w:rFonts w:hint="eastAsia"/>
                      <w:bCs/>
                      <w:kern w:val="0"/>
                      <w:szCs w:val="21"/>
                    </w:rPr>
                    <w:t>1</w:t>
                  </w:r>
                  <w:r>
                    <w:rPr>
                      <w:bCs/>
                      <w:kern w:val="0"/>
                      <w:szCs w:val="21"/>
                    </w:rPr>
                    <w:t>.96</w:t>
                  </w:r>
                </w:p>
              </w:tc>
              <w:tc>
                <w:tcPr>
                  <w:tcW w:w="952" w:type="dxa"/>
                  <w:vAlign w:val="center"/>
                </w:tcPr>
                <w:p>
                  <w:pPr>
                    <w:pStyle w:val="46"/>
                    <w:ind w:firstLine="0" w:firstLineChars="0"/>
                    <w:jc w:val="center"/>
                    <w:rPr>
                      <w:bCs/>
                      <w:kern w:val="0"/>
                      <w:szCs w:val="21"/>
                    </w:rPr>
                  </w:pPr>
                  <w:r>
                    <w:rPr>
                      <w:rFonts w:hint="eastAsia"/>
                      <w:bCs/>
                      <w:kern w:val="0"/>
                      <w:szCs w:val="21"/>
                    </w:rPr>
                    <w:t>3</w:t>
                  </w:r>
                  <w:r>
                    <w:rPr>
                      <w:bCs/>
                      <w:kern w:val="0"/>
                      <w:szCs w:val="21"/>
                    </w:rPr>
                    <w:t>.94</w:t>
                  </w:r>
                </w:p>
              </w:tc>
              <w:tc>
                <w:tcPr>
                  <w:tcW w:w="784" w:type="dxa"/>
                  <w:vAlign w:val="center"/>
                </w:tcPr>
                <w:p>
                  <w:pPr>
                    <w:pStyle w:val="46"/>
                    <w:ind w:firstLine="0" w:firstLineChars="0"/>
                    <w:jc w:val="center"/>
                    <w:rPr>
                      <w:bCs/>
                      <w:kern w:val="0"/>
                      <w:szCs w:val="21"/>
                    </w:rPr>
                  </w:pPr>
                  <w:r>
                    <w:rPr>
                      <w:rFonts w:hint="eastAsia"/>
                      <w:bCs/>
                      <w:kern w:val="0"/>
                      <w:szCs w:val="21"/>
                    </w:rPr>
                    <w:t>9</w:t>
                  </w:r>
                  <w:r>
                    <w:rPr>
                      <w:bCs/>
                      <w:kern w:val="0"/>
                      <w:szCs w:val="21"/>
                    </w:rPr>
                    <w:t>.0</w:t>
                  </w:r>
                </w:p>
              </w:tc>
              <w:tc>
                <w:tcPr>
                  <w:tcW w:w="729" w:type="dxa"/>
                  <w:vAlign w:val="center"/>
                </w:tcPr>
                <w:p>
                  <w:pPr>
                    <w:pStyle w:val="46"/>
                    <w:ind w:firstLine="0" w:firstLineChars="0"/>
                    <w:jc w:val="center"/>
                    <w:rPr>
                      <w:bCs/>
                      <w:kern w:val="0"/>
                      <w:szCs w:val="21"/>
                    </w:rPr>
                  </w:pPr>
                  <w:r>
                    <w:rPr>
                      <w:rFonts w:hint="eastAsia"/>
                      <w:bCs/>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Merge w:val="continue"/>
                  <w:vAlign w:val="center"/>
                </w:tcPr>
                <w:p>
                  <w:pPr>
                    <w:pStyle w:val="46"/>
                    <w:ind w:firstLine="0" w:firstLineChars="0"/>
                    <w:jc w:val="center"/>
                    <w:rPr>
                      <w:bCs/>
                      <w:kern w:val="0"/>
                      <w:szCs w:val="21"/>
                    </w:rPr>
                  </w:pPr>
                </w:p>
              </w:tc>
              <w:tc>
                <w:tcPr>
                  <w:tcW w:w="709" w:type="dxa"/>
                  <w:vMerge w:val="continue"/>
                  <w:vAlign w:val="center"/>
                </w:tcPr>
                <w:p>
                  <w:pPr>
                    <w:pStyle w:val="46"/>
                    <w:ind w:firstLine="0" w:firstLineChars="0"/>
                    <w:jc w:val="center"/>
                    <w:rPr>
                      <w:bCs/>
                      <w:kern w:val="0"/>
                      <w:szCs w:val="21"/>
                    </w:rPr>
                  </w:pPr>
                </w:p>
              </w:tc>
              <w:tc>
                <w:tcPr>
                  <w:tcW w:w="1275" w:type="dxa"/>
                  <w:vAlign w:val="center"/>
                </w:tcPr>
                <w:p>
                  <w:pPr>
                    <w:pStyle w:val="46"/>
                    <w:ind w:firstLine="0" w:firstLineChars="0"/>
                    <w:jc w:val="center"/>
                    <w:rPr>
                      <w:bCs/>
                      <w:kern w:val="0"/>
                      <w:szCs w:val="21"/>
                    </w:rPr>
                  </w:pPr>
                  <w:r>
                    <w:rPr>
                      <w:rFonts w:hint="eastAsia"/>
                      <w:bCs/>
                      <w:kern w:val="0"/>
                      <w:szCs w:val="21"/>
                    </w:rPr>
                    <w:t>排放量k</w:t>
                  </w:r>
                  <w:r>
                    <w:rPr>
                      <w:bCs/>
                      <w:kern w:val="0"/>
                      <w:szCs w:val="21"/>
                    </w:rPr>
                    <w:t>g/h</w:t>
                  </w:r>
                </w:p>
              </w:tc>
              <w:tc>
                <w:tcPr>
                  <w:tcW w:w="951" w:type="dxa"/>
                  <w:vAlign w:val="center"/>
                </w:tcPr>
                <w:p>
                  <w:pPr>
                    <w:pStyle w:val="46"/>
                    <w:ind w:firstLine="0" w:firstLineChars="0"/>
                    <w:jc w:val="center"/>
                    <w:rPr>
                      <w:bCs/>
                      <w:kern w:val="0"/>
                      <w:szCs w:val="21"/>
                    </w:rPr>
                  </w:pPr>
                  <w:r>
                    <w:rPr>
                      <w:rFonts w:hint="eastAsia"/>
                      <w:bCs/>
                      <w:kern w:val="0"/>
                      <w:szCs w:val="21"/>
                    </w:rPr>
                    <w:t>0</w:t>
                  </w:r>
                  <w:r>
                    <w:rPr>
                      <w:bCs/>
                      <w:kern w:val="0"/>
                      <w:szCs w:val="21"/>
                    </w:rPr>
                    <w:t>.065</w:t>
                  </w:r>
                </w:p>
              </w:tc>
              <w:tc>
                <w:tcPr>
                  <w:tcW w:w="951" w:type="dxa"/>
                  <w:vAlign w:val="center"/>
                </w:tcPr>
                <w:p>
                  <w:pPr>
                    <w:pStyle w:val="46"/>
                    <w:ind w:firstLine="0" w:firstLineChars="0"/>
                    <w:jc w:val="center"/>
                    <w:rPr>
                      <w:bCs/>
                      <w:kern w:val="0"/>
                      <w:szCs w:val="21"/>
                    </w:rPr>
                  </w:pPr>
                  <w:r>
                    <w:rPr>
                      <w:rFonts w:hint="eastAsia"/>
                      <w:bCs/>
                      <w:kern w:val="0"/>
                      <w:szCs w:val="21"/>
                    </w:rPr>
                    <w:t>0</w:t>
                  </w:r>
                  <w:r>
                    <w:rPr>
                      <w:bCs/>
                      <w:kern w:val="0"/>
                      <w:szCs w:val="21"/>
                    </w:rPr>
                    <w:t>.094</w:t>
                  </w:r>
                </w:p>
              </w:tc>
              <w:tc>
                <w:tcPr>
                  <w:tcW w:w="951" w:type="dxa"/>
                  <w:vAlign w:val="center"/>
                </w:tcPr>
                <w:p>
                  <w:pPr>
                    <w:pStyle w:val="46"/>
                    <w:ind w:firstLine="0" w:firstLineChars="0"/>
                    <w:jc w:val="center"/>
                    <w:rPr>
                      <w:bCs/>
                      <w:kern w:val="0"/>
                      <w:szCs w:val="21"/>
                    </w:rPr>
                  </w:pPr>
                  <w:r>
                    <w:rPr>
                      <w:rFonts w:hint="eastAsia"/>
                      <w:bCs/>
                      <w:kern w:val="0"/>
                      <w:szCs w:val="21"/>
                    </w:rPr>
                    <w:t>0</w:t>
                  </w:r>
                  <w:r>
                    <w:rPr>
                      <w:bCs/>
                      <w:kern w:val="0"/>
                      <w:szCs w:val="21"/>
                    </w:rPr>
                    <w:t>.043</w:t>
                  </w:r>
                </w:p>
              </w:tc>
              <w:tc>
                <w:tcPr>
                  <w:tcW w:w="952" w:type="dxa"/>
                  <w:vAlign w:val="center"/>
                </w:tcPr>
                <w:p>
                  <w:pPr>
                    <w:pStyle w:val="46"/>
                    <w:ind w:firstLine="0" w:firstLineChars="0"/>
                    <w:jc w:val="center"/>
                    <w:rPr>
                      <w:bCs/>
                      <w:kern w:val="0"/>
                      <w:szCs w:val="21"/>
                    </w:rPr>
                  </w:pPr>
                  <w:r>
                    <w:rPr>
                      <w:rFonts w:hint="eastAsia"/>
                      <w:bCs/>
                      <w:kern w:val="0"/>
                      <w:szCs w:val="21"/>
                    </w:rPr>
                    <w:t>0</w:t>
                  </w:r>
                  <w:r>
                    <w:rPr>
                      <w:bCs/>
                      <w:kern w:val="0"/>
                      <w:szCs w:val="21"/>
                    </w:rPr>
                    <w:t>.130</w:t>
                  </w:r>
                </w:p>
              </w:tc>
              <w:tc>
                <w:tcPr>
                  <w:tcW w:w="784" w:type="dxa"/>
                  <w:vAlign w:val="center"/>
                </w:tcPr>
                <w:p>
                  <w:pPr>
                    <w:pStyle w:val="46"/>
                    <w:ind w:firstLine="0" w:firstLineChars="0"/>
                    <w:jc w:val="center"/>
                    <w:rPr>
                      <w:bCs/>
                      <w:kern w:val="0"/>
                      <w:szCs w:val="21"/>
                    </w:rPr>
                  </w:pPr>
                  <w:r>
                    <w:rPr>
                      <w:rFonts w:hint="eastAsia"/>
                      <w:bCs/>
                      <w:kern w:val="0"/>
                      <w:szCs w:val="21"/>
                    </w:rPr>
                    <w:t>1</w:t>
                  </w:r>
                  <w:r>
                    <w:rPr>
                      <w:bCs/>
                      <w:kern w:val="0"/>
                      <w:szCs w:val="21"/>
                    </w:rPr>
                    <w:t>.0</w:t>
                  </w:r>
                </w:p>
              </w:tc>
              <w:tc>
                <w:tcPr>
                  <w:tcW w:w="729" w:type="dxa"/>
                  <w:vAlign w:val="center"/>
                </w:tcPr>
                <w:p>
                  <w:pPr>
                    <w:pStyle w:val="46"/>
                    <w:ind w:firstLine="0" w:firstLineChars="0"/>
                    <w:jc w:val="center"/>
                    <w:rPr>
                      <w:bCs/>
                      <w:kern w:val="0"/>
                      <w:szCs w:val="21"/>
                    </w:rPr>
                  </w:pPr>
                  <w:r>
                    <w:rPr>
                      <w:rFonts w:hint="eastAsia"/>
                      <w:bCs/>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Merge w:val="continue"/>
                  <w:vAlign w:val="center"/>
                </w:tcPr>
                <w:p>
                  <w:pPr>
                    <w:pStyle w:val="46"/>
                    <w:ind w:firstLine="0" w:firstLineChars="0"/>
                    <w:jc w:val="center"/>
                    <w:rPr>
                      <w:bCs/>
                      <w:kern w:val="0"/>
                      <w:szCs w:val="21"/>
                    </w:rPr>
                  </w:pPr>
                </w:p>
              </w:tc>
              <w:tc>
                <w:tcPr>
                  <w:tcW w:w="709" w:type="dxa"/>
                  <w:vMerge w:val="restart"/>
                  <w:vAlign w:val="center"/>
                </w:tcPr>
                <w:p>
                  <w:pPr>
                    <w:pStyle w:val="46"/>
                    <w:ind w:firstLine="0" w:firstLineChars="0"/>
                    <w:jc w:val="center"/>
                    <w:rPr>
                      <w:bCs/>
                      <w:kern w:val="0"/>
                      <w:szCs w:val="21"/>
                    </w:rPr>
                  </w:pPr>
                  <w:r>
                    <w:rPr>
                      <w:rFonts w:hint="eastAsia"/>
                      <w:bCs/>
                      <w:kern w:val="0"/>
                      <w:szCs w:val="21"/>
                    </w:rPr>
                    <w:t>氮氧化物</w:t>
                  </w:r>
                </w:p>
              </w:tc>
              <w:tc>
                <w:tcPr>
                  <w:tcW w:w="1275" w:type="dxa"/>
                  <w:vAlign w:val="center"/>
                </w:tcPr>
                <w:p>
                  <w:pPr>
                    <w:pStyle w:val="46"/>
                    <w:ind w:firstLine="0" w:firstLineChars="0"/>
                    <w:jc w:val="center"/>
                    <w:rPr>
                      <w:bCs/>
                      <w:kern w:val="0"/>
                      <w:szCs w:val="21"/>
                    </w:rPr>
                  </w:pPr>
                  <w:r>
                    <w:rPr>
                      <w:rFonts w:hint="eastAsia"/>
                      <w:bCs/>
                      <w:kern w:val="0"/>
                      <w:szCs w:val="21"/>
                    </w:rPr>
                    <w:t>排放浓度mg</w:t>
                  </w:r>
                  <w:r>
                    <w:rPr>
                      <w:bCs/>
                      <w:kern w:val="0"/>
                      <w:szCs w:val="21"/>
                    </w:rPr>
                    <w:t>/m</w:t>
                  </w:r>
                  <w:r>
                    <w:rPr>
                      <w:bCs/>
                      <w:kern w:val="0"/>
                      <w:szCs w:val="21"/>
                      <w:vertAlign w:val="superscript"/>
                    </w:rPr>
                    <w:t>3</w:t>
                  </w:r>
                </w:p>
              </w:tc>
              <w:tc>
                <w:tcPr>
                  <w:tcW w:w="951" w:type="dxa"/>
                  <w:vAlign w:val="center"/>
                </w:tcPr>
                <w:p>
                  <w:pPr>
                    <w:pStyle w:val="46"/>
                    <w:ind w:firstLine="0" w:firstLineChars="0"/>
                    <w:jc w:val="center"/>
                    <w:rPr>
                      <w:bCs/>
                      <w:kern w:val="0"/>
                      <w:szCs w:val="21"/>
                    </w:rPr>
                  </w:pPr>
                  <w:r>
                    <w:rPr>
                      <w:rFonts w:hint="eastAsia"/>
                      <w:bCs/>
                      <w:kern w:val="0"/>
                      <w:szCs w:val="21"/>
                    </w:rPr>
                    <w:t>6</w:t>
                  </w:r>
                  <w:r>
                    <w:rPr>
                      <w:bCs/>
                      <w:kern w:val="0"/>
                      <w:szCs w:val="21"/>
                    </w:rPr>
                    <w:t>3</w:t>
                  </w:r>
                </w:p>
              </w:tc>
              <w:tc>
                <w:tcPr>
                  <w:tcW w:w="951" w:type="dxa"/>
                  <w:vAlign w:val="center"/>
                </w:tcPr>
                <w:p>
                  <w:pPr>
                    <w:pStyle w:val="46"/>
                    <w:ind w:firstLine="0" w:firstLineChars="0"/>
                    <w:jc w:val="center"/>
                    <w:rPr>
                      <w:bCs/>
                      <w:kern w:val="0"/>
                      <w:szCs w:val="21"/>
                    </w:rPr>
                  </w:pPr>
                  <w:r>
                    <w:rPr>
                      <w:rFonts w:hint="eastAsia"/>
                      <w:bCs/>
                      <w:kern w:val="0"/>
                      <w:szCs w:val="21"/>
                    </w:rPr>
                    <w:t>7</w:t>
                  </w:r>
                  <w:r>
                    <w:rPr>
                      <w:bCs/>
                      <w:kern w:val="0"/>
                      <w:szCs w:val="21"/>
                    </w:rPr>
                    <w:t>4</w:t>
                  </w:r>
                </w:p>
              </w:tc>
              <w:tc>
                <w:tcPr>
                  <w:tcW w:w="951" w:type="dxa"/>
                  <w:vAlign w:val="center"/>
                </w:tcPr>
                <w:p>
                  <w:pPr>
                    <w:pStyle w:val="46"/>
                    <w:ind w:firstLine="0" w:firstLineChars="0"/>
                    <w:jc w:val="center"/>
                    <w:rPr>
                      <w:bCs/>
                      <w:kern w:val="0"/>
                      <w:szCs w:val="21"/>
                    </w:rPr>
                  </w:pPr>
                  <w:r>
                    <w:rPr>
                      <w:rFonts w:hint="eastAsia"/>
                      <w:bCs/>
                      <w:kern w:val="0"/>
                      <w:szCs w:val="21"/>
                    </w:rPr>
                    <w:t>7</w:t>
                  </w:r>
                  <w:r>
                    <w:rPr>
                      <w:bCs/>
                      <w:kern w:val="0"/>
                      <w:szCs w:val="21"/>
                    </w:rPr>
                    <w:t>1</w:t>
                  </w:r>
                </w:p>
              </w:tc>
              <w:tc>
                <w:tcPr>
                  <w:tcW w:w="952" w:type="dxa"/>
                  <w:vAlign w:val="center"/>
                </w:tcPr>
                <w:p>
                  <w:pPr>
                    <w:pStyle w:val="46"/>
                    <w:ind w:firstLine="0" w:firstLineChars="0"/>
                    <w:jc w:val="center"/>
                    <w:rPr>
                      <w:bCs/>
                      <w:kern w:val="0"/>
                      <w:szCs w:val="21"/>
                    </w:rPr>
                  </w:pPr>
                  <w:r>
                    <w:rPr>
                      <w:rFonts w:hint="eastAsia"/>
                      <w:bCs/>
                      <w:kern w:val="0"/>
                      <w:szCs w:val="21"/>
                    </w:rPr>
                    <w:t>7</w:t>
                  </w:r>
                  <w:r>
                    <w:rPr>
                      <w:bCs/>
                      <w:kern w:val="0"/>
                      <w:szCs w:val="21"/>
                    </w:rPr>
                    <w:t>5</w:t>
                  </w:r>
                </w:p>
              </w:tc>
              <w:tc>
                <w:tcPr>
                  <w:tcW w:w="784" w:type="dxa"/>
                  <w:vAlign w:val="center"/>
                </w:tcPr>
                <w:p>
                  <w:pPr>
                    <w:pStyle w:val="46"/>
                    <w:ind w:firstLine="0" w:firstLineChars="0"/>
                    <w:jc w:val="center"/>
                    <w:rPr>
                      <w:bCs/>
                      <w:kern w:val="0"/>
                      <w:szCs w:val="21"/>
                    </w:rPr>
                  </w:pPr>
                  <w:r>
                    <w:rPr>
                      <w:rFonts w:hint="eastAsia"/>
                      <w:bCs/>
                      <w:kern w:val="0"/>
                      <w:szCs w:val="21"/>
                    </w:rPr>
                    <w:t>2</w:t>
                  </w:r>
                  <w:r>
                    <w:rPr>
                      <w:bCs/>
                      <w:kern w:val="0"/>
                      <w:szCs w:val="21"/>
                    </w:rPr>
                    <w:t>40</w:t>
                  </w:r>
                </w:p>
              </w:tc>
              <w:tc>
                <w:tcPr>
                  <w:tcW w:w="729" w:type="dxa"/>
                  <w:vAlign w:val="center"/>
                </w:tcPr>
                <w:p>
                  <w:pPr>
                    <w:pStyle w:val="46"/>
                    <w:ind w:firstLine="0" w:firstLineChars="0"/>
                    <w:jc w:val="center"/>
                    <w:rPr>
                      <w:bCs/>
                      <w:kern w:val="0"/>
                      <w:szCs w:val="21"/>
                    </w:rPr>
                  </w:pPr>
                  <w:r>
                    <w:rPr>
                      <w:rFonts w:hint="eastAsia"/>
                      <w:bCs/>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Merge w:val="continue"/>
                  <w:vAlign w:val="center"/>
                </w:tcPr>
                <w:p>
                  <w:pPr>
                    <w:pStyle w:val="46"/>
                    <w:ind w:firstLine="0" w:firstLineChars="0"/>
                    <w:jc w:val="center"/>
                    <w:rPr>
                      <w:bCs/>
                      <w:kern w:val="0"/>
                      <w:szCs w:val="21"/>
                    </w:rPr>
                  </w:pPr>
                </w:p>
              </w:tc>
              <w:tc>
                <w:tcPr>
                  <w:tcW w:w="709" w:type="dxa"/>
                  <w:vMerge w:val="continue"/>
                  <w:vAlign w:val="center"/>
                </w:tcPr>
                <w:p>
                  <w:pPr>
                    <w:pStyle w:val="46"/>
                    <w:ind w:firstLine="0" w:firstLineChars="0"/>
                    <w:jc w:val="center"/>
                    <w:rPr>
                      <w:bCs/>
                      <w:kern w:val="0"/>
                      <w:szCs w:val="21"/>
                    </w:rPr>
                  </w:pPr>
                </w:p>
              </w:tc>
              <w:tc>
                <w:tcPr>
                  <w:tcW w:w="1275" w:type="dxa"/>
                  <w:vAlign w:val="center"/>
                </w:tcPr>
                <w:p>
                  <w:pPr>
                    <w:pStyle w:val="46"/>
                    <w:ind w:firstLine="0" w:firstLineChars="0"/>
                    <w:jc w:val="center"/>
                    <w:rPr>
                      <w:bCs/>
                      <w:kern w:val="0"/>
                      <w:szCs w:val="21"/>
                    </w:rPr>
                  </w:pPr>
                  <w:r>
                    <w:rPr>
                      <w:rFonts w:hint="eastAsia"/>
                      <w:bCs/>
                      <w:kern w:val="0"/>
                      <w:szCs w:val="21"/>
                    </w:rPr>
                    <w:t>排放量k</w:t>
                  </w:r>
                  <w:r>
                    <w:rPr>
                      <w:bCs/>
                      <w:kern w:val="0"/>
                      <w:szCs w:val="21"/>
                    </w:rPr>
                    <w:t>g/h</w:t>
                  </w:r>
                </w:p>
              </w:tc>
              <w:tc>
                <w:tcPr>
                  <w:tcW w:w="951" w:type="dxa"/>
                  <w:vAlign w:val="center"/>
                </w:tcPr>
                <w:p>
                  <w:pPr>
                    <w:pStyle w:val="46"/>
                    <w:ind w:firstLine="0" w:firstLineChars="0"/>
                    <w:jc w:val="center"/>
                    <w:rPr>
                      <w:bCs/>
                      <w:kern w:val="0"/>
                      <w:szCs w:val="21"/>
                    </w:rPr>
                  </w:pPr>
                  <w:r>
                    <w:rPr>
                      <w:rFonts w:hint="eastAsia"/>
                      <w:bCs/>
                      <w:kern w:val="0"/>
                      <w:szCs w:val="21"/>
                    </w:rPr>
                    <w:t>2</w:t>
                  </w:r>
                  <w:r>
                    <w:rPr>
                      <w:bCs/>
                      <w:kern w:val="0"/>
                      <w:szCs w:val="21"/>
                    </w:rPr>
                    <w:t>.82</w:t>
                  </w:r>
                </w:p>
              </w:tc>
              <w:tc>
                <w:tcPr>
                  <w:tcW w:w="951" w:type="dxa"/>
                  <w:vAlign w:val="center"/>
                </w:tcPr>
                <w:p>
                  <w:pPr>
                    <w:pStyle w:val="46"/>
                    <w:ind w:firstLine="0" w:firstLineChars="0"/>
                    <w:jc w:val="center"/>
                    <w:rPr>
                      <w:bCs/>
                      <w:kern w:val="0"/>
                      <w:szCs w:val="21"/>
                    </w:rPr>
                  </w:pPr>
                  <w:r>
                    <w:rPr>
                      <w:rFonts w:hint="eastAsia"/>
                      <w:bCs/>
                      <w:kern w:val="0"/>
                      <w:szCs w:val="21"/>
                    </w:rPr>
                    <w:t>3</w:t>
                  </w:r>
                  <w:r>
                    <w:rPr>
                      <w:bCs/>
                      <w:kern w:val="0"/>
                      <w:szCs w:val="21"/>
                    </w:rPr>
                    <w:t>.20</w:t>
                  </w:r>
                </w:p>
              </w:tc>
              <w:tc>
                <w:tcPr>
                  <w:tcW w:w="951" w:type="dxa"/>
                  <w:vAlign w:val="center"/>
                </w:tcPr>
                <w:p>
                  <w:pPr>
                    <w:pStyle w:val="46"/>
                    <w:ind w:firstLine="0" w:firstLineChars="0"/>
                    <w:jc w:val="center"/>
                    <w:rPr>
                      <w:bCs/>
                      <w:kern w:val="0"/>
                      <w:szCs w:val="21"/>
                    </w:rPr>
                  </w:pPr>
                  <w:r>
                    <w:rPr>
                      <w:rFonts w:hint="eastAsia"/>
                      <w:bCs/>
                      <w:kern w:val="0"/>
                      <w:szCs w:val="21"/>
                    </w:rPr>
                    <w:t>1</w:t>
                  </w:r>
                  <w:r>
                    <w:rPr>
                      <w:bCs/>
                      <w:kern w:val="0"/>
                      <w:szCs w:val="21"/>
                    </w:rPr>
                    <w:t>.55</w:t>
                  </w:r>
                </w:p>
              </w:tc>
              <w:tc>
                <w:tcPr>
                  <w:tcW w:w="952" w:type="dxa"/>
                  <w:vAlign w:val="center"/>
                </w:tcPr>
                <w:p>
                  <w:pPr>
                    <w:pStyle w:val="46"/>
                    <w:ind w:firstLine="0" w:firstLineChars="0"/>
                    <w:jc w:val="center"/>
                    <w:rPr>
                      <w:bCs/>
                      <w:kern w:val="0"/>
                      <w:szCs w:val="21"/>
                    </w:rPr>
                  </w:pPr>
                  <w:r>
                    <w:rPr>
                      <w:rFonts w:hint="eastAsia"/>
                      <w:bCs/>
                      <w:kern w:val="0"/>
                      <w:szCs w:val="21"/>
                    </w:rPr>
                    <w:t>4</w:t>
                  </w:r>
                  <w:r>
                    <w:rPr>
                      <w:bCs/>
                      <w:kern w:val="0"/>
                      <w:szCs w:val="21"/>
                    </w:rPr>
                    <w:t>.07</w:t>
                  </w:r>
                </w:p>
              </w:tc>
              <w:tc>
                <w:tcPr>
                  <w:tcW w:w="784" w:type="dxa"/>
                  <w:vAlign w:val="center"/>
                </w:tcPr>
                <w:p>
                  <w:pPr>
                    <w:pStyle w:val="46"/>
                    <w:ind w:firstLine="0" w:firstLineChars="0"/>
                    <w:jc w:val="center"/>
                    <w:rPr>
                      <w:bCs/>
                      <w:kern w:val="0"/>
                      <w:szCs w:val="21"/>
                    </w:rPr>
                  </w:pPr>
                  <w:r>
                    <w:rPr>
                      <w:rFonts w:hint="eastAsia"/>
                      <w:bCs/>
                      <w:kern w:val="0"/>
                      <w:szCs w:val="21"/>
                    </w:rPr>
                    <w:t>7</w:t>
                  </w:r>
                  <w:r>
                    <w:rPr>
                      <w:bCs/>
                      <w:kern w:val="0"/>
                      <w:szCs w:val="21"/>
                    </w:rPr>
                    <w:t>.5</w:t>
                  </w:r>
                </w:p>
              </w:tc>
              <w:tc>
                <w:tcPr>
                  <w:tcW w:w="729" w:type="dxa"/>
                  <w:vAlign w:val="center"/>
                </w:tcPr>
                <w:p>
                  <w:pPr>
                    <w:pStyle w:val="46"/>
                    <w:ind w:firstLine="0" w:firstLineChars="0"/>
                    <w:jc w:val="center"/>
                    <w:rPr>
                      <w:bCs/>
                      <w:kern w:val="0"/>
                      <w:szCs w:val="21"/>
                    </w:rPr>
                  </w:pPr>
                  <w:r>
                    <w:rPr>
                      <w:rFonts w:hint="eastAsia"/>
                      <w:bCs/>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Merge w:val="continue"/>
                  <w:vAlign w:val="center"/>
                </w:tcPr>
                <w:p>
                  <w:pPr>
                    <w:pStyle w:val="46"/>
                    <w:ind w:firstLine="0" w:firstLineChars="0"/>
                    <w:jc w:val="center"/>
                    <w:rPr>
                      <w:bCs/>
                      <w:kern w:val="0"/>
                      <w:szCs w:val="21"/>
                    </w:rPr>
                  </w:pPr>
                </w:p>
              </w:tc>
              <w:tc>
                <w:tcPr>
                  <w:tcW w:w="709" w:type="dxa"/>
                  <w:vMerge w:val="restart"/>
                  <w:vAlign w:val="center"/>
                </w:tcPr>
                <w:p>
                  <w:pPr>
                    <w:pStyle w:val="46"/>
                    <w:ind w:firstLine="0" w:firstLineChars="0"/>
                    <w:jc w:val="center"/>
                    <w:rPr>
                      <w:bCs/>
                      <w:kern w:val="0"/>
                      <w:szCs w:val="21"/>
                    </w:rPr>
                  </w:pPr>
                  <w:r>
                    <w:rPr>
                      <w:rFonts w:hint="eastAsia"/>
                      <w:bCs/>
                      <w:kern w:val="0"/>
                      <w:szCs w:val="21"/>
                    </w:rPr>
                    <w:t>二氧化硫</w:t>
                  </w:r>
                </w:p>
              </w:tc>
              <w:tc>
                <w:tcPr>
                  <w:tcW w:w="1275" w:type="dxa"/>
                  <w:vAlign w:val="center"/>
                </w:tcPr>
                <w:p>
                  <w:pPr>
                    <w:pStyle w:val="46"/>
                    <w:ind w:firstLine="0" w:firstLineChars="0"/>
                    <w:jc w:val="center"/>
                    <w:rPr>
                      <w:bCs/>
                      <w:kern w:val="0"/>
                      <w:szCs w:val="21"/>
                    </w:rPr>
                  </w:pPr>
                  <w:r>
                    <w:rPr>
                      <w:rFonts w:hint="eastAsia"/>
                      <w:bCs/>
                      <w:kern w:val="0"/>
                      <w:szCs w:val="21"/>
                    </w:rPr>
                    <w:t>排放浓度mg</w:t>
                  </w:r>
                  <w:r>
                    <w:rPr>
                      <w:bCs/>
                      <w:kern w:val="0"/>
                      <w:szCs w:val="21"/>
                    </w:rPr>
                    <w:t>/m</w:t>
                  </w:r>
                  <w:r>
                    <w:rPr>
                      <w:bCs/>
                      <w:kern w:val="0"/>
                      <w:szCs w:val="21"/>
                      <w:vertAlign w:val="superscript"/>
                    </w:rPr>
                    <w:t>3</w:t>
                  </w:r>
                </w:p>
              </w:tc>
              <w:tc>
                <w:tcPr>
                  <w:tcW w:w="951" w:type="dxa"/>
                  <w:vAlign w:val="center"/>
                </w:tcPr>
                <w:p>
                  <w:pPr>
                    <w:pStyle w:val="46"/>
                    <w:ind w:firstLine="0" w:firstLineChars="0"/>
                    <w:jc w:val="center"/>
                    <w:rPr>
                      <w:bCs/>
                      <w:kern w:val="0"/>
                      <w:szCs w:val="21"/>
                    </w:rPr>
                  </w:pPr>
                  <w:r>
                    <w:rPr>
                      <w:rFonts w:hint="eastAsia"/>
                      <w:bCs/>
                      <w:kern w:val="0"/>
                      <w:szCs w:val="21"/>
                    </w:rPr>
                    <w:t>1</w:t>
                  </w:r>
                  <w:r>
                    <w:rPr>
                      <w:bCs/>
                      <w:kern w:val="0"/>
                      <w:szCs w:val="21"/>
                    </w:rPr>
                    <w:t>00</w:t>
                  </w:r>
                </w:p>
              </w:tc>
              <w:tc>
                <w:tcPr>
                  <w:tcW w:w="951" w:type="dxa"/>
                  <w:vAlign w:val="center"/>
                </w:tcPr>
                <w:p>
                  <w:pPr>
                    <w:pStyle w:val="46"/>
                    <w:ind w:firstLine="0" w:firstLineChars="0"/>
                    <w:jc w:val="center"/>
                    <w:rPr>
                      <w:bCs/>
                      <w:kern w:val="0"/>
                      <w:szCs w:val="21"/>
                    </w:rPr>
                  </w:pPr>
                  <w:r>
                    <w:rPr>
                      <w:rFonts w:hint="eastAsia"/>
                      <w:bCs/>
                      <w:kern w:val="0"/>
                      <w:szCs w:val="21"/>
                    </w:rPr>
                    <w:t>1</w:t>
                  </w:r>
                  <w:r>
                    <w:rPr>
                      <w:bCs/>
                      <w:kern w:val="0"/>
                      <w:szCs w:val="21"/>
                    </w:rPr>
                    <w:t>15</w:t>
                  </w:r>
                </w:p>
              </w:tc>
              <w:tc>
                <w:tcPr>
                  <w:tcW w:w="951" w:type="dxa"/>
                  <w:vAlign w:val="center"/>
                </w:tcPr>
                <w:p>
                  <w:pPr>
                    <w:pStyle w:val="46"/>
                    <w:ind w:firstLine="0" w:firstLineChars="0"/>
                    <w:jc w:val="center"/>
                    <w:rPr>
                      <w:bCs/>
                      <w:kern w:val="0"/>
                      <w:szCs w:val="21"/>
                    </w:rPr>
                  </w:pPr>
                  <w:r>
                    <w:rPr>
                      <w:rFonts w:hint="eastAsia"/>
                      <w:bCs/>
                      <w:kern w:val="0"/>
                      <w:szCs w:val="21"/>
                    </w:rPr>
                    <w:t>1</w:t>
                  </w:r>
                  <w:r>
                    <w:rPr>
                      <w:bCs/>
                      <w:kern w:val="0"/>
                      <w:szCs w:val="21"/>
                    </w:rPr>
                    <w:t>09</w:t>
                  </w:r>
                </w:p>
              </w:tc>
              <w:tc>
                <w:tcPr>
                  <w:tcW w:w="952" w:type="dxa"/>
                  <w:vAlign w:val="center"/>
                </w:tcPr>
                <w:p>
                  <w:pPr>
                    <w:pStyle w:val="46"/>
                    <w:ind w:firstLine="0" w:firstLineChars="0"/>
                    <w:jc w:val="center"/>
                    <w:rPr>
                      <w:bCs/>
                      <w:kern w:val="0"/>
                      <w:szCs w:val="21"/>
                    </w:rPr>
                  </w:pPr>
                  <w:r>
                    <w:rPr>
                      <w:rFonts w:hint="eastAsia"/>
                      <w:bCs/>
                      <w:kern w:val="0"/>
                      <w:szCs w:val="21"/>
                    </w:rPr>
                    <w:t>6</w:t>
                  </w:r>
                  <w:r>
                    <w:rPr>
                      <w:bCs/>
                      <w:kern w:val="0"/>
                      <w:szCs w:val="21"/>
                    </w:rPr>
                    <w:t>8</w:t>
                  </w:r>
                </w:p>
              </w:tc>
              <w:tc>
                <w:tcPr>
                  <w:tcW w:w="784" w:type="dxa"/>
                  <w:vAlign w:val="center"/>
                </w:tcPr>
                <w:p>
                  <w:pPr>
                    <w:pStyle w:val="46"/>
                    <w:ind w:firstLine="0" w:firstLineChars="0"/>
                    <w:jc w:val="center"/>
                    <w:rPr>
                      <w:bCs/>
                      <w:kern w:val="0"/>
                      <w:szCs w:val="21"/>
                    </w:rPr>
                  </w:pPr>
                  <w:r>
                    <w:rPr>
                      <w:rFonts w:hint="eastAsia"/>
                      <w:bCs/>
                      <w:kern w:val="0"/>
                      <w:szCs w:val="21"/>
                    </w:rPr>
                    <w:t>8</w:t>
                  </w:r>
                  <w:r>
                    <w:rPr>
                      <w:bCs/>
                      <w:kern w:val="0"/>
                      <w:szCs w:val="21"/>
                    </w:rPr>
                    <w:t>50</w:t>
                  </w:r>
                </w:p>
              </w:tc>
              <w:tc>
                <w:tcPr>
                  <w:tcW w:w="729" w:type="dxa"/>
                  <w:vAlign w:val="center"/>
                </w:tcPr>
                <w:p>
                  <w:pPr>
                    <w:pStyle w:val="46"/>
                    <w:ind w:firstLine="0" w:firstLineChars="0"/>
                    <w:jc w:val="center"/>
                    <w:rPr>
                      <w:bCs/>
                      <w:kern w:val="0"/>
                      <w:szCs w:val="21"/>
                    </w:rPr>
                  </w:pPr>
                  <w:r>
                    <w:rPr>
                      <w:rFonts w:hint="eastAsia"/>
                      <w:bCs/>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Merge w:val="continue"/>
                  <w:vAlign w:val="center"/>
                </w:tcPr>
                <w:p>
                  <w:pPr>
                    <w:pStyle w:val="46"/>
                    <w:ind w:firstLine="0" w:firstLineChars="0"/>
                    <w:jc w:val="center"/>
                    <w:rPr>
                      <w:bCs/>
                      <w:kern w:val="0"/>
                      <w:szCs w:val="21"/>
                    </w:rPr>
                  </w:pPr>
                </w:p>
              </w:tc>
              <w:tc>
                <w:tcPr>
                  <w:tcW w:w="709" w:type="dxa"/>
                  <w:vMerge w:val="continue"/>
                  <w:vAlign w:val="center"/>
                </w:tcPr>
                <w:p>
                  <w:pPr>
                    <w:pStyle w:val="46"/>
                    <w:ind w:firstLine="0" w:firstLineChars="0"/>
                    <w:jc w:val="center"/>
                    <w:rPr>
                      <w:bCs/>
                      <w:kern w:val="0"/>
                      <w:szCs w:val="21"/>
                    </w:rPr>
                  </w:pPr>
                </w:p>
              </w:tc>
              <w:tc>
                <w:tcPr>
                  <w:tcW w:w="1275" w:type="dxa"/>
                  <w:vAlign w:val="center"/>
                </w:tcPr>
                <w:p>
                  <w:pPr>
                    <w:pStyle w:val="46"/>
                    <w:ind w:firstLine="0" w:firstLineChars="0"/>
                    <w:jc w:val="center"/>
                    <w:rPr>
                      <w:bCs/>
                      <w:kern w:val="0"/>
                      <w:szCs w:val="21"/>
                    </w:rPr>
                  </w:pPr>
                  <w:r>
                    <w:rPr>
                      <w:rFonts w:hint="eastAsia"/>
                      <w:bCs/>
                      <w:kern w:val="0"/>
                      <w:szCs w:val="21"/>
                    </w:rPr>
                    <w:t>排放量k</w:t>
                  </w:r>
                  <w:r>
                    <w:rPr>
                      <w:bCs/>
                      <w:kern w:val="0"/>
                      <w:szCs w:val="21"/>
                    </w:rPr>
                    <w:t>g/h</w:t>
                  </w:r>
                </w:p>
              </w:tc>
              <w:tc>
                <w:tcPr>
                  <w:tcW w:w="951" w:type="dxa"/>
                  <w:vAlign w:val="center"/>
                </w:tcPr>
                <w:p>
                  <w:pPr>
                    <w:pStyle w:val="46"/>
                    <w:ind w:firstLine="0" w:firstLineChars="0"/>
                    <w:jc w:val="center"/>
                    <w:rPr>
                      <w:bCs/>
                      <w:kern w:val="0"/>
                      <w:szCs w:val="21"/>
                    </w:rPr>
                  </w:pPr>
                  <w:r>
                    <w:rPr>
                      <w:rFonts w:hint="eastAsia"/>
                      <w:bCs/>
                      <w:kern w:val="0"/>
                      <w:szCs w:val="21"/>
                    </w:rPr>
                    <w:t>4</w:t>
                  </w:r>
                  <w:r>
                    <w:rPr>
                      <w:bCs/>
                      <w:kern w:val="0"/>
                      <w:szCs w:val="21"/>
                    </w:rPr>
                    <w:t>.46</w:t>
                  </w:r>
                </w:p>
              </w:tc>
              <w:tc>
                <w:tcPr>
                  <w:tcW w:w="951" w:type="dxa"/>
                  <w:vAlign w:val="center"/>
                </w:tcPr>
                <w:p>
                  <w:pPr>
                    <w:pStyle w:val="46"/>
                    <w:ind w:firstLine="0" w:firstLineChars="0"/>
                    <w:jc w:val="center"/>
                    <w:rPr>
                      <w:bCs/>
                      <w:kern w:val="0"/>
                      <w:szCs w:val="21"/>
                    </w:rPr>
                  </w:pPr>
                  <w:r>
                    <w:rPr>
                      <w:rFonts w:hint="eastAsia"/>
                      <w:bCs/>
                      <w:kern w:val="0"/>
                      <w:szCs w:val="21"/>
                    </w:rPr>
                    <w:t>4</w:t>
                  </w:r>
                  <w:r>
                    <w:rPr>
                      <w:bCs/>
                      <w:kern w:val="0"/>
                      <w:szCs w:val="21"/>
                    </w:rPr>
                    <w:t>.95</w:t>
                  </w:r>
                </w:p>
              </w:tc>
              <w:tc>
                <w:tcPr>
                  <w:tcW w:w="951" w:type="dxa"/>
                  <w:vAlign w:val="center"/>
                </w:tcPr>
                <w:p>
                  <w:pPr>
                    <w:pStyle w:val="46"/>
                    <w:ind w:firstLine="0" w:firstLineChars="0"/>
                    <w:jc w:val="center"/>
                    <w:rPr>
                      <w:bCs/>
                      <w:kern w:val="0"/>
                      <w:szCs w:val="21"/>
                    </w:rPr>
                  </w:pPr>
                  <w:r>
                    <w:rPr>
                      <w:rFonts w:hint="eastAsia"/>
                      <w:bCs/>
                      <w:kern w:val="0"/>
                      <w:szCs w:val="21"/>
                    </w:rPr>
                    <w:t>2</w:t>
                  </w:r>
                  <w:r>
                    <w:rPr>
                      <w:bCs/>
                      <w:kern w:val="0"/>
                      <w:szCs w:val="21"/>
                    </w:rPr>
                    <w:t>.36</w:t>
                  </w:r>
                </w:p>
              </w:tc>
              <w:tc>
                <w:tcPr>
                  <w:tcW w:w="952" w:type="dxa"/>
                  <w:vAlign w:val="center"/>
                </w:tcPr>
                <w:p>
                  <w:pPr>
                    <w:pStyle w:val="46"/>
                    <w:ind w:firstLine="0" w:firstLineChars="0"/>
                    <w:jc w:val="center"/>
                    <w:rPr>
                      <w:bCs/>
                      <w:kern w:val="0"/>
                      <w:szCs w:val="21"/>
                    </w:rPr>
                  </w:pPr>
                  <w:r>
                    <w:rPr>
                      <w:rFonts w:hint="eastAsia"/>
                      <w:bCs/>
                      <w:kern w:val="0"/>
                      <w:szCs w:val="21"/>
                    </w:rPr>
                    <w:t>3</w:t>
                  </w:r>
                  <w:r>
                    <w:rPr>
                      <w:bCs/>
                      <w:kern w:val="0"/>
                      <w:szCs w:val="21"/>
                    </w:rPr>
                    <w:t>.73</w:t>
                  </w:r>
                </w:p>
              </w:tc>
              <w:tc>
                <w:tcPr>
                  <w:tcW w:w="784" w:type="dxa"/>
                  <w:vAlign w:val="center"/>
                </w:tcPr>
                <w:p>
                  <w:pPr>
                    <w:pStyle w:val="46"/>
                    <w:ind w:firstLine="0" w:firstLineChars="0"/>
                    <w:jc w:val="center"/>
                    <w:rPr>
                      <w:bCs/>
                      <w:kern w:val="0"/>
                      <w:szCs w:val="21"/>
                    </w:rPr>
                  </w:pPr>
                  <w:r>
                    <w:rPr>
                      <w:rFonts w:hint="eastAsia"/>
                      <w:bCs/>
                      <w:kern w:val="0"/>
                      <w:szCs w:val="21"/>
                    </w:rPr>
                    <w:t>/</w:t>
                  </w:r>
                </w:p>
              </w:tc>
              <w:tc>
                <w:tcPr>
                  <w:tcW w:w="729" w:type="dxa"/>
                  <w:vAlign w:val="center"/>
                </w:tcPr>
                <w:p>
                  <w:pPr>
                    <w:pStyle w:val="46"/>
                    <w:ind w:firstLine="0" w:firstLineChars="0"/>
                    <w:jc w:val="center"/>
                    <w:rPr>
                      <w:bCs/>
                      <w:kern w:val="0"/>
                      <w:szCs w:val="21"/>
                    </w:rPr>
                  </w:pPr>
                  <w:r>
                    <w:rPr>
                      <w:rFonts w:hint="eastAsia"/>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Merge w:val="continue"/>
                  <w:vAlign w:val="center"/>
                </w:tcPr>
                <w:p>
                  <w:pPr>
                    <w:pStyle w:val="46"/>
                    <w:ind w:firstLine="0" w:firstLineChars="0"/>
                    <w:jc w:val="center"/>
                    <w:rPr>
                      <w:bCs/>
                      <w:kern w:val="0"/>
                      <w:szCs w:val="21"/>
                    </w:rPr>
                  </w:pPr>
                </w:p>
              </w:tc>
              <w:tc>
                <w:tcPr>
                  <w:tcW w:w="709" w:type="dxa"/>
                  <w:vMerge w:val="restart"/>
                  <w:vAlign w:val="center"/>
                </w:tcPr>
                <w:p>
                  <w:pPr>
                    <w:pStyle w:val="46"/>
                    <w:ind w:firstLine="0" w:firstLineChars="0"/>
                    <w:jc w:val="center"/>
                    <w:rPr>
                      <w:bCs/>
                      <w:kern w:val="0"/>
                      <w:szCs w:val="21"/>
                    </w:rPr>
                  </w:pPr>
                  <w:r>
                    <w:rPr>
                      <w:rFonts w:hint="eastAsia"/>
                      <w:bCs/>
                      <w:kern w:val="0"/>
                      <w:szCs w:val="21"/>
                    </w:rPr>
                    <w:t>颗粒物</w:t>
                  </w:r>
                </w:p>
              </w:tc>
              <w:tc>
                <w:tcPr>
                  <w:tcW w:w="1275" w:type="dxa"/>
                  <w:vAlign w:val="center"/>
                </w:tcPr>
                <w:p>
                  <w:pPr>
                    <w:pStyle w:val="46"/>
                    <w:ind w:firstLine="0" w:firstLineChars="0"/>
                    <w:jc w:val="center"/>
                    <w:rPr>
                      <w:bCs/>
                      <w:kern w:val="0"/>
                      <w:szCs w:val="21"/>
                    </w:rPr>
                  </w:pPr>
                  <w:r>
                    <w:rPr>
                      <w:rFonts w:hint="eastAsia"/>
                      <w:bCs/>
                      <w:kern w:val="0"/>
                      <w:szCs w:val="21"/>
                    </w:rPr>
                    <w:t>排放浓度mg</w:t>
                  </w:r>
                  <w:r>
                    <w:rPr>
                      <w:bCs/>
                      <w:kern w:val="0"/>
                      <w:szCs w:val="21"/>
                    </w:rPr>
                    <w:t>/m</w:t>
                  </w:r>
                  <w:r>
                    <w:rPr>
                      <w:bCs/>
                      <w:kern w:val="0"/>
                      <w:szCs w:val="21"/>
                      <w:vertAlign w:val="superscript"/>
                    </w:rPr>
                    <w:t>3</w:t>
                  </w:r>
                </w:p>
              </w:tc>
              <w:tc>
                <w:tcPr>
                  <w:tcW w:w="951" w:type="dxa"/>
                  <w:vAlign w:val="center"/>
                </w:tcPr>
                <w:p>
                  <w:pPr>
                    <w:pStyle w:val="46"/>
                    <w:ind w:firstLine="0" w:firstLineChars="0"/>
                    <w:jc w:val="center"/>
                    <w:rPr>
                      <w:bCs/>
                      <w:kern w:val="0"/>
                      <w:szCs w:val="21"/>
                    </w:rPr>
                  </w:pPr>
                  <w:r>
                    <w:rPr>
                      <w:rFonts w:hint="eastAsia"/>
                      <w:bCs/>
                      <w:kern w:val="0"/>
                      <w:szCs w:val="21"/>
                    </w:rPr>
                    <w:t>5</w:t>
                  </w:r>
                  <w:r>
                    <w:rPr>
                      <w:bCs/>
                      <w:kern w:val="0"/>
                      <w:szCs w:val="21"/>
                    </w:rPr>
                    <w:t>1.7</w:t>
                  </w:r>
                </w:p>
              </w:tc>
              <w:tc>
                <w:tcPr>
                  <w:tcW w:w="951" w:type="dxa"/>
                  <w:vAlign w:val="center"/>
                </w:tcPr>
                <w:p>
                  <w:pPr>
                    <w:pStyle w:val="46"/>
                    <w:ind w:firstLine="0" w:firstLineChars="0"/>
                    <w:jc w:val="center"/>
                    <w:rPr>
                      <w:bCs/>
                      <w:kern w:val="0"/>
                      <w:szCs w:val="21"/>
                    </w:rPr>
                  </w:pPr>
                  <w:r>
                    <w:rPr>
                      <w:rFonts w:hint="eastAsia"/>
                      <w:bCs/>
                      <w:kern w:val="0"/>
                      <w:szCs w:val="21"/>
                    </w:rPr>
                    <w:t>5</w:t>
                  </w:r>
                  <w:r>
                    <w:rPr>
                      <w:bCs/>
                      <w:kern w:val="0"/>
                      <w:szCs w:val="21"/>
                    </w:rPr>
                    <w:t>3.9</w:t>
                  </w:r>
                </w:p>
              </w:tc>
              <w:tc>
                <w:tcPr>
                  <w:tcW w:w="951" w:type="dxa"/>
                  <w:vAlign w:val="center"/>
                </w:tcPr>
                <w:p>
                  <w:pPr>
                    <w:pStyle w:val="46"/>
                    <w:ind w:firstLine="0" w:firstLineChars="0"/>
                    <w:jc w:val="center"/>
                    <w:rPr>
                      <w:bCs/>
                      <w:kern w:val="0"/>
                      <w:szCs w:val="21"/>
                    </w:rPr>
                  </w:pPr>
                  <w:r>
                    <w:rPr>
                      <w:rFonts w:hint="eastAsia"/>
                      <w:bCs/>
                      <w:kern w:val="0"/>
                      <w:szCs w:val="21"/>
                    </w:rPr>
                    <w:t>4</w:t>
                  </w:r>
                  <w:r>
                    <w:rPr>
                      <w:bCs/>
                      <w:kern w:val="0"/>
                      <w:szCs w:val="21"/>
                    </w:rPr>
                    <w:t>1.5</w:t>
                  </w:r>
                </w:p>
              </w:tc>
              <w:tc>
                <w:tcPr>
                  <w:tcW w:w="952" w:type="dxa"/>
                  <w:vAlign w:val="center"/>
                </w:tcPr>
                <w:p>
                  <w:pPr>
                    <w:pStyle w:val="46"/>
                    <w:ind w:firstLine="0" w:firstLineChars="0"/>
                    <w:jc w:val="center"/>
                    <w:rPr>
                      <w:bCs/>
                      <w:kern w:val="0"/>
                      <w:szCs w:val="21"/>
                    </w:rPr>
                  </w:pPr>
                  <w:r>
                    <w:rPr>
                      <w:rFonts w:hint="eastAsia"/>
                      <w:bCs/>
                      <w:kern w:val="0"/>
                      <w:szCs w:val="21"/>
                    </w:rPr>
                    <w:t>4</w:t>
                  </w:r>
                  <w:r>
                    <w:rPr>
                      <w:bCs/>
                      <w:kern w:val="0"/>
                      <w:szCs w:val="21"/>
                    </w:rPr>
                    <w:t>8.5</w:t>
                  </w:r>
                </w:p>
              </w:tc>
              <w:tc>
                <w:tcPr>
                  <w:tcW w:w="784" w:type="dxa"/>
                  <w:vAlign w:val="center"/>
                </w:tcPr>
                <w:p>
                  <w:pPr>
                    <w:pStyle w:val="46"/>
                    <w:ind w:firstLine="0" w:firstLineChars="0"/>
                    <w:jc w:val="center"/>
                    <w:rPr>
                      <w:bCs/>
                      <w:kern w:val="0"/>
                      <w:szCs w:val="21"/>
                    </w:rPr>
                  </w:pPr>
                  <w:r>
                    <w:rPr>
                      <w:rFonts w:hint="eastAsia"/>
                      <w:bCs/>
                      <w:kern w:val="0"/>
                      <w:szCs w:val="21"/>
                    </w:rPr>
                    <w:t>2</w:t>
                  </w:r>
                  <w:r>
                    <w:rPr>
                      <w:bCs/>
                      <w:kern w:val="0"/>
                      <w:szCs w:val="21"/>
                    </w:rPr>
                    <w:t>00</w:t>
                  </w:r>
                </w:p>
              </w:tc>
              <w:tc>
                <w:tcPr>
                  <w:tcW w:w="729" w:type="dxa"/>
                  <w:vAlign w:val="center"/>
                </w:tcPr>
                <w:p>
                  <w:pPr>
                    <w:pStyle w:val="46"/>
                    <w:ind w:firstLine="0" w:firstLineChars="0"/>
                    <w:jc w:val="center"/>
                    <w:rPr>
                      <w:bCs/>
                      <w:kern w:val="0"/>
                      <w:szCs w:val="21"/>
                    </w:rPr>
                  </w:pPr>
                  <w:r>
                    <w:rPr>
                      <w:rFonts w:hint="eastAsia"/>
                      <w:bCs/>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vMerge w:val="continue"/>
                  <w:vAlign w:val="center"/>
                </w:tcPr>
                <w:p>
                  <w:pPr>
                    <w:pStyle w:val="46"/>
                    <w:ind w:firstLine="0" w:firstLineChars="0"/>
                    <w:jc w:val="center"/>
                    <w:rPr>
                      <w:bCs/>
                      <w:kern w:val="0"/>
                      <w:szCs w:val="21"/>
                    </w:rPr>
                  </w:pPr>
                </w:p>
              </w:tc>
              <w:tc>
                <w:tcPr>
                  <w:tcW w:w="709" w:type="dxa"/>
                  <w:vMerge w:val="continue"/>
                  <w:vAlign w:val="center"/>
                </w:tcPr>
                <w:p>
                  <w:pPr>
                    <w:pStyle w:val="46"/>
                    <w:ind w:firstLine="0" w:firstLineChars="0"/>
                    <w:jc w:val="center"/>
                    <w:rPr>
                      <w:bCs/>
                      <w:kern w:val="0"/>
                      <w:szCs w:val="21"/>
                    </w:rPr>
                  </w:pPr>
                </w:p>
              </w:tc>
              <w:tc>
                <w:tcPr>
                  <w:tcW w:w="1275" w:type="dxa"/>
                  <w:vAlign w:val="center"/>
                </w:tcPr>
                <w:p>
                  <w:pPr>
                    <w:pStyle w:val="46"/>
                    <w:ind w:firstLine="0" w:firstLineChars="0"/>
                    <w:jc w:val="center"/>
                    <w:rPr>
                      <w:bCs/>
                      <w:kern w:val="0"/>
                      <w:szCs w:val="21"/>
                    </w:rPr>
                  </w:pPr>
                  <w:r>
                    <w:rPr>
                      <w:rFonts w:hint="eastAsia"/>
                      <w:bCs/>
                      <w:kern w:val="0"/>
                      <w:szCs w:val="21"/>
                    </w:rPr>
                    <w:t>排放量k</w:t>
                  </w:r>
                  <w:r>
                    <w:rPr>
                      <w:bCs/>
                      <w:kern w:val="0"/>
                      <w:szCs w:val="21"/>
                    </w:rPr>
                    <w:t>g/h</w:t>
                  </w:r>
                </w:p>
              </w:tc>
              <w:tc>
                <w:tcPr>
                  <w:tcW w:w="951" w:type="dxa"/>
                  <w:vAlign w:val="center"/>
                </w:tcPr>
                <w:p>
                  <w:pPr>
                    <w:pStyle w:val="46"/>
                    <w:ind w:firstLine="0" w:firstLineChars="0"/>
                    <w:jc w:val="center"/>
                    <w:rPr>
                      <w:bCs/>
                      <w:kern w:val="0"/>
                      <w:szCs w:val="21"/>
                    </w:rPr>
                  </w:pPr>
                  <w:r>
                    <w:rPr>
                      <w:rFonts w:hint="eastAsia"/>
                      <w:bCs/>
                      <w:kern w:val="0"/>
                      <w:szCs w:val="21"/>
                    </w:rPr>
                    <w:t>2</w:t>
                  </w:r>
                  <w:r>
                    <w:rPr>
                      <w:bCs/>
                      <w:kern w:val="0"/>
                      <w:szCs w:val="21"/>
                    </w:rPr>
                    <w:t>.31</w:t>
                  </w:r>
                </w:p>
              </w:tc>
              <w:tc>
                <w:tcPr>
                  <w:tcW w:w="951" w:type="dxa"/>
                  <w:vAlign w:val="center"/>
                </w:tcPr>
                <w:p>
                  <w:pPr>
                    <w:pStyle w:val="46"/>
                    <w:ind w:firstLine="0" w:firstLineChars="0"/>
                    <w:jc w:val="center"/>
                    <w:rPr>
                      <w:bCs/>
                      <w:kern w:val="0"/>
                      <w:szCs w:val="21"/>
                    </w:rPr>
                  </w:pPr>
                  <w:r>
                    <w:rPr>
                      <w:rFonts w:hint="eastAsia"/>
                      <w:bCs/>
                      <w:kern w:val="0"/>
                      <w:szCs w:val="21"/>
                    </w:rPr>
                    <w:t>2</w:t>
                  </w:r>
                  <w:r>
                    <w:rPr>
                      <w:bCs/>
                      <w:kern w:val="0"/>
                      <w:szCs w:val="21"/>
                    </w:rPr>
                    <w:t>.34</w:t>
                  </w:r>
                </w:p>
              </w:tc>
              <w:tc>
                <w:tcPr>
                  <w:tcW w:w="951" w:type="dxa"/>
                  <w:vAlign w:val="center"/>
                </w:tcPr>
                <w:p>
                  <w:pPr>
                    <w:pStyle w:val="46"/>
                    <w:ind w:firstLine="0" w:firstLineChars="0"/>
                    <w:jc w:val="center"/>
                    <w:rPr>
                      <w:bCs/>
                      <w:kern w:val="0"/>
                      <w:szCs w:val="21"/>
                    </w:rPr>
                  </w:pPr>
                  <w:r>
                    <w:rPr>
                      <w:rFonts w:hint="eastAsia"/>
                      <w:bCs/>
                      <w:kern w:val="0"/>
                      <w:szCs w:val="21"/>
                    </w:rPr>
                    <w:t>0</w:t>
                  </w:r>
                  <w:r>
                    <w:rPr>
                      <w:bCs/>
                      <w:kern w:val="0"/>
                      <w:szCs w:val="21"/>
                    </w:rPr>
                    <w:t>.902</w:t>
                  </w:r>
                </w:p>
              </w:tc>
              <w:tc>
                <w:tcPr>
                  <w:tcW w:w="952" w:type="dxa"/>
                  <w:vAlign w:val="center"/>
                </w:tcPr>
                <w:p>
                  <w:pPr>
                    <w:pStyle w:val="46"/>
                    <w:ind w:firstLine="0" w:firstLineChars="0"/>
                    <w:jc w:val="center"/>
                    <w:rPr>
                      <w:bCs/>
                      <w:kern w:val="0"/>
                      <w:szCs w:val="21"/>
                    </w:rPr>
                  </w:pPr>
                  <w:r>
                    <w:rPr>
                      <w:rFonts w:hint="eastAsia"/>
                      <w:bCs/>
                      <w:kern w:val="0"/>
                      <w:szCs w:val="21"/>
                    </w:rPr>
                    <w:t>2</w:t>
                  </w:r>
                  <w:r>
                    <w:rPr>
                      <w:bCs/>
                      <w:kern w:val="0"/>
                      <w:szCs w:val="21"/>
                    </w:rPr>
                    <w:t>.66</w:t>
                  </w:r>
                </w:p>
              </w:tc>
              <w:tc>
                <w:tcPr>
                  <w:tcW w:w="784" w:type="dxa"/>
                  <w:vAlign w:val="center"/>
                </w:tcPr>
                <w:p>
                  <w:pPr>
                    <w:pStyle w:val="46"/>
                    <w:ind w:firstLine="0" w:firstLineChars="0"/>
                    <w:jc w:val="center"/>
                    <w:rPr>
                      <w:bCs/>
                      <w:kern w:val="0"/>
                      <w:szCs w:val="21"/>
                    </w:rPr>
                  </w:pPr>
                  <w:r>
                    <w:rPr>
                      <w:rFonts w:hint="eastAsia"/>
                      <w:bCs/>
                      <w:kern w:val="0"/>
                      <w:szCs w:val="21"/>
                    </w:rPr>
                    <w:t>/</w:t>
                  </w:r>
                </w:p>
              </w:tc>
              <w:tc>
                <w:tcPr>
                  <w:tcW w:w="729" w:type="dxa"/>
                  <w:vAlign w:val="center"/>
                </w:tcPr>
                <w:p>
                  <w:pPr>
                    <w:pStyle w:val="46"/>
                    <w:ind w:firstLine="0" w:firstLineChars="0"/>
                    <w:jc w:val="center"/>
                    <w:rPr>
                      <w:bCs/>
                      <w:kern w:val="0"/>
                      <w:szCs w:val="21"/>
                    </w:rPr>
                  </w:pPr>
                  <w:r>
                    <w:rPr>
                      <w:rFonts w:hint="eastAsia"/>
                      <w:bCs/>
                      <w:kern w:val="0"/>
                      <w:szCs w:val="21"/>
                    </w:rPr>
                    <w:t>/</w:t>
                  </w:r>
                </w:p>
              </w:tc>
            </w:tr>
          </w:tbl>
          <w:p>
            <w:pPr>
              <w:pStyle w:val="46"/>
              <w:spacing w:line="360" w:lineRule="auto"/>
              <w:jc w:val="both"/>
              <w:rPr>
                <w:bCs/>
                <w:kern w:val="0"/>
                <w:sz w:val="24"/>
              </w:rPr>
            </w:pPr>
            <w:r>
              <w:rPr>
                <w:rFonts w:hint="eastAsia"/>
                <w:bCs/>
                <w:kern w:val="0"/>
                <w:sz w:val="24"/>
              </w:rPr>
              <w:t>根据检测数据最大值，核算2</w:t>
            </w:r>
            <w:r>
              <w:rPr>
                <w:bCs/>
                <w:kern w:val="0"/>
                <w:sz w:val="24"/>
              </w:rPr>
              <w:t>021</w:t>
            </w:r>
            <w:r>
              <w:rPr>
                <w:rFonts w:hint="eastAsia"/>
                <w:bCs/>
                <w:kern w:val="0"/>
                <w:sz w:val="24"/>
              </w:rPr>
              <w:t>年1</w:t>
            </w:r>
            <w:r>
              <w:rPr>
                <w:bCs/>
                <w:kern w:val="0"/>
                <w:sz w:val="24"/>
              </w:rPr>
              <w:t>0+15</w:t>
            </w:r>
            <w:r>
              <w:rPr>
                <w:rFonts w:hint="eastAsia"/>
                <w:bCs/>
                <w:kern w:val="0"/>
                <w:sz w:val="24"/>
              </w:rPr>
              <w:t>万吨/年饲钙装置干燥+含氟洗涤尾气排口污染物排放量。</w:t>
            </w:r>
          </w:p>
          <w:p>
            <w:pPr>
              <w:pStyle w:val="46"/>
              <w:spacing w:line="360" w:lineRule="auto"/>
              <w:ind w:firstLine="0" w:firstLineChars="0"/>
              <w:jc w:val="center"/>
              <w:rPr>
                <w:b/>
                <w:kern w:val="0"/>
                <w:szCs w:val="21"/>
              </w:rPr>
            </w:pPr>
            <w:r>
              <w:rPr>
                <w:rFonts w:hint="eastAsia"/>
                <w:b/>
                <w:kern w:val="0"/>
                <w:szCs w:val="21"/>
              </w:rPr>
              <w:t>表2</w:t>
            </w:r>
            <w:r>
              <w:rPr>
                <w:b/>
                <w:kern w:val="0"/>
                <w:szCs w:val="21"/>
              </w:rPr>
              <w:t xml:space="preserve">-12  </w:t>
            </w:r>
            <w:r>
              <w:rPr>
                <w:rFonts w:hint="eastAsia"/>
                <w:b/>
                <w:kern w:val="0"/>
                <w:szCs w:val="21"/>
              </w:rPr>
              <w:t>1</w:t>
            </w:r>
            <w:r>
              <w:rPr>
                <w:b/>
                <w:kern w:val="0"/>
                <w:szCs w:val="21"/>
              </w:rPr>
              <w:t>0+15</w:t>
            </w:r>
            <w:r>
              <w:rPr>
                <w:rFonts w:hint="eastAsia"/>
                <w:b/>
                <w:kern w:val="0"/>
                <w:szCs w:val="21"/>
              </w:rPr>
              <w:t>万吨/年饲钙装置干燥+含氟洗涤尾气污染物排放量</w:t>
            </w:r>
          </w:p>
          <w:tbl>
            <w:tblPr>
              <w:tblStyle w:val="23"/>
              <w:tblW w:w="6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1885"/>
              <w:gridCol w:w="3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6" w:type="dxa"/>
                  <w:vAlign w:val="center"/>
                </w:tcPr>
                <w:p>
                  <w:pPr>
                    <w:pStyle w:val="29"/>
                    <w:spacing w:line="240" w:lineRule="auto"/>
                    <w:ind w:firstLine="0" w:firstLineChars="0"/>
                    <w:jc w:val="center"/>
                    <w:rPr>
                      <w:color w:val="auto"/>
                      <w:sz w:val="21"/>
                      <w:szCs w:val="21"/>
                    </w:rPr>
                  </w:pPr>
                  <w:r>
                    <w:rPr>
                      <w:rFonts w:hint="eastAsia"/>
                      <w:color w:val="auto"/>
                      <w:sz w:val="21"/>
                      <w:szCs w:val="21"/>
                    </w:rPr>
                    <w:t>排气筒编号</w:t>
                  </w:r>
                </w:p>
              </w:tc>
              <w:tc>
                <w:tcPr>
                  <w:tcW w:w="1885" w:type="dxa"/>
                  <w:vAlign w:val="center"/>
                </w:tcPr>
                <w:p>
                  <w:pPr>
                    <w:pStyle w:val="29"/>
                    <w:spacing w:line="240" w:lineRule="auto"/>
                    <w:ind w:firstLine="0" w:firstLineChars="0"/>
                    <w:jc w:val="center"/>
                    <w:rPr>
                      <w:color w:val="auto"/>
                      <w:sz w:val="21"/>
                      <w:szCs w:val="21"/>
                    </w:rPr>
                  </w:pPr>
                  <w:r>
                    <w:rPr>
                      <w:rFonts w:hint="eastAsia"/>
                      <w:color w:val="auto"/>
                      <w:sz w:val="21"/>
                      <w:szCs w:val="21"/>
                    </w:rPr>
                    <w:t>污染物</w:t>
                  </w:r>
                </w:p>
              </w:tc>
              <w:tc>
                <w:tcPr>
                  <w:tcW w:w="3143" w:type="dxa"/>
                  <w:vAlign w:val="center"/>
                </w:tcPr>
                <w:p>
                  <w:pPr>
                    <w:pStyle w:val="29"/>
                    <w:spacing w:line="240" w:lineRule="auto"/>
                    <w:ind w:firstLine="0" w:firstLineChars="0"/>
                    <w:jc w:val="center"/>
                    <w:rPr>
                      <w:color w:val="auto"/>
                      <w:sz w:val="21"/>
                      <w:szCs w:val="21"/>
                    </w:rPr>
                  </w:pPr>
                  <w:r>
                    <w:rPr>
                      <w:rFonts w:hint="eastAsia"/>
                      <w:color w:val="auto"/>
                      <w:sz w:val="21"/>
                      <w:szCs w:val="21"/>
                    </w:rPr>
                    <w:t>核算年排放量（t</w:t>
                  </w:r>
                  <w:r>
                    <w:rPr>
                      <w:color w:val="auto"/>
                      <w:sz w:val="21"/>
                      <w:szCs w:val="21"/>
                    </w:rPr>
                    <w:t>/a</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6" w:type="dxa"/>
                  <w:vMerge w:val="restart"/>
                  <w:vAlign w:val="center"/>
                </w:tcPr>
                <w:p>
                  <w:pPr>
                    <w:pStyle w:val="29"/>
                    <w:spacing w:line="240" w:lineRule="auto"/>
                    <w:ind w:firstLine="0" w:firstLineChars="0"/>
                    <w:jc w:val="center"/>
                    <w:rPr>
                      <w:color w:val="auto"/>
                      <w:sz w:val="21"/>
                      <w:szCs w:val="21"/>
                    </w:rPr>
                  </w:pPr>
                  <w:r>
                    <w:rPr>
                      <w:rFonts w:hint="eastAsia"/>
                      <w:color w:val="auto"/>
                      <w:sz w:val="21"/>
                      <w:szCs w:val="21"/>
                    </w:rPr>
                    <w:t>10+15万吨/年饲钙装置干燥+含氟洗涤尾气</w:t>
                  </w:r>
                </w:p>
              </w:tc>
              <w:tc>
                <w:tcPr>
                  <w:tcW w:w="1885" w:type="dxa"/>
                  <w:vAlign w:val="center"/>
                </w:tcPr>
                <w:p>
                  <w:pPr>
                    <w:pStyle w:val="29"/>
                    <w:spacing w:line="240" w:lineRule="auto"/>
                    <w:ind w:firstLine="0" w:firstLineChars="0"/>
                    <w:jc w:val="center"/>
                    <w:rPr>
                      <w:color w:val="auto"/>
                      <w:sz w:val="21"/>
                      <w:szCs w:val="21"/>
                    </w:rPr>
                  </w:pPr>
                  <w:r>
                    <w:rPr>
                      <w:rFonts w:hint="eastAsia"/>
                      <w:color w:val="auto"/>
                      <w:sz w:val="21"/>
                      <w:szCs w:val="21"/>
                    </w:rPr>
                    <w:t>废气量</w:t>
                  </w:r>
                </w:p>
              </w:tc>
              <w:tc>
                <w:tcPr>
                  <w:tcW w:w="3143" w:type="dxa"/>
                  <w:vAlign w:val="center"/>
                </w:tcPr>
                <w:p>
                  <w:pPr>
                    <w:pStyle w:val="29"/>
                    <w:spacing w:line="240" w:lineRule="auto"/>
                    <w:ind w:firstLine="0" w:firstLineChars="0"/>
                    <w:jc w:val="center"/>
                    <w:rPr>
                      <w:color w:val="auto"/>
                      <w:sz w:val="21"/>
                      <w:szCs w:val="21"/>
                    </w:rPr>
                  </w:pPr>
                  <w:r>
                    <w:rPr>
                      <w:color w:val="auto"/>
                      <w:sz w:val="21"/>
                      <w:szCs w:val="21"/>
                    </w:rPr>
                    <w:t>109119.6</w:t>
                  </w:r>
                  <w:r>
                    <w:rPr>
                      <w:rFonts w:hint="eastAsia"/>
                      <w:color w:val="auto"/>
                      <w:sz w:val="21"/>
                      <w:szCs w:val="21"/>
                    </w:rPr>
                    <w:t>万m</w:t>
                  </w:r>
                  <w:r>
                    <w:rPr>
                      <w:color w:val="auto"/>
                      <w:sz w:val="21"/>
                      <w:szCs w:val="21"/>
                      <w:vertAlign w:val="superscript"/>
                    </w:rPr>
                    <w:t>3</w:t>
                  </w:r>
                  <w:r>
                    <w:rPr>
                      <w:color w:val="auto"/>
                      <w:sz w:val="21"/>
                      <w:szCs w:val="21"/>
                    </w:rPr>
                    <w:t>/a</w:t>
                  </w:r>
                  <w:r>
                    <w:rPr>
                      <w:rFonts w:hint="eastAsia"/>
                      <w:color w:val="auto"/>
                      <w:sz w:val="21"/>
                      <w:szCs w:val="21"/>
                    </w:rPr>
                    <w:t>（</w:t>
                  </w:r>
                  <w:r>
                    <w:rPr>
                      <w:color w:val="auto"/>
                      <w:sz w:val="21"/>
                      <w:szCs w:val="21"/>
                    </w:rPr>
                    <w:t>151555m</w:t>
                  </w:r>
                  <w:r>
                    <w:rPr>
                      <w:color w:val="auto"/>
                      <w:sz w:val="21"/>
                      <w:szCs w:val="21"/>
                      <w:vertAlign w:val="superscript"/>
                    </w:rPr>
                    <w:t>3</w:t>
                  </w:r>
                  <w:r>
                    <w:rPr>
                      <w:rFonts w:hint="eastAsia"/>
                      <w:color w:val="auto"/>
                      <w:sz w:val="21"/>
                      <w:szCs w:val="21"/>
                    </w:rPr>
                    <w:t>/</w:t>
                  </w:r>
                  <w:r>
                    <w:rPr>
                      <w:color w:val="auto"/>
                      <w:sz w:val="21"/>
                      <w:szCs w:val="21"/>
                    </w:rPr>
                    <w:t>h</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6" w:type="dxa"/>
                  <w:vMerge w:val="continue"/>
                  <w:vAlign w:val="center"/>
                </w:tcPr>
                <w:p>
                  <w:pPr>
                    <w:pStyle w:val="29"/>
                    <w:spacing w:line="240" w:lineRule="auto"/>
                    <w:ind w:firstLine="0" w:firstLineChars="0"/>
                    <w:jc w:val="center"/>
                    <w:rPr>
                      <w:color w:val="auto"/>
                      <w:sz w:val="21"/>
                      <w:szCs w:val="21"/>
                    </w:rPr>
                  </w:pPr>
                </w:p>
              </w:tc>
              <w:tc>
                <w:tcPr>
                  <w:tcW w:w="1885" w:type="dxa"/>
                  <w:vAlign w:val="center"/>
                </w:tcPr>
                <w:p>
                  <w:pPr>
                    <w:pStyle w:val="29"/>
                    <w:spacing w:line="240" w:lineRule="auto"/>
                    <w:ind w:firstLine="0" w:firstLineChars="0"/>
                    <w:jc w:val="center"/>
                    <w:rPr>
                      <w:color w:val="auto"/>
                      <w:sz w:val="21"/>
                      <w:szCs w:val="21"/>
                    </w:rPr>
                  </w:pPr>
                  <w:r>
                    <w:rPr>
                      <w:rFonts w:hint="eastAsia"/>
                      <w:color w:val="auto"/>
                      <w:sz w:val="21"/>
                      <w:szCs w:val="21"/>
                    </w:rPr>
                    <w:t>S</w:t>
                  </w:r>
                  <w:r>
                    <w:rPr>
                      <w:color w:val="auto"/>
                      <w:sz w:val="21"/>
                      <w:szCs w:val="21"/>
                    </w:rPr>
                    <w:t>O</w:t>
                  </w:r>
                  <w:r>
                    <w:rPr>
                      <w:color w:val="auto"/>
                      <w:sz w:val="21"/>
                      <w:szCs w:val="21"/>
                      <w:vertAlign w:val="subscript"/>
                    </w:rPr>
                    <w:t>2</w:t>
                  </w:r>
                </w:p>
              </w:tc>
              <w:tc>
                <w:tcPr>
                  <w:tcW w:w="3143" w:type="dxa"/>
                  <w:vAlign w:val="center"/>
                </w:tcPr>
                <w:p>
                  <w:pPr>
                    <w:pStyle w:val="29"/>
                    <w:spacing w:line="240" w:lineRule="auto"/>
                    <w:ind w:firstLine="0" w:firstLineChars="0"/>
                    <w:jc w:val="center"/>
                    <w:rPr>
                      <w:color w:val="auto"/>
                      <w:sz w:val="21"/>
                      <w:szCs w:val="21"/>
                    </w:rPr>
                  </w:pPr>
                  <w:r>
                    <w:rPr>
                      <w:rFonts w:hint="eastAsia"/>
                      <w:color w:val="auto"/>
                      <w:sz w:val="21"/>
                      <w:szCs w:val="21"/>
                    </w:rPr>
                    <w:t>3</w:t>
                  </w:r>
                  <w:r>
                    <w:rPr>
                      <w:color w:val="auto"/>
                      <w:sz w:val="21"/>
                      <w:szCs w:val="21"/>
                    </w:rPr>
                    <w:t>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6" w:type="dxa"/>
                  <w:vMerge w:val="continue"/>
                  <w:vAlign w:val="center"/>
                </w:tcPr>
                <w:p>
                  <w:pPr>
                    <w:pStyle w:val="29"/>
                    <w:spacing w:line="240" w:lineRule="auto"/>
                    <w:ind w:firstLine="0" w:firstLineChars="0"/>
                    <w:jc w:val="center"/>
                    <w:rPr>
                      <w:color w:val="auto"/>
                      <w:sz w:val="21"/>
                      <w:szCs w:val="21"/>
                    </w:rPr>
                  </w:pPr>
                </w:p>
              </w:tc>
              <w:tc>
                <w:tcPr>
                  <w:tcW w:w="1885" w:type="dxa"/>
                  <w:vAlign w:val="center"/>
                </w:tcPr>
                <w:p>
                  <w:pPr>
                    <w:pStyle w:val="29"/>
                    <w:spacing w:line="240" w:lineRule="auto"/>
                    <w:ind w:firstLine="0" w:firstLineChars="0"/>
                    <w:jc w:val="center"/>
                    <w:rPr>
                      <w:color w:val="auto"/>
                      <w:sz w:val="21"/>
                      <w:szCs w:val="21"/>
                    </w:rPr>
                  </w:pPr>
                  <w:r>
                    <w:rPr>
                      <w:rFonts w:hint="eastAsia"/>
                      <w:color w:val="auto"/>
                      <w:sz w:val="21"/>
                      <w:szCs w:val="21"/>
                    </w:rPr>
                    <w:t>N</w:t>
                  </w:r>
                  <w:r>
                    <w:rPr>
                      <w:color w:val="auto"/>
                      <w:sz w:val="21"/>
                      <w:szCs w:val="21"/>
                    </w:rPr>
                    <w:t>Ox</w:t>
                  </w:r>
                </w:p>
              </w:tc>
              <w:tc>
                <w:tcPr>
                  <w:tcW w:w="3143" w:type="dxa"/>
                  <w:vAlign w:val="center"/>
                </w:tcPr>
                <w:p>
                  <w:pPr>
                    <w:pStyle w:val="29"/>
                    <w:spacing w:line="240" w:lineRule="auto"/>
                    <w:ind w:firstLine="0" w:firstLineChars="0"/>
                    <w:jc w:val="center"/>
                    <w:rPr>
                      <w:color w:val="auto"/>
                      <w:sz w:val="21"/>
                      <w:szCs w:val="21"/>
                    </w:rPr>
                  </w:pPr>
                  <w:r>
                    <w:rPr>
                      <w:rFonts w:hint="eastAsia"/>
                      <w:color w:val="auto"/>
                      <w:sz w:val="21"/>
                      <w:szCs w:val="21"/>
                    </w:rPr>
                    <w:t>2</w:t>
                  </w:r>
                  <w:r>
                    <w:rPr>
                      <w:color w:val="auto"/>
                      <w:sz w:val="21"/>
                      <w:szCs w:val="21"/>
                    </w:rPr>
                    <w:t>9.304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6" w:type="dxa"/>
                  <w:vMerge w:val="continue"/>
                  <w:vAlign w:val="center"/>
                </w:tcPr>
                <w:p>
                  <w:pPr>
                    <w:pStyle w:val="29"/>
                    <w:spacing w:line="240" w:lineRule="auto"/>
                    <w:ind w:firstLine="0" w:firstLineChars="0"/>
                    <w:jc w:val="center"/>
                    <w:rPr>
                      <w:color w:val="auto"/>
                      <w:sz w:val="21"/>
                      <w:szCs w:val="21"/>
                    </w:rPr>
                  </w:pPr>
                </w:p>
              </w:tc>
              <w:tc>
                <w:tcPr>
                  <w:tcW w:w="1885" w:type="dxa"/>
                  <w:vAlign w:val="center"/>
                </w:tcPr>
                <w:p>
                  <w:pPr>
                    <w:pStyle w:val="29"/>
                    <w:spacing w:line="240" w:lineRule="auto"/>
                    <w:ind w:firstLine="0" w:firstLineChars="0"/>
                    <w:jc w:val="center"/>
                    <w:rPr>
                      <w:color w:val="auto"/>
                      <w:sz w:val="21"/>
                      <w:szCs w:val="21"/>
                    </w:rPr>
                  </w:pPr>
                  <w:r>
                    <w:rPr>
                      <w:rFonts w:hint="eastAsia"/>
                      <w:color w:val="auto"/>
                      <w:sz w:val="21"/>
                      <w:szCs w:val="21"/>
                    </w:rPr>
                    <w:t>颗粒物</w:t>
                  </w:r>
                </w:p>
              </w:tc>
              <w:tc>
                <w:tcPr>
                  <w:tcW w:w="3143" w:type="dxa"/>
                  <w:vAlign w:val="center"/>
                </w:tcPr>
                <w:p>
                  <w:pPr>
                    <w:pStyle w:val="29"/>
                    <w:spacing w:line="240" w:lineRule="auto"/>
                    <w:ind w:firstLine="0" w:firstLineChars="0"/>
                    <w:jc w:val="center"/>
                    <w:rPr>
                      <w:color w:val="auto"/>
                      <w:sz w:val="21"/>
                      <w:szCs w:val="21"/>
                    </w:rPr>
                  </w:pPr>
                  <w:r>
                    <w:rPr>
                      <w:rFonts w:hint="eastAsia"/>
                      <w:color w:val="auto"/>
                      <w:sz w:val="21"/>
                      <w:szCs w:val="21"/>
                    </w:rPr>
                    <w:t>1</w:t>
                  </w:r>
                  <w:r>
                    <w:rPr>
                      <w:color w:val="auto"/>
                      <w:sz w:val="21"/>
                      <w:szCs w:val="21"/>
                    </w:rPr>
                    <w:t>9.152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6" w:type="dxa"/>
                  <w:vMerge w:val="continue"/>
                  <w:vAlign w:val="center"/>
                </w:tcPr>
                <w:p>
                  <w:pPr>
                    <w:pStyle w:val="29"/>
                    <w:spacing w:line="240" w:lineRule="auto"/>
                    <w:ind w:firstLine="0" w:firstLineChars="0"/>
                    <w:jc w:val="center"/>
                    <w:rPr>
                      <w:color w:val="auto"/>
                      <w:sz w:val="21"/>
                      <w:szCs w:val="21"/>
                    </w:rPr>
                  </w:pPr>
                </w:p>
              </w:tc>
              <w:tc>
                <w:tcPr>
                  <w:tcW w:w="1885" w:type="dxa"/>
                  <w:vAlign w:val="center"/>
                </w:tcPr>
                <w:p>
                  <w:pPr>
                    <w:pStyle w:val="29"/>
                    <w:spacing w:line="240" w:lineRule="auto"/>
                    <w:ind w:firstLine="0" w:firstLineChars="0"/>
                    <w:jc w:val="center"/>
                    <w:rPr>
                      <w:color w:val="auto"/>
                      <w:sz w:val="21"/>
                      <w:szCs w:val="21"/>
                    </w:rPr>
                  </w:pPr>
                  <w:r>
                    <w:rPr>
                      <w:rFonts w:hint="eastAsia"/>
                      <w:color w:val="auto"/>
                      <w:sz w:val="21"/>
                      <w:szCs w:val="21"/>
                    </w:rPr>
                    <w:t>氟化物</w:t>
                  </w:r>
                </w:p>
              </w:tc>
              <w:tc>
                <w:tcPr>
                  <w:tcW w:w="3143" w:type="dxa"/>
                  <w:vAlign w:val="center"/>
                </w:tcPr>
                <w:p>
                  <w:pPr>
                    <w:pStyle w:val="29"/>
                    <w:spacing w:line="240" w:lineRule="auto"/>
                    <w:ind w:firstLine="0" w:firstLineChars="0"/>
                    <w:jc w:val="center"/>
                    <w:rPr>
                      <w:color w:val="auto"/>
                      <w:sz w:val="21"/>
                      <w:szCs w:val="21"/>
                    </w:rPr>
                  </w:pPr>
                  <w:r>
                    <w:rPr>
                      <w:rFonts w:hint="eastAsia"/>
                      <w:color w:val="auto"/>
                      <w:sz w:val="21"/>
                      <w:szCs w:val="21"/>
                    </w:rPr>
                    <w:t>0</w:t>
                  </w:r>
                  <w:r>
                    <w:rPr>
                      <w:color w:val="auto"/>
                      <w:sz w:val="21"/>
                      <w:szCs w:val="21"/>
                    </w:rPr>
                    <w:t>.936</w:t>
                  </w:r>
                </w:p>
              </w:tc>
            </w:tr>
          </w:tbl>
          <w:p>
            <w:pPr>
              <w:pStyle w:val="46"/>
              <w:spacing w:line="360" w:lineRule="auto"/>
              <w:jc w:val="both"/>
              <w:rPr>
                <w:bCs/>
                <w:kern w:val="0"/>
                <w:sz w:val="24"/>
              </w:rPr>
            </w:pPr>
          </w:p>
          <w:p>
            <w:pPr>
              <w:pStyle w:val="46"/>
              <w:spacing w:line="360" w:lineRule="auto"/>
              <w:ind w:firstLine="482"/>
              <w:jc w:val="both"/>
              <w:rPr>
                <w:b/>
                <w:kern w:val="0"/>
                <w:sz w:val="24"/>
              </w:rPr>
            </w:pPr>
            <w:r>
              <w:rPr>
                <w:rFonts w:hint="eastAsia"/>
                <w:b/>
                <w:kern w:val="0"/>
                <w:sz w:val="24"/>
              </w:rPr>
              <w:t>3、目前存在的主要环境问题</w:t>
            </w:r>
          </w:p>
          <w:p>
            <w:pPr>
              <w:pStyle w:val="46"/>
              <w:spacing w:line="360" w:lineRule="auto"/>
              <w:jc w:val="both"/>
              <w:rPr>
                <w:bCs/>
                <w:kern w:val="0"/>
                <w:sz w:val="24"/>
              </w:rPr>
            </w:pPr>
            <w:r>
              <w:rPr>
                <w:rFonts w:hint="eastAsia"/>
                <w:bCs/>
                <w:kern w:val="0"/>
                <w:sz w:val="24"/>
              </w:rPr>
              <w:t>根据现场踏勘，未发现现有工程存在于本项目有关的环保问题。</w:t>
            </w:r>
          </w:p>
          <w:p>
            <w:pPr>
              <w:spacing w:line="360" w:lineRule="auto"/>
              <w:ind w:firstLine="480" w:firstLineChars="200"/>
              <w:rPr>
                <w:sz w:val="24"/>
              </w:rPr>
            </w:pPr>
          </w:p>
        </w:tc>
      </w:tr>
    </w:tbl>
    <w:p>
      <w:pPr>
        <w:pStyle w:val="18"/>
        <w:jc w:val="center"/>
        <w:rPr>
          <w:rFonts w:ascii="Times New Roman" w:hAnsi="Times New Roman"/>
          <w:snapToGrid w:val="0"/>
          <w:sz w:val="36"/>
          <w:szCs w:val="36"/>
        </w:rPr>
        <w:sectPr>
          <w:pgSz w:w="11906" w:h="16838"/>
          <w:pgMar w:top="1701" w:right="1531" w:bottom="1701" w:left="1531" w:header="851" w:footer="851" w:gutter="0"/>
          <w:cols w:space="720" w:num="1"/>
          <w:docGrid w:linePitch="312" w:charSpace="0"/>
        </w:sectPr>
      </w:pPr>
    </w:p>
    <w:p>
      <w:pPr>
        <w:pStyle w:val="18"/>
        <w:jc w:val="center"/>
        <w:outlineLvl w:val="0"/>
        <w:rPr>
          <w:rFonts w:ascii="Times New Roman" w:hAnsi="Times New Roman"/>
          <w:sz w:val="30"/>
          <w:szCs w:val="30"/>
        </w:rPr>
      </w:pPr>
      <w:bookmarkStart w:id="18" w:name="_Toc3866"/>
      <w:bookmarkStart w:id="19" w:name="_Toc117775781"/>
      <w:r>
        <w:rPr>
          <w:rFonts w:hint="eastAsia" w:ascii="Times New Roman" w:hAnsi="Times New Roman"/>
          <w:sz w:val="30"/>
          <w:szCs w:val="30"/>
        </w:rPr>
        <w:t>三、区域环境质量现状、环境保护目标及评价标准</w:t>
      </w:r>
      <w:bookmarkEnd w:id="18"/>
      <w:bookmarkEnd w:id="19"/>
    </w:p>
    <w:tbl>
      <w:tblPr>
        <w:tblStyle w:val="22"/>
        <w:tblW w:w="882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1"/>
        <w:gridCol w:w="82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61" w:type="dxa"/>
            <w:vAlign w:val="center"/>
          </w:tcPr>
          <w:p>
            <w:pPr>
              <w:adjustRightInd w:val="0"/>
              <w:snapToGrid w:val="0"/>
              <w:jc w:val="center"/>
              <w:rPr>
                <w:rFonts w:cs="宋体"/>
                <w:kern w:val="0"/>
                <w:szCs w:val="21"/>
              </w:rPr>
            </w:pPr>
            <w:r>
              <w:rPr>
                <w:rFonts w:hint="eastAsia" w:cs="宋体"/>
                <w:kern w:val="0"/>
                <w:szCs w:val="21"/>
              </w:rPr>
              <w:t>区域</w:t>
            </w:r>
          </w:p>
          <w:p>
            <w:pPr>
              <w:adjustRightInd w:val="0"/>
              <w:snapToGrid w:val="0"/>
              <w:jc w:val="center"/>
              <w:rPr>
                <w:rFonts w:cs="宋体"/>
                <w:kern w:val="0"/>
                <w:szCs w:val="21"/>
              </w:rPr>
            </w:pPr>
            <w:r>
              <w:rPr>
                <w:rFonts w:hint="eastAsia" w:cs="宋体"/>
                <w:kern w:val="0"/>
                <w:szCs w:val="21"/>
              </w:rPr>
              <w:t>环境</w:t>
            </w:r>
          </w:p>
          <w:p>
            <w:pPr>
              <w:adjustRightInd w:val="0"/>
              <w:snapToGrid w:val="0"/>
              <w:jc w:val="center"/>
              <w:rPr>
                <w:rFonts w:cs="宋体"/>
                <w:kern w:val="0"/>
                <w:szCs w:val="21"/>
              </w:rPr>
            </w:pPr>
            <w:r>
              <w:rPr>
                <w:rFonts w:hint="eastAsia" w:cs="宋体"/>
                <w:kern w:val="0"/>
                <w:szCs w:val="21"/>
              </w:rPr>
              <w:t>质量</w:t>
            </w:r>
          </w:p>
          <w:p>
            <w:pPr>
              <w:adjustRightInd w:val="0"/>
              <w:snapToGrid w:val="0"/>
              <w:jc w:val="center"/>
              <w:rPr>
                <w:rFonts w:cs="宋体"/>
                <w:kern w:val="0"/>
                <w:szCs w:val="21"/>
              </w:rPr>
            </w:pPr>
            <w:r>
              <w:rPr>
                <w:rFonts w:hint="eastAsia" w:cs="宋体"/>
                <w:kern w:val="0"/>
                <w:szCs w:val="21"/>
              </w:rPr>
              <w:t>现状</w:t>
            </w:r>
          </w:p>
        </w:tc>
        <w:tc>
          <w:tcPr>
            <w:tcW w:w="8262" w:type="dxa"/>
            <w:vAlign w:val="center"/>
          </w:tcPr>
          <w:p>
            <w:pPr>
              <w:spacing w:line="360" w:lineRule="auto"/>
              <w:ind w:firstLine="482" w:firstLineChars="200"/>
              <w:rPr>
                <w:b/>
                <w:bCs/>
                <w:sz w:val="24"/>
              </w:rPr>
            </w:pPr>
            <w:bookmarkStart w:id="20" w:name="_Toc13822316"/>
            <w:bookmarkStart w:id="21" w:name="_Toc4772"/>
            <w:r>
              <w:rPr>
                <w:b/>
                <w:bCs/>
                <w:sz w:val="24"/>
              </w:rPr>
              <w:t>1、</w:t>
            </w:r>
            <w:r>
              <w:rPr>
                <w:rFonts w:hint="eastAsia"/>
                <w:b/>
                <w:bCs/>
                <w:sz w:val="24"/>
              </w:rPr>
              <w:t>大气</w:t>
            </w:r>
            <w:r>
              <w:rPr>
                <w:b/>
                <w:bCs/>
                <w:sz w:val="24"/>
              </w:rPr>
              <w:t>环境质量现状评价</w:t>
            </w:r>
            <w:bookmarkEnd w:id="20"/>
            <w:bookmarkEnd w:id="21"/>
          </w:p>
          <w:p>
            <w:pPr>
              <w:pStyle w:val="59"/>
              <w:spacing w:line="360" w:lineRule="auto"/>
              <w:ind w:firstLine="480" w:firstLineChars="200"/>
              <w:jc w:val="both"/>
              <w:rPr>
                <w:rFonts w:ascii="Times New Roman" w:hAnsi="Times New Roman" w:cs="Times New Roman"/>
                <w:bCs/>
                <w:kern w:val="2"/>
                <w:sz w:val="24"/>
                <w:szCs w:val="24"/>
              </w:rPr>
            </w:pPr>
            <w:r>
              <w:rPr>
                <w:rFonts w:hint="eastAsia" w:ascii="Times New Roman" w:hAnsi="Times New Roman" w:cs="Times New Roman"/>
                <w:bCs/>
                <w:kern w:val="2"/>
                <w:sz w:val="24"/>
                <w:szCs w:val="24"/>
              </w:rPr>
              <w:t>（一）空气质量达标区判定</w:t>
            </w:r>
          </w:p>
          <w:p>
            <w:pPr>
              <w:pStyle w:val="59"/>
              <w:spacing w:line="360" w:lineRule="auto"/>
              <w:ind w:firstLine="480" w:firstLineChars="200"/>
              <w:jc w:val="both"/>
              <w:rPr>
                <w:rFonts w:ascii="Times New Roman" w:hAnsi="Times New Roman" w:cs="Times New Roman"/>
                <w:bCs/>
                <w:kern w:val="2"/>
                <w:sz w:val="24"/>
                <w:szCs w:val="24"/>
              </w:rPr>
            </w:pPr>
            <w:r>
              <w:rPr>
                <w:rFonts w:hint="eastAsia" w:ascii="Times New Roman" w:hAnsi="Times New Roman" w:cs="Times New Roman"/>
                <w:bCs/>
                <w:kern w:val="2"/>
                <w:sz w:val="24"/>
                <w:szCs w:val="24"/>
              </w:rPr>
              <w:t>建设项目位于昆明市晋宁区二街工业园区云南磷化集团有限公司“835项目”现有厂区内，厂址所在地行政区划属于昆明市晋宁区，属于环境空气二类区，执行《环境空气质量标准》（G</w:t>
            </w:r>
            <w:r>
              <w:rPr>
                <w:rFonts w:ascii="Times New Roman" w:hAnsi="Times New Roman" w:cs="Times New Roman"/>
                <w:bCs/>
                <w:kern w:val="2"/>
                <w:sz w:val="24"/>
                <w:szCs w:val="24"/>
              </w:rPr>
              <w:t>B3095-2012</w:t>
            </w:r>
            <w:r>
              <w:rPr>
                <w:rFonts w:hint="eastAsia" w:ascii="Times New Roman" w:hAnsi="Times New Roman" w:cs="Times New Roman"/>
                <w:bCs/>
                <w:kern w:val="2"/>
                <w:sz w:val="24"/>
                <w:szCs w:val="24"/>
              </w:rPr>
              <w:t>）二级标准。</w:t>
            </w:r>
          </w:p>
          <w:p>
            <w:pPr>
              <w:pStyle w:val="59"/>
              <w:spacing w:line="360" w:lineRule="auto"/>
              <w:ind w:firstLine="480" w:firstLineChars="200"/>
              <w:jc w:val="both"/>
              <w:rPr>
                <w:rFonts w:ascii="Times New Roman" w:hAnsi="Times New Roman" w:cs="Times New Roman"/>
                <w:bCs/>
                <w:kern w:val="2"/>
                <w:sz w:val="24"/>
                <w:szCs w:val="24"/>
              </w:rPr>
            </w:pPr>
            <w:r>
              <w:rPr>
                <w:rFonts w:hint="eastAsia" w:ascii="Times New Roman" w:hAnsi="Times New Roman" w:cs="Times New Roman"/>
                <w:bCs/>
                <w:kern w:val="2"/>
                <w:sz w:val="24"/>
                <w:szCs w:val="24"/>
              </w:rPr>
              <w:t>（二）环境空气质量现状</w:t>
            </w:r>
          </w:p>
          <w:p>
            <w:pPr>
              <w:pStyle w:val="59"/>
              <w:spacing w:line="360" w:lineRule="auto"/>
              <w:ind w:firstLine="480" w:firstLineChars="200"/>
              <w:jc w:val="both"/>
              <w:rPr>
                <w:rFonts w:ascii="Times New Roman" w:hAnsi="Times New Roman" w:cs="Times New Roman"/>
                <w:bCs/>
                <w:kern w:val="2"/>
                <w:sz w:val="24"/>
                <w:szCs w:val="24"/>
              </w:rPr>
            </w:pPr>
            <w:r>
              <w:rPr>
                <w:rFonts w:hint="eastAsia" w:ascii="Times New Roman" w:hAnsi="Times New Roman" w:cs="Times New Roman"/>
                <w:bCs/>
                <w:kern w:val="2"/>
                <w:sz w:val="24"/>
                <w:szCs w:val="24"/>
              </w:rPr>
              <w:t>1、基本污染物</w:t>
            </w:r>
          </w:p>
          <w:p>
            <w:pPr>
              <w:pStyle w:val="59"/>
              <w:spacing w:line="360" w:lineRule="auto"/>
              <w:ind w:firstLine="480" w:firstLineChars="200"/>
              <w:jc w:val="both"/>
              <w:rPr>
                <w:rFonts w:ascii="Times New Roman" w:hAnsi="Times New Roman" w:cs="Times New Roman"/>
                <w:bCs/>
                <w:kern w:val="2"/>
                <w:sz w:val="24"/>
                <w:szCs w:val="24"/>
              </w:rPr>
            </w:pPr>
            <w:r>
              <w:rPr>
                <w:rFonts w:hint="eastAsia" w:ascii="Times New Roman" w:hAnsi="Times New Roman" w:cs="Times New Roman"/>
                <w:bCs/>
                <w:kern w:val="2"/>
                <w:sz w:val="24"/>
                <w:szCs w:val="24"/>
              </w:rPr>
              <w:t>建设项目位于昆明市晋宁区二街工业园区云南磷化集团有限公司“835项目”现有厂区内，属于环境空气二类区，根据《2021年度昆明市生态环境状况公报》，各县（市）区环境空气质量总体保持良好</w:t>
            </w:r>
            <w:r>
              <w:rPr>
                <w:rFonts w:ascii="Times New Roman" w:hAnsi="Times New Roman" w:cs="Times New Roman"/>
                <w:bCs/>
                <w:kern w:val="2"/>
                <w:sz w:val="24"/>
                <w:szCs w:val="24"/>
              </w:rPr>
              <w:t>。与2020年相比，</w:t>
            </w:r>
            <w:r>
              <w:rPr>
                <w:rFonts w:hint="eastAsia" w:ascii="Times New Roman" w:hAnsi="Times New Roman" w:cs="Times New Roman"/>
                <w:bCs/>
                <w:kern w:val="2"/>
                <w:sz w:val="24"/>
                <w:szCs w:val="24"/>
              </w:rPr>
              <w:t>安宁市、禄劝县环境空气综合污染指数有所下降，东川区、石林县、嵩明县、富民县、宜良县、寻甸县和阳宗海风景名胜区环境空气综合污染指数有所上升，按年均值及相应百分位数进行评价，6项污染物评价结果均符合《环境空气质量标准》二级标准要求</w:t>
            </w:r>
            <w:r>
              <w:rPr>
                <w:rFonts w:ascii="Times New Roman" w:hAnsi="Times New Roman" w:cs="Times New Roman"/>
                <w:bCs/>
                <w:kern w:val="2"/>
                <w:sz w:val="24"/>
                <w:szCs w:val="24"/>
              </w:rPr>
              <w:t>。</w:t>
            </w:r>
          </w:p>
          <w:p>
            <w:pPr>
              <w:pStyle w:val="59"/>
              <w:spacing w:line="360" w:lineRule="auto"/>
              <w:ind w:firstLine="480" w:firstLineChars="200"/>
              <w:jc w:val="both"/>
              <w:rPr>
                <w:rFonts w:ascii="Times New Roman" w:hAnsi="Times New Roman" w:cs="Times New Roman"/>
                <w:bCs/>
                <w:kern w:val="2"/>
                <w:sz w:val="24"/>
                <w:szCs w:val="24"/>
              </w:rPr>
            </w:pPr>
            <w:r>
              <w:rPr>
                <w:rFonts w:hint="eastAsia" w:ascii="Times New Roman" w:hAnsi="Times New Roman" w:cs="Times New Roman"/>
                <w:bCs/>
                <w:kern w:val="2"/>
                <w:sz w:val="24"/>
                <w:szCs w:val="24"/>
              </w:rPr>
              <w:t>2、特征污染物</w:t>
            </w:r>
          </w:p>
          <w:p>
            <w:pPr>
              <w:pStyle w:val="59"/>
              <w:spacing w:line="360" w:lineRule="auto"/>
              <w:ind w:firstLine="480" w:firstLineChars="200"/>
              <w:jc w:val="both"/>
              <w:rPr>
                <w:rFonts w:ascii="Times New Roman" w:hAnsi="Times New Roman" w:cs="Times New Roman"/>
                <w:bCs/>
                <w:kern w:val="2"/>
                <w:sz w:val="24"/>
                <w:szCs w:val="24"/>
              </w:rPr>
            </w:pPr>
            <w:r>
              <w:rPr>
                <w:rFonts w:hint="eastAsia" w:ascii="Times New Roman" w:hAnsi="Times New Roman" w:cs="Times New Roman"/>
                <w:bCs/>
                <w:kern w:val="2"/>
                <w:sz w:val="24"/>
                <w:szCs w:val="24"/>
              </w:rPr>
              <w:t>本项目运营期会产生的特征污染物有NOx。</w:t>
            </w:r>
          </w:p>
          <w:p>
            <w:pPr>
              <w:pStyle w:val="59"/>
              <w:spacing w:line="360" w:lineRule="auto"/>
              <w:ind w:firstLine="480" w:firstLineChars="200"/>
              <w:jc w:val="both"/>
              <w:rPr>
                <w:rFonts w:ascii="Times New Roman" w:hAnsi="Times New Roman" w:cs="Times New Roman"/>
                <w:bCs/>
                <w:kern w:val="2"/>
                <w:sz w:val="24"/>
                <w:szCs w:val="24"/>
              </w:rPr>
            </w:pPr>
            <w:r>
              <w:rPr>
                <w:rFonts w:hint="eastAsia" w:ascii="Times New Roman" w:hAnsi="Times New Roman" w:cs="Times New Roman"/>
                <w:bCs/>
                <w:kern w:val="2"/>
                <w:sz w:val="24"/>
                <w:szCs w:val="24"/>
              </w:rPr>
              <w:t>为了解项目区所在区域NO</w:t>
            </w:r>
            <w:r>
              <w:rPr>
                <w:rFonts w:hint="eastAsia" w:ascii="Times New Roman" w:hAnsi="Times New Roman" w:cs="Times New Roman"/>
                <w:bCs/>
                <w:kern w:val="2"/>
                <w:sz w:val="24"/>
                <w:szCs w:val="24"/>
                <w:vertAlign w:val="subscript"/>
              </w:rPr>
              <w:t>X</w:t>
            </w:r>
            <w:r>
              <w:rPr>
                <w:rFonts w:hint="eastAsia" w:ascii="Times New Roman" w:hAnsi="Times New Roman" w:cs="Times New Roman"/>
                <w:bCs/>
                <w:kern w:val="2"/>
                <w:sz w:val="24"/>
                <w:szCs w:val="24"/>
              </w:rPr>
              <w:t>的环境质量现状，本次评价引用《年产1500吨2，4-二氟硝基苯暨对氟硝基苯中试技术开发项目》现状检测数据，监测单位为云南升环检测技术有限公司，检测时间为2020年9月21~9月27日，检测时间在3年以内，监测点栗庙村位于项目区东侧约891m，属于5000m范围内，故引用数据具有代表性。监测结果如下。</w:t>
            </w:r>
          </w:p>
          <w:p>
            <w:pPr>
              <w:pStyle w:val="59"/>
              <w:spacing w:line="360" w:lineRule="auto"/>
              <w:ind w:firstLine="480" w:firstLineChars="200"/>
              <w:jc w:val="both"/>
              <w:rPr>
                <w:rFonts w:ascii="Times New Roman" w:hAnsi="Times New Roman" w:cs="Times New Roman"/>
                <w:bCs/>
                <w:kern w:val="2"/>
                <w:sz w:val="24"/>
                <w:szCs w:val="24"/>
              </w:rPr>
            </w:pPr>
            <w:r>
              <w:rPr>
                <w:rFonts w:hint="eastAsia" w:ascii="Times New Roman" w:hAnsi="Times New Roman" w:cs="Times New Roman"/>
                <w:bCs/>
                <w:kern w:val="2"/>
                <w:sz w:val="24"/>
                <w:szCs w:val="24"/>
              </w:rPr>
              <w:t>①监测点位</w:t>
            </w:r>
          </w:p>
          <w:p>
            <w:pPr>
              <w:pStyle w:val="59"/>
              <w:spacing w:line="360" w:lineRule="auto"/>
              <w:ind w:firstLine="480" w:firstLineChars="200"/>
              <w:jc w:val="both"/>
              <w:rPr>
                <w:rFonts w:ascii="Times New Roman" w:hAnsi="Times New Roman" w:cs="Times New Roman"/>
                <w:bCs/>
                <w:kern w:val="2"/>
                <w:sz w:val="24"/>
                <w:szCs w:val="24"/>
              </w:rPr>
            </w:pPr>
            <w:r>
              <w:rPr>
                <w:rFonts w:hint="eastAsia" w:ascii="Times New Roman" w:hAnsi="Times New Roman" w:cs="Times New Roman"/>
                <w:bCs/>
                <w:kern w:val="2"/>
                <w:sz w:val="24"/>
                <w:szCs w:val="24"/>
              </w:rPr>
              <w:t>监测结果详见表3-1。</w:t>
            </w:r>
          </w:p>
          <w:p>
            <w:pPr>
              <w:adjustRightInd w:val="0"/>
              <w:spacing w:line="360" w:lineRule="auto"/>
              <w:ind w:firstLine="422" w:firstLineChars="200"/>
              <w:jc w:val="center"/>
              <w:outlineLvl w:val="0"/>
              <w:rPr>
                <w:b/>
              </w:rPr>
            </w:pPr>
            <w:r>
              <w:rPr>
                <w:rFonts w:hint="eastAsia"/>
                <w:b/>
              </w:rPr>
              <w:t>表3-1    环境空气引用监测点位基本信息</w:t>
            </w:r>
          </w:p>
          <w:tbl>
            <w:tblPr>
              <w:tblStyle w:val="22"/>
              <w:tblpPr w:leftFromText="180" w:rightFromText="180" w:vertAnchor="text" w:tblpXSpec="center" w:tblpY="1"/>
              <w:tblOverlap w:val="never"/>
              <w:tblW w:w="803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6"/>
              <w:gridCol w:w="1727"/>
              <w:gridCol w:w="1644"/>
              <w:gridCol w:w="837"/>
              <w:gridCol w:w="1595"/>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 w:hRule="atLeast"/>
                <w:jc w:val="center"/>
              </w:trPr>
              <w:tc>
                <w:tcPr>
                  <w:tcW w:w="1166"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测点</w:t>
                  </w:r>
                </w:p>
                <w:p>
                  <w:pPr>
                    <w:jc w:val="center"/>
                    <w:rPr>
                      <w:szCs w:val="21"/>
                    </w:rPr>
                  </w:pPr>
                  <w:r>
                    <w:rPr>
                      <w:szCs w:val="21"/>
                    </w:rPr>
                    <w:t>名称</w:t>
                  </w:r>
                </w:p>
              </w:tc>
              <w:tc>
                <w:tcPr>
                  <w:tcW w:w="337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地理位置</w:t>
                  </w:r>
                </w:p>
              </w:tc>
              <w:tc>
                <w:tcPr>
                  <w:tcW w:w="837" w:type="dxa"/>
                  <w:vMerge w:val="restart"/>
                  <w:tcBorders>
                    <w:top w:val="single" w:color="auto" w:sz="4" w:space="0"/>
                    <w:left w:val="single" w:color="auto" w:sz="4" w:space="0"/>
                    <w:right w:val="single" w:color="auto" w:sz="4" w:space="0"/>
                  </w:tcBorders>
                  <w:vAlign w:val="center"/>
                </w:tcPr>
                <w:p>
                  <w:pPr>
                    <w:jc w:val="center"/>
                    <w:rPr>
                      <w:szCs w:val="21"/>
                    </w:rPr>
                  </w:pPr>
                  <w:r>
                    <w:rPr>
                      <w:szCs w:val="21"/>
                    </w:rPr>
                    <w:t>监测项目</w:t>
                  </w:r>
                </w:p>
              </w:tc>
              <w:tc>
                <w:tcPr>
                  <w:tcW w:w="1595" w:type="dxa"/>
                  <w:vMerge w:val="restart"/>
                  <w:tcBorders>
                    <w:top w:val="single" w:color="auto" w:sz="4" w:space="0"/>
                    <w:left w:val="single" w:color="auto" w:sz="4" w:space="0"/>
                    <w:right w:val="single" w:color="auto" w:sz="4" w:space="0"/>
                  </w:tcBorders>
                  <w:vAlign w:val="center"/>
                </w:tcPr>
                <w:p>
                  <w:pPr>
                    <w:jc w:val="center"/>
                    <w:rPr>
                      <w:szCs w:val="21"/>
                    </w:rPr>
                  </w:pPr>
                  <w:r>
                    <w:rPr>
                      <w:szCs w:val="21"/>
                    </w:rPr>
                    <w:t>采样时间</w:t>
                  </w:r>
                </w:p>
              </w:tc>
              <w:tc>
                <w:tcPr>
                  <w:tcW w:w="1064" w:type="dxa"/>
                  <w:vMerge w:val="restart"/>
                  <w:tcBorders>
                    <w:top w:val="single" w:color="auto" w:sz="4" w:space="0"/>
                    <w:left w:val="single" w:color="auto" w:sz="4" w:space="0"/>
                    <w:right w:val="single" w:color="auto" w:sz="4" w:space="0"/>
                  </w:tcBorders>
                  <w:vAlign w:val="center"/>
                </w:tcPr>
                <w:p>
                  <w:pPr>
                    <w:jc w:val="center"/>
                    <w:rPr>
                      <w:szCs w:val="21"/>
                    </w:rPr>
                  </w:pPr>
                  <w:r>
                    <w:rPr>
                      <w:szCs w:val="21"/>
                    </w:rPr>
                    <w:t>与项目位置关系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 w:hRule="atLeast"/>
                <w:jc w:val="center"/>
              </w:trPr>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经度</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纬度</w:t>
                  </w:r>
                </w:p>
              </w:tc>
              <w:tc>
                <w:tcPr>
                  <w:tcW w:w="837" w:type="dxa"/>
                  <w:vMerge w:val="continue"/>
                  <w:tcBorders>
                    <w:left w:val="single" w:color="auto" w:sz="4" w:space="0"/>
                    <w:right w:val="single" w:color="auto" w:sz="4" w:space="0"/>
                  </w:tcBorders>
                  <w:vAlign w:val="center"/>
                </w:tcPr>
                <w:p>
                  <w:pPr>
                    <w:widowControl/>
                    <w:jc w:val="center"/>
                    <w:rPr>
                      <w:szCs w:val="21"/>
                    </w:rPr>
                  </w:pPr>
                </w:p>
              </w:tc>
              <w:tc>
                <w:tcPr>
                  <w:tcW w:w="1595" w:type="dxa"/>
                  <w:vMerge w:val="continue"/>
                  <w:tcBorders>
                    <w:left w:val="single" w:color="auto" w:sz="4" w:space="0"/>
                    <w:right w:val="single" w:color="auto" w:sz="4" w:space="0"/>
                  </w:tcBorders>
                  <w:vAlign w:val="center"/>
                </w:tcPr>
                <w:p>
                  <w:pPr>
                    <w:widowControl/>
                    <w:jc w:val="center"/>
                    <w:rPr>
                      <w:szCs w:val="21"/>
                    </w:rPr>
                  </w:pPr>
                </w:p>
              </w:tc>
              <w:tc>
                <w:tcPr>
                  <w:tcW w:w="1064" w:type="dxa"/>
                  <w:vMerge w:val="continue"/>
                  <w:tcBorders>
                    <w:left w:val="single" w:color="auto" w:sz="4" w:space="0"/>
                    <w:right w:val="single" w:color="auto" w:sz="4" w:space="0"/>
                  </w:tcBorders>
                  <w:vAlign w:val="center"/>
                </w:tcPr>
                <w:p>
                  <w:pPr>
                    <w:widowControl/>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2"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栗庙村</w:t>
                  </w:r>
                </w:p>
              </w:tc>
              <w:tc>
                <w:tcPr>
                  <w:tcW w:w="172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102°31′54.61″E</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24°42′15.40″N</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lang w:bidi="en-US"/>
                    </w:rPr>
                    <w:t>NO</w:t>
                  </w:r>
                  <w:r>
                    <w:rPr>
                      <w:rFonts w:hint="eastAsia"/>
                      <w:szCs w:val="21"/>
                      <w:lang w:bidi="en-US"/>
                    </w:rPr>
                    <w:t>x</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2020.9.21~9.27</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项目厂界东侧891</w:t>
                  </w:r>
                  <w:r>
                    <w:rPr>
                      <w:szCs w:val="21"/>
                    </w:rPr>
                    <w:t>m</w:t>
                  </w:r>
                </w:p>
              </w:tc>
            </w:tr>
          </w:tbl>
          <w:p>
            <w:pPr>
              <w:pStyle w:val="59"/>
              <w:spacing w:line="360" w:lineRule="auto"/>
              <w:ind w:firstLine="480" w:firstLineChars="200"/>
              <w:jc w:val="both"/>
              <w:rPr>
                <w:rFonts w:ascii="Times New Roman" w:hAnsi="Times New Roman" w:cs="Times New Roman"/>
                <w:bCs/>
                <w:kern w:val="2"/>
                <w:sz w:val="24"/>
                <w:szCs w:val="24"/>
              </w:rPr>
            </w:pPr>
            <w:r>
              <w:rPr>
                <w:rFonts w:hint="eastAsia" w:ascii="Times New Roman" w:hAnsi="Times New Roman" w:cs="Times New Roman"/>
                <w:bCs/>
                <w:kern w:val="2"/>
                <w:sz w:val="24"/>
                <w:szCs w:val="24"/>
              </w:rPr>
              <w:t>②监测时段及频率</w:t>
            </w:r>
          </w:p>
          <w:p>
            <w:pPr>
              <w:pStyle w:val="59"/>
              <w:spacing w:line="360" w:lineRule="auto"/>
              <w:ind w:firstLine="480" w:firstLineChars="200"/>
              <w:jc w:val="both"/>
              <w:rPr>
                <w:rFonts w:ascii="Times New Roman" w:hAnsi="Times New Roman" w:cs="Times New Roman"/>
                <w:bCs/>
                <w:kern w:val="2"/>
                <w:sz w:val="24"/>
                <w:szCs w:val="24"/>
              </w:rPr>
            </w:pPr>
            <w:r>
              <w:rPr>
                <w:rFonts w:hint="eastAsia" w:ascii="Times New Roman" w:hAnsi="Times New Roman" w:cs="Times New Roman"/>
                <w:bCs/>
                <w:kern w:val="2"/>
                <w:sz w:val="24"/>
                <w:szCs w:val="24"/>
              </w:rPr>
              <w:t>连续监测7天，提供日均值。</w:t>
            </w:r>
          </w:p>
          <w:p>
            <w:pPr>
              <w:adjustRightInd w:val="0"/>
              <w:spacing w:line="360" w:lineRule="auto"/>
              <w:ind w:firstLine="422" w:firstLineChars="200"/>
              <w:jc w:val="center"/>
              <w:outlineLvl w:val="0"/>
              <w:rPr>
                <w:b/>
              </w:rPr>
            </w:pPr>
            <w:r>
              <w:rPr>
                <w:rFonts w:hint="eastAsia"/>
                <w:b/>
              </w:rPr>
              <w:t>表3-2   各污染物采样时段及监测频次</w:t>
            </w:r>
          </w:p>
          <w:tbl>
            <w:tblPr>
              <w:tblStyle w:val="22"/>
              <w:tblW w:w="803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
            <w:tblGrid>
              <w:gridCol w:w="1535"/>
              <w:gridCol w:w="1706"/>
              <w:gridCol w:w="4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275" w:hRule="atLeast"/>
                <w:jc w:val="center"/>
              </w:trPr>
              <w:tc>
                <w:tcPr>
                  <w:tcW w:w="153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污染物名称</w:t>
                  </w: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平均时间</w:t>
                  </w:r>
                </w:p>
              </w:tc>
              <w:tc>
                <w:tcPr>
                  <w:tcW w:w="479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采样时间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324" w:hRule="atLeast"/>
                <w:jc w:val="center"/>
              </w:trPr>
              <w:tc>
                <w:tcPr>
                  <w:tcW w:w="15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NOx</w:t>
                  </w:r>
                </w:p>
              </w:tc>
              <w:tc>
                <w:tcPr>
                  <w:tcW w:w="17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szCs w:val="21"/>
                    </w:rPr>
                    <w:t>24小时平均</w:t>
                  </w:r>
                  <w:r>
                    <w:rPr>
                      <w:rFonts w:hint="eastAsia"/>
                      <w:szCs w:val="21"/>
                    </w:rPr>
                    <w:t>、</w:t>
                  </w:r>
                  <w:r>
                    <w:rPr>
                      <w:szCs w:val="21"/>
                    </w:rPr>
                    <w:t>1小时平均</w:t>
                  </w:r>
                </w:p>
              </w:tc>
              <w:tc>
                <w:tcPr>
                  <w:tcW w:w="47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szCs w:val="21"/>
                    </w:rPr>
                    <w:t>24小时平均</w:t>
                  </w:r>
                  <w:r>
                    <w:rPr>
                      <w:rFonts w:hint="eastAsia"/>
                      <w:szCs w:val="21"/>
                    </w:rPr>
                    <w:t>值</w:t>
                  </w:r>
                  <w:r>
                    <w:rPr>
                      <w:szCs w:val="21"/>
                    </w:rPr>
                    <w:t>每日至少有20个小时采样时间</w:t>
                  </w:r>
                  <w:r>
                    <w:rPr>
                      <w:rFonts w:hint="eastAsia"/>
                      <w:szCs w:val="21"/>
                    </w:rPr>
                    <w:t>，</w:t>
                  </w:r>
                  <w:r>
                    <w:rPr>
                      <w:szCs w:val="21"/>
                    </w:rPr>
                    <w:t>1小时平均每小时至少有45分钟采样时间，连续</w:t>
                  </w:r>
                  <w:r>
                    <w:rPr>
                      <w:rFonts w:hint="eastAsia"/>
                      <w:szCs w:val="21"/>
                    </w:rPr>
                    <w:t>7</w:t>
                  </w:r>
                  <w:r>
                    <w:rPr>
                      <w:szCs w:val="21"/>
                    </w:rPr>
                    <w:t>天</w:t>
                  </w:r>
                </w:p>
              </w:tc>
            </w:tr>
          </w:tbl>
          <w:p>
            <w:pPr>
              <w:pStyle w:val="59"/>
              <w:spacing w:line="360" w:lineRule="auto"/>
              <w:ind w:firstLine="480" w:firstLineChars="200"/>
              <w:jc w:val="both"/>
              <w:rPr>
                <w:rFonts w:ascii="Times New Roman" w:hAnsi="Times New Roman" w:cs="Times New Roman"/>
                <w:bCs/>
                <w:kern w:val="2"/>
                <w:sz w:val="24"/>
                <w:szCs w:val="24"/>
              </w:rPr>
            </w:pPr>
            <w:r>
              <w:rPr>
                <w:rFonts w:hint="eastAsia" w:ascii="Times New Roman" w:hAnsi="Times New Roman" w:cs="Times New Roman"/>
                <w:bCs/>
                <w:kern w:val="2"/>
                <w:sz w:val="24"/>
                <w:szCs w:val="24"/>
              </w:rPr>
              <w:t>③监测方法</w:t>
            </w:r>
          </w:p>
          <w:p>
            <w:pPr>
              <w:pStyle w:val="59"/>
              <w:spacing w:line="360" w:lineRule="auto"/>
              <w:ind w:firstLine="480" w:firstLineChars="200"/>
              <w:jc w:val="both"/>
              <w:rPr>
                <w:rFonts w:ascii="Times New Roman" w:hAnsi="Times New Roman" w:cs="Times New Roman"/>
                <w:bCs/>
                <w:kern w:val="2"/>
                <w:sz w:val="24"/>
                <w:szCs w:val="24"/>
              </w:rPr>
            </w:pPr>
            <w:r>
              <w:rPr>
                <w:rFonts w:hint="eastAsia" w:ascii="Times New Roman" w:hAnsi="Times New Roman" w:cs="Times New Roman"/>
                <w:bCs/>
                <w:kern w:val="2"/>
                <w:sz w:val="24"/>
                <w:szCs w:val="24"/>
              </w:rPr>
              <w:t>按照《环境监测技术规范》的要求执行。监测取样时间应满足《环境空气质量标准》(GB3095-2012）数据有效性要求。</w:t>
            </w:r>
          </w:p>
          <w:p>
            <w:pPr>
              <w:pStyle w:val="59"/>
              <w:spacing w:line="360" w:lineRule="auto"/>
              <w:ind w:firstLine="480" w:firstLineChars="200"/>
              <w:jc w:val="both"/>
              <w:rPr>
                <w:rFonts w:ascii="Times New Roman" w:hAnsi="Times New Roman" w:cs="Times New Roman"/>
                <w:bCs/>
                <w:kern w:val="2"/>
                <w:sz w:val="24"/>
                <w:szCs w:val="24"/>
              </w:rPr>
            </w:pPr>
            <w:r>
              <w:rPr>
                <w:rFonts w:hint="eastAsia" w:ascii="Times New Roman" w:hAnsi="Times New Roman" w:cs="Times New Roman"/>
                <w:bCs/>
                <w:kern w:val="2"/>
                <w:sz w:val="24"/>
                <w:szCs w:val="24"/>
              </w:rPr>
              <w:t>④监测结果</w:t>
            </w:r>
          </w:p>
          <w:p>
            <w:pPr>
              <w:pStyle w:val="59"/>
              <w:spacing w:line="360" w:lineRule="auto"/>
              <w:ind w:firstLine="480" w:firstLineChars="200"/>
              <w:jc w:val="both"/>
              <w:rPr>
                <w:rFonts w:ascii="Times New Roman" w:hAnsi="Times New Roman" w:cs="Times New Roman"/>
                <w:bCs/>
                <w:kern w:val="2"/>
                <w:sz w:val="24"/>
                <w:szCs w:val="24"/>
              </w:rPr>
            </w:pPr>
            <w:r>
              <w:rPr>
                <w:rFonts w:hint="eastAsia" w:ascii="Times New Roman" w:hAnsi="Times New Roman" w:cs="Times New Roman"/>
                <w:bCs/>
                <w:kern w:val="2"/>
                <w:sz w:val="24"/>
                <w:szCs w:val="24"/>
              </w:rPr>
              <w:t>环境空气质量补充监测的结果统计见表3-3。</w:t>
            </w:r>
          </w:p>
          <w:p>
            <w:pPr>
              <w:adjustRightInd w:val="0"/>
              <w:spacing w:line="360" w:lineRule="auto"/>
              <w:ind w:firstLine="422" w:firstLineChars="200"/>
              <w:jc w:val="center"/>
              <w:outlineLvl w:val="0"/>
              <w:rPr>
                <w:b/>
              </w:rPr>
            </w:pPr>
            <w:r>
              <w:rPr>
                <w:rFonts w:hint="eastAsia"/>
                <w:b/>
              </w:rPr>
              <w:t>表3-3    补充监测点环境质量现状（监测结果）表</w:t>
            </w:r>
          </w:p>
          <w:tbl>
            <w:tblPr>
              <w:tblStyle w:val="22"/>
              <w:tblW w:w="80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95"/>
              <w:gridCol w:w="1539"/>
              <w:gridCol w:w="1457"/>
              <w:gridCol w:w="903"/>
              <w:gridCol w:w="831"/>
              <w:gridCol w:w="1032"/>
              <w:gridCol w:w="1056"/>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jc w:val="center"/>
              </w:trPr>
              <w:tc>
                <w:tcPr>
                  <w:tcW w:w="695" w:type="dxa"/>
                  <w:vMerge w:val="restart"/>
                  <w:vAlign w:val="center"/>
                </w:tcPr>
                <w:p>
                  <w:pPr>
                    <w:tabs>
                      <w:tab w:val="left" w:pos="180"/>
                    </w:tabs>
                    <w:jc w:val="center"/>
                    <w:rPr>
                      <w:szCs w:val="21"/>
                    </w:rPr>
                  </w:pPr>
                  <w:r>
                    <w:rPr>
                      <w:szCs w:val="21"/>
                    </w:rPr>
                    <w:t>监测点位</w:t>
                  </w:r>
                </w:p>
              </w:tc>
              <w:tc>
                <w:tcPr>
                  <w:tcW w:w="2996" w:type="dxa"/>
                  <w:gridSpan w:val="2"/>
                  <w:vAlign w:val="center"/>
                </w:tcPr>
                <w:p>
                  <w:pPr>
                    <w:jc w:val="center"/>
                    <w:rPr>
                      <w:szCs w:val="21"/>
                    </w:rPr>
                  </w:pPr>
                  <w:r>
                    <w:rPr>
                      <w:szCs w:val="21"/>
                    </w:rPr>
                    <w:t>地理位置</w:t>
                  </w:r>
                </w:p>
              </w:tc>
              <w:tc>
                <w:tcPr>
                  <w:tcW w:w="903" w:type="dxa"/>
                  <w:vMerge w:val="restart"/>
                  <w:vAlign w:val="center"/>
                </w:tcPr>
                <w:p>
                  <w:pPr>
                    <w:tabs>
                      <w:tab w:val="left" w:pos="180"/>
                    </w:tabs>
                    <w:jc w:val="center"/>
                    <w:rPr>
                      <w:szCs w:val="21"/>
                    </w:rPr>
                  </w:pPr>
                  <w:r>
                    <w:rPr>
                      <w:szCs w:val="21"/>
                    </w:rPr>
                    <w:t>污染物</w:t>
                  </w:r>
                </w:p>
              </w:tc>
              <w:tc>
                <w:tcPr>
                  <w:tcW w:w="831" w:type="dxa"/>
                  <w:vMerge w:val="restart"/>
                  <w:vAlign w:val="center"/>
                </w:tcPr>
                <w:p>
                  <w:pPr>
                    <w:tabs>
                      <w:tab w:val="left" w:pos="180"/>
                    </w:tabs>
                    <w:jc w:val="center"/>
                    <w:rPr>
                      <w:szCs w:val="21"/>
                    </w:rPr>
                  </w:pPr>
                  <w:r>
                    <w:rPr>
                      <w:szCs w:val="21"/>
                    </w:rPr>
                    <w:t>平均时间</w:t>
                  </w:r>
                </w:p>
              </w:tc>
              <w:tc>
                <w:tcPr>
                  <w:tcW w:w="1032" w:type="dxa"/>
                  <w:vMerge w:val="restart"/>
                  <w:vAlign w:val="center"/>
                </w:tcPr>
                <w:p>
                  <w:pPr>
                    <w:tabs>
                      <w:tab w:val="left" w:pos="180"/>
                    </w:tabs>
                    <w:jc w:val="center"/>
                    <w:rPr>
                      <w:szCs w:val="21"/>
                    </w:rPr>
                  </w:pPr>
                  <w:r>
                    <w:rPr>
                      <w:szCs w:val="21"/>
                    </w:rPr>
                    <w:t>标准值/（μg/m</w:t>
                  </w:r>
                  <w:r>
                    <w:rPr>
                      <w:szCs w:val="21"/>
                      <w:vertAlign w:val="superscript"/>
                    </w:rPr>
                    <w:t>3</w:t>
                  </w:r>
                  <w:r>
                    <w:rPr>
                      <w:szCs w:val="21"/>
                    </w:rPr>
                    <w:t>）</w:t>
                  </w:r>
                </w:p>
              </w:tc>
              <w:tc>
                <w:tcPr>
                  <w:tcW w:w="1056" w:type="dxa"/>
                  <w:vMerge w:val="restart"/>
                  <w:vAlign w:val="center"/>
                </w:tcPr>
                <w:p>
                  <w:pPr>
                    <w:tabs>
                      <w:tab w:val="left" w:pos="180"/>
                    </w:tabs>
                    <w:jc w:val="center"/>
                    <w:rPr>
                      <w:szCs w:val="21"/>
                    </w:rPr>
                  </w:pPr>
                  <w:r>
                    <w:rPr>
                      <w:szCs w:val="21"/>
                    </w:rPr>
                    <w:t>监测浓度范围/（μg/m</w:t>
                  </w:r>
                  <w:r>
                    <w:rPr>
                      <w:szCs w:val="21"/>
                      <w:vertAlign w:val="superscript"/>
                    </w:rPr>
                    <w:t>3</w:t>
                  </w:r>
                  <w:r>
                    <w:rPr>
                      <w:szCs w:val="21"/>
                    </w:rPr>
                    <w:t>）</w:t>
                  </w:r>
                </w:p>
              </w:tc>
              <w:tc>
                <w:tcPr>
                  <w:tcW w:w="523" w:type="dxa"/>
                  <w:vMerge w:val="restart"/>
                  <w:vAlign w:val="center"/>
                </w:tcPr>
                <w:p>
                  <w:pPr>
                    <w:tabs>
                      <w:tab w:val="left" w:pos="180"/>
                    </w:tabs>
                    <w:jc w:val="center"/>
                    <w:rPr>
                      <w:szCs w:val="21"/>
                    </w:rPr>
                  </w:pPr>
                  <w:r>
                    <w:rPr>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jc w:val="center"/>
              </w:trPr>
              <w:tc>
                <w:tcPr>
                  <w:tcW w:w="695" w:type="dxa"/>
                  <w:vMerge w:val="continue"/>
                  <w:vAlign w:val="center"/>
                </w:tcPr>
                <w:p>
                  <w:pPr>
                    <w:tabs>
                      <w:tab w:val="left" w:pos="180"/>
                    </w:tabs>
                    <w:jc w:val="center"/>
                    <w:rPr>
                      <w:szCs w:val="21"/>
                    </w:rPr>
                  </w:pPr>
                </w:p>
              </w:tc>
              <w:tc>
                <w:tcPr>
                  <w:tcW w:w="1539" w:type="dxa"/>
                  <w:vAlign w:val="center"/>
                </w:tcPr>
                <w:p>
                  <w:pPr>
                    <w:jc w:val="center"/>
                    <w:rPr>
                      <w:szCs w:val="21"/>
                    </w:rPr>
                  </w:pPr>
                  <w:r>
                    <w:rPr>
                      <w:szCs w:val="21"/>
                    </w:rPr>
                    <w:t>经度</w:t>
                  </w:r>
                </w:p>
              </w:tc>
              <w:tc>
                <w:tcPr>
                  <w:tcW w:w="1457" w:type="dxa"/>
                  <w:vAlign w:val="center"/>
                </w:tcPr>
                <w:p>
                  <w:pPr>
                    <w:jc w:val="center"/>
                    <w:rPr>
                      <w:szCs w:val="21"/>
                    </w:rPr>
                  </w:pPr>
                  <w:r>
                    <w:rPr>
                      <w:szCs w:val="21"/>
                    </w:rPr>
                    <w:t>纬度</w:t>
                  </w:r>
                </w:p>
              </w:tc>
              <w:tc>
                <w:tcPr>
                  <w:tcW w:w="903" w:type="dxa"/>
                  <w:vMerge w:val="continue"/>
                  <w:vAlign w:val="center"/>
                </w:tcPr>
                <w:p>
                  <w:pPr>
                    <w:tabs>
                      <w:tab w:val="left" w:pos="180"/>
                    </w:tabs>
                    <w:jc w:val="center"/>
                    <w:rPr>
                      <w:szCs w:val="21"/>
                    </w:rPr>
                  </w:pPr>
                </w:p>
              </w:tc>
              <w:tc>
                <w:tcPr>
                  <w:tcW w:w="831" w:type="dxa"/>
                  <w:vMerge w:val="continue"/>
                  <w:vAlign w:val="center"/>
                </w:tcPr>
                <w:p>
                  <w:pPr>
                    <w:tabs>
                      <w:tab w:val="left" w:pos="180"/>
                    </w:tabs>
                    <w:jc w:val="center"/>
                    <w:rPr>
                      <w:szCs w:val="21"/>
                    </w:rPr>
                  </w:pPr>
                </w:p>
              </w:tc>
              <w:tc>
                <w:tcPr>
                  <w:tcW w:w="1032" w:type="dxa"/>
                  <w:vMerge w:val="continue"/>
                  <w:vAlign w:val="center"/>
                </w:tcPr>
                <w:p>
                  <w:pPr>
                    <w:tabs>
                      <w:tab w:val="left" w:pos="180"/>
                    </w:tabs>
                    <w:jc w:val="center"/>
                    <w:rPr>
                      <w:szCs w:val="21"/>
                    </w:rPr>
                  </w:pPr>
                </w:p>
              </w:tc>
              <w:tc>
                <w:tcPr>
                  <w:tcW w:w="1056" w:type="dxa"/>
                  <w:vMerge w:val="continue"/>
                  <w:vAlign w:val="center"/>
                </w:tcPr>
                <w:p>
                  <w:pPr>
                    <w:tabs>
                      <w:tab w:val="left" w:pos="180"/>
                    </w:tabs>
                    <w:jc w:val="center"/>
                    <w:rPr>
                      <w:szCs w:val="21"/>
                    </w:rPr>
                  </w:pPr>
                </w:p>
              </w:tc>
              <w:tc>
                <w:tcPr>
                  <w:tcW w:w="523" w:type="dxa"/>
                  <w:vMerge w:val="continue"/>
                  <w:vAlign w:val="center"/>
                </w:tcPr>
                <w:p>
                  <w:pPr>
                    <w:tabs>
                      <w:tab w:val="left" w:pos="180"/>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jc w:val="center"/>
              </w:trPr>
              <w:tc>
                <w:tcPr>
                  <w:tcW w:w="695" w:type="dxa"/>
                  <w:vMerge w:val="restart"/>
                  <w:vAlign w:val="center"/>
                </w:tcPr>
                <w:p>
                  <w:pPr>
                    <w:tabs>
                      <w:tab w:val="left" w:pos="180"/>
                    </w:tabs>
                    <w:jc w:val="center"/>
                    <w:rPr>
                      <w:szCs w:val="21"/>
                    </w:rPr>
                  </w:pPr>
                  <w:r>
                    <w:rPr>
                      <w:szCs w:val="21"/>
                    </w:rPr>
                    <w:t>栗庙村</w:t>
                  </w:r>
                </w:p>
              </w:tc>
              <w:tc>
                <w:tcPr>
                  <w:tcW w:w="1539" w:type="dxa"/>
                  <w:vMerge w:val="restart"/>
                  <w:vAlign w:val="center"/>
                </w:tcPr>
                <w:p>
                  <w:pPr>
                    <w:tabs>
                      <w:tab w:val="left" w:pos="180"/>
                    </w:tabs>
                    <w:jc w:val="center"/>
                    <w:rPr>
                      <w:szCs w:val="21"/>
                    </w:rPr>
                  </w:pPr>
                  <w:r>
                    <w:rPr>
                      <w:szCs w:val="21"/>
                    </w:rPr>
                    <w:t>102°31′54.61″E</w:t>
                  </w:r>
                </w:p>
              </w:tc>
              <w:tc>
                <w:tcPr>
                  <w:tcW w:w="1457" w:type="dxa"/>
                  <w:vMerge w:val="restart"/>
                  <w:vAlign w:val="center"/>
                </w:tcPr>
                <w:p>
                  <w:pPr>
                    <w:tabs>
                      <w:tab w:val="left" w:pos="180"/>
                    </w:tabs>
                    <w:jc w:val="center"/>
                    <w:rPr>
                      <w:szCs w:val="21"/>
                    </w:rPr>
                  </w:pPr>
                  <w:r>
                    <w:rPr>
                      <w:szCs w:val="21"/>
                    </w:rPr>
                    <w:t>24°42′15.40″N</w:t>
                  </w:r>
                </w:p>
              </w:tc>
              <w:tc>
                <w:tcPr>
                  <w:tcW w:w="903" w:type="dxa"/>
                  <w:vMerge w:val="restart"/>
                  <w:vAlign w:val="center"/>
                </w:tcPr>
                <w:p>
                  <w:pPr>
                    <w:tabs>
                      <w:tab w:val="left" w:pos="180"/>
                    </w:tabs>
                    <w:jc w:val="center"/>
                    <w:rPr>
                      <w:szCs w:val="21"/>
                    </w:rPr>
                  </w:pPr>
                  <w:r>
                    <w:rPr>
                      <w:szCs w:val="21"/>
                      <w:lang w:bidi="en-US"/>
                    </w:rPr>
                    <w:t>NO</w:t>
                  </w:r>
                  <w:r>
                    <w:rPr>
                      <w:rFonts w:hint="eastAsia"/>
                      <w:szCs w:val="21"/>
                      <w:lang w:bidi="en-US"/>
                    </w:rPr>
                    <w:t>x</w:t>
                  </w:r>
                </w:p>
              </w:tc>
              <w:tc>
                <w:tcPr>
                  <w:tcW w:w="831" w:type="dxa"/>
                  <w:vAlign w:val="center"/>
                </w:tcPr>
                <w:p>
                  <w:pPr>
                    <w:tabs>
                      <w:tab w:val="left" w:pos="180"/>
                    </w:tabs>
                    <w:jc w:val="center"/>
                    <w:rPr>
                      <w:szCs w:val="21"/>
                    </w:rPr>
                  </w:pPr>
                  <w:r>
                    <w:rPr>
                      <w:rFonts w:hint="eastAsia"/>
                      <w:szCs w:val="21"/>
                    </w:rPr>
                    <w:t>24</w:t>
                  </w:r>
                  <w:r>
                    <w:rPr>
                      <w:szCs w:val="21"/>
                    </w:rPr>
                    <w:t>小时平均</w:t>
                  </w:r>
                </w:p>
              </w:tc>
              <w:tc>
                <w:tcPr>
                  <w:tcW w:w="1032" w:type="dxa"/>
                  <w:vAlign w:val="center"/>
                </w:tcPr>
                <w:p>
                  <w:pPr>
                    <w:tabs>
                      <w:tab w:val="left" w:pos="180"/>
                    </w:tabs>
                    <w:jc w:val="center"/>
                    <w:rPr>
                      <w:szCs w:val="21"/>
                    </w:rPr>
                  </w:pPr>
                  <w:r>
                    <w:rPr>
                      <w:rFonts w:hint="eastAsia"/>
                      <w:szCs w:val="21"/>
                    </w:rPr>
                    <w:t>100</w:t>
                  </w:r>
                </w:p>
              </w:tc>
              <w:tc>
                <w:tcPr>
                  <w:tcW w:w="1056" w:type="dxa"/>
                  <w:vAlign w:val="center"/>
                </w:tcPr>
                <w:p>
                  <w:pPr>
                    <w:tabs>
                      <w:tab w:val="left" w:pos="180"/>
                    </w:tabs>
                    <w:jc w:val="center"/>
                    <w:rPr>
                      <w:szCs w:val="21"/>
                    </w:rPr>
                  </w:pPr>
                  <w:r>
                    <w:rPr>
                      <w:rFonts w:hint="eastAsia"/>
                      <w:szCs w:val="21"/>
                    </w:rPr>
                    <w:t>37~43</w:t>
                  </w:r>
                </w:p>
              </w:tc>
              <w:tc>
                <w:tcPr>
                  <w:tcW w:w="523" w:type="dxa"/>
                  <w:vAlign w:val="center"/>
                </w:tcPr>
                <w:p>
                  <w:pPr>
                    <w:tabs>
                      <w:tab w:val="left" w:pos="180"/>
                    </w:tabs>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jc w:val="center"/>
              </w:trPr>
              <w:tc>
                <w:tcPr>
                  <w:tcW w:w="695" w:type="dxa"/>
                  <w:vMerge w:val="continue"/>
                  <w:vAlign w:val="center"/>
                </w:tcPr>
                <w:p>
                  <w:pPr>
                    <w:tabs>
                      <w:tab w:val="left" w:pos="180"/>
                    </w:tabs>
                    <w:jc w:val="center"/>
                    <w:rPr>
                      <w:szCs w:val="21"/>
                    </w:rPr>
                  </w:pPr>
                </w:p>
              </w:tc>
              <w:tc>
                <w:tcPr>
                  <w:tcW w:w="1539" w:type="dxa"/>
                  <w:vMerge w:val="continue"/>
                  <w:vAlign w:val="center"/>
                </w:tcPr>
                <w:p>
                  <w:pPr>
                    <w:tabs>
                      <w:tab w:val="left" w:pos="180"/>
                    </w:tabs>
                    <w:jc w:val="center"/>
                    <w:rPr>
                      <w:szCs w:val="21"/>
                    </w:rPr>
                  </w:pPr>
                </w:p>
              </w:tc>
              <w:tc>
                <w:tcPr>
                  <w:tcW w:w="1457" w:type="dxa"/>
                  <w:vMerge w:val="continue"/>
                  <w:vAlign w:val="center"/>
                </w:tcPr>
                <w:p>
                  <w:pPr>
                    <w:tabs>
                      <w:tab w:val="left" w:pos="180"/>
                    </w:tabs>
                    <w:jc w:val="center"/>
                    <w:rPr>
                      <w:szCs w:val="21"/>
                    </w:rPr>
                  </w:pPr>
                </w:p>
              </w:tc>
              <w:tc>
                <w:tcPr>
                  <w:tcW w:w="903" w:type="dxa"/>
                  <w:vMerge w:val="continue"/>
                  <w:vAlign w:val="center"/>
                </w:tcPr>
                <w:p>
                  <w:pPr>
                    <w:tabs>
                      <w:tab w:val="left" w:pos="180"/>
                    </w:tabs>
                    <w:jc w:val="center"/>
                    <w:rPr>
                      <w:szCs w:val="21"/>
                    </w:rPr>
                  </w:pPr>
                </w:p>
              </w:tc>
              <w:tc>
                <w:tcPr>
                  <w:tcW w:w="831" w:type="dxa"/>
                  <w:vAlign w:val="center"/>
                </w:tcPr>
                <w:p>
                  <w:pPr>
                    <w:tabs>
                      <w:tab w:val="left" w:pos="180"/>
                    </w:tabs>
                    <w:jc w:val="center"/>
                    <w:rPr>
                      <w:szCs w:val="21"/>
                    </w:rPr>
                  </w:pPr>
                  <w:r>
                    <w:rPr>
                      <w:szCs w:val="21"/>
                    </w:rPr>
                    <w:t>1小时平均</w:t>
                  </w:r>
                </w:p>
              </w:tc>
              <w:tc>
                <w:tcPr>
                  <w:tcW w:w="1032" w:type="dxa"/>
                  <w:vAlign w:val="center"/>
                </w:tcPr>
                <w:p>
                  <w:pPr>
                    <w:tabs>
                      <w:tab w:val="left" w:pos="180"/>
                    </w:tabs>
                    <w:jc w:val="center"/>
                    <w:rPr>
                      <w:szCs w:val="21"/>
                    </w:rPr>
                  </w:pPr>
                  <w:r>
                    <w:rPr>
                      <w:rFonts w:hint="eastAsia"/>
                      <w:szCs w:val="21"/>
                    </w:rPr>
                    <w:t>250</w:t>
                  </w:r>
                </w:p>
              </w:tc>
              <w:tc>
                <w:tcPr>
                  <w:tcW w:w="1056" w:type="dxa"/>
                  <w:vAlign w:val="center"/>
                </w:tcPr>
                <w:p>
                  <w:pPr>
                    <w:tabs>
                      <w:tab w:val="left" w:pos="180"/>
                    </w:tabs>
                    <w:jc w:val="center"/>
                    <w:rPr>
                      <w:szCs w:val="21"/>
                    </w:rPr>
                  </w:pPr>
                  <w:r>
                    <w:rPr>
                      <w:rFonts w:hint="eastAsia"/>
                      <w:szCs w:val="21"/>
                    </w:rPr>
                    <w:t>34~43</w:t>
                  </w:r>
                </w:p>
              </w:tc>
              <w:tc>
                <w:tcPr>
                  <w:tcW w:w="523" w:type="dxa"/>
                  <w:vAlign w:val="center"/>
                </w:tcPr>
                <w:p>
                  <w:pPr>
                    <w:tabs>
                      <w:tab w:val="left" w:pos="180"/>
                    </w:tabs>
                    <w:jc w:val="center"/>
                    <w:rPr>
                      <w:szCs w:val="21"/>
                    </w:rPr>
                  </w:pPr>
                  <w:r>
                    <w:rPr>
                      <w:rFonts w:hint="eastAsia"/>
                      <w:szCs w:val="21"/>
                    </w:rPr>
                    <w:t>达标</w:t>
                  </w:r>
                </w:p>
              </w:tc>
            </w:tr>
          </w:tbl>
          <w:p>
            <w:pPr>
              <w:pStyle w:val="59"/>
              <w:spacing w:line="360" w:lineRule="auto"/>
              <w:ind w:firstLine="480" w:firstLineChars="200"/>
              <w:jc w:val="both"/>
              <w:rPr>
                <w:rFonts w:ascii="Times New Roman" w:hAnsi="Times New Roman" w:cs="Times New Roman"/>
                <w:bCs/>
                <w:kern w:val="2"/>
                <w:sz w:val="24"/>
                <w:szCs w:val="24"/>
              </w:rPr>
            </w:pPr>
            <w:r>
              <w:rPr>
                <w:rFonts w:ascii="Times New Roman" w:hAnsi="Times New Roman" w:cs="Times New Roman"/>
                <w:bCs/>
                <w:kern w:val="2"/>
                <w:sz w:val="24"/>
                <w:szCs w:val="24"/>
              </w:rPr>
              <w:t>根据监测结果，</w:t>
            </w:r>
            <w:r>
              <w:rPr>
                <w:rFonts w:hint="eastAsia" w:ascii="Times New Roman" w:hAnsi="Times New Roman" w:cs="Times New Roman"/>
                <w:bCs/>
                <w:kern w:val="2"/>
                <w:sz w:val="24"/>
                <w:szCs w:val="24"/>
              </w:rPr>
              <w:t>监测点栗庙村</w:t>
            </w:r>
            <w:r>
              <w:rPr>
                <w:rFonts w:ascii="Times New Roman" w:hAnsi="Times New Roman" w:cs="Times New Roman"/>
                <w:bCs/>
                <w:kern w:val="2"/>
                <w:sz w:val="24"/>
                <w:szCs w:val="24"/>
              </w:rPr>
              <w:t>NO</w:t>
            </w:r>
            <w:r>
              <w:rPr>
                <w:rFonts w:hint="eastAsia" w:ascii="Times New Roman" w:hAnsi="Times New Roman" w:cs="Times New Roman"/>
                <w:bCs/>
                <w:kern w:val="2"/>
                <w:sz w:val="24"/>
                <w:szCs w:val="24"/>
              </w:rPr>
              <w:t>x 24小时浓度值、1小时浓度值均满足</w:t>
            </w:r>
            <w:r>
              <w:rPr>
                <w:rFonts w:ascii="Times New Roman" w:hAnsi="Times New Roman" w:cs="Times New Roman"/>
                <w:bCs/>
                <w:kern w:val="2"/>
                <w:sz w:val="24"/>
                <w:szCs w:val="24"/>
              </w:rPr>
              <w:t>《环境空气质量标准》（GB3095-2012）中的二级标准要求。</w:t>
            </w:r>
          </w:p>
          <w:p>
            <w:pPr>
              <w:pStyle w:val="59"/>
              <w:spacing w:line="360" w:lineRule="auto"/>
              <w:ind w:firstLine="482" w:firstLineChars="200"/>
              <w:jc w:val="both"/>
              <w:rPr>
                <w:rFonts w:ascii="Times New Roman" w:hAnsi="Times New Roman" w:cs="Times New Roman"/>
                <w:b/>
                <w:bCs/>
                <w:kern w:val="2"/>
                <w:sz w:val="24"/>
                <w:szCs w:val="24"/>
              </w:rPr>
            </w:pPr>
            <w:r>
              <w:rPr>
                <w:rFonts w:hint="eastAsia" w:ascii="Times New Roman" w:hAnsi="Times New Roman" w:cs="Times New Roman"/>
                <w:b/>
                <w:bCs/>
                <w:kern w:val="2"/>
                <w:sz w:val="24"/>
                <w:szCs w:val="24"/>
              </w:rPr>
              <w:t>2、地表水环境质量现状</w:t>
            </w:r>
          </w:p>
          <w:p>
            <w:pPr>
              <w:pStyle w:val="51"/>
              <w:adjustRightInd w:val="0"/>
              <w:snapToGrid w:val="0"/>
              <w:spacing w:line="360" w:lineRule="auto"/>
              <w:rPr>
                <w:rFonts w:ascii="Times New Roman"/>
              </w:rPr>
            </w:pPr>
            <w:r>
              <w:rPr>
                <w:rFonts w:hint="eastAsia" w:ascii="Times New Roman"/>
                <w:bCs/>
                <w:szCs w:val="24"/>
              </w:rPr>
              <w:t>本项目涉及的地表水体为二街河，位于厂区西侧，距离</w:t>
            </w:r>
            <w:r>
              <w:rPr>
                <w:rFonts w:ascii="Times New Roman"/>
                <w:bCs/>
                <w:szCs w:val="24"/>
              </w:rPr>
              <w:t>2758m</w:t>
            </w:r>
            <w:r>
              <w:rPr>
                <w:rFonts w:ascii="Times New Roman"/>
              </w:rPr>
              <w:t>，</w:t>
            </w:r>
            <w:r>
              <w:rPr>
                <w:rFonts w:hint="eastAsia" w:ascii="Times New Roman"/>
              </w:rPr>
              <w:t>二街河汇入鸣矣河，鸣矣河最终汇入螳螂川流入金沙江。</w:t>
            </w:r>
            <w:r>
              <w:rPr>
                <w:rFonts w:ascii="Times New Roman"/>
              </w:rPr>
              <w:t>项目</w:t>
            </w:r>
            <w:r>
              <w:rPr>
                <w:rFonts w:hint="eastAsia" w:ascii="Times New Roman"/>
              </w:rPr>
              <w:t>无新增废水产排</w:t>
            </w:r>
            <w:r>
              <w:rPr>
                <w:rFonts w:ascii="Times New Roman"/>
              </w:rPr>
              <w:t>。</w:t>
            </w:r>
            <w:r>
              <w:rPr>
                <w:rFonts w:hint="eastAsia" w:ascii="Times New Roman"/>
                <w:bCs/>
                <w:szCs w:val="24"/>
              </w:rPr>
              <w:t>根据《云南省水功能区划（2014年修订）》，</w:t>
            </w:r>
            <w:r>
              <w:rPr>
                <w:rFonts w:hint="eastAsia" w:ascii="Times New Roman"/>
                <w:szCs w:val="24"/>
              </w:rPr>
              <w:t>鸣矣河入螳螂川口的河段，20</w:t>
            </w:r>
            <w:r>
              <w:rPr>
                <w:rFonts w:ascii="Times New Roman"/>
                <w:szCs w:val="24"/>
              </w:rPr>
              <w:t>3</w:t>
            </w:r>
            <w:r>
              <w:rPr>
                <w:rFonts w:hint="eastAsia" w:ascii="Times New Roman"/>
                <w:szCs w:val="24"/>
              </w:rPr>
              <w:t>0年水质目标为IV类。二街河未做水功能区划，二街河参照鸣矣河水质标准执行IV类标准。</w:t>
            </w:r>
          </w:p>
          <w:p>
            <w:pPr>
              <w:pStyle w:val="59"/>
              <w:spacing w:line="360" w:lineRule="auto"/>
              <w:ind w:firstLine="480" w:firstLineChars="200"/>
              <w:jc w:val="both"/>
              <w:rPr>
                <w:rFonts w:ascii="Times New Roman" w:hAnsi="Times New Roman" w:cs="Times New Roman"/>
                <w:bCs/>
                <w:kern w:val="2"/>
                <w:sz w:val="24"/>
                <w:szCs w:val="24"/>
              </w:rPr>
            </w:pPr>
            <w:r>
              <w:rPr>
                <w:rFonts w:hint="eastAsia" w:ascii="Times New Roman" w:hAnsi="Times New Roman" w:cs="Times New Roman"/>
                <w:bCs/>
                <w:kern w:val="2"/>
                <w:sz w:val="24"/>
                <w:szCs w:val="24"/>
              </w:rPr>
              <w:t>根据《2021年度昆明市生态环境状况公报》，鸣矣河通仙桥断面水质类别为Ⅴ类，不能达到《地表水环境质量标准》（GB3838-2002）中Ⅳ类标准限值。</w:t>
            </w:r>
          </w:p>
          <w:p>
            <w:pPr>
              <w:pStyle w:val="59"/>
              <w:spacing w:line="360" w:lineRule="auto"/>
              <w:ind w:firstLine="482" w:firstLineChars="200"/>
              <w:jc w:val="both"/>
              <w:rPr>
                <w:rFonts w:ascii="Times New Roman" w:hAnsi="Times New Roman" w:cs="Times New Roman"/>
                <w:b/>
                <w:bCs/>
                <w:kern w:val="2"/>
                <w:sz w:val="24"/>
                <w:szCs w:val="24"/>
              </w:rPr>
            </w:pPr>
            <w:r>
              <w:rPr>
                <w:rFonts w:hint="eastAsia" w:ascii="Times New Roman" w:hAnsi="Times New Roman" w:cs="Times New Roman"/>
                <w:b/>
                <w:bCs/>
                <w:kern w:val="2"/>
                <w:sz w:val="24"/>
                <w:szCs w:val="24"/>
              </w:rPr>
              <w:t>3、声环境质量现状评价</w:t>
            </w:r>
          </w:p>
          <w:p>
            <w:pPr>
              <w:pStyle w:val="59"/>
              <w:spacing w:line="360" w:lineRule="auto"/>
              <w:ind w:firstLine="480" w:firstLineChars="200"/>
              <w:jc w:val="both"/>
              <w:rPr>
                <w:rFonts w:ascii="Times New Roman" w:hAnsi="Times New Roman" w:cs="Times New Roman"/>
                <w:b/>
                <w:bCs/>
                <w:kern w:val="2"/>
                <w:sz w:val="24"/>
                <w:szCs w:val="24"/>
              </w:rPr>
            </w:pPr>
            <w:r>
              <w:rPr>
                <w:rFonts w:hint="eastAsia" w:ascii="Times New Roman" w:hAnsi="Times New Roman"/>
                <w:sz w:val="24"/>
                <w:szCs w:val="24"/>
              </w:rPr>
              <w:t>项目位于晋宁工业园区，属于以工业生产为主要功能的区域，声环境执行《声环境质量标准》（</w:t>
            </w:r>
            <w:r>
              <w:rPr>
                <w:rFonts w:ascii="Times New Roman" w:hAnsi="Times New Roman"/>
                <w:sz w:val="24"/>
                <w:szCs w:val="24"/>
              </w:rPr>
              <w:t>GB3096-2008</w:t>
            </w:r>
            <w:r>
              <w:rPr>
                <w:rFonts w:hint="eastAsia" w:ascii="Times New Roman" w:hAnsi="Times New Roman"/>
                <w:sz w:val="24"/>
                <w:szCs w:val="24"/>
              </w:rPr>
              <w:t>）中的</w:t>
            </w:r>
            <w:r>
              <w:rPr>
                <w:rFonts w:ascii="Times New Roman" w:hAnsi="Times New Roman"/>
                <w:sz w:val="24"/>
                <w:szCs w:val="24"/>
              </w:rPr>
              <w:t>3</w:t>
            </w:r>
            <w:r>
              <w:rPr>
                <w:rFonts w:hint="eastAsia" w:ascii="Times New Roman" w:hAnsi="Times New Roman"/>
                <w:sz w:val="24"/>
                <w:szCs w:val="24"/>
              </w:rPr>
              <w:t>类标准。厂界噪声执行昼间</w:t>
            </w:r>
            <w:r>
              <w:rPr>
                <w:rFonts w:ascii="Times New Roman" w:hAnsi="Times New Roman"/>
                <w:sz w:val="24"/>
                <w:szCs w:val="24"/>
              </w:rPr>
              <w:t>65dB(A)</w:t>
            </w:r>
            <w:r>
              <w:rPr>
                <w:rFonts w:hint="eastAsia" w:ascii="Times New Roman" w:hAnsi="Times New Roman"/>
                <w:sz w:val="24"/>
                <w:szCs w:val="24"/>
              </w:rPr>
              <w:t>，夜间</w:t>
            </w:r>
            <w:r>
              <w:rPr>
                <w:rFonts w:ascii="Times New Roman" w:hAnsi="Times New Roman"/>
                <w:sz w:val="24"/>
                <w:szCs w:val="24"/>
              </w:rPr>
              <w:t>55dB(A)</w:t>
            </w:r>
            <w:r>
              <w:rPr>
                <w:rFonts w:hint="eastAsia" w:ascii="Times New Roman" w:hAnsi="Times New Roman"/>
                <w:sz w:val="24"/>
                <w:szCs w:val="24"/>
              </w:rPr>
              <w:t>的标准限制要求。</w:t>
            </w:r>
          </w:p>
          <w:p>
            <w:pPr>
              <w:pStyle w:val="59"/>
              <w:spacing w:line="360" w:lineRule="auto"/>
              <w:ind w:firstLine="480" w:firstLineChars="200"/>
              <w:jc w:val="both"/>
              <w:rPr>
                <w:rFonts w:ascii="Times New Roman" w:hAnsi="Times New Roman"/>
                <w:sz w:val="24"/>
              </w:rPr>
            </w:pPr>
            <w:r>
              <w:rPr>
                <w:rFonts w:hint="eastAsia" w:ascii="Times New Roman" w:hAnsi="Times New Roman" w:cs="Times New Roman"/>
                <w:bCs/>
                <w:kern w:val="2"/>
                <w:sz w:val="24"/>
                <w:szCs w:val="24"/>
              </w:rPr>
              <w:t>根据现场踏勘，项目所在地为</w:t>
            </w:r>
            <w:r>
              <w:rPr>
                <w:rFonts w:hint="eastAsia" w:ascii="Times New Roman" w:hAnsi="Times New Roman"/>
                <w:sz w:val="24"/>
              </w:rPr>
              <w:t>云南省昆明市晋宁工业园区二街基地云南磷化集团有限公司原装置区，厂界周边50m范围内无声环境保护目标。根据《建设项目环境报告表编制技术指南（污染影响类）（试行）》不开展现状监测。</w:t>
            </w:r>
          </w:p>
          <w:p>
            <w:pPr>
              <w:pStyle w:val="59"/>
              <w:spacing w:line="360" w:lineRule="auto"/>
              <w:ind w:firstLine="480" w:firstLineChars="200"/>
              <w:jc w:val="both"/>
              <w:rPr>
                <w:rFonts w:ascii="Times New Roman" w:hAnsi="Times New Roman"/>
                <w:sz w:val="24"/>
              </w:rPr>
            </w:pPr>
            <w:r>
              <w:rPr>
                <w:rFonts w:hint="eastAsia" w:ascii="Times New Roman" w:hAnsi="Times New Roman"/>
                <w:sz w:val="24"/>
              </w:rPr>
              <w:t>项目根据《2021年度昆明市生态环境状况公报》“晋宁区区域环境（昼间）噪声年平均等效声级为52.4分贝（A），达到《声环境质量标准》（GB3096-2008）3级标准。”</w:t>
            </w:r>
          </w:p>
          <w:p>
            <w:pPr>
              <w:pStyle w:val="59"/>
              <w:spacing w:line="360" w:lineRule="auto"/>
              <w:ind w:firstLine="482" w:firstLineChars="200"/>
              <w:jc w:val="both"/>
              <w:rPr>
                <w:rFonts w:ascii="Times New Roman" w:hAnsi="Times New Roman" w:cs="Times New Roman"/>
                <w:b/>
                <w:bCs/>
                <w:kern w:val="2"/>
                <w:sz w:val="24"/>
                <w:szCs w:val="24"/>
              </w:rPr>
            </w:pPr>
            <w:r>
              <w:rPr>
                <w:rFonts w:hint="eastAsia" w:ascii="Times New Roman" w:hAnsi="Times New Roman" w:cs="Times New Roman"/>
                <w:b/>
                <w:bCs/>
                <w:kern w:val="2"/>
                <w:sz w:val="24"/>
                <w:szCs w:val="24"/>
              </w:rPr>
              <w:t>4、生态环境质量现状</w:t>
            </w:r>
          </w:p>
          <w:p>
            <w:pPr>
              <w:pStyle w:val="59"/>
              <w:spacing w:line="360" w:lineRule="auto"/>
              <w:ind w:firstLine="480" w:firstLineChars="200"/>
              <w:jc w:val="both"/>
              <w:rPr>
                <w:rFonts w:ascii="Times New Roman" w:hAnsi="Times New Roman" w:cs="Times New Roman"/>
                <w:bCs/>
                <w:kern w:val="2"/>
                <w:sz w:val="24"/>
                <w:szCs w:val="24"/>
              </w:rPr>
            </w:pPr>
            <w:r>
              <w:rPr>
                <w:rFonts w:hint="eastAsia" w:ascii="Times New Roman" w:hAnsi="Times New Roman" w:cs="Times New Roman"/>
                <w:bCs/>
                <w:kern w:val="2"/>
                <w:sz w:val="24"/>
                <w:szCs w:val="24"/>
              </w:rPr>
              <w:t>项目在原有厂房内建设，项目区及周边已无原生植被生存。经现场踏勘及调查，项目位于城市建成区，评价区已无原生植被，项目周边只有人工种植植被和杂草。在评价区域内未发现国家及省市级重点保护的濒危、稀有动物及受保护的野生动物种群，无自然保护区和风景名胜区，属于生态环境非敏感区。项目选址附近无国家保护动物、植物，无古树名木，无特殊保护生态敏感目标分布。</w:t>
            </w:r>
          </w:p>
          <w:p>
            <w:pPr>
              <w:pStyle w:val="59"/>
              <w:spacing w:line="360" w:lineRule="auto"/>
              <w:ind w:firstLine="482" w:firstLineChars="200"/>
              <w:jc w:val="both"/>
              <w:rPr>
                <w:rFonts w:ascii="Times New Roman" w:hAnsi="Times New Roman" w:cs="Times New Roman"/>
                <w:b/>
                <w:bCs/>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88" w:hRule="atLeast"/>
          <w:jc w:val="center"/>
        </w:trPr>
        <w:tc>
          <w:tcPr>
            <w:tcW w:w="561" w:type="dxa"/>
            <w:vAlign w:val="center"/>
          </w:tcPr>
          <w:p>
            <w:pPr>
              <w:adjustRightInd w:val="0"/>
              <w:snapToGrid w:val="0"/>
              <w:jc w:val="center"/>
              <w:rPr>
                <w:rFonts w:cs="宋体"/>
                <w:kern w:val="0"/>
                <w:szCs w:val="21"/>
              </w:rPr>
            </w:pPr>
            <w:r>
              <w:rPr>
                <w:rFonts w:hint="eastAsia" w:cs="宋体"/>
                <w:kern w:val="0"/>
                <w:szCs w:val="21"/>
              </w:rPr>
              <w:t>环境</w:t>
            </w:r>
          </w:p>
          <w:p>
            <w:pPr>
              <w:adjustRightInd w:val="0"/>
              <w:snapToGrid w:val="0"/>
              <w:jc w:val="center"/>
              <w:rPr>
                <w:rFonts w:cs="宋体"/>
                <w:kern w:val="0"/>
                <w:szCs w:val="21"/>
              </w:rPr>
            </w:pPr>
            <w:r>
              <w:rPr>
                <w:rFonts w:hint="eastAsia" w:cs="宋体"/>
                <w:kern w:val="0"/>
                <w:szCs w:val="21"/>
              </w:rPr>
              <w:t>保护</w:t>
            </w:r>
          </w:p>
          <w:p>
            <w:pPr>
              <w:adjustRightInd w:val="0"/>
              <w:snapToGrid w:val="0"/>
              <w:jc w:val="center"/>
              <w:rPr>
                <w:rFonts w:cs="宋体"/>
                <w:kern w:val="0"/>
                <w:szCs w:val="21"/>
              </w:rPr>
            </w:pPr>
            <w:r>
              <w:rPr>
                <w:rFonts w:hint="eastAsia" w:cs="宋体"/>
                <w:kern w:val="0"/>
                <w:szCs w:val="21"/>
              </w:rPr>
              <w:t>目标</w:t>
            </w:r>
          </w:p>
        </w:tc>
        <w:tc>
          <w:tcPr>
            <w:tcW w:w="8262" w:type="dxa"/>
            <w:vAlign w:val="center"/>
          </w:tcPr>
          <w:p>
            <w:pPr>
              <w:pStyle w:val="18"/>
              <w:widowControl w:val="0"/>
              <w:adjustRightInd w:val="0"/>
              <w:snapToGrid w:val="0"/>
              <w:spacing w:before="0" w:beforeAutospacing="0" w:after="0" w:afterAutospacing="0" w:line="360" w:lineRule="auto"/>
              <w:ind w:firstLine="482" w:firstLineChars="200"/>
              <w:rPr>
                <w:rFonts w:ascii="Times New Roman" w:hAnsi="Times New Roman"/>
                <w:b/>
                <w:bCs/>
                <w:szCs w:val="24"/>
                <w:lang w:bidi="ar"/>
              </w:rPr>
            </w:pPr>
            <w:r>
              <w:rPr>
                <w:rFonts w:ascii="Times New Roman" w:hAnsi="Times New Roman"/>
                <w:b/>
                <w:bCs/>
                <w:szCs w:val="24"/>
                <w:lang w:bidi="ar"/>
              </w:rPr>
              <w:t>（1）大气环境</w:t>
            </w:r>
          </w:p>
          <w:p>
            <w:pPr>
              <w:pStyle w:val="59"/>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本项目厂界外500米范围内无自然保护区、风景名胜区、居住区、文化区。</w:t>
            </w:r>
          </w:p>
          <w:p>
            <w:pPr>
              <w:pStyle w:val="18"/>
              <w:widowControl w:val="0"/>
              <w:adjustRightInd w:val="0"/>
              <w:snapToGrid w:val="0"/>
              <w:spacing w:before="0" w:beforeAutospacing="0" w:after="0" w:afterAutospacing="0" w:line="360" w:lineRule="auto"/>
              <w:ind w:firstLine="482" w:firstLineChars="200"/>
              <w:rPr>
                <w:rFonts w:ascii="Times New Roman" w:hAnsi="Times New Roman"/>
                <w:b/>
                <w:bCs/>
                <w:szCs w:val="24"/>
                <w:lang w:bidi="ar"/>
              </w:rPr>
            </w:pPr>
            <w:r>
              <w:rPr>
                <w:rFonts w:ascii="Times New Roman" w:hAnsi="Times New Roman"/>
                <w:b/>
                <w:bCs/>
                <w:szCs w:val="24"/>
                <w:lang w:bidi="ar"/>
              </w:rPr>
              <w:t>（2）声环境</w:t>
            </w:r>
          </w:p>
          <w:p>
            <w:pPr>
              <w:pStyle w:val="59"/>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本项目厂界外50米范围内无声环境保护目标。</w:t>
            </w:r>
          </w:p>
          <w:p>
            <w:pPr>
              <w:pStyle w:val="18"/>
              <w:widowControl w:val="0"/>
              <w:adjustRightInd w:val="0"/>
              <w:snapToGrid w:val="0"/>
              <w:spacing w:before="0" w:beforeAutospacing="0" w:after="0" w:afterAutospacing="0" w:line="360" w:lineRule="auto"/>
              <w:ind w:firstLine="482" w:firstLineChars="200"/>
              <w:rPr>
                <w:rFonts w:ascii="Times New Roman" w:hAnsi="Times New Roman"/>
                <w:b/>
                <w:bCs/>
                <w:szCs w:val="24"/>
                <w:lang w:bidi="ar"/>
              </w:rPr>
            </w:pPr>
            <w:r>
              <w:rPr>
                <w:rFonts w:ascii="Times New Roman" w:hAnsi="Times New Roman"/>
                <w:b/>
                <w:bCs/>
                <w:szCs w:val="24"/>
                <w:lang w:bidi="ar"/>
              </w:rPr>
              <w:t>（3）地下水环境</w:t>
            </w:r>
          </w:p>
          <w:p>
            <w:pPr>
              <w:pStyle w:val="59"/>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本项目厂界外500m范围内</w:t>
            </w:r>
            <w:r>
              <w:rPr>
                <w:rFonts w:hint="eastAsia" w:ascii="Times New Roman" w:hAnsi="Times New Roman" w:cs="Times New Roman"/>
                <w:sz w:val="24"/>
                <w:szCs w:val="24"/>
              </w:rPr>
              <w:t>的地下水</w:t>
            </w:r>
            <w:r>
              <w:rPr>
                <w:rFonts w:ascii="Times New Roman" w:hAnsi="Times New Roman" w:cs="Times New Roman"/>
                <w:sz w:val="24"/>
                <w:szCs w:val="24"/>
              </w:rPr>
              <w:t>不涉及地下水集中式饮用水水源和热水、矿泉水、温泉等特殊地下水资源。</w:t>
            </w:r>
          </w:p>
          <w:p>
            <w:pPr>
              <w:pStyle w:val="18"/>
              <w:widowControl w:val="0"/>
              <w:adjustRightInd w:val="0"/>
              <w:snapToGrid w:val="0"/>
              <w:spacing w:before="0" w:beforeAutospacing="0" w:after="0" w:afterAutospacing="0" w:line="360" w:lineRule="auto"/>
              <w:ind w:firstLine="482" w:firstLineChars="200"/>
              <w:rPr>
                <w:rFonts w:ascii="Times New Roman" w:hAnsi="Times New Roman"/>
                <w:b/>
                <w:bCs/>
                <w:szCs w:val="24"/>
                <w:lang w:bidi="ar"/>
              </w:rPr>
            </w:pPr>
            <w:r>
              <w:rPr>
                <w:rFonts w:ascii="Times New Roman" w:hAnsi="Times New Roman"/>
                <w:b/>
                <w:bCs/>
                <w:szCs w:val="24"/>
                <w:lang w:bidi="ar"/>
              </w:rPr>
              <w:t>（4）生态环境</w:t>
            </w:r>
          </w:p>
          <w:p>
            <w:pPr>
              <w:pStyle w:val="59"/>
              <w:spacing w:line="360" w:lineRule="auto"/>
              <w:ind w:firstLine="480" w:firstLineChars="200"/>
              <w:jc w:val="both"/>
              <w:rPr>
                <w:rFonts w:ascii="Times New Roman" w:hAnsi="Times New Roman" w:cs="Times New Roman"/>
                <w:bCs/>
                <w:kern w:val="2"/>
                <w:sz w:val="24"/>
                <w:szCs w:val="24"/>
              </w:rPr>
            </w:pPr>
            <w:r>
              <w:rPr>
                <w:rFonts w:ascii="Times New Roman" w:hAnsi="Times New Roman"/>
                <w:sz w:val="24"/>
                <w:szCs w:val="24"/>
              </w:rPr>
              <w:t>本项目</w:t>
            </w:r>
            <w:r>
              <w:rPr>
                <w:rFonts w:hint="eastAsia" w:ascii="Times New Roman" w:hAnsi="Times New Roman"/>
                <w:sz w:val="24"/>
                <w:szCs w:val="24"/>
              </w:rPr>
              <w:t>技改位置位于厂区现有装置处，</w:t>
            </w:r>
            <w:r>
              <w:rPr>
                <w:rFonts w:ascii="Times New Roman" w:hAnsi="Times New Roman"/>
                <w:sz w:val="24"/>
                <w:szCs w:val="24"/>
              </w:rPr>
              <w:t>不新增用地，不占用生态红线，无生态环境保护目标。</w:t>
            </w:r>
          </w:p>
          <w:p>
            <w:pPr>
              <w:pStyle w:val="59"/>
              <w:spacing w:line="360" w:lineRule="auto"/>
              <w:ind w:firstLine="480" w:firstLineChars="200"/>
              <w:jc w:val="both"/>
              <w:rPr>
                <w:rFonts w:ascii="Times New Roman" w:hAnsi="Times New Roman" w:cs="Times New Roman"/>
                <w:bCs/>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94" w:hRule="atLeast"/>
          <w:jc w:val="center"/>
        </w:trPr>
        <w:tc>
          <w:tcPr>
            <w:tcW w:w="561" w:type="dxa"/>
            <w:tcMar>
              <w:left w:w="28" w:type="dxa"/>
              <w:right w:w="28" w:type="dxa"/>
            </w:tcMar>
            <w:vAlign w:val="center"/>
          </w:tcPr>
          <w:p>
            <w:pPr>
              <w:adjustRightInd w:val="0"/>
              <w:snapToGrid w:val="0"/>
              <w:jc w:val="center"/>
              <w:rPr>
                <w:rFonts w:cs="宋体"/>
                <w:kern w:val="0"/>
                <w:szCs w:val="21"/>
              </w:rPr>
            </w:pPr>
            <w:r>
              <w:rPr>
                <w:rFonts w:hint="eastAsia" w:cs="宋体"/>
                <w:kern w:val="0"/>
                <w:szCs w:val="21"/>
              </w:rPr>
              <w:t>污染</w:t>
            </w:r>
          </w:p>
          <w:p>
            <w:pPr>
              <w:adjustRightInd w:val="0"/>
              <w:snapToGrid w:val="0"/>
              <w:jc w:val="center"/>
              <w:rPr>
                <w:rFonts w:cs="宋体"/>
                <w:kern w:val="0"/>
                <w:szCs w:val="21"/>
              </w:rPr>
            </w:pPr>
            <w:r>
              <w:rPr>
                <w:rFonts w:hint="eastAsia" w:cs="宋体"/>
                <w:kern w:val="0"/>
                <w:szCs w:val="21"/>
              </w:rPr>
              <w:t>物排</w:t>
            </w:r>
          </w:p>
          <w:p>
            <w:pPr>
              <w:adjustRightInd w:val="0"/>
              <w:snapToGrid w:val="0"/>
              <w:jc w:val="center"/>
              <w:rPr>
                <w:rFonts w:cs="宋体"/>
                <w:kern w:val="0"/>
                <w:szCs w:val="21"/>
              </w:rPr>
            </w:pPr>
            <w:r>
              <w:rPr>
                <w:rFonts w:hint="eastAsia" w:cs="宋体"/>
                <w:kern w:val="0"/>
                <w:szCs w:val="21"/>
              </w:rPr>
              <w:t>放控</w:t>
            </w:r>
          </w:p>
          <w:p>
            <w:pPr>
              <w:adjustRightInd w:val="0"/>
              <w:snapToGrid w:val="0"/>
              <w:jc w:val="center"/>
              <w:rPr>
                <w:rFonts w:cs="宋体"/>
                <w:kern w:val="0"/>
                <w:szCs w:val="21"/>
              </w:rPr>
            </w:pPr>
            <w:r>
              <w:rPr>
                <w:rFonts w:hint="eastAsia" w:cs="宋体"/>
                <w:kern w:val="0"/>
                <w:szCs w:val="21"/>
              </w:rPr>
              <w:t>制标</w:t>
            </w:r>
          </w:p>
          <w:p>
            <w:pPr>
              <w:adjustRightInd w:val="0"/>
              <w:snapToGrid w:val="0"/>
              <w:jc w:val="center"/>
              <w:rPr>
                <w:rFonts w:cs="宋体"/>
                <w:kern w:val="0"/>
                <w:szCs w:val="21"/>
              </w:rPr>
            </w:pPr>
            <w:r>
              <w:rPr>
                <w:rFonts w:hint="eastAsia" w:cs="宋体"/>
                <w:kern w:val="0"/>
                <w:szCs w:val="21"/>
              </w:rPr>
              <w:t>准</w:t>
            </w:r>
          </w:p>
        </w:tc>
        <w:tc>
          <w:tcPr>
            <w:tcW w:w="8262" w:type="dxa"/>
            <w:vAlign w:val="center"/>
          </w:tcPr>
          <w:p>
            <w:pPr>
              <w:pStyle w:val="59"/>
              <w:spacing w:line="360" w:lineRule="auto"/>
              <w:ind w:firstLine="482" w:firstLineChars="200"/>
              <w:jc w:val="both"/>
              <w:rPr>
                <w:rFonts w:ascii="Times New Roman" w:hAnsi="Times New Roman" w:cs="Times New Roman"/>
                <w:b/>
                <w:bCs/>
                <w:kern w:val="2"/>
                <w:sz w:val="24"/>
                <w:szCs w:val="24"/>
              </w:rPr>
            </w:pPr>
            <w:r>
              <w:rPr>
                <w:rFonts w:hint="eastAsia" w:ascii="Times New Roman" w:hAnsi="Times New Roman" w:cs="Times New Roman"/>
                <w:b/>
                <w:bCs/>
                <w:kern w:val="2"/>
                <w:sz w:val="24"/>
                <w:szCs w:val="24"/>
              </w:rPr>
              <w:t>1、大气污染物排放标准</w:t>
            </w:r>
          </w:p>
          <w:p>
            <w:pPr>
              <w:pStyle w:val="59"/>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（1）施工期</w:t>
            </w:r>
          </w:p>
          <w:p>
            <w:pPr>
              <w:pStyle w:val="59"/>
              <w:spacing w:line="360" w:lineRule="auto"/>
              <w:ind w:firstLine="480" w:firstLineChars="200"/>
              <w:jc w:val="both"/>
              <w:rPr>
                <w:rFonts w:ascii="Times New Roman" w:hAnsi="Times New Roman" w:cs="Times New Roman"/>
                <w:b/>
                <w:bCs/>
                <w:kern w:val="2"/>
                <w:sz w:val="24"/>
                <w:szCs w:val="24"/>
              </w:rPr>
            </w:pPr>
            <w:r>
              <w:rPr>
                <w:rFonts w:ascii="Times New Roman" w:hAnsi="Times New Roman" w:cs="Times New Roman"/>
                <w:sz w:val="24"/>
                <w:szCs w:val="24"/>
              </w:rPr>
              <w:t>粉尘执行《大气污染物综合排放标准》（GB16297-1996）表2中的无组织排放监控浓度限值。污染物排放标准见表3-5。</w:t>
            </w:r>
          </w:p>
          <w:p>
            <w:pPr>
              <w:adjustRightInd w:val="0"/>
              <w:spacing w:line="360" w:lineRule="auto"/>
              <w:ind w:firstLine="422" w:firstLineChars="200"/>
              <w:jc w:val="center"/>
              <w:outlineLvl w:val="0"/>
              <w:rPr>
                <w:b/>
              </w:rPr>
            </w:pPr>
            <w:bookmarkStart w:id="22" w:name="_Toc117775785"/>
            <w:r>
              <w:rPr>
                <w:b/>
              </w:rPr>
              <w:t>表3-5  颗粒物大气污染物排放浓度限值</w:t>
            </w:r>
            <w:bookmarkEnd w:id="22"/>
          </w:p>
          <w:tbl>
            <w:tblPr>
              <w:tblStyle w:val="22"/>
              <w:tblW w:w="7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2633"/>
              <w:gridCol w:w="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28" w:type="dxa"/>
                  <w:vMerge w:val="restart"/>
                  <w:vAlign w:val="center"/>
                </w:tcPr>
                <w:p>
                  <w:pPr>
                    <w:jc w:val="center"/>
                    <w:rPr>
                      <w:b/>
                      <w:bCs/>
                      <w:szCs w:val="21"/>
                    </w:rPr>
                  </w:pPr>
                  <w:r>
                    <w:rPr>
                      <w:b/>
                      <w:bCs/>
                      <w:szCs w:val="21"/>
                    </w:rPr>
                    <w:t>污染物</w:t>
                  </w:r>
                </w:p>
              </w:tc>
              <w:tc>
                <w:tcPr>
                  <w:tcW w:w="5809" w:type="dxa"/>
                  <w:gridSpan w:val="2"/>
                  <w:vAlign w:val="center"/>
                </w:tcPr>
                <w:p>
                  <w:pPr>
                    <w:jc w:val="center"/>
                    <w:rPr>
                      <w:b/>
                      <w:bCs/>
                      <w:szCs w:val="21"/>
                    </w:rPr>
                  </w:pPr>
                  <w:r>
                    <w:rPr>
                      <w:b/>
                      <w:bCs/>
                      <w:szCs w:val="21"/>
                    </w:rPr>
                    <w:t>无组织排放浓度限值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28" w:type="dxa"/>
                  <w:vMerge w:val="continue"/>
                  <w:vAlign w:val="center"/>
                </w:tcPr>
                <w:p>
                  <w:pPr>
                    <w:jc w:val="center"/>
                    <w:rPr>
                      <w:b/>
                      <w:bCs/>
                      <w:szCs w:val="21"/>
                    </w:rPr>
                  </w:pPr>
                </w:p>
              </w:tc>
              <w:tc>
                <w:tcPr>
                  <w:tcW w:w="2633" w:type="dxa"/>
                  <w:vAlign w:val="center"/>
                </w:tcPr>
                <w:p>
                  <w:pPr>
                    <w:jc w:val="center"/>
                    <w:rPr>
                      <w:b/>
                      <w:bCs/>
                      <w:szCs w:val="21"/>
                    </w:rPr>
                  </w:pPr>
                  <w:r>
                    <w:rPr>
                      <w:b/>
                      <w:bCs/>
                      <w:szCs w:val="21"/>
                    </w:rPr>
                    <w:t>监控点</w:t>
                  </w:r>
                </w:p>
              </w:tc>
              <w:tc>
                <w:tcPr>
                  <w:tcW w:w="3176" w:type="dxa"/>
                  <w:vAlign w:val="center"/>
                </w:tcPr>
                <w:p>
                  <w:pPr>
                    <w:jc w:val="center"/>
                    <w:rPr>
                      <w:b/>
                      <w:bCs/>
                      <w:szCs w:val="21"/>
                    </w:rPr>
                  </w:pPr>
                  <w:r>
                    <w:rPr>
                      <w:b/>
                      <w:bCs/>
                      <w:szCs w:val="21"/>
                    </w:rPr>
                    <w:t>浓度限值（mg/m</w:t>
                  </w:r>
                  <w:r>
                    <w:rPr>
                      <w:b/>
                      <w:bCs/>
                      <w:szCs w:val="21"/>
                      <w:vertAlign w:val="superscript"/>
                    </w:rPr>
                    <w:t>3</w:t>
                  </w:r>
                  <w:r>
                    <w:rPr>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28" w:type="dxa"/>
                  <w:vAlign w:val="center"/>
                </w:tcPr>
                <w:p>
                  <w:pPr>
                    <w:jc w:val="center"/>
                    <w:rPr>
                      <w:szCs w:val="21"/>
                    </w:rPr>
                  </w:pPr>
                  <w:r>
                    <w:rPr>
                      <w:rFonts w:hint="eastAsia"/>
                      <w:szCs w:val="21"/>
                    </w:rPr>
                    <w:t>颗粒物</w:t>
                  </w:r>
                </w:p>
              </w:tc>
              <w:tc>
                <w:tcPr>
                  <w:tcW w:w="2633" w:type="dxa"/>
                  <w:vAlign w:val="center"/>
                </w:tcPr>
                <w:p>
                  <w:pPr>
                    <w:jc w:val="center"/>
                    <w:rPr>
                      <w:szCs w:val="21"/>
                    </w:rPr>
                  </w:pPr>
                  <w:r>
                    <w:rPr>
                      <w:rFonts w:hint="eastAsia"/>
                      <w:szCs w:val="21"/>
                    </w:rPr>
                    <w:t>周界外浓度最高点</w:t>
                  </w:r>
                </w:p>
              </w:tc>
              <w:tc>
                <w:tcPr>
                  <w:tcW w:w="3176" w:type="dxa"/>
                  <w:vAlign w:val="center"/>
                </w:tcPr>
                <w:p>
                  <w:pPr>
                    <w:jc w:val="center"/>
                    <w:rPr>
                      <w:szCs w:val="21"/>
                    </w:rPr>
                  </w:pPr>
                  <w:r>
                    <w:rPr>
                      <w:rFonts w:hint="eastAsia"/>
                      <w:szCs w:val="21"/>
                    </w:rPr>
                    <w:t>1.0</w:t>
                  </w:r>
                </w:p>
              </w:tc>
            </w:tr>
          </w:tbl>
          <w:p>
            <w:pPr>
              <w:pStyle w:val="59"/>
              <w:spacing w:line="360" w:lineRule="auto"/>
              <w:ind w:firstLine="480" w:firstLineChars="200"/>
              <w:jc w:val="both"/>
              <w:rPr>
                <w:rFonts w:ascii="Times New Roman" w:hAnsi="Times New Roman" w:cs="Times New Roman"/>
                <w:bCs/>
                <w:kern w:val="2"/>
                <w:sz w:val="24"/>
                <w:szCs w:val="24"/>
              </w:rPr>
            </w:pPr>
            <w:r>
              <w:rPr>
                <w:rFonts w:hint="eastAsia" w:ascii="Times New Roman" w:hAnsi="Times New Roman" w:cs="Times New Roman"/>
                <w:bCs/>
                <w:kern w:val="2"/>
                <w:sz w:val="24"/>
                <w:szCs w:val="24"/>
              </w:rPr>
              <w:t>（2）运营期</w:t>
            </w:r>
          </w:p>
          <w:p>
            <w:pPr>
              <w:pStyle w:val="51"/>
              <w:adjustRightInd w:val="0"/>
              <w:snapToGrid w:val="0"/>
              <w:spacing w:line="360" w:lineRule="auto"/>
              <w:rPr>
                <w:rFonts w:ascii="Times New Roman"/>
              </w:rPr>
            </w:pPr>
            <w:r>
              <w:rPr>
                <w:rFonts w:hint="eastAsia" w:ascii="Times New Roman"/>
              </w:rPr>
              <w:t>本项目技改对象为1</w:t>
            </w:r>
            <w:r>
              <w:rPr>
                <w:rFonts w:ascii="Times New Roman"/>
              </w:rPr>
              <w:t>5</w:t>
            </w:r>
            <w:r>
              <w:rPr>
                <w:rFonts w:hint="eastAsia" w:ascii="Times New Roman"/>
              </w:rPr>
              <w:t>万吨/年饲钙装置配套的热风炉装置，由原来仅用燃煤加热方式变为即可燃煤也可燃天然气，热风炉产生的热空气进入饲钙装置的干燥系统对物料进行干燥，过程中会产生干燥废气经现有排气筒外排（高4</w:t>
            </w:r>
            <w:r>
              <w:rPr>
                <w:rFonts w:ascii="Times New Roman"/>
              </w:rPr>
              <w:t>0m</w:t>
            </w:r>
            <w:r>
              <w:rPr>
                <w:rFonts w:hint="eastAsia" w:ascii="Times New Roman"/>
              </w:rPr>
              <w:t>，直径1</w:t>
            </w:r>
            <w:r>
              <w:rPr>
                <w:rFonts w:ascii="Times New Roman"/>
              </w:rPr>
              <w:t>.8m</w:t>
            </w:r>
            <w:r>
              <w:rPr>
                <w:rFonts w:hint="eastAsia" w:ascii="Times New Roman"/>
              </w:rPr>
              <w:t>）。由于该排气筒为1</w:t>
            </w:r>
            <w:r>
              <w:rPr>
                <w:rFonts w:ascii="Times New Roman"/>
              </w:rPr>
              <w:t>0+15</w:t>
            </w:r>
            <w:r>
              <w:rPr>
                <w:rFonts w:hint="eastAsia" w:ascii="Times New Roman"/>
              </w:rPr>
              <w:t>万吨/年饲钙装置干燥+含氟尾气共用排放口，项目技改完成后，不影响现有1</w:t>
            </w:r>
            <w:r>
              <w:rPr>
                <w:rFonts w:ascii="Times New Roman"/>
              </w:rPr>
              <w:t>0</w:t>
            </w:r>
            <w:r>
              <w:rPr>
                <w:rFonts w:hint="eastAsia" w:ascii="Times New Roman"/>
              </w:rPr>
              <w:t>万吨/年饲钙装置干燥废气污染物排放。</w:t>
            </w:r>
          </w:p>
          <w:p>
            <w:pPr>
              <w:pStyle w:val="51"/>
              <w:adjustRightInd w:val="0"/>
              <w:snapToGrid w:val="0"/>
              <w:spacing w:line="360" w:lineRule="auto"/>
              <w:rPr>
                <w:rFonts w:ascii="Times New Roman"/>
              </w:rPr>
            </w:pPr>
            <w:r>
              <w:rPr>
                <w:rFonts w:hint="eastAsia" w:ascii="Times New Roman"/>
              </w:rPr>
              <w:t>干燥热源由热风炉提供，先经袋式除尘器处理后进入尾气洗涤塔洗涤处理后外排。</w:t>
            </w:r>
            <w:r>
              <w:rPr>
                <w:rFonts w:ascii="Times New Roman"/>
              </w:rPr>
              <w:t>污染物排放标准限值见表3-6。</w:t>
            </w:r>
          </w:p>
          <w:p>
            <w:pPr>
              <w:adjustRightInd w:val="0"/>
              <w:spacing w:line="360" w:lineRule="auto"/>
              <w:ind w:firstLine="422" w:firstLineChars="200"/>
              <w:jc w:val="center"/>
              <w:outlineLvl w:val="0"/>
              <w:rPr>
                <w:b/>
                <w:bCs/>
              </w:rPr>
            </w:pPr>
            <w:bookmarkStart w:id="23" w:name="_Toc117775786"/>
            <w:r>
              <w:rPr>
                <w:b/>
              </w:rPr>
              <w:t>表3-6  废气污染源执行标准</w:t>
            </w:r>
            <w:bookmarkEnd w:id="23"/>
          </w:p>
          <w:tbl>
            <w:tblPr>
              <w:tblStyle w:val="23"/>
              <w:tblW w:w="8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932"/>
              <w:gridCol w:w="932"/>
              <w:gridCol w:w="1464"/>
              <w:gridCol w:w="1299"/>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7" w:type="dxa"/>
                  <w:vMerge w:val="restart"/>
                  <w:vAlign w:val="center"/>
                </w:tcPr>
                <w:p>
                  <w:pPr>
                    <w:pStyle w:val="18"/>
                    <w:widowControl w:val="0"/>
                    <w:spacing w:before="24" w:beforeLines="10" w:beforeAutospacing="0" w:after="24" w:afterLines="10" w:afterAutospacing="0" w:line="280" w:lineRule="exact"/>
                    <w:jc w:val="center"/>
                    <w:rPr>
                      <w:rFonts w:ascii="Times New Roman" w:hAnsi="Times New Roman"/>
                      <w:b/>
                      <w:sz w:val="21"/>
                      <w:szCs w:val="21"/>
                    </w:rPr>
                  </w:pPr>
                  <w:r>
                    <w:rPr>
                      <w:rFonts w:hint="eastAsia" w:ascii="Times New Roman" w:hAnsi="Times New Roman"/>
                      <w:b/>
                      <w:sz w:val="21"/>
                      <w:szCs w:val="21"/>
                    </w:rPr>
                    <w:t>序号</w:t>
                  </w:r>
                </w:p>
              </w:tc>
              <w:tc>
                <w:tcPr>
                  <w:tcW w:w="932" w:type="dxa"/>
                  <w:vMerge w:val="restart"/>
                  <w:vAlign w:val="center"/>
                </w:tcPr>
                <w:p>
                  <w:pPr>
                    <w:pStyle w:val="18"/>
                    <w:widowControl w:val="0"/>
                    <w:spacing w:before="24" w:beforeLines="10" w:beforeAutospacing="0" w:after="24" w:afterLines="10" w:afterAutospacing="0" w:line="280" w:lineRule="exact"/>
                    <w:jc w:val="center"/>
                    <w:rPr>
                      <w:rFonts w:ascii="Times New Roman" w:hAnsi="Times New Roman"/>
                      <w:b/>
                      <w:sz w:val="21"/>
                      <w:szCs w:val="21"/>
                    </w:rPr>
                  </w:pPr>
                  <w:r>
                    <w:rPr>
                      <w:rFonts w:hint="eastAsia" w:ascii="Times New Roman" w:hAnsi="Times New Roman"/>
                      <w:b/>
                      <w:sz w:val="21"/>
                      <w:szCs w:val="21"/>
                    </w:rPr>
                    <w:t>排气筒</w:t>
                  </w:r>
                </w:p>
              </w:tc>
              <w:tc>
                <w:tcPr>
                  <w:tcW w:w="932" w:type="dxa"/>
                  <w:vMerge w:val="restart"/>
                  <w:vAlign w:val="center"/>
                </w:tcPr>
                <w:p>
                  <w:pPr>
                    <w:pStyle w:val="18"/>
                    <w:widowControl w:val="0"/>
                    <w:spacing w:before="24" w:beforeLines="10" w:beforeAutospacing="0" w:after="24" w:afterLines="10" w:afterAutospacing="0" w:line="280" w:lineRule="exact"/>
                    <w:jc w:val="center"/>
                    <w:rPr>
                      <w:rFonts w:ascii="Times New Roman" w:hAnsi="Times New Roman"/>
                      <w:b/>
                      <w:sz w:val="21"/>
                      <w:szCs w:val="21"/>
                    </w:rPr>
                  </w:pPr>
                  <w:r>
                    <w:rPr>
                      <w:rFonts w:hint="eastAsia" w:ascii="Times New Roman" w:hAnsi="Times New Roman"/>
                      <w:b/>
                      <w:sz w:val="21"/>
                      <w:szCs w:val="21"/>
                    </w:rPr>
                    <w:t>主要污染因子</w:t>
                  </w:r>
                </w:p>
              </w:tc>
              <w:tc>
                <w:tcPr>
                  <w:tcW w:w="2763" w:type="dxa"/>
                  <w:gridSpan w:val="2"/>
                  <w:vAlign w:val="center"/>
                </w:tcPr>
                <w:p>
                  <w:pPr>
                    <w:pStyle w:val="18"/>
                    <w:widowControl w:val="0"/>
                    <w:spacing w:before="24" w:beforeLines="10" w:beforeAutospacing="0" w:after="24" w:afterLines="10" w:afterAutospacing="0" w:line="280" w:lineRule="exact"/>
                    <w:jc w:val="center"/>
                    <w:rPr>
                      <w:rFonts w:ascii="Times New Roman" w:hAnsi="Times New Roman"/>
                      <w:b/>
                      <w:sz w:val="21"/>
                      <w:szCs w:val="21"/>
                    </w:rPr>
                  </w:pPr>
                  <w:r>
                    <w:rPr>
                      <w:rFonts w:hint="eastAsia" w:ascii="Times New Roman" w:hAnsi="Times New Roman"/>
                      <w:b/>
                      <w:sz w:val="21"/>
                      <w:szCs w:val="21"/>
                    </w:rPr>
                    <w:t>标准值</w:t>
                  </w:r>
                </w:p>
              </w:tc>
              <w:tc>
                <w:tcPr>
                  <w:tcW w:w="2932" w:type="dxa"/>
                  <w:vMerge w:val="restart"/>
                  <w:vAlign w:val="center"/>
                </w:tcPr>
                <w:p>
                  <w:pPr>
                    <w:pStyle w:val="18"/>
                    <w:widowControl w:val="0"/>
                    <w:spacing w:before="24" w:beforeLines="10" w:beforeAutospacing="0" w:after="24" w:afterLines="10" w:afterAutospacing="0" w:line="280" w:lineRule="exact"/>
                    <w:jc w:val="center"/>
                    <w:rPr>
                      <w:rFonts w:ascii="Times New Roman" w:hAnsi="Times New Roman"/>
                      <w:b/>
                      <w:sz w:val="21"/>
                      <w:szCs w:val="21"/>
                    </w:rPr>
                  </w:pPr>
                  <w:r>
                    <w:rPr>
                      <w:rFonts w:hint="eastAsia" w:ascii="Times New Roman" w:hAnsi="Times New Roman"/>
                      <w:b/>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7" w:type="dxa"/>
                  <w:vMerge w:val="continue"/>
                  <w:vAlign w:val="center"/>
                </w:tcPr>
                <w:p>
                  <w:pPr>
                    <w:pStyle w:val="18"/>
                    <w:widowControl w:val="0"/>
                    <w:spacing w:before="24" w:beforeLines="10" w:beforeAutospacing="0" w:after="24" w:afterLines="10" w:afterAutospacing="0" w:line="280" w:lineRule="exact"/>
                    <w:jc w:val="center"/>
                    <w:rPr>
                      <w:rFonts w:ascii="Times New Roman" w:hAnsi="Times New Roman"/>
                      <w:b/>
                      <w:sz w:val="21"/>
                      <w:szCs w:val="21"/>
                    </w:rPr>
                  </w:pPr>
                </w:p>
              </w:tc>
              <w:tc>
                <w:tcPr>
                  <w:tcW w:w="932" w:type="dxa"/>
                  <w:vMerge w:val="continue"/>
                  <w:vAlign w:val="center"/>
                </w:tcPr>
                <w:p>
                  <w:pPr>
                    <w:pStyle w:val="18"/>
                    <w:widowControl w:val="0"/>
                    <w:spacing w:before="24" w:beforeLines="10" w:beforeAutospacing="0" w:after="24" w:afterLines="10" w:afterAutospacing="0" w:line="280" w:lineRule="exact"/>
                    <w:jc w:val="center"/>
                    <w:rPr>
                      <w:rFonts w:ascii="Times New Roman" w:hAnsi="Times New Roman"/>
                      <w:b/>
                      <w:sz w:val="21"/>
                      <w:szCs w:val="21"/>
                    </w:rPr>
                  </w:pPr>
                </w:p>
              </w:tc>
              <w:tc>
                <w:tcPr>
                  <w:tcW w:w="932" w:type="dxa"/>
                  <w:vMerge w:val="continue"/>
                  <w:vAlign w:val="center"/>
                </w:tcPr>
                <w:p>
                  <w:pPr>
                    <w:pStyle w:val="18"/>
                    <w:widowControl w:val="0"/>
                    <w:spacing w:before="24" w:beforeLines="10" w:beforeAutospacing="0" w:after="24" w:afterLines="10" w:afterAutospacing="0" w:line="280" w:lineRule="exact"/>
                    <w:jc w:val="center"/>
                    <w:rPr>
                      <w:rFonts w:ascii="Times New Roman" w:hAnsi="Times New Roman"/>
                      <w:b/>
                      <w:sz w:val="21"/>
                      <w:szCs w:val="21"/>
                    </w:rPr>
                  </w:pPr>
                </w:p>
              </w:tc>
              <w:tc>
                <w:tcPr>
                  <w:tcW w:w="1464" w:type="dxa"/>
                  <w:vAlign w:val="center"/>
                </w:tcPr>
                <w:p>
                  <w:pPr>
                    <w:pStyle w:val="18"/>
                    <w:widowControl w:val="0"/>
                    <w:spacing w:before="24" w:beforeLines="10" w:beforeAutospacing="0" w:after="24" w:afterLines="10" w:afterAutospacing="0" w:line="280" w:lineRule="exact"/>
                    <w:jc w:val="center"/>
                    <w:rPr>
                      <w:rFonts w:ascii="Times New Roman" w:hAnsi="Times New Roman"/>
                      <w:b/>
                      <w:sz w:val="21"/>
                      <w:szCs w:val="21"/>
                    </w:rPr>
                  </w:pPr>
                  <w:r>
                    <w:rPr>
                      <w:rFonts w:hint="eastAsia" w:ascii="Times New Roman" w:hAnsi="Times New Roman"/>
                      <w:b/>
                      <w:sz w:val="21"/>
                      <w:szCs w:val="21"/>
                    </w:rPr>
                    <w:t>排放浓度（m</w:t>
                  </w:r>
                  <w:r>
                    <w:rPr>
                      <w:rFonts w:ascii="Times New Roman" w:hAnsi="Times New Roman"/>
                      <w:b/>
                      <w:sz w:val="21"/>
                      <w:szCs w:val="21"/>
                    </w:rPr>
                    <w:t>g</w:t>
                  </w:r>
                  <w:r>
                    <w:rPr>
                      <w:rFonts w:hint="eastAsia" w:ascii="Times New Roman" w:hAnsi="Times New Roman"/>
                      <w:b/>
                      <w:sz w:val="21"/>
                      <w:szCs w:val="21"/>
                    </w:rPr>
                    <w:t>/m</w:t>
                  </w:r>
                  <w:r>
                    <w:rPr>
                      <w:rFonts w:ascii="Times New Roman" w:hAnsi="Times New Roman"/>
                      <w:b/>
                      <w:sz w:val="21"/>
                      <w:szCs w:val="21"/>
                      <w:vertAlign w:val="superscript"/>
                    </w:rPr>
                    <w:t>3</w:t>
                  </w:r>
                  <w:r>
                    <w:rPr>
                      <w:rFonts w:hint="eastAsia" w:ascii="Times New Roman" w:hAnsi="Times New Roman"/>
                      <w:b/>
                      <w:sz w:val="21"/>
                      <w:szCs w:val="21"/>
                    </w:rPr>
                    <w:t>）</w:t>
                  </w:r>
                </w:p>
              </w:tc>
              <w:tc>
                <w:tcPr>
                  <w:tcW w:w="1299" w:type="dxa"/>
                  <w:vAlign w:val="center"/>
                </w:tcPr>
                <w:p>
                  <w:pPr>
                    <w:pStyle w:val="18"/>
                    <w:widowControl w:val="0"/>
                    <w:spacing w:before="24" w:beforeLines="10" w:beforeAutospacing="0" w:after="24" w:afterLines="10" w:afterAutospacing="0" w:line="280" w:lineRule="exact"/>
                    <w:jc w:val="center"/>
                    <w:rPr>
                      <w:rFonts w:ascii="Times New Roman" w:hAnsi="Times New Roman"/>
                      <w:b/>
                      <w:sz w:val="21"/>
                      <w:szCs w:val="21"/>
                    </w:rPr>
                  </w:pPr>
                  <w:r>
                    <w:rPr>
                      <w:rFonts w:hint="eastAsia" w:ascii="Times New Roman" w:hAnsi="Times New Roman"/>
                      <w:b/>
                      <w:sz w:val="21"/>
                      <w:szCs w:val="21"/>
                    </w:rPr>
                    <w:t>排放速率（k</w:t>
                  </w:r>
                  <w:r>
                    <w:rPr>
                      <w:rFonts w:ascii="Times New Roman" w:hAnsi="Times New Roman"/>
                      <w:b/>
                      <w:sz w:val="21"/>
                      <w:szCs w:val="21"/>
                    </w:rPr>
                    <w:t>g/h</w:t>
                  </w:r>
                  <w:r>
                    <w:rPr>
                      <w:rFonts w:hint="eastAsia" w:ascii="Times New Roman" w:hAnsi="Times New Roman"/>
                      <w:b/>
                      <w:sz w:val="21"/>
                      <w:szCs w:val="21"/>
                    </w:rPr>
                    <w:t>）</w:t>
                  </w:r>
                </w:p>
              </w:tc>
              <w:tc>
                <w:tcPr>
                  <w:tcW w:w="2932" w:type="dxa"/>
                  <w:vMerge w:val="continue"/>
                  <w:vAlign w:val="center"/>
                </w:tcPr>
                <w:p>
                  <w:pPr>
                    <w:pStyle w:val="18"/>
                    <w:widowControl w:val="0"/>
                    <w:spacing w:before="24" w:beforeLines="10" w:beforeAutospacing="0" w:after="24" w:afterLines="10" w:afterAutospacing="0" w:line="280" w:lineRule="exact"/>
                    <w:jc w:val="center"/>
                    <w:rPr>
                      <w:rFonts w:ascii="Times New Roman" w:hAns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7" w:type="dxa"/>
                  <w:vAlign w:val="center"/>
                </w:tcPr>
                <w:p>
                  <w:pPr>
                    <w:pStyle w:val="18"/>
                    <w:widowControl w:val="0"/>
                    <w:spacing w:before="24" w:beforeLines="10" w:beforeAutospacing="0" w:after="24" w:afterLines="10" w:afterAutospacing="0" w:line="280" w:lineRule="exact"/>
                    <w:jc w:val="center"/>
                    <w:rPr>
                      <w:rFonts w:ascii="Times New Roman" w:hAnsi="Times New Roman"/>
                      <w:bCs/>
                      <w:sz w:val="21"/>
                      <w:szCs w:val="21"/>
                    </w:rPr>
                  </w:pPr>
                  <w:r>
                    <w:rPr>
                      <w:rFonts w:hint="eastAsia" w:ascii="Times New Roman" w:hAnsi="Times New Roman"/>
                      <w:bCs/>
                      <w:sz w:val="21"/>
                      <w:szCs w:val="21"/>
                    </w:rPr>
                    <w:t>1</w:t>
                  </w:r>
                </w:p>
              </w:tc>
              <w:tc>
                <w:tcPr>
                  <w:tcW w:w="932" w:type="dxa"/>
                  <w:vMerge w:val="restart"/>
                  <w:vAlign w:val="center"/>
                </w:tcPr>
                <w:p>
                  <w:pPr>
                    <w:pStyle w:val="18"/>
                    <w:widowControl w:val="0"/>
                    <w:spacing w:before="24" w:beforeLines="10" w:beforeAutospacing="0" w:after="24" w:afterLines="10" w:afterAutospacing="0" w:line="280" w:lineRule="exact"/>
                    <w:jc w:val="center"/>
                    <w:rPr>
                      <w:rFonts w:ascii="Times New Roman" w:hAnsi="Times New Roman"/>
                      <w:bCs/>
                      <w:sz w:val="21"/>
                      <w:szCs w:val="21"/>
                    </w:rPr>
                  </w:pPr>
                  <w:r>
                    <w:rPr>
                      <w:rFonts w:hint="eastAsia" w:ascii="Times New Roman" w:hAnsi="Times New Roman"/>
                      <w:bCs/>
                      <w:sz w:val="21"/>
                      <w:szCs w:val="21"/>
                    </w:rPr>
                    <w:t>10+15万吨/年饲钙装置干燥+含氟尾气排口</w:t>
                  </w:r>
                </w:p>
              </w:tc>
              <w:tc>
                <w:tcPr>
                  <w:tcW w:w="932" w:type="dxa"/>
                  <w:vAlign w:val="center"/>
                </w:tcPr>
                <w:p>
                  <w:pPr>
                    <w:pStyle w:val="18"/>
                    <w:widowControl w:val="0"/>
                    <w:spacing w:before="24" w:beforeLines="10" w:beforeAutospacing="0" w:after="24" w:afterLines="10" w:afterAutospacing="0" w:line="280" w:lineRule="exact"/>
                    <w:jc w:val="center"/>
                    <w:rPr>
                      <w:rFonts w:ascii="Times New Roman" w:hAnsi="Times New Roman"/>
                      <w:bCs/>
                      <w:sz w:val="21"/>
                      <w:szCs w:val="21"/>
                    </w:rPr>
                  </w:pPr>
                  <w:r>
                    <w:rPr>
                      <w:rFonts w:hint="eastAsia" w:ascii="Times New Roman" w:hAnsi="Times New Roman"/>
                      <w:bCs/>
                      <w:sz w:val="21"/>
                      <w:szCs w:val="21"/>
                    </w:rPr>
                    <w:t>S</w:t>
                  </w:r>
                  <w:r>
                    <w:rPr>
                      <w:rFonts w:ascii="Times New Roman" w:hAnsi="Times New Roman"/>
                      <w:bCs/>
                      <w:sz w:val="21"/>
                      <w:szCs w:val="21"/>
                    </w:rPr>
                    <w:t>O</w:t>
                  </w:r>
                  <w:r>
                    <w:rPr>
                      <w:rFonts w:ascii="Times New Roman" w:hAnsi="Times New Roman"/>
                      <w:bCs/>
                      <w:sz w:val="21"/>
                      <w:szCs w:val="21"/>
                      <w:vertAlign w:val="subscript"/>
                    </w:rPr>
                    <w:t>2</w:t>
                  </w:r>
                </w:p>
              </w:tc>
              <w:tc>
                <w:tcPr>
                  <w:tcW w:w="1464" w:type="dxa"/>
                  <w:vAlign w:val="center"/>
                </w:tcPr>
                <w:p>
                  <w:pPr>
                    <w:pStyle w:val="18"/>
                    <w:widowControl w:val="0"/>
                    <w:spacing w:before="24" w:beforeLines="10" w:beforeAutospacing="0" w:after="24" w:afterLines="10" w:afterAutospacing="0" w:line="280" w:lineRule="exact"/>
                    <w:jc w:val="center"/>
                    <w:rPr>
                      <w:rFonts w:ascii="Times New Roman" w:hAnsi="Times New Roman"/>
                      <w:bCs/>
                      <w:sz w:val="21"/>
                      <w:szCs w:val="21"/>
                    </w:rPr>
                  </w:pPr>
                  <w:r>
                    <w:rPr>
                      <w:rFonts w:hint="eastAsia" w:ascii="Times New Roman" w:hAnsi="Times New Roman"/>
                      <w:bCs/>
                      <w:sz w:val="21"/>
                      <w:szCs w:val="21"/>
                    </w:rPr>
                    <w:t>5</w:t>
                  </w:r>
                  <w:r>
                    <w:rPr>
                      <w:rFonts w:ascii="Times New Roman" w:hAnsi="Times New Roman"/>
                      <w:bCs/>
                      <w:sz w:val="21"/>
                      <w:szCs w:val="21"/>
                    </w:rPr>
                    <w:t>50</w:t>
                  </w:r>
                </w:p>
              </w:tc>
              <w:tc>
                <w:tcPr>
                  <w:tcW w:w="1299" w:type="dxa"/>
                  <w:vAlign w:val="center"/>
                </w:tcPr>
                <w:p>
                  <w:pPr>
                    <w:pStyle w:val="18"/>
                    <w:widowControl w:val="0"/>
                    <w:spacing w:before="24" w:beforeLines="10" w:beforeAutospacing="0" w:after="24" w:afterLines="10" w:afterAutospacing="0" w:line="280" w:lineRule="exact"/>
                    <w:jc w:val="center"/>
                    <w:rPr>
                      <w:rFonts w:ascii="Times New Roman" w:hAnsi="Times New Roman"/>
                      <w:bCs/>
                      <w:sz w:val="21"/>
                      <w:szCs w:val="21"/>
                    </w:rPr>
                  </w:pPr>
                  <w:r>
                    <w:rPr>
                      <w:rFonts w:hint="eastAsia" w:ascii="Times New Roman" w:hAnsi="Times New Roman"/>
                      <w:bCs/>
                      <w:sz w:val="21"/>
                      <w:szCs w:val="21"/>
                    </w:rPr>
                    <w:t>25</w:t>
                  </w:r>
                </w:p>
              </w:tc>
              <w:tc>
                <w:tcPr>
                  <w:tcW w:w="2932" w:type="dxa"/>
                  <w:vMerge w:val="restart"/>
                  <w:vAlign w:val="center"/>
                </w:tcPr>
                <w:p>
                  <w:pPr>
                    <w:pStyle w:val="18"/>
                    <w:widowControl w:val="0"/>
                    <w:spacing w:before="24" w:beforeLines="10" w:after="24" w:afterLines="10" w:line="280" w:lineRule="exact"/>
                    <w:jc w:val="center"/>
                    <w:rPr>
                      <w:rFonts w:ascii="Times New Roman" w:hAnsi="Times New Roman"/>
                      <w:bCs/>
                      <w:sz w:val="21"/>
                      <w:szCs w:val="21"/>
                    </w:rPr>
                  </w:pPr>
                  <w:r>
                    <w:rPr>
                      <w:rFonts w:hint="eastAsia" w:ascii="Times New Roman" w:hAnsi="Times New Roman"/>
                      <w:bCs/>
                      <w:sz w:val="21"/>
                      <w:szCs w:val="21"/>
                    </w:rPr>
                    <w:t>《大气污染物综合排放标准》（G</w:t>
                  </w:r>
                  <w:r>
                    <w:rPr>
                      <w:rFonts w:ascii="Times New Roman" w:hAnsi="Times New Roman"/>
                      <w:bCs/>
                      <w:sz w:val="21"/>
                      <w:szCs w:val="21"/>
                    </w:rPr>
                    <w:t>B16297-1996</w:t>
                  </w:r>
                  <w:r>
                    <w:rPr>
                      <w:rFonts w:hint="eastAsia" w:ascii="Times New Roman" w:hAnsi="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7" w:type="dxa"/>
                  <w:vAlign w:val="center"/>
                </w:tcPr>
                <w:p>
                  <w:pPr>
                    <w:pStyle w:val="18"/>
                    <w:widowControl w:val="0"/>
                    <w:spacing w:before="24" w:beforeLines="10" w:beforeAutospacing="0" w:after="24" w:afterLines="10" w:afterAutospacing="0" w:line="280" w:lineRule="exact"/>
                    <w:jc w:val="center"/>
                    <w:rPr>
                      <w:rFonts w:ascii="Times New Roman" w:hAnsi="Times New Roman"/>
                      <w:bCs/>
                      <w:sz w:val="21"/>
                      <w:szCs w:val="21"/>
                    </w:rPr>
                  </w:pPr>
                  <w:r>
                    <w:rPr>
                      <w:rFonts w:hint="eastAsia" w:ascii="Times New Roman" w:hAnsi="Times New Roman"/>
                      <w:bCs/>
                      <w:sz w:val="21"/>
                      <w:szCs w:val="21"/>
                    </w:rPr>
                    <w:t>2</w:t>
                  </w:r>
                </w:p>
              </w:tc>
              <w:tc>
                <w:tcPr>
                  <w:tcW w:w="932" w:type="dxa"/>
                  <w:vMerge w:val="continue"/>
                </w:tcPr>
                <w:p>
                  <w:pPr>
                    <w:pStyle w:val="18"/>
                    <w:widowControl w:val="0"/>
                    <w:spacing w:before="24" w:beforeLines="10" w:beforeAutospacing="0" w:after="24" w:afterLines="10" w:afterAutospacing="0" w:line="280" w:lineRule="exact"/>
                    <w:jc w:val="center"/>
                    <w:rPr>
                      <w:rFonts w:ascii="Times New Roman" w:hAnsi="Times New Roman"/>
                      <w:bCs/>
                      <w:sz w:val="21"/>
                      <w:szCs w:val="21"/>
                    </w:rPr>
                  </w:pPr>
                </w:p>
              </w:tc>
              <w:tc>
                <w:tcPr>
                  <w:tcW w:w="932" w:type="dxa"/>
                  <w:vAlign w:val="center"/>
                </w:tcPr>
                <w:p>
                  <w:pPr>
                    <w:pStyle w:val="18"/>
                    <w:widowControl w:val="0"/>
                    <w:spacing w:before="24" w:beforeLines="10" w:beforeAutospacing="0" w:after="24" w:afterLines="10" w:afterAutospacing="0" w:line="280" w:lineRule="exact"/>
                    <w:jc w:val="center"/>
                    <w:rPr>
                      <w:rFonts w:ascii="Times New Roman" w:hAnsi="Times New Roman"/>
                      <w:bCs/>
                      <w:sz w:val="21"/>
                      <w:szCs w:val="21"/>
                    </w:rPr>
                  </w:pPr>
                  <w:r>
                    <w:rPr>
                      <w:rFonts w:hint="eastAsia" w:ascii="Times New Roman" w:hAnsi="Times New Roman"/>
                      <w:bCs/>
                      <w:sz w:val="21"/>
                      <w:szCs w:val="21"/>
                    </w:rPr>
                    <w:t>颗粒物</w:t>
                  </w:r>
                </w:p>
              </w:tc>
              <w:tc>
                <w:tcPr>
                  <w:tcW w:w="1464" w:type="dxa"/>
                  <w:vAlign w:val="center"/>
                </w:tcPr>
                <w:p>
                  <w:pPr>
                    <w:pStyle w:val="18"/>
                    <w:widowControl w:val="0"/>
                    <w:spacing w:before="24" w:beforeLines="10" w:beforeAutospacing="0" w:after="24" w:afterLines="10" w:afterAutospacing="0" w:line="280" w:lineRule="exact"/>
                    <w:jc w:val="center"/>
                    <w:rPr>
                      <w:rFonts w:ascii="Times New Roman" w:hAnsi="Times New Roman"/>
                      <w:bCs/>
                      <w:sz w:val="21"/>
                      <w:szCs w:val="21"/>
                    </w:rPr>
                  </w:pPr>
                  <w:r>
                    <w:rPr>
                      <w:rFonts w:hint="eastAsia" w:ascii="Times New Roman" w:hAnsi="Times New Roman"/>
                      <w:bCs/>
                      <w:sz w:val="21"/>
                      <w:szCs w:val="21"/>
                    </w:rPr>
                    <w:t>120</w:t>
                  </w:r>
                </w:p>
              </w:tc>
              <w:tc>
                <w:tcPr>
                  <w:tcW w:w="1299" w:type="dxa"/>
                  <w:vAlign w:val="center"/>
                </w:tcPr>
                <w:p>
                  <w:pPr>
                    <w:pStyle w:val="18"/>
                    <w:widowControl w:val="0"/>
                    <w:spacing w:before="24" w:beforeLines="10" w:beforeAutospacing="0" w:after="24" w:afterLines="10" w:afterAutospacing="0" w:line="280" w:lineRule="exact"/>
                    <w:jc w:val="center"/>
                    <w:rPr>
                      <w:rFonts w:ascii="Times New Roman" w:hAnsi="Times New Roman"/>
                      <w:bCs/>
                      <w:sz w:val="21"/>
                      <w:szCs w:val="21"/>
                    </w:rPr>
                  </w:pPr>
                  <w:r>
                    <w:rPr>
                      <w:rFonts w:hint="eastAsia" w:ascii="Times New Roman" w:hAnsi="Times New Roman"/>
                      <w:bCs/>
                      <w:sz w:val="21"/>
                      <w:szCs w:val="21"/>
                    </w:rPr>
                    <w:t>39</w:t>
                  </w:r>
                </w:p>
              </w:tc>
              <w:tc>
                <w:tcPr>
                  <w:tcW w:w="2932" w:type="dxa"/>
                  <w:vMerge w:val="continue"/>
                  <w:vAlign w:val="center"/>
                </w:tcPr>
                <w:p>
                  <w:pPr>
                    <w:pStyle w:val="18"/>
                    <w:widowControl w:val="0"/>
                    <w:spacing w:before="24" w:beforeLines="10" w:beforeAutospacing="0" w:after="24" w:afterLines="10" w:afterAutospacing="0" w:line="280" w:lineRule="exact"/>
                    <w:jc w:val="center"/>
                    <w:rPr>
                      <w:rFonts w:ascii="Times New Roman" w:hAns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7" w:type="dxa"/>
                  <w:vAlign w:val="center"/>
                </w:tcPr>
                <w:p>
                  <w:pPr>
                    <w:pStyle w:val="18"/>
                    <w:widowControl w:val="0"/>
                    <w:spacing w:before="24" w:beforeLines="10" w:beforeAutospacing="0" w:after="24" w:afterLines="10" w:afterAutospacing="0" w:line="280" w:lineRule="exact"/>
                    <w:jc w:val="center"/>
                    <w:rPr>
                      <w:rFonts w:ascii="Times New Roman" w:hAnsi="Times New Roman"/>
                      <w:bCs/>
                      <w:sz w:val="21"/>
                      <w:szCs w:val="21"/>
                    </w:rPr>
                  </w:pPr>
                  <w:r>
                    <w:rPr>
                      <w:rFonts w:hint="eastAsia" w:ascii="Times New Roman" w:hAnsi="Times New Roman"/>
                      <w:bCs/>
                      <w:sz w:val="21"/>
                      <w:szCs w:val="21"/>
                    </w:rPr>
                    <w:t>3</w:t>
                  </w:r>
                </w:p>
              </w:tc>
              <w:tc>
                <w:tcPr>
                  <w:tcW w:w="932" w:type="dxa"/>
                  <w:vMerge w:val="continue"/>
                </w:tcPr>
                <w:p>
                  <w:pPr>
                    <w:pStyle w:val="18"/>
                    <w:widowControl w:val="0"/>
                    <w:spacing w:before="24" w:beforeLines="10" w:beforeAutospacing="0" w:after="24" w:afterLines="10" w:afterAutospacing="0" w:line="280" w:lineRule="exact"/>
                    <w:jc w:val="center"/>
                    <w:rPr>
                      <w:rFonts w:ascii="Times New Roman" w:hAnsi="Times New Roman"/>
                      <w:bCs/>
                      <w:sz w:val="21"/>
                      <w:szCs w:val="21"/>
                    </w:rPr>
                  </w:pPr>
                </w:p>
              </w:tc>
              <w:tc>
                <w:tcPr>
                  <w:tcW w:w="932" w:type="dxa"/>
                  <w:vAlign w:val="center"/>
                </w:tcPr>
                <w:p>
                  <w:pPr>
                    <w:pStyle w:val="18"/>
                    <w:widowControl w:val="0"/>
                    <w:spacing w:before="24" w:beforeLines="10" w:beforeAutospacing="0" w:after="24" w:afterLines="10" w:afterAutospacing="0" w:line="280" w:lineRule="exact"/>
                    <w:jc w:val="center"/>
                    <w:rPr>
                      <w:rFonts w:ascii="Times New Roman" w:hAnsi="Times New Roman"/>
                      <w:bCs/>
                      <w:sz w:val="21"/>
                      <w:szCs w:val="21"/>
                    </w:rPr>
                  </w:pPr>
                  <w:r>
                    <w:rPr>
                      <w:rFonts w:hint="eastAsia" w:ascii="Times New Roman" w:hAnsi="Times New Roman"/>
                      <w:bCs/>
                      <w:sz w:val="21"/>
                      <w:szCs w:val="21"/>
                    </w:rPr>
                    <w:t>氟化物</w:t>
                  </w:r>
                </w:p>
              </w:tc>
              <w:tc>
                <w:tcPr>
                  <w:tcW w:w="1464" w:type="dxa"/>
                  <w:vAlign w:val="center"/>
                </w:tcPr>
                <w:p>
                  <w:pPr>
                    <w:pStyle w:val="18"/>
                    <w:widowControl w:val="0"/>
                    <w:spacing w:before="24" w:beforeLines="10" w:beforeAutospacing="0" w:after="24" w:afterLines="10" w:afterAutospacing="0" w:line="280" w:lineRule="exact"/>
                    <w:jc w:val="center"/>
                    <w:rPr>
                      <w:rFonts w:ascii="Times New Roman" w:hAnsi="Times New Roman"/>
                      <w:bCs/>
                      <w:sz w:val="21"/>
                      <w:szCs w:val="21"/>
                    </w:rPr>
                  </w:pPr>
                  <w:r>
                    <w:rPr>
                      <w:rFonts w:ascii="Times New Roman" w:hAnsi="Times New Roman"/>
                      <w:bCs/>
                      <w:sz w:val="21"/>
                      <w:szCs w:val="21"/>
                    </w:rPr>
                    <w:t>9</w:t>
                  </w:r>
                </w:p>
              </w:tc>
              <w:tc>
                <w:tcPr>
                  <w:tcW w:w="1299" w:type="dxa"/>
                  <w:vAlign w:val="center"/>
                </w:tcPr>
                <w:p>
                  <w:pPr>
                    <w:pStyle w:val="18"/>
                    <w:widowControl w:val="0"/>
                    <w:spacing w:before="24" w:beforeLines="10" w:beforeAutospacing="0" w:after="24" w:afterLines="10" w:afterAutospacing="0" w:line="280" w:lineRule="exact"/>
                    <w:jc w:val="center"/>
                    <w:rPr>
                      <w:rFonts w:ascii="Times New Roman" w:hAnsi="Times New Roman"/>
                      <w:bCs/>
                      <w:sz w:val="21"/>
                      <w:szCs w:val="21"/>
                    </w:rPr>
                  </w:pPr>
                  <w:r>
                    <w:rPr>
                      <w:rFonts w:hint="eastAsia" w:ascii="Times New Roman" w:hAnsi="Times New Roman"/>
                      <w:bCs/>
                      <w:sz w:val="21"/>
                      <w:szCs w:val="21"/>
                    </w:rPr>
                    <w:t>1</w:t>
                  </w:r>
                </w:p>
              </w:tc>
              <w:tc>
                <w:tcPr>
                  <w:tcW w:w="2932" w:type="dxa"/>
                  <w:vMerge w:val="continue"/>
                  <w:vAlign w:val="center"/>
                </w:tcPr>
                <w:p>
                  <w:pPr>
                    <w:pStyle w:val="18"/>
                    <w:widowControl w:val="0"/>
                    <w:spacing w:before="24" w:beforeLines="10" w:after="24" w:afterLines="10" w:line="280" w:lineRule="exact"/>
                    <w:jc w:val="center"/>
                    <w:rPr>
                      <w:rFonts w:ascii="Times New Roman" w:hAns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7" w:type="dxa"/>
                  <w:vAlign w:val="center"/>
                </w:tcPr>
                <w:p>
                  <w:pPr>
                    <w:pStyle w:val="18"/>
                    <w:widowControl w:val="0"/>
                    <w:spacing w:before="24" w:beforeLines="10" w:beforeAutospacing="0" w:after="24" w:afterLines="10" w:afterAutospacing="0" w:line="280" w:lineRule="exact"/>
                    <w:jc w:val="center"/>
                    <w:rPr>
                      <w:rFonts w:ascii="Times New Roman" w:hAnsi="Times New Roman"/>
                      <w:bCs/>
                      <w:sz w:val="21"/>
                      <w:szCs w:val="21"/>
                    </w:rPr>
                  </w:pPr>
                  <w:r>
                    <w:rPr>
                      <w:rFonts w:hint="eastAsia" w:ascii="Times New Roman" w:hAnsi="Times New Roman"/>
                      <w:bCs/>
                      <w:sz w:val="21"/>
                      <w:szCs w:val="21"/>
                    </w:rPr>
                    <w:t>4</w:t>
                  </w:r>
                </w:p>
              </w:tc>
              <w:tc>
                <w:tcPr>
                  <w:tcW w:w="932" w:type="dxa"/>
                  <w:vMerge w:val="continue"/>
                </w:tcPr>
                <w:p>
                  <w:pPr>
                    <w:pStyle w:val="18"/>
                    <w:widowControl w:val="0"/>
                    <w:spacing w:before="24" w:beforeLines="10" w:beforeAutospacing="0" w:after="24" w:afterLines="10" w:afterAutospacing="0" w:line="280" w:lineRule="exact"/>
                    <w:jc w:val="center"/>
                    <w:rPr>
                      <w:rFonts w:ascii="Times New Roman" w:hAnsi="Times New Roman"/>
                      <w:bCs/>
                      <w:sz w:val="21"/>
                      <w:szCs w:val="21"/>
                    </w:rPr>
                  </w:pPr>
                </w:p>
              </w:tc>
              <w:tc>
                <w:tcPr>
                  <w:tcW w:w="932" w:type="dxa"/>
                  <w:vAlign w:val="center"/>
                </w:tcPr>
                <w:p>
                  <w:pPr>
                    <w:pStyle w:val="18"/>
                    <w:widowControl w:val="0"/>
                    <w:spacing w:before="24" w:beforeLines="10" w:beforeAutospacing="0" w:after="24" w:afterLines="10" w:afterAutospacing="0" w:line="280" w:lineRule="exact"/>
                    <w:jc w:val="center"/>
                    <w:rPr>
                      <w:rFonts w:ascii="Times New Roman" w:hAnsi="Times New Roman"/>
                      <w:bCs/>
                      <w:sz w:val="21"/>
                      <w:szCs w:val="21"/>
                    </w:rPr>
                  </w:pPr>
                  <w:r>
                    <w:rPr>
                      <w:rFonts w:hint="eastAsia" w:ascii="Times New Roman" w:hAnsi="Times New Roman"/>
                      <w:bCs/>
                      <w:sz w:val="21"/>
                      <w:szCs w:val="21"/>
                    </w:rPr>
                    <w:t>氮氧化物</w:t>
                  </w:r>
                </w:p>
              </w:tc>
              <w:tc>
                <w:tcPr>
                  <w:tcW w:w="1464" w:type="dxa"/>
                  <w:vAlign w:val="center"/>
                </w:tcPr>
                <w:p>
                  <w:pPr>
                    <w:pStyle w:val="18"/>
                    <w:widowControl w:val="0"/>
                    <w:spacing w:before="24" w:beforeLines="10" w:beforeAutospacing="0" w:after="24" w:afterLines="10" w:afterAutospacing="0" w:line="280" w:lineRule="exact"/>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40</w:t>
                  </w:r>
                </w:p>
              </w:tc>
              <w:tc>
                <w:tcPr>
                  <w:tcW w:w="1299" w:type="dxa"/>
                  <w:vAlign w:val="center"/>
                </w:tcPr>
                <w:p>
                  <w:pPr>
                    <w:pStyle w:val="18"/>
                    <w:widowControl w:val="0"/>
                    <w:spacing w:before="24" w:beforeLines="10" w:beforeAutospacing="0" w:after="24" w:afterLines="10" w:afterAutospacing="0" w:line="280" w:lineRule="exact"/>
                    <w:jc w:val="center"/>
                    <w:rPr>
                      <w:rFonts w:ascii="Times New Roman" w:hAnsi="Times New Roman"/>
                      <w:bCs/>
                      <w:sz w:val="21"/>
                      <w:szCs w:val="21"/>
                    </w:rPr>
                  </w:pPr>
                  <w:r>
                    <w:rPr>
                      <w:rFonts w:hint="eastAsia" w:ascii="Times New Roman" w:hAnsi="Times New Roman"/>
                      <w:bCs/>
                      <w:sz w:val="21"/>
                      <w:szCs w:val="21"/>
                    </w:rPr>
                    <w:t>7</w:t>
                  </w:r>
                  <w:r>
                    <w:rPr>
                      <w:rFonts w:ascii="Times New Roman" w:hAnsi="Times New Roman"/>
                      <w:bCs/>
                      <w:sz w:val="21"/>
                      <w:szCs w:val="21"/>
                    </w:rPr>
                    <w:t>.5</w:t>
                  </w:r>
                </w:p>
              </w:tc>
              <w:tc>
                <w:tcPr>
                  <w:tcW w:w="2932" w:type="dxa"/>
                  <w:vMerge w:val="continue"/>
                  <w:vAlign w:val="center"/>
                </w:tcPr>
                <w:p>
                  <w:pPr>
                    <w:pStyle w:val="18"/>
                    <w:widowControl w:val="0"/>
                    <w:spacing w:before="24" w:beforeLines="10" w:beforeAutospacing="0" w:after="24" w:afterLines="10" w:afterAutospacing="0" w:line="280" w:lineRule="exact"/>
                    <w:jc w:val="center"/>
                    <w:rPr>
                      <w:rFonts w:ascii="Times New Roman" w:hAnsi="Times New Roman"/>
                      <w:bCs/>
                      <w:sz w:val="21"/>
                      <w:szCs w:val="21"/>
                    </w:rPr>
                  </w:pPr>
                </w:p>
              </w:tc>
            </w:tr>
          </w:tbl>
          <w:p>
            <w:pPr>
              <w:ind w:left="211"/>
              <w:jc w:val="center"/>
              <w:rPr>
                <w:b/>
                <w:bCs/>
                <w:kern w:val="0"/>
                <w:szCs w:val="20"/>
              </w:rPr>
            </w:pPr>
          </w:p>
          <w:p>
            <w:pPr>
              <w:pStyle w:val="59"/>
              <w:spacing w:line="360" w:lineRule="auto"/>
              <w:ind w:firstLine="482" w:firstLineChars="200"/>
              <w:jc w:val="both"/>
              <w:rPr>
                <w:rFonts w:ascii="Times New Roman" w:hAnsi="Times New Roman" w:cs="Times New Roman"/>
                <w:b/>
                <w:bCs/>
                <w:kern w:val="2"/>
                <w:sz w:val="24"/>
                <w:szCs w:val="24"/>
              </w:rPr>
            </w:pPr>
            <w:r>
              <w:rPr>
                <w:rFonts w:hint="eastAsia" w:ascii="Times New Roman" w:hAnsi="Times New Roman" w:cs="Times New Roman"/>
                <w:b/>
                <w:bCs/>
                <w:kern w:val="2"/>
                <w:sz w:val="24"/>
                <w:szCs w:val="24"/>
              </w:rPr>
              <w:t>2、噪声污染物排放标准</w:t>
            </w:r>
          </w:p>
          <w:p>
            <w:pPr>
              <w:pStyle w:val="51"/>
              <w:adjustRightInd w:val="0"/>
              <w:snapToGrid w:val="0"/>
              <w:spacing w:line="360" w:lineRule="auto"/>
              <w:rPr>
                <w:rFonts w:ascii="Times New Roman" w:cs="宋体"/>
                <w:kern w:val="0"/>
                <w:szCs w:val="24"/>
              </w:rPr>
            </w:pPr>
            <w:r>
              <w:rPr>
                <w:rFonts w:ascii="Times New Roman" w:cs="宋体"/>
                <w:kern w:val="0"/>
                <w:szCs w:val="24"/>
              </w:rPr>
              <w:t>项目施工期厂界噪声执行《建筑施工场界环境噪声排放标准》（GB12523-2011）。</w:t>
            </w:r>
          </w:p>
          <w:p>
            <w:pPr>
              <w:pStyle w:val="51"/>
              <w:adjustRightInd w:val="0"/>
              <w:snapToGrid w:val="0"/>
              <w:spacing w:line="360" w:lineRule="auto"/>
              <w:rPr>
                <w:rFonts w:ascii="Times New Roman" w:cs="宋体"/>
                <w:kern w:val="0"/>
                <w:szCs w:val="24"/>
              </w:rPr>
            </w:pPr>
            <w:r>
              <w:rPr>
                <w:rFonts w:ascii="Times New Roman" w:cs="宋体"/>
                <w:kern w:val="0"/>
                <w:szCs w:val="24"/>
              </w:rPr>
              <w:t>项目运营期厂界噪声执行GB12348－2008《工业企业厂界环境噪声排放标准》3类区标准。昼间65dB(A)，夜间55dB(A)。</w:t>
            </w:r>
          </w:p>
          <w:p>
            <w:pPr>
              <w:pStyle w:val="59"/>
              <w:spacing w:line="360" w:lineRule="auto"/>
              <w:ind w:firstLine="482" w:firstLineChars="200"/>
              <w:jc w:val="both"/>
              <w:rPr>
                <w:rFonts w:ascii="Times New Roman" w:hAnsi="Times New Roman" w:cs="Times New Roman"/>
                <w:b/>
                <w:bCs/>
                <w:kern w:val="2"/>
                <w:sz w:val="24"/>
                <w:szCs w:val="24"/>
              </w:rPr>
            </w:pPr>
            <w:r>
              <w:rPr>
                <w:rFonts w:hint="eastAsia" w:ascii="Times New Roman" w:hAnsi="Times New Roman" w:cs="Times New Roman"/>
                <w:b/>
                <w:bCs/>
                <w:kern w:val="2"/>
                <w:sz w:val="24"/>
                <w:szCs w:val="24"/>
              </w:rPr>
              <w:t>3、水污染物排放标准</w:t>
            </w:r>
          </w:p>
          <w:p>
            <w:pPr>
              <w:pStyle w:val="59"/>
              <w:spacing w:line="360" w:lineRule="auto"/>
              <w:ind w:firstLine="480" w:firstLineChars="200"/>
              <w:jc w:val="both"/>
              <w:rPr>
                <w:rFonts w:ascii="Times New Roman" w:hAnsi="Times New Roman" w:cs="Times New Roman"/>
                <w:b/>
                <w:bCs/>
                <w:kern w:val="2"/>
                <w:sz w:val="24"/>
                <w:szCs w:val="24"/>
              </w:rPr>
            </w:pPr>
            <w:r>
              <w:rPr>
                <w:rFonts w:ascii="Times New Roman" w:hAnsi="Times New Roman"/>
                <w:sz w:val="24"/>
                <w:szCs w:val="24"/>
              </w:rPr>
              <w:t>项目正常生产情况下，产生的生产废水和生活污水均处理后</w:t>
            </w:r>
            <w:r>
              <w:rPr>
                <w:rFonts w:hint="eastAsia" w:ascii="Times New Roman" w:hAnsi="Times New Roman"/>
                <w:sz w:val="24"/>
                <w:szCs w:val="24"/>
              </w:rPr>
              <w:t>在厂区内</w:t>
            </w:r>
            <w:r>
              <w:rPr>
                <w:rFonts w:ascii="Times New Roman" w:hAnsi="Times New Roman"/>
                <w:sz w:val="24"/>
                <w:szCs w:val="24"/>
              </w:rPr>
              <w:t>回用，不外排</w:t>
            </w:r>
            <w:r>
              <w:rPr>
                <w:rFonts w:hint="eastAsia" w:ascii="Times New Roman" w:hAnsi="Times New Roman"/>
                <w:sz w:val="24"/>
                <w:szCs w:val="24"/>
              </w:rPr>
              <w:t>外环境</w:t>
            </w:r>
            <w:r>
              <w:rPr>
                <w:rFonts w:ascii="Times New Roman" w:hAnsi="Times New Roman"/>
                <w:sz w:val="24"/>
                <w:szCs w:val="24"/>
              </w:rPr>
              <w:t>。全厂目前生产废水经处理后全部回用，不外排。</w:t>
            </w:r>
          </w:p>
          <w:p>
            <w:pPr>
              <w:pStyle w:val="59"/>
              <w:spacing w:line="360" w:lineRule="auto"/>
              <w:ind w:firstLine="482" w:firstLineChars="200"/>
              <w:jc w:val="both"/>
              <w:rPr>
                <w:rFonts w:ascii="Times New Roman" w:hAnsi="Times New Roman" w:cs="Times New Roman"/>
                <w:b/>
                <w:bCs/>
                <w:kern w:val="2"/>
                <w:sz w:val="24"/>
                <w:szCs w:val="24"/>
              </w:rPr>
            </w:pPr>
            <w:r>
              <w:rPr>
                <w:rFonts w:hint="eastAsia" w:ascii="Times New Roman" w:hAnsi="Times New Roman" w:cs="Times New Roman"/>
                <w:b/>
                <w:bCs/>
                <w:kern w:val="2"/>
                <w:sz w:val="24"/>
                <w:szCs w:val="24"/>
              </w:rPr>
              <w:t>4、固体废弃物</w:t>
            </w:r>
          </w:p>
          <w:p>
            <w:pPr>
              <w:pStyle w:val="59"/>
              <w:spacing w:line="360" w:lineRule="auto"/>
              <w:ind w:firstLine="480" w:firstLineChars="200"/>
              <w:jc w:val="both"/>
              <w:rPr>
                <w:rFonts w:ascii="Times New Roman" w:hAnsi="Times New Roman" w:cs="Times New Roman"/>
                <w:b/>
                <w:bCs/>
                <w:kern w:val="2"/>
                <w:sz w:val="24"/>
                <w:szCs w:val="24"/>
              </w:rPr>
            </w:pPr>
            <w:r>
              <w:rPr>
                <w:rFonts w:ascii="Times New Roman" w:hAnsi="Times New Roman"/>
                <w:sz w:val="24"/>
                <w:szCs w:val="24"/>
              </w:rPr>
              <w:t>一般固废执行《一般工业固体废物贮存</w:t>
            </w:r>
            <w:r>
              <w:rPr>
                <w:rFonts w:hint="eastAsia" w:ascii="Times New Roman" w:hAnsi="Times New Roman"/>
                <w:sz w:val="24"/>
                <w:szCs w:val="24"/>
              </w:rPr>
              <w:t>和填埋污染</w:t>
            </w:r>
            <w:r>
              <w:rPr>
                <w:rFonts w:ascii="Times New Roman" w:hAnsi="Times New Roman"/>
                <w:sz w:val="24"/>
                <w:szCs w:val="24"/>
              </w:rPr>
              <w:t>控制标准》（GB18599- 20</w:t>
            </w:r>
            <w:r>
              <w:rPr>
                <w:rFonts w:hint="eastAsia" w:ascii="Times New Roman" w:hAnsi="Times New Roman"/>
                <w:sz w:val="24"/>
                <w:szCs w:val="24"/>
              </w:rPr>
              <w:t>20</w:t>
            </w:r>
            <w:r>
              <w:rPr>
                <w:rFonts w:ascii="Times New Roman" w:hAnsi="Times New Roman"/>
                <w:sz w:val="24"/>
                <w:szCs w:val="24"/>
              </w:rPr>
              <w:t>）。</w:t>
            </w:r>
            <w:r>
              <w:rPr>
                <w:rFonts w:hint="eastAsia" w:ascii="Times New Roman" w:hAnsi="Times New Roman"/>
                <w:sz w:val="24"/>
                <w:szCs w:val="24"/>
                <w:lang w:bidi="en-US"/>
              </w:rPr>
              <w:t>危险废物在厂区内暂存执行GB18597-2001《危险废物贮存污染控制标准》及</w:t>
            </w:r>
            <w:r>
              <w:rPr>
                <w:rFonts w:hint="eastAsia" w:ascii="Times New Roman" w:hAnsi="Times New Roman"/>
                <w:bCs/>
                <w:sz w:val="24"/>
                <w:szCs w:val="24"/>
                <w:lang w:bidi="en-US"/>
              </w:rPr>
              <w:t>GB18597-2001/XG1-2013《危险废物贮存污染控制标准》国家标准第1号修改单。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30" w:hRule="atLeast"/>
          <w:jc w:val="center"/>
        </w:trPr>
        <w:tc>
          <w:tcPr>
            <w:tcW w:w="561" w:type="dxa"/>
            <w:vAlign w:val="center"/>
          </w:tcPr>
          <w:p>
            <w:pPr>
              <w:adjustRightInd w:val="0"/>
              <w:snapToGrid w:val="0"/>
              <w:jc w:val="center"/>
              <w:rPr>
                <w:rFonts w:cs="宋体"/>
                <w:kern w:val="0"/>
                <w:szCs w:val="21"/>
              </w:rPr>
            </w:pPr>
            <w:r>
              <w:rPr>
                <w:rFonts w:hint="eastAsia" w:cs="宋体"/>
                <w:kern w:val="0"/>
                <w:szCs w:val="21"/>
              </w:rPr>
              <w:t>总量</w:t>
            </w:r>
          </w:p>
          <w:p>
            <w:pPr>
              <w:adjustRightInd w:val="0"/>
              <w:snapToGrid w:val="0"/>
              <w:jc w:val="center"/>
              <w:rPr>
                <w:rFonts w:cs="宋体"/>
                <w:kern w:val="0"/>
                <w:szCs w:val="21"/>
              </w:rPr>
            </w:pPr>
            <w:r>
              <w:rPr>
                <w:rFonts w:hint="eastAsia" w:cs="宋体"/>
                <w:kern w:val="0"/>
                <w:szCs w:val="21"/>
              </w:rPr>
              <w:t>控制</w:t>
            </w:r>
          </w:p>
          <w:p>
            <w:pPr>
              <w:adjustRightInd w:val="0"/>
              <w:snapToGrid w:val="0"/>
              <w:jc w:val="center"/>
              <w:rPr>
                <w:rFonts w:cs="宋体"/>
                <w:kern w:val="0"/>
                <w:szCs w:val="21"/>
              </w:rPr>
            </w:pPr>
            <w:r>
              <w:rPr>
                <w:rFonts w:hint="eastAsia" w:cs="宋体"/>
                <w:kern w:val="0"/>
                <w:szCs w:val="21"/>
              </w:rPr>
              <w:t>指标</w:t>
            </w:r>
          </w:p>
        </w:tc>
        <w:tc>
          <w:tcPr>
            <w:tcW w:w="8262" w:type="dxa"/>
            <w:vAlign w:val="center"/>
          </w:tcPr>
          <w:p>
            <w:pPr>
              <w:pStyle w:val="59"/>
              <w:spacing w:line="360" w:lineRule="auto"/>
              <w:ind w:firstLine="482" w:firstLineChars="200"/>
              <w:jc w:val="both"/>
              <w:rPr>
                <w:rFonts w:ascii="Times New Roman" w:hAnsi="Times New Roman" w:cs="Times New Roman"/>
                <w:b/>
                <w:bCs/>
                <w:kern w:val="2"/>
                <w:sz w:val="24"/>
                <w:szCs w:val="24"/>
              </w:rPr>
            </w:pPr>
            <w:r>
              <w:rPr>
                <w:rFonts w:hint="eastAsia" w:ascii="Times New Roman" w:hAnsi="Times New Roman" w:cs="Times New Roman"/>
                <w:b/>
                <w:bCs/>
                <w:kern w:val="2"/>
                <w:sz w:val="24"/>
                <w:szCs w:val="24"/>
              </w:rPr>
              <w:t>1、废气</w:t>
            </w:r>
          </w:p>
          <w:p>
            <w:pPr>
              <w:spacing w:line="360" w:lineRule="auto"/>
              <w:ind w:firstLine="420"/>
              <w:rPr>
                <w:sz w:val="24"/>
              </w:rPr>
            </w:pPr>
            <w:r>
              <w:rPr>
                <w:rFonts w:hint="eastAsia"/>
                <w:sz w:val="24"/>
              </w:rPr>
              <w:t>10+15万吨/年饲钙装置干燥+含氟洗涤尾气排气筒：废气量</w:t>
            </w:r>
            <w:r>
              <w:rPr>
                <w:sz w:val="24"/>
              </w:rPr>
              <w:t>189860</w:t>
            </w:r>
            <w:r>
              <w:rPr>
                <w:bCs/>
                <w:sz w:val="24"/>
              </w:rPr>
              <w:t>Nm³/h</w:t>
            </w:r>
            <w:r>
              <w:rPr>
                <w:rFonts w:hint="eastAsia"/>
                <w:sz w:val="24"/>
              </w:rPr>
              <w:t>，二氧化硫54.456t/a，氮氧化物37.574t/a，颗粒物59.979t/a，氟化物</w:t>
            </w:r>
            <w:r>
              <w:rPr>
                <w:sz w:val="24"/>
              </w:rPr>
              <w:t>1.0</w:t>
            </w:r>
            <w:r>
              <w:rPr>
                <w:rFonts w:hint="eastAsia"/>
                <w:sz w:val="24"/>
              </w:rPr>
              <w:t>08t/a；</w:t>
            </w:r>
          </w:p>
          <w:p>
            <w:pPr>
              <w:pStyle w:val="59"/>
              <w:spacing w:line="360" w:lineRule="auto"/>
              <w:ind w:firstLine="482" w:firstLineChars="200"/>
              <w:jc w:val="both"/>
              <w:rPr>
                <w:rFonts w:ascii="Times New Roman" w:hAnsi="Times New Roman" w:cs="Times New Roman"/>
                <w:b/>
                <w:bCs/>
                <w:kern w:val="2"/>
                <w:sz w:val="24"/>
                <w:szCs w:val="24"/>
              </w:rPr>
            </w:pPr>
            <w:r>
              <w:rPr>
                <w:rFonts w:hint="eastAsia" w:ascii="Times New Roman" w:hAnsi="Times New Roman" w:cs="Times New Roman"/>
                <w:b/>
                <w:bCs/>
                <w:kern w:val="2"/>
                <w:sz w:val="24"/>
                <w:szCs w:val="24"/>
              </w:rPr>
              <w:t>2、废水</w:t>
            </w:r>
          </w:p>
          <w:p>
            <w:pPr>
              <w:pStyle w:val="59"/>
              <w:spacing w:line="360" w:lineRule="auto"/>
              <w:ind w:firstLine="480" w:firstLineChars="200"/>
              <w:jc w:val="both"/>
              <w:rPr>
                <w:rFonts w:ascii="Times New Roman" w:hAnsi="Times New Roman" w:cs="Times New Roman"/>
                <w:b/>
                <w:bCs/>
                <w:kern w:val="2"/>
                <w:sz w:val="24"/>
                <w:szCs w:val="24"/>
              </w:rPr>
            </w:pPr>
            <w:r>
              <w:rPr>
                <w:rFonts w:ascii="Times New Roman" w:hAnsi="Times New Roman"/>
                <w:sz w:val="24"/>
                <w:szCs w:val="24"/>
              </w:rPr>
              <w:t>项目正常生产情况下，</w:t>
            </w:r>
            <w:r>
              <w:rPr>
                <w:rFonts w:hint="eastAsia" w:ascii="Times New Roman" w:hAnsi="Times New Roman"/>
                <w:sz w:val="24"/>
                <w:szCs w:val="24"/>
              </w:rPr>
              <w:t>生产废水和生活污水均无新增</w:t>
            </w:r>
            <w:r>
              <w:rPr>
                <w:rFonts w:ascii="Times New Roman" w:hAnsi="Times New Roman"/>
                <w:sz w:val="24"/>
                <w:szCs w:val="24"/>
              </w:rPr>
              <w:t>。全厂目前生产废水经处理后全部回用，不外排。</w:t>
            </w:r>
          </w:p>
          <w:p>
            <w:pPr>
              <w:pStyle w:val="59"/>
              <w:spacing w:line="360" w:lineRule="auto"/>
              <w:ind w:firstLine="482" w:firstLineChars="200"/>
              <w:jc w:val="both"/>
              <w:rPr>
                <w:rFonts w:ascii="Times New Roman" w:hAnsi="Times New Roman" w:cs="Times New Roman"/>
                <w:bCs/>
                <w:kern w:val="2"/>
                <w:sz w:val="24"/>
                <w:szCs w:val="24"/>
              </w:rPr>
            </w:pPr>
            <w:r>
              <w:rPr>
                <w:rFonts w:hint="eastAsia" w:ascii="Times New Roman" w:hAnsi="Times New Roman" w:cs="Times New Roman"/>
                <w:b/>
                <w:bCs/>
                <w:kern w:val="2"/>
                <w:sz w:val="24"/>
                <w:szCs w:val="24"/>
              </w:rPr>
              <w:t>3、固体废弃物：</w:t>
            </w:r>
            <w:r>
              <w:rPr>
                <w:rFonts w:hint="eastAsia" w:ascii="Times New Roman" w:hAnsi="Times New Roman" w:cs="Times New Roman"/>
                <w:bCs/>
                <w:kern w:val="2"/>
                <w:sz w:val="24"/>
                <w:szCs w:val="24"/>
              </w:rPr>
              <w:t>处置率100%。</w:t>
            </w:r>
          </w:p>
          <w:p>
            <w:pPr>
              <w:pStyle w:val="59"/>
              <w:spacing w:line="360" w:lineRule="auto"/>
              <w:ind w:firstLine="482" w:firstLineChars="200"/>
              <w:jc w:val="both"/>
              <w:rPr>
                <w:rFonts w:ascii="Times New Roman" w:hAnsi="Times New Roman" w:cs="Times New Roman"/>
                <w:b/>
                <w:bCs/>
                <w:kern w:val="2"/>
                <w:sz w:val="24"/>
                <w:szCs w:val="24"/>
              </w:rPr>
            </w:pPr>
          </w:p>
        </w:tc>
      </w:tr>
    </w:tbl>
    <w:p>
      <w:pPr>
        <w:pStyle w:val="18"/>
        <w:jc w:val="center"/>
        <w:outlineLvl w:val="0"/>
        <w:rPr>
          <w:rFonts w:ascii="Times New Roman" w:hAnsi="Times New Roman"/>
        </w:rPr>
        <w:sectPr>
          <w:footerReference r:id="rId4" w:type="default"/>
          <w:pgSz w:w="11907" w:h="16840"/>
          <w:pgMar w:top="1701" w:right="1531" w:bottom="2127" w:left="1531" w:header="851" w:footer="851" w:gutter="0"/>
          <w:cols w:space="720" w:num="1"/>
          <w:docGrid w:linePitch="312" w:charSpace="0"/>
        </w:sectPr>
      </w:pPr>
    </w:p>
    <w:p>
      <w:pPr>
        <w:pStyle w:val="18"/>
        <w:jc w:val="center"/>
        <w:outlineLvl w:val="0"/>
        <w:rPr>
          <w:rFonts w:ascii="Times New Roman" w:hAnsi="Times New Roman"/>
          <w:sz w:val="30"/>
          <w:szCs w:val="30"/>
        </w:rPr>
      </w:pPr>
      <w:bookmarkStart w:id="24" w:name="_Toc117775788"/>
      <w:bookmarkStart w:id="25" w:name="_Toc2036"/>
      <w:r>
        <w:rPr>
          <w:rFonts w:hint="eastAsia" w:ascii="Times New Roman" w:hAnsi="Times New Roman"/>
          <w:sz w:val="30"/>
          <w:szCs w:val="30"/>
        </w:rPr>
        <w:t>四、主要环境影响和保护措施</w:t>
      </w:r>
      <w:bookmarkEnd w:id="24"/>
      <w:bookmarkEnd w:id="25"/>
    </w:p>
    <w:tbl>
      <w:tblPr>
        <w:tblStyle w:val="22"/>
        <w:tblW w:w="924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7"/>
        <w:gridCol w:w="86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57" w:type="dxa"/>
            <w:tcBorders>
              <w:top w:val="single" w:color="auto" w:sz="8" w:space="0"/>
              <w:left w:val="single" w:color="auto" w:sz="8" w:space="0"/>
              <w:bottom w:val="single" w:color="auto" w:sz="4" w:space="0"/>
              <w:right w:val="single" w:color="auto" w:sz="4" w:space="0"/>
            </w:tcBorders>
            <w:tcMar>
              <w:top w:w="0" w:type="dxa"/>
              <w:left w:w="28" w:type="dxa"/>
              <w:bottom w:w="0" w:type="dxa"/>
              <w:right w:w="28" w:type="dxa"/>
            </w:tcMar>
            <w:vAlign w:val="center"/>
          </w:tcPr>
          <w:p>
            <w:pPr>
              <w:pStyle w:val="18"/>
              <w:adjustRightInd w:val="0"/>
              <w:snapToGrid w:val="0"/>
              <w:spacing w:before="0" w:beforeAutospacing="0" w:after="0" w:afterAutospacing="0"/>
              <w:jc w:val="center"/>
              <w:rPr>
                <w:rFonts w:ascii="Times New Roman" w:hAnsi="Times New Roman" w:cs="宋体"/>
                <w:kern w:val="2"/>
                <w:sz w:val="21"/>
                <w:szCs w:val="21"/>
              </w:rPr>
            </w:pPr>
            <w:r>
              <w:rPr>
                <w:rFonts w:hint="eastAsia" w:ascii="Times New Roman" w:hAnsi="Times New Roman" w:cs="宋体"/>
                <w:kern w:val="2"/>
                <w:sz w:val="21"/>
                <w:szCs w:val="21"/>
              </w:rPr>
              <w:t>施工</w:t>
            </w:r>
          </w:p>
          <w:p>
            <w:pPr>
              <w:pStyle w:val="18"/>
              <w:adjustRightInd w:val="0"/>
              <w:snapToGrid w:val="0"/>
              <w:spacing w:before="0" w:beforeAutospacing="0" w:after="0" w:afterAutospacing="0"/>
              <w:jc w:val="center"/>
              <w:rPr>
                <w:rFonts w:ascii="Times New Roman" w:hAnsi="Times New Roman" w:cs="宋体"/>
                <w:kern w:val="2"/>
                <w:sz w:val="21"/>
                <w:szCs w:val="21"/>
              </w:rPr>
            </w:pPr>
            <w:r>
              <w:rPr>
                <w:rFonts w:hint="eastAsia" w:ascii="Times New Roman" w:hAnsi="Times New Roman" w:cs="宋体"/>
                <w:kern w:val="2"/>
                <w:sz w:val="21"/>
                <w:szCs w:val="21"/>
              </w:rPr>
              <w:t>期环</w:t>
            </w:r>
          </w:p>
          <w:p>
            <w:pPr>
              <w:pStyle w:val="18"/>
              <w:adjustRightInd w:val="0"/>
              <w:snapToGrid w:val="0"/>
              <w:spacing w:before="0" w:beforeAutospacing="0" w:after="0" w:afterAutospacing="0"/>
              <w:jc w:val="center"/>
              <w:rPr>
                <w:rFonts w:ascii="Times New Roman" w:hAnsi="Times New Roman" w:cs="宋体"/>
                <w:kern w:val="2"/>
                <w:sz w:val="21"/>
                <w:szCs w:val="21"/>
              </w:rPr>
            </w:pPr>
            <w:r>
              <w:rPr>
                <w:rFonts w:hint="eastAsia" w:ascii="Times New Roman" w:hAnsi="Times New Roman" w:cs="宋体"/>
                <w:kern w:val="2"/>
                <w:sz w:val="21"/>
                <w:szCs w:val="21"/>
              </w:rPr>
              <w:t>境保</w:t>
            </w:r>
          </w:p>
          <w:p>
            <w:pPr>
              <w:pStyle w:val="18"/>
              <w:adjustRightInd w:val="0"/>
              <w:snapToGrid w:val="0"/>
              <w:spacing w:before="0" w:beforeAutospacing="0" w:after="0" w:afterAutospacing="0"/>
              <w:jc w:val="center"/>
              <w:rPr>
                <w:rFonts w:ascii="Times New Roman" w:hAnsi="Times New Roman" w:cs="宋体"/>
                <w:kern w:val="2"/>
                <w:sz w:val="21"/>
                <w:szCs w:val="21"/>
              </w:rPr>
            </w:pPr>
            <w:r>
              <w:rPr>
                <w:rFonts w:hint="eastAsia" w:ascii="Times New Roman" w:hAnsi="Times New Roman" w:cs="宋体"/>
                <w:kern w:val="2"/>
                <w:sz w:val="21"/>
                <w:szCs w:val="21"/>
              </w:rPr>
              <w:t>护措</w:t>
            </w:r>
          </w:p>
          <w:p>
            <w:pPr>
              <w:pStyle w:val="18"/>
              <w:adjustRightInd w:val="0"/>
              <w:snapToGrid w:val="0"/>
              <w:spacing w:before="0" w:beforeAutospacing="0" w:after="0" w:afterAutospacing="0"/>
              <w:jc w:val="center"/>
              <w:rPr>
                <w:rFonts w:ascii="Times New Roman" w:hAnsi="Times New Roman" w:cs="宋体"/>
                <w:bCs/>
                <w:kern w:val="2"/>
                <w:sz w:val="21"/>
                <w:szCs w:val="21"/>
              </w:rPr>
            </w:pPr>
            <w:r>
              <w:rPr>
                <w:rFonts w:hint="eastAsia" w:ascii="Times New Roman" w:hAnsi="Times New Roman" w:cs="宋体"/>
                <w:kern w:val="2"/>
                <w:sz w:val="21"/>
                <w:szCs w:val="21"/>
              </w:rPr>
              <w:t>施</w:t>
            </w:r>
          </w:p>
        </w:tc>
        <w:tc>
          <w:tcPr>
            <w:tcW w:w="8685" w:type="dxa"/>
            <w:tcBorders>
              <w:top w:val="single" w:color="auto" w:sz="8" w:space="0"/>
              <w:left w:val="single" w:color="auto" w:sz="4" w:space="0"/>
              <w:bottom w:val="single" w:color="auto" w:sz="4" w:space="0"/>
              <w:right w:val="single" w:color="auto" w:sz="8" w:space="0"/>
            </w:tcBorders>
          </w:tcPr>
          <w:p>
            <w:pPr>
              <w:pStyle w:val="59"/>
              <w:spacing w:line="360" w:lineRule="auto"/>
              <w:ind w:firstLine="440" w:firstLineChars="200"/>
              <w:jc w:val="both"/>
              <w:rPr>
                <w:rFonts w:ascii="Times New Roman" w:hAnsi="Times New Roman"/>
                <w:sz w:val="24"/>
              </w:rPr>
            </w:pPr>
            <w:r>
              <w:rPr>
                <w:rFonts w:hint="eastAsia" w:ascii="Times New Roman" w:hAnsi="Times New Roman"/>
                <w:bCs/>
                <w:spacing w:val="-10"/>
                <w:sz w:val="24"/>
                <w:szCs w:val="24"/>
              </w:rPr>
              <w:t>施工期为2</w:t>
            </w:r>
            <w:r>
              <w:rPr>
                <w:rFonts w:ascii="Times New Roman" w:hAnsi="Times New Roman"/>
                <w:bCs/>
                <w:spacing w:val="-10"/>
                <w:sz w:val="24"/>
                <w:szCs w:val="24"/>
              </w:rPr>
              <w:t>023</w:t>
            </w:r>
            <w:r>
              <w:rPr>
                <w:rFonts w:hint="eastAsia" w:ascii="Times New Roman" w:hAnsi="Times New Roman"/>
                <w:bCs/>
                <w:spacing w:val="-10"/>
                <w:sz w:val="24"/>
                <w:szCs w:val="24"/>
              </w:rPr>
              <w:t>年2月-</w:t>
            </w:r>
            <w:r>
              <w:rPr>
                <w:rFonts w:ascii="Times New Roman" w:hAnsi="Times New Roman"/>
                <w:bCs/>
                <w:spacing w:val="-10"/>
                <w:sz w:val="24"/>
                <w:szCs w:val="24"/>
              </w:rPr>
              <w:t>2023</w:t>
            </w:r>
            <w:r>
              <w:rPr>
                <w:rFonts w:hint="eastAsia" w:ascii="Times New Roman" w:hAnsi="Times New Roman"/>
                <w:bCs/>
                <w:spacing w:val="-10"/>
                <w:sz w:val="24"/>
                <w:szCs w:val="24"/>
              </w:rPr>
              <w:t>年6月，共计</w:t>
            </w:r>
            <w:r>
              <w:rPr>
                <w:rFonts w:ascii="Times New Roman" w:hAnsi="Times New Roman"/>
                <w:bCs/>
                <w:spacing w:val="-10"/>
                <w:sz w:val="24"/>
                <w:szCs w:val="24"/>
              </w:rPr>
              <w:t>5</w:t>
            </w:r>
            <w:r>
              <w:rPr>
                <w:rFonts w:hint="eastAsia" w:ascii="Times New Roman" w:hAnsi="Times New Roman"/>
                <w:bCs/>
                <w:spacing w:val="-10"/>
                <w:sz w:val="24"/>
                <w:szCs w:val="24"/>
              </w:rPr>
              <w:t>个月，主要施工内容为在</w:t>
            </w:r>
            <w:r>
              <w:rPr>
                <w:rFonts w:hint="eastAsia" w:ascii="Times New Roman" w:hAnsi="Times New Roman"/>
                <w:sz w:val="24"/>
              </w:rPr>
              <w:t>原有燃煤热风炉顶部新增一套天然气热风炉，不新增建设用地。</w:t>
            </w:r>
          </w:p>
          <w:p>
            <w:pPr>
              <w:pStyle w:val="59"/>
              <w:spacing w:line="360" w:lineRule="auto"/>
              <w:ind w:firstLine="482" w:firstLineChars="200"/>
              <w:jc w:val="both"/>
              <w:rPr>
                <w:rFonts w:ascii="Times New Roman" w:hAnsi="Times New Roman"/>
                <w:b/>
                <w:sz w:val="24"/>
              </w:rPr>
            </w:pPr>
            <w:r>
              <w:rPr>
                <w:rFonts w:ascii="Times New Roman" w:hAnsi="Times New Roman"/>
                <w:b/>
                <w:sz w:val="24"/>
              </w:rPr>
              <w:t>1</w:t>
            </w:r>
            <w:r>
              <w:rPr>
                <w:rFonts w:hint="eastAsia" w:ascii="Times New Roman" w:hAnsi="Times New Roman"/>
                <w:b/>
                <w:sz w:val="24"/>
              </w:rPr>
              <w:t>、废气</w:t>
            </w:r>
          </w:p>
          <w:p>
            <w:pPr>
              <w:pStyle w:val="59"/>
              <w:spacing w:line="360" w:lineRule="auto"/>
              <w:ind w:firstLine="480" w:firstLineChars="200"/>
              <w:jc w:val="both"/>
              <w:rPr>
                <w:rFonts w:ascii="Times New Roman" w:hAnsi="Times New Roman"/>
                <w:sz w:val="24"/>
              </w:rPr>
            </w:pPr>
            <w:r>
              <w:rPr>
                <w:rFonts w:hint="eastAsia" w:ascii="Times New Roman" w:hAnsi="Times New Roman"/>
                <w:sz w:val="24"/>
              </w:rPr>
              <w:t>本次项目无需进行设备等拆除工作，仅对现有热风炉顶部增设一套天然气燃烧器及控制系统，并配置天然气管道。本次项目施工期主要进行天然气管网铺设、设备安装等，在管沟开挖、回填土方、路面修复等工序主要产生扬尘、噪声。项目施工为短期行为，产生的环境空气影响随着施工期的结束消失。</w:t>
            </w:r>
          </w:p>
          <w:p>
            <w:pPr>
              <w:pStyle w:val="59"/>
              <w:spacing w:line="360" w:lineRule="auto"/>
              <w:ind w:firstLine="480" w:firstLineChars="200"/>
              <w:jc w:val="both"/>
              <w:rPr>
                <w:rFonts w:ascii="Times New Roman" w:hAnsi="Times New Roman"/>
                <w:sz w:val="24"/>
              </w:rPr>
            </w:pPr>
            <w:r>
              <w:rPr>
                <w:rFonts w:hint="eastAsia" w:ascii="Times New Roman" w:hAnsi="Times New Roman"/>
                <w:sz w:val="24"/>
              </w:rPr>
              <w:t>根据昆明市大气污染防治条例，制定相应的大气污染防治措施：</w:t>
            </w:r>
          </w:p>
          <w:p>
            <w:pPr>
              <w:pStyle w:val="59"/>
              <w:spacing w:line="360" w:lineRule="auto"/>
              <w:ind w:firstLine="480" w:firstLineChars="200"/>
              <w:jc w:val="both"/>
              <w:rPr>
                <w:rFonts w:ascii="Times New Roman" w:hAnsi="Times New Roman"/>
                <w:sz w:val="24"/>
              </w:rPr>
            </w:pPr>
            <w:r>
              <w:rPr>
                <w:rFonts w:hint="eastAsia" w:ascii="Times New Roman" w:hAnsi="Times New Roman"/>
                <w:sz w:val="24"/>
              </w:rPr>
              <w:t>（</w:t>
            </w:r>
            <w:r>
              <w:rPr>
                <w:rFonts w:ascii="Times New Roman" w:hAnsi="Times New Roman"/>
                <w:sz w:val="24"/>
              </w:rPr>
              <w:t>1</w:t>
            </w:r>
            <w:r>
              <w:rPr>
                <w:rFonts w:hint="eastAsia" w:ascii="Times New Roman" w:hAnsi="Times New Roman"/>
                <w:sz w:val="24"/>
              </w:rPr>
              <w:t>）要求施工单位文明施工，定期对地面洒水，湿法作业。</w:t>
            </w:r>
          </w:p>
          <w:p>
            <w:pPr>
              <w:pStyle w:val="59"/>
              <w:spacing w:line="360" w:lineRule="auto"/>
              <w:ind w:firstLine="480" w:firstLineChars="200"/>
              <w:jc w:val="both"/>
              <w:rPr>
                <w:rFonts w:ascii="Times New Roman" w:hAnsi="Times New Roman"/>
                <w:sz w:val="24"/>
              </w:rPr>
            </w:pPr>
            <w:r>
              <w:rPr>
                <w:rFonts w:hint="eastAsia" w:ascii="Times New Roman" w:hAnsi="Times New Roman"/>
                <w:sz w:val="24"/>
              </w:rPr>
              <w:t>（</w:t>
            </w:r>
            <w:r>
              <w:rPr>
                <w:rFonts w:ascii="Times New Roman" w:hAnsi="Times New Roman"/>
                <w:sz w:val="24"/>
              </w:rPr>
              <w:t>2</w:t>
            </w:r>
            <w:r>
              <w:rPr>
                <w:rFonts w:hint="eastAsia" w:ascii="Times New Roman" w:hAnsi="Times New Roman"/>
                <w:sz w:val="24"/>
              </w:rPr>
              <w:t>）散装材料应采用覆盖篷布严密遮盖。</w:t>
            </w:r>
          </w:p>
          <w:p>
            <w:pPr>
              <w:pStyle w:val="59"/>
              <w:spacing w:line="360" w:lineRule="auto"/>
              <w:ind w:firstLine="480" w:firstLineChars="200"/>
              <w:jc w:val="both"/>
              <w:rPr>
                <w:rFonts w:ascii="Times New Roman" w:hAnsi="Times New Roman"/>
                <w:sz w:val="24"/>
              </w:rPr>
            </w:pPr>
            <w:r>
              <w:rPr>
                <w:rFonts w:hint="eastAsia" w:ascii="Times New Roman" w:hAnsi="Times New Roman"/>
                <w:sz w:val="24"/>
              </w:rPr>
              <w:t>（</w:t>
            </w:r>
            <w:r>
              <w:rPr>
                <w:rFonts w:ascii="Times New Roman" w:hAnsi="Times New Roman"/>
                <w:sz w:val="24"/>
              </w:rPr>
              <w:t>3</w:t>
            </w:r>
            <w:r>
              <w:rPr>
                <w:rFonts w:hint="eastAsia" w:ascii="Times New Roman" w:hAnsi="Times New Roman"/>
                <w:sz w:val="24"/>
              </w:rPr>
              <w:t>）施工过程中产生的装修垃圾，严禁肆意倾倒，造成扬尘等污染大气环境，必须运送至处置建筑垃圾的场所。</w:t>
            </w:r>
          </w:p>
          <w:p>
            <w:pPr>
              <w:pStyle w:val="18"/>
              <w:widowControl w:val="0"/>
              <w:adjustRightInd w:val="0"/>
              <w:snapToGrid w:val="0"/>
              <w:spacing w:before="0" w:beforeAutospacing="0" w:after="0" w:afterAutospacing="0" w:line="360" w:lineRule="auto"/>
              <w:ind w:firstLine="480" w:firstLineChars="200"/>
              <w:rPr>
                <w:rFonts w:ascii="Times New Roman" w:hAnsi="Times New Roman" w:cs="宋体"/>
                <w:szCs w:val="24"/>
              </w:rPr>
            </w:pPr>
            <w:r>
              <w:rPr>
                <w:rFonts w:hint="eastAsia" w:ascii="Times New Roman" w:hAnsi="Times New Roman" w:cs="宋体"/>
                <w:szCs w:val="24"/>
              </w:rPr>
              <w:t>（4）道路挖掘施工应该采取洒水等有效措施防治扬尘污染；道路挖掘施工完成后应当及时恢复路面。</w:t>
            </w:r>
          </w:p>
          <w:p>
            <w:pPr>
              <w:pStyle w:val="18"/>
              <w:widowControl w:val="0"/>
              <w:adjustRightInd w:val="0"/>
              <w:snapToGrid w:val="0"/>
              <w:spacing w:before="0" w:beforeAutospacing="0" w:after="0" w:afterAutospacing="0" w:line="360" w:lineRule="auto"/>
              <w:ind w:firstLine="480" w:firstLineChars="200"/>
              <w:rPr>
                <w:rFonts w:ascii="Times New Roman" w:hAnsi="Times New Roman" w:cs="宋体"/>
                <w:szCs w:val="24"/>
              </w:rPr>
            </w:pPr>
            <w:r>
              <w:rPr>
                <w:rFonts w:hint="eastAsia" w:ascii="Times New Roman" w:hAnsi="Times New Roman" w:cs="宋体"/>
                <w:szCs w:val="24"/>
              </w:rPr>
              <w:t>（5）施工车辆应当采取除泥、冲洗等除尘措施后方可驶出工地。</w:t>
            </w:r>
          </w:p>
          <w:p>
            <w:pPr>
              <w:pStyle w:val="18"/>
              <w:widowControl w:val="0"/>
              <w:adjustRightInd w:val="0"/>
              <w:snapToGrid w:val="0"/>
              <w:spacing w:before="0" w:beforeAutospacing="0" w:after="0" w:afterAutospacing="0" w:line="360" w:lineRule="auto"/>
              <w:ind w:firstLine="480" w:firstLineChars="200"/>
              <w:rPr>
                <w:rFonts w:ascii="Times New Roman" w:hAnsi="Times New Roman" w:cs="宋体"/>
                <w:szCs w:val="24"/>
              </w:rPr>
            </w:pPr>
            <w:r>
              <w:rPr>
                <w:rFonts w:hint="eastAsia" w:ascii="Times New Roman" w:hAnsi="Times New Roman" w:cs="宋体"/>
                <w:szCs w:val="24"/>
              </w:rPr>
              <w:t>根据施工工地六个百分百措施，施工区域</w:t>
            </w:r>
            <w:r>
              <w:rPr>
                <w:rFonts w:ascii="Times New Roman" w:hAnsi="Times New Roman" w:cs="宋体"/>
                <w:szCs w:val="24"/>
              </w:rPr>
              <w:t>100%</w:t>
            </w:r>
            <w:r>
              <w:rPr>
                <w:rFonts w:hint="eastAsia" w:ascii="Times New Roman" w:hAnsi="Times New Roman" w:cs="宋体"/>
                <w:szCs w:val="24"/>
              </w:rPr>
              <w:t>标准围挡、裸露土地</w:t>
            </w:r>
            <w:r>
              <w:rPr>
                <w:rFonts w:ascii="Times New Roman" w:hAnsi="Times New Roman" w:cs="宋体"/>
                <w:szCs w:val="24"/>
              </w:rPr>
              <w:t>100%</w:t>
            </w:r>
            <w:r>
              <w:rPr>
                <w:rFonts w:hint="eastAsia" w:ascii="Times New Roman" w:hAnsi="Times New Roman" w:cs="宋体"/>
                <w:szCs w:val="24"/>
              </w:rPr>
              <w:t>覆盖、施工道路</w:t>
            </w:r>
            <w:r>
              <w:rPr>
                <w:rFonts w:ascii="Times New Roman" w:hAnsi="Times New Roman" w:cs="宋体"/>
                <w:szCs w:val="24"/>
              </w:rPr>
              <w:t>100%</w:t>
            </w:r>
            <w:r>
              <w:rPr>
                <w:rFonts w:hint="eastAsia" w:ascii="Times New Roman" w:hAnsi="Times New Roman" w:cs="宋体"/>
                <w:szCs w:val="24"/>
              </w:rPr>
              <w:t>硬化、渣土运输车辆</w:t>
            </w:r>
            <w:r>
              <w:rPr>
                <w:rFonts w:ascii="Times New Roman" w:hAnsi="Times New Roman" w:cs="宋体"/>
                <w:szCs w:val="24"/>
              </w:rPr>
              <w:t>100%</w:t>
            </w:r>
            <w:r>
              <w:rPr>
                <w:rFonts w:hint="eastAsia" w:ascii="Times New Roman" w:hAnsi="Times New Roman" w:cs="宋体"/>
                <w:szCs w:val="24"/>
              </w:rPr>
              <w:t>、施工现场出入车辆</w:t>
            </w:r>
            <w:r>
              <w:rPr>
                <w:rFonts w:ascii="Times New Roman" w:hAnsi="Times New Roman" w:cs="宋体"/>
                <w:szCs w:val="24"/>
              </w:rPr>
              <w:t>100%</w:t>
            </w:r>
            <w:r>
              <w:rPr>
                <w:rFonts w:hint="eastAsia" w:ascii="Times New Roman" w:hAnsi="Times New Roman" w:cs="宋体"/>
                <w:szCs w:val="24"/>
              </w:rPr>
              <w:t>冲洗清洁、建筑物拆除</w:t>
            </w:r>
            <w:r>
              <w:rPr>
                <w:rFonts w:ascii="Times New Roman" w:hAnsi="Times New Roman" w:cs="宋体"/>
                <w:szCs w:val="24"/>
              </w:rPr>
              <w:t>100%</w:t>
            </w:r>
            <w:r>
              <w:rPr>
                <w:rFonts w:hint="eastAsia" w:ascii="Times New Roman" w:hAnsi="Times New Roman" w:cs="宋体"/>
                <w:szCs w:val="24"/>
              </w:rPr>
              <w:t>湿法作业。</w:t>
            </w:r>
          </w:p>
          <w:p>
            <w:pPr>
              <w:pStyle w:val="59"/>
              <w:spacing w:line="360" w:lineRule="auto"/>
              <w:ind w:firstLine="442" w:firstLineChars="200"/>
              <w:jc w:val="both"/>
              <w:rPr>
                <w:rFonts w:ascii="Times New Roman" w:hAnsi="Times New Roman"/>
                <w:b/>
                <w:bCs/>
                <w:spacing w:val="-10"/>
                <w:sz w:val="24"/>
                <w:szCs w:val="24"/>
              </w:rPr>
            </w:pPr>
            <w:r>
              <w:rPr>
                <w:rFonts w:hint="eastAsia" w:ascii="Times New Roman" w:hAnsi="Times New Roman"/>
                <w:b/>
                <w:bCs/>
                <w:spacing w:val="-10"/>
                <w:sz w:val="24"/>
                <w:szCs w:val="24"/>
              </w:rPr>
              <w:t>2、废水</w:t>
            </w:r>
          </w:p>
          <w:p>
            <w:pPr>
              <w:spacing w:line="360" w:lineRule="auto"/>
              <w:ind w:firstLine="480" w:firstLineChars="200"/>
              <w:rPr>
                <w:kern w:val="18"/>
                <w:sz w:val="24"/>
              </w:rPr>
            </w:pPr>
            <w:r>
              <w:rPr>
                <w:kern w:val="18"/>
                <w:sz w:val="24"/>
              </w:rPr>
              <w:t>施工期废水污染源主要为施工队伍的生活污水。</w:t>
            </w:r>
          </w:p>
          <w:p>
            <w:pPr>
              <w:spacing w:line="360" w:lineRule="auto"/>
              <w:ind w:firstLine="480" w:firstLineChars="200"/>
              <w:jc w:val="left"/>
              <w:rPr>
                <w:sz w:val="24"/>
              </w:rPr>
            </w:pPr>
            <w:r>
              <w:rPr>
                <w:kern w:val="18"/>
                <w:sz w:val="24"/>
              </w:rPr>
              <w:t>施工废水主要为</w:t>
            </w:r>
            <w:r>
              <w:rPr>
                <w:sz w:val="24"/>
              </w:rPr>
              <w:t>现场施工人员产生的生活污水，由于本项目工程量不大，施工人员不在现场食宿，施工人员施工过程产生的少量生活污水依托厂区现有生活污水处理设施处理后回用，不外排。因此施工期废水不会对周边地表水</w:t>
            </w:r>
            <w:r>
              <w:rPr>
                <w:rFonts w:hint="eastAsia"/>
                <w:sz w:val="24"/>
              </w:rPr>
              <w:t>和地下水</w:t>
            </w:r>
            <w:r>
              <w:rPr>
                <w:sz w:val="24"/>
              </w:rPr>
              <w:t>环境影响造成影响。</w:t>
            </w:r>
          </w:p>
          <w:p>
            <w:pPr>
              <w:pStyle w:val="59"/>
              <w:spacing w:line="360" w:lineRule="auto"/>
              <w:ind w:firstLine="442" w:firstLineChars="200"/>
              <w:jc w:val="both"/>
              <w:rPr>
                <w:rFonts w:ascii="Times New Roman" w:hAnsi="Times New Roman"/>
                <w:bCs/>
                <w:spacing w:val="-10"/>
                <w:sz w:val="24"/>
                <w:szCs w:val="24"/>
              </w:rPr>
            </w:pPr>
            <w:r>
              <w:rPr>
                <w:rFonts w:hint="eastAsia" w:ascii="Times New Roman" w:hAnsi="Times New Roman"/>
                <w:b/>
                <w:bCs/>
                <w:spacing w:val="-10"/>
                <w:sz w:val="24"/>
                <w:szCs w:val="24"/>
              </w:rPr>
              <w:t>3、噪声</w:t>
            </w:r>
          </w:p>
          <w:p>
            <w:pPr>
              <w:pStyle w:val="18"/>
              <w:widowControl w:val="0"/>
              <w:adjustRightInd w:val="0"/>
              <w:snapToGrid w:val="0"/>
              <w:spacing w:before="0" w:beforeAutospacing="0" w:after="0" w:afterAutospacing="0" w:line="360" w:lineRule="auto"/>
              <w:ind w:firstLine="480" w:firstLineChars="200"/>
              <w:rPr>
                <w:rFonts w:ascii="Times New Roman" w:hAnsi="Times New Roman"/>
              </w:rPr>
            </w:pPr>
            <w:r>
              <w:rPr>
                <w:rFonts w:hint="eastAsia" w:ascii="Times New Roman" w:hAnsi="Times New Roman" w:cs="宋体"/>
                <w:szCs w:val="24"/>
              </w:rPr>
              <w:t>电钻、电锯、电焊机、挖掘机、设备安装等各类机械产生的噪声，噪声源强约为</w:t>
            </w:r>
            <w:r>
              <w:rPr>
                <w:rFonts w:hint="eastAsia" w:ascii="Times New Roman" w:hAnsi="Times New Roman"/>
                <w:szCs w:val="24"/>
              </w:rPr>
              <w:t>85</w:t>
            </w:r>
            <w:r>
              <w:rPr>
                <w:rFonts w:hint="eastAsia" w:ascii="Times New Roman" w:hAnsi="Times New Roman" w:cs="宋体"/>
                <w:szCs w:val="24"/>
              </w:rPr>
              <w:t>～</w:t>
            </w:r>
            <w:r>
              <w:rPr>
                <w:rFonts w:hint="eastAsia" w:ascii="Times New Roman" w:hAnsi="Times New Roman"/>
                <w:szCs w:val="24"/>
              </w:rPr>
              <w:t>100dB(A)</w:t>
            </w:r>
            <w:r>
              <w:rPr>
                <w:rFonts w:hint="eastAsia" w:ascii="Times New Roman" w:hAnsi="Times New Roman" w:cs="宋体"/>
                <w:szCs w:val="24"/>
              </w:rPr>
              <w:t>。且项目区周围无噪声敏感点，项目施工噪声不会对噪声敏感点造成影响。因此，为满足施工噪声在厂界达标排放，项目在施工期间，应采取以下措施，减缓施工噪声影响，具体措施为：</w:t>
            </w:r>
          </w:p>
          <w:p>
            <w:pPr>
              <w:pStyle w:val="18"/>
              <w:widowControl w:val="0"/>
              <w:adjustRightInd w:val="0"/>
              <w:snapToGrid w:val="0"/>
              <w:spacing w:before="0" w:beforeAutospacing="0" w:after="0" w:afterAutospacing="0" w:line="360" w:lineRule="auto"/>
              <w:ind w:firstLine="480" w:firstLineChars="200"/>
              <w:rPr>
                <w:rFonts w:ascii="Times New Roman" w:hAnsi="Times New Roman"/>
              </w:rPr>
            </w:pPr>
            <w:r>
              <w:rPr>
                <w:rFonts w:hint="eastAsia" w:ascii="Times New Roman" w:hAnsi="Times New Roman" w:cs="宋体"/>
                <w:szCs w:val="24"/>
              </w:rPr>
              <w:t>（</w:t>
            </w:r>
            <w:r>
              <w:rPr>
                <w:rFonts w:ascii="Times New Roman" w:hAnsi="Times New Roman"/>
                <w:szCs w:val="24"/>
              </w:rPr>
              <w:t>1</w:t>
            </w:r>
            <w:r>
              <w:rPr>
                <w:rFonts w:hint="eastAsia" w:ascii="Times New Roman" w:hAnsi="Times New Roman" w:cs="宋体"/>
                <w:szCs w:val="24"/>
              </w:rPr>
              <w:t>）施工期严格贯彻执行昆明市人民政府令第</w:t>
            </w:r>
            <w:r>
              <w:rPr>
                <w:rFonts w:ascii="Times New Roman" w:hAnsi="Times New Roman"/>
                <w:szCs w:val="24"/>
              </w:rPr>
              <w:t>72</w:t>
            </w:r>
            <w:r>
              <w:rPr>
                <w:rFonts w:hint="eastAsia" w:ascii="Times New Roman" w:hAnsi="Times New Roman" w:cs="宋体"/>
                <w:szCs w:val="24"/>
              </w:rPr>
              <w:t>号《昆明市环境噪声污染防治管理办法》的有关要求：</w:t>
            </w:r>
          </w:p>
          <w:p>
            <w:pPr>
              <w:pStyle w:val="18"/>
              <w:widowControl w:val="0"/>
              <w:adjustRightInd w:val="0"/>
              <w:snapToGrid w:val="0"/>
              <w:spacing w:before="0" w:beforeAutospacing="0" w:after="0" w:afterAutospacing="0" w:line="360" w:lineRule="auto"/>
              <w:ind w:firstLine="480" w:firstLineChars="200"/>
              <w:rPr>
                <w:rFonts w:ascii="Times New Roman" w:hAnsi="Times New Roman"/>
              </w:rPr>
            </w:pPr>
            <w:r>
              <w:rPr>
                <w:rFonts w:hint="eastAsia" w:ascii="Times New Roman" w:hAnsi="Times New Roman" w:cs="宋体"/>
                <w:szCs w:val="24"/>
              </w:rPr>
              <w:t>第十六条建筑施工单位应当采取有效措施，降低施工噪声污染，所排放的建筑施工噪声，应当符合国家规定的建筑施工场界噪声限值。</w:t>
            </w:r>
          </w:p>
          <w:p>
            <w:pPr>
              <w:pStyle w:val="18"/>
              <w:widowControl w:val="0"/>
              <w:adjustRightInd w:val="0"/>
              <w:snapToGrid w:val="0"/>
              <w:spacing w:before="0" w:beforeAutospacing="0" w:after="0" w:afterAutospacing="0" w:line="360" w:lineRule="auto"/>
              <w:ind w:firstLine="480" w:firstLineChars="200"/>
              <w:rPr>
                <w:rFonts w:ascii="Times New Roman" w:hAnsi="Times New Roman"/>
              </w:rPr>
            </w:pPr>
            <w:r>
              <w:rPr>
                <w:rFonts w:hint="eastAsia" w:ascii="Times New Roman" w:hAnsi="Times New Roman" w:cs="宋体"/>
                <w:szCs w:val="24"/>
              </w:rPr>
              <w:t>第十八条主城建成区内，禁止在</w:t>
            </w:r>
            <w:r>
              <w:rPr>
                <w:rFonts w:ascii="Times New Roman" w:hAnsi="Times New Roman"/>
                <w:szCs w:val="24"/>
              </w:rPr>
              <w:t>12</w:t>
            </w:r>
            <w:r>
              <w:rPr>
                <w:rFonts w:hint="eastAsia" w:ascii="Times New Roman" w:hAnsi="Times New Roman" w:cs="宋体"/>
                <w:szCs w:val="24"/>
              </w:rPr>
              <w:t>时至</w:t>
            </w:r>
            <w:r>
              <w:rPr>
                <w:rFonts w:ascii="Times New Roman" w:hAnsi="Times New Roman"/>
                <w:szCs w:val="24"/>
              </w:rPr>
              <w:t>14</w:t>
            </w:r>
            <w:r>
              <w:rPr>
                <w:rFonts w:hint="eastAsia" w:ascii="Times New Roman" w:hAnsi="Times New Roman" w:cs="宋体"/>
                <w:szCs w:val="24"/>
              </w:rPr>
              <w:t>时、</w:t>
            </w:r>
            <w:r>
              <w:rPr>
                <w:rFonts w:ascii="Times New Roman" w:hAnsi="Times New Roman"/>
                <w:szCs w:val="24"/>
              </w:rPr>
              <w:t>22</w:t>
            </w:r>
            <w:r>
              <w:rPr>
                <w:rFonts w:hint="eastAsia" w:ascii="Times New Roman" w:hAnsi="Times New Roman" w:cs="宋体"/>
                <w:szCs w:val="24"/>
              </w:rPr>
              <w:t>时至次日</w:t>
            </w:r>
            <w:r>
              <w:rPr>
                <w:rFonts w:ascii="Times New Roman" w:hAnsi="Times New Roman"/>
                <w:szCs w:val="24"/>
              </w:rPr>
              <w:t>6</w:t>
            </w:r>
            <w:r>
              <w:rPr>
                <w:rFonts w:hint="eastAsia" w:ascii="Times New Roman" w:hAnsi="Times New Roman" w:cs="宋体"/>
                <w:szCs w:val="24"/>
              </w:rPr>
              <w:t>时进行建筑施工作业，但抢修、抢险作业和因混凝土浇灌、桩基冲孔、钻孔桩成型等生产工艺需要连续作业的除外。</w:t>
            </w:r>
          </w:p>
          <w:p>
            <w:pPr>
              <w:pStyle w:val="18"/>
              <w:widowControl w:val="0"/>
              <w:adjustRightInd w:val="0"/>
              <w:snapToGrid w:val="0"/>
              <w:spacing w:before="0" w:beforeAutospacing="0" w:after="0" w:afterAutospacing="0" w:line="360" w:lineRule="auto"/>
              <w:ind w:firstLine="480" w:firstLineChars="200"/>
              <w:rPr>
                <w:rFonts w:ascii="Times New Roman" w:hAnsi="Times New Roman"/>
              </w:rPr>
            </w:pPr>
            <w:r>
              <w:rPr>
                <w:rFonts w:hint="eastAsia" w:ascii="Times New Roman" w:hAnsi="Times New Roman" w:cs="宋体"/>
                <w:szCs w:val="24"/>
              </w:rPr>
              <w:t>（</w:t>
            </w:r>
            <w:r>
              <w:rPr>
                <w:rFonts w:ascii="Times New Roman" w:hAnsi="Times New Roman"/>
                <w:szCs w:val="24"/>
              </w:rPr>
              <w:t>2</w:t>
            </w:r>
            <w:r>
              <w:rPr>
                <w:rFonts w:hint="eastAsia" w:ascii="Times New Roman" w:hAnsi="Times New Roman" w:cs="宋体"/>
                <w:szCs w:val="24"/>
              </w:rPr>
              <w:t>）项目装修期间还要采取必要隔声、减振等措施，选用优质低噪声设备，降低施工噪声对周围环境的影响。</w:t>
            </w:r>
          </w:p>
          <w:p>
            <w:pPr>
              <w:pStyle w:val="18"/>
              <w:widowControl w:val="0"/>
              <w:adjustRightInd w:val="0"/>
              <w:snapToGrid w:val="0"/>
              <w:spacing w:before="0" w:beforeAutospacing="0" w:after="0" w:afterAutospacing="0" w:line="360" w:lineRule="auto"/>
              <w:ind w:firstLine="480" w:firstLineChars="200"/>
              <w:rPr>
                <w:rFonts w:ascii="Times New Roman" w:hAnsi="Times New Roman"/>
              </w:rPr>
            </w:pPr>
            <w:r>
              <w:rPr>
                <w:rFonts w:hint="eastAsia" w:ascii="Times New Roman" w:hAnsi="Times New Roman" w:cs="宋体"/>
                <w:szCs w:val="24"/>
              </w:rPr>
              <w:t>（</w:t>
            </w:r>
            <w:r>
              <w:rPr>
                <w:rFonts w:ascii="Times New Roman" w:hAnsi="Times New Roman"/>
                <w:szCs w:val="24"/>
              </w:rPr>
              <w:t>3</w:t>
            </w:r>
            <w:r>
              <w:rPr>
                <w:rFonts w:hint="eastAsia" w:ascii="Times New Roman" w:hAnsi="Times New Roman" w:cs="宋体"/>
                <w:szCs w:val="24"/>
              </w:rPr>
              <w:t>）加强对施工人员的管理，做到文明施工，避免人为噪声的产生。另外，项目施工期间要与施工方签订环境管理责任书，具体落实施工期噪声防治措施，减轻对环境影响。</w:t>
            </w:r>
          </w:p>
          <w:p>
            <w:pPr>
              <w:pStyle w:val="59"/>
              <w:spacing w:line="360" w:lineRule="auto"/>
              <w:ind w:firstLine="480" w:firstLineChars="200"/>
              <w:jc w:val="both"/>
              <w:rPr>
                <w:rFonts w:ascii="Times New Roman" w:hAnsi="Times New Roman"/>
                <w:sz w:val="24"/>
                <w:szCs w:val="24"/>
              </w:rPr>
            </w:pPr>
            <w:r>
              <w:rPr>
                <w:rFonts w:hint="eastAsia" w:ascii="Times New Roman" w:hAnsi="Times New Roman"/>
                <w:sz w:val="24"/>
                <w:szCs w:val="24"/>
              </w:rPr>
              <w:t>采取以上治理措施可确保项目装修噪声达</w:t>
            </w:r>
            <w:r>
              <w:rPr>
                <w:rFonts w:ascii="Times New Roman" w:hAnsi="Times New Roman"/>
                <w:sz w:val="24"/>
                <w:szCs w:val="24"/>
              </w:rPr>
              <w:t>GB12523-2011</w:t>
            </w:r>
            <w:r>
              <w:rPr>
                <w:rFonts w:hint="eastAsia" w:ascii="Times New Roman" w:hAnsi="Times New Roman"/>
                <w:sz w:val="24"/>
                <w:szCs w:val="24"/>
              </w:rPr>
              <w:t>《建筑施工场界环境噪声排放标准》要求。施工噪声的影响是短暂的，施工结束后即可消除。</w:t>
            </w:r>
          </w:p>
          <w:p>
            <w:pPr>
              <w:pStyle w:val="59"/>
              <w:spacing w:line="360" w:lineRule="auto"/>
              <w:ind w:firstLine="442" w:firstLineChars="200"/>
              <w:jc w:val="both"/>
              <w:rPr>
                <w:rFonts w:ascii="Times New Roman" w:hAnsi="Times New Roman"/>
                <w:b/>
                <w:bCs/>
                <w:spacing w:val="-10"/>
                <w:sz w:val="24"/>
                <w:szCs w:val="24"/>
              </w:rPr>
            </w:pPr>
            <w:r>
              <w:rPr>
                <w:rFonts w:hint="eastAsia" w:ascii="Times New Roman" w:hAnsi="Times New Roman"/>
                <w:b/>
                <w:bCs/>
                <w:spacing w:val="-10"/>
                <w:sz w:val="24"/>
                <w:szCs w:val="24"/>
              </w:rPr>
              <w:t>4、固体废物</w:t>
            </w:r>
          </w:p>
          <w:p>
            <w:pPr>
              <w:pStyle w:val="59"/>
              <w:spacing w:line="360" w:lineRule="auto"/>
              <w:ind w:firstLine="480" w:firstLineChars="200"/>
              <w:jc w:val="both"/>
              <w:rPr>
                <w:rFonts w:ascii="Times New Roman" w:hAnsi="Times New Roman"/>
                <w:sz w:val="24"/>
                <w:szCs w:val="24"/>
              </w:rPr>
            </w:pPr>
            <w:r>
              <w:rPr>
                <w:rFonts w:hint="eastAsia" w:ascii="Times New Roman" w:hAnsi="Times New Roman"/>
                <w:sz w:val="24"/>
                <w:szCs w:val="24"/>
              </w:rPr>
              <w:t>①建筑垃圾：开挖管沟产生的建筑垃圾全部用于路面回填、路面修复，禁止与生活垃圾混合处置，禁止随意丢弃清运至合法消纳场处置。②生活垃圾：施工人员产生的少量生活垃圾采用垃圾收集桶收集，由环卫部门处置。</w:t>
            </w:r>
          </w:p>
          <w:p>
            <w:pPr>
              <w:pStyle w:val="59"/>
              <w:spacing w:line="360" w:lineRule="auto"/>
              <w:ind w:firstLine="480" w:firstLineChars="200"/>
              <w:jc w:val="both"/>
              <w:rPr>
                <w:rFonts w:ascii="Times New Roman" w:hAnsi="Times New Roman"/>
                <w:bCs/>
                <w:spacing w:val="-10"/>
                <w:sz w:val="24"/>
                <w:szCs w:val="24"/>
              </w:rPr>
            </w:pPr>
            <w:r>
              <w:rPr>
                <w:rFonts w:hint="eastAsia" w:ascii="Times New Roman" w:hAnsi="Times New Roman"/>
                <w:sz w:val="24"/>
                <w:szCs w:val="24"/>
              </w:rPr>
              <w:t>采取上述固体废物防治措施后，对环境影响较小。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10" w:hRule="atLeast"/>
          <w:jc w:val="center"/>
        </w:trPr>
        <w:tc>
          <w:tcPr>
            <w:tcW w:w="557" w:type="dxa"/>
            <w:tcBorders>
              <w:top w:val="single" w:color="auto" w:sz="4" w:space="0"/>
              <w:left w:val="single" w:color="auto" w:sz="8"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cs="宋体"/>
                <w:bCs/>
                <w:szCs w:val="21"/>
              </w:rPr>
            </w:pPr>
            <w:r>
              <w:rPr>
                <w:rFonts w:hint="eastAsia" w:cs="宋体"/>
                <w:bCs/>
                <w:szCs w:val="21"/>
              </w:rPr>
              <w:t>运营</w:t>
            </w:r>
          </w:p>
          <w:p>
            <w:pPr>
              <w:adjustRightInd w:val="0"/>
              <w:snapToGrid w:val="0"/>
              <w:jc w:val="center"/>
              <w:rPr>
                <w:rFonts w:cs="宋体"/>
                <w:bCs/>
                <w:szCs w:val="21"/>
              </w:rPr>
            </w:pPr>
            <w:r>
              <w:rPr>
                <w:rFonts w:hint="eastAsia" w:cs="宋体"/>
                <w:bCs/>
                <w:szCs w:val="21"/>
              </w:rPr>
              <w:t>期环</w:t>
            </w:r>
          </w:p>
          <w:p>
            <w:pPr>
              <w:adjustRightInd w:val="0"/>
              <w:snapToGrid w:val="0"/>
              <w:jc w:val="center"/>
              <w:rPr>
                <w:rFonts w:cs="宋体"/>
                <w:bCs/>
                <w:szCs w:val="21"/>
              </w:rPr>
            </w:pPr>
            <w:r>
              <w:rPr>
                <w:rFonts w:hint="eastAsia" w:cs="宋体"/>
                <w:bCs/>
                <w:szCs w:val="21"/>
              </w:rPr>
              <w:t>境影</w:t>
            </w:r>
          </w:p>
          <w:p>
            <w:pPr>
              <w:adjustRightInd w:val="0"/>
              <w:snapToGrid w:val="0"/>
              <w:jc w:val="center"/>
              <w:rPr>
                <w:rFonts w:cs="宋体"/>
                <w:bCs/>
                <w:szCs w:val="21"/>
              </w:rPr>
            </w:pPr>
            <w:r>
              <w:rPr>
                <w:rFonts w:hint="eastAsia" w:cs="宋体"/>
                <w:bCs/>
                <w:szCs w:val="21"/>
              </w:rPr>
              <w:t>响和</w:t>
            </w:r>
          </w:p>
          <w:p>
            <w:pPr>
              <w:adjustRightInd w:val="0"/>
              <w:snapToGrid w:val="0"/>
              <w:jc w:val="center"/>
              <w:rPr>
                <w:rFonts w:cs="宋体"/>
                <w:bCs/>
                <w:szCs w:val="21"/>
              </w:rPr>
            </w:pPr>
            <w:r>
              <w:rPr>
                <w:rFonts w:hint="eastAsia" w:cs="宋体"/>
                <w:bCs/>
                <w:szCs w:val="21"/>
              </w:rPr>
              <w:t>保护</w:t>
            </w:r>
          </w:p>
          <w:p>
            <w:pPr>
              <w:adjustRightInd w:val="0"/>
              <w:snapToGrid w:val="0"/>
              <w:jc w:val="center"/>
              <w:rPr>
                <w:rFonts w:cs="宋体"/>
                <w:bCs/>
                <w:szCs w:val="21"/>
              </w:rPr>
            </w:pPr>
            <w:r>
              <w:rPr>
                <w:rFonts w:hint="eastAsia" w:cs="宋体"/>
                <w:bCs/>
                <w:szCs w:val="21"/>
              </w:rPr>
              <w:t>措施</w:t>
            </w:r>
          </w:p>
        </w:tc>
        <w:tc>
          <w:tcPr>
            <w:tcW w:w="8685" w:type="dxa"/>
            <w:tcBorders>
              <w:top w:val="single" w:color="auto" w:sz="4" w:space="0"/>
              <w:left w:val="single" w:color="auto" w:sz="4" w:space="0"/>
              <w:bottom w:val="single" w:color="auto" w:sz="4" w:space="0"/>
              <w:right w:val="single" w:color="auto" w:sz="8" w:space="0"/>
            </w:tcBorders>
          </w:tcPr>
          <w:p>
            <w:pPr>
              <w:pStyle w:val="59"/>
              <w:spacing w:line="360" w:lineRule="auto"/>
              <w:ind w:firstLine="480" w:firstLineChars="200"/>
              <w:jc w:val="both"/>
              <w:rPr>
                <w:rFonts w:ascii="Times New Roman" w:hAnsi="Times New Roman"/>
                <w:sz w:val="24"/>
                <w:szCs w:val="24"/>
              </w:rPr>
            </w:pPr>
            <w:r>
              <w:rPr>
                <w:rFonts w:hint="eastAsia" w:ascii="Times New Roman" w:hAnsi="Times New Roman"/>
                <w:sz w:val="24"/>
                <w:szCs w:val="24"/>
              </w:rPr>
              <w:t>项目营运期的环境影响因素及保护措施从废气、废水、噪声、固体废弃物等方面展开分析。项目年运行</w:t>
            </w:r>
            <w:r>
              <w:rPr>
                <w:rFonts w:ascii="Times New Roman" w:hAnsi="Times New Roman"/>
                <w:sz w:val="24"/>
                <w:szCs w:val="24"/>
              </w:rPr>
              <w:t>300</w:t>
            </w:r>
            <w:r>
              <w:rPr>
                <w:rFonts w:hint="eastAsia" w:ascii="Times New Roman" w:hAnsi="Times New Roman"/>
                <w:sz w:val="24"/>
                <w:szCs w:val="24"/>
              </w:rPr>
              <w:t>天，每天工作</w:t>
            </w:r>
            <w:r>
              <w:rPr>
                <w:rFonts w:ascii="Times New Roman" w:hAnsi="Times New Roman"/>
                <w:sz w:val="24"/>
                <w:szCs w:val="24"/>
              </w:rPr>
              <w:t>24</w:t>
            </w:r>
            <w:r>
              <w:rPr>
                <w:rFonts w:hint="eastAsia" w:ascii="Times New Roman" w:hAnsi="Times New Roman"/>
                <w:sz w:val="24"/>
                <w:szCs w:val="24"/>
              </w:rPr>
              <w:t>小时，</w:t>
            </w:r>
            <w:r>
              <w:rPr>
                <w:rFonts w:ascii="Times New Roman" w:hAnsi="Times New Roman"/>
                <w:sz w:val="24"/>
                <w:szCs w:val="24"/>
              </w:rPr>
              <w:t>7200h/a</w:t>
            </w:r>
            <w:r>
              <w:rPr>
                <w:rFonts w:hint="eastAsia" w:ascii="Times New Roman" w:hAnsi="Times New Roman"/>
                <w:sz w:val="24"/>
                <w:szCs w:val="24"/>
              </w:rPr>
              <w:t>。</w:t>
            </w:r>
          </w:p>
          <w:p>
            <w:pPr>
              <w:pStyle w:val="59"/>
              <w:spacing w:line="360" w:lineRule="auto"/>
              <w:ind w:firstLine="480" w:firstLineChars="200"/>
              <w:jc w:val="both"/>
              <w:rPr>
                <w:rFonts w:ascii="Times New Roman" w:hAnsi="Times New Roman"/>
                <w:bCs/>
                <w:spacing w:val="-10"/>
                <w:sz w:val="24"/>
                <w:szCs w:val="24"/>
              </w:rPr>
            </w:pPr>
            <w:r>
              <w:rPr>
                <w:rFonts w:hint="eastAsia" w:ascii="Times New Roman" w:hAnsi="Times New Roman"/>
                <w:sz w:val="24"/>
                <w:szCs w:val="24"/>
              </w:rPr>
              <w:t>本项目污染物产排分析按照《排污许可证申请与核发技术规范锅炉》（</w:t>
            </w:r>
            <w:r>
              <w:rPr>
                <w:rFonts w:ascii="Times New Roman" w:hAnsi="Times New Roman"/>
                <w:sz w:val="24"/>
                <w:szCs w:val="24"/>
              </w:rPr>
              <w:t>HJ953-2018</w:t>
            </w:r>
            <w:r>
              <w:rPr>
                <w:rFonts w:hint="eastAsia" w:ascii="Times New Roman" w:hAnsi="Times New Roman"/>
                <w:sz w:val="24"/>
                <w:szCs w:val="24"/>
              </w:rPr>
              <w:t>）、《污染源源强核算技术指南锅炉》（</w:t>
            </w:r>
            <w:r>
              <w:rPr>
                <w:rFonts w:ascii="Times New Roman" w:hAnsi="Times New Roman"/>
                <w:sz w:val="24"/>
                <w:szCs w:val="24"/>
              </w:rPr>
              <w:t>HJ991-2018</w:t>
            </w:r>
            <w:r>
              <w:rPr>
                <w:rFonts w:hint="eastAsia" w:ascii="Times New Roman" w:hAnsi="Times New Roman"/>
                <w:sz w:val="24"/>
                <w:szCs w:val="24"/>
              </w:rPr>
              <w:t>）按照5.1.1条燃煤、燃生物质锅炉废气污染源源强核算方法进行核算。</w:t>
            </w:r>
          </w:p>
          <w:p>
            <w:pPr>
              <w:pStyle w:val="59"/>
              <w:spacing w:line="360" w:lineRule="auto"/>
              <w:ind w:firstLine="442" w:firstLineChars="200"/>
              <w:jc w:val="both"/>
              <w:rPr>
                <w:rFonts w:ascii="Times New Roman" w:hAnsi="Times New Roman"/>
                <w:b/>
                <w:bCs/>
                <w:spacing w:val="-10"/>
                <w:sz w:val="24"/>
                <w:szCs w:val="24"/>
              </w:rPr>
            </w:pPr>
            <w:r>
              <w:rPr>
                <w:rFonts w:hint="eastAsia" w:ascii="Times New Roman" w:hAnsi="Times New Roman"/>
                <w:b/>
                <w:bCs/>
                <w:spacing w:val="-10"/>
                <w:sz w:val="24"/>
                <w:szCs w:val="24"/>
              </w:rPr>
              <w:t>1、大气环境影响分析</w:t>
            </w:r>
          </w:p>
          <w:p>
            <w:pPr>
              <w:pStyle w:val="29"/>
              <w:numPr>
                <w:ilvl w:val="0"/>
                <w:numId w:val="3"/>
              </w:numPr>
              <w:ind w:firstLineChars="0"/>
              <w:rPr>
                <w:rFonts w:cs="宋体"/>
                <w:b/>
                <w:bCs/>
                <w:color w:val="auto"/>
                <w:kern w:val="0"/>
              </w:rPr>
            </w:pPr>
            <w:r>
              <w:rPr>
                <w:rFonts w:cs="宋体"/>
                <w:b/>
                <w:bCs/>
                <w:color w:val="auto"/>
                <w:kern w:val="0"/>
              </w:rPr>
              <w:t>主要污染物产排情况</w:t>
            </w:r>
          </w:p>
          <w:p>
            <w:pPr>
              <w:adjustRightInd w:val="0"/>
              <w:snapToGrid w:val="0"/>
              <w:spacing w:line="360" w:lineRule="auto"/>
              <w:ind w:firstLine="480" w:firstLineChars="200"/>
              <w:rPr>
                <w:sz w:val="24"/>
              </w:rPr>
            </w:pPr>
            <w:r>
              <w:rPr>
                <w:rFonts w:hint="eastAsia"/>
                <w:sz w:val="24"/>
              </w:rPr>
              <w:t>本项目为技改项目，仅对现有热风炉顶部增设一套天然气燃烧装置及控制系统，并配置天然气管道，不改变原生产装置工艺流程。技改项目不影响现有10万吨/年饲钙生产装置的主体生产装置，该装置污染物产排情况技改前后不发生变化；现有15万吨/年饲钙生产装置生产过程中产生的废气为干燥废气+造粒废气，冷却废气+收尘废气，本项目对现有15万吨/年饲钙装置热风炉进行技改，不会影响冷却废气+收尘废气排放。每年燃煤约6</w:t>
            </w:r>
            <w:r>
              <w:rPr>
                <w:sz w:val="24"/>
              </w:rPr>
              <w:t>600h</w:t>
            </w:r>
            <w:r>
              <w:rPr>
                <w:rFonts w:hint="eastAsia"/>
                <w:sz w:val="24"/>
              </w:rPr>
              <w:t>，燃天然气6</w:t>
            </w:r>
            <w:r>
              <w:rPr>
                <w:sz w:val="24"/>
              </w:rPr>
              <w:t>00h</w:t>
            </w:r>
            <w:r>
              <w:rPr>
                <w:rFonts w:hint="eastAsia"/>
                <w:sz w:val="24"/>
              </w:rPr>
              <w:t>。本项目废气排口依托原有排气筒。</w:t>
            </w:r>
          </w:p>
          <w:p>
            <w:pPr>
              <w:adjustRightInd w:val="0"/>
              <w:snapToGrid w:val="0"/>
              <w:spacing w:line="360" w:lineRule="auto"/>
              <w:ind w:firstLine="480" w:firstLineChars="200"/>
              <w:rPr>
                <w:bCs/>
                <w:sz w:val="24"/>
              </w:rPr>
            </w:pPr>
            <w:r>
              <w:rPr>
                <w:rFonts w:hint="eastAsia"/>
                <w:bCs/>
                <w:sz w:val="24"/>
              </w:rPr>
              <w:t>本次大气环境影响预测针对技改后运行时正常排放、非正常排放情况分别进行预测。本次预测源强见表4</w:t>
            </w:r>
            <w:r>
              <w:rPr>
                <w:bCs/>
                <w:sz w:val="24"/>
              </w:rPr>
              <w:t>-</w:t>
            </w:r>
            <w:r>
              <w:rPr>
                <w:rFonts w:hint="eastAsia"/>
                <w:bCs/>
                <w:sz w:val="24"/>
              </w:rPr>
              <w:t>1。</w:t>
            </w:r>
          </w:p>
          <w:p>
            <w:pPr>
              <w:spacing w:line="360" w:lineRule="auto"/>
              <w:ind w:firstLine="420" w:firstLineChars="200"/>
            </w:pPr>
          </w:p>
        </w:tc>
      </w:tr>
    </w:tbl>
    <w:p>
      <w:pPr>
        <w:adjustRightInd w:val="0"/>
        <w:snapToGrid w:val="0"/>
        <w:jc w:val="center"/>
        <w:rPr>
          <w:rFonts w:cs="宋体"/>
          <w:bCs/>
          <w:szCs w:val="21"/>
        </w:rPr>
        <w:sectPr>
          <w:footerReference r:id="rId5" w:type="default"/>
          <w:pgSz w:w="11906" w:h="16838"/>
          <w:pgMar w:top="1701" w:right="1531" w:bottom="1701" w:left="1531" w:header="851" w:footer="851" w:gutter="0"/>
          <w:cols w:space="720" w:num="1"/>
          <w:docGrid w:linePitch="312" w:charSpace="0"/>
        </w:sectPr>
      </w:pPr>
    </w:p>
    <w:tbl>
      <w:tblPr>
        <w:tblStyle w:val="22"/>
        <w:tblW w:w="1341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28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10" w:hRule="atLeast"/>
          <w:jc w:val="center"/>
        </w:trPr>
        <w:tc>
          <w:tcPr>
            <w:tcW w:w="548" w:type="dxa"/>
            <w:tcBorders>
              <w:top w:val="single" w:color="auto" w:sz="4" w:space="0"/>
              <w:left w:val="single" w:color="auto" w:sz="8"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cs="宋体"/>
                <w:bCs/>
                <w:szCs w:val="21"/>
              </w:rPr>
            </w:pPr>
            <w:r>
              <w:rPr>
                <w:rFonts w:hint="eastAsia" w:cs="宋体"/>
                <w:bCs/>
                <w:szCs w:val="21"/>
              </w:rPr>
              <w:t>运营</w:t>
            </w:r>
          </w:p>
          <w:p>
            <w:pPr>
              <w:adjustRightInd w:val="0"/>
              <w:snapToGrid w:val="0"/>
              <w:jc w:val="center"/>
              <w:rPr>
                <w:rFonts w:cs="宋体"/>
                <w:bCs/>
                <w:szCs w:val="21"/>
              </w:rPr>
            </w:pPr>
            <w:r>
              <w:rPr>
                <w:rFonts w:hint="eastAsia" w:cs="宋体"/>
                <w:bCs/>
                <w:szCs w:val="21"/>
              </w:rPr>
              <w:t>期环</w:t>
            </w:r>
          </w:p>
          <w:p>
            <w:pPr>
              <w:adjustRightInd w:val="0"/>
              <w:snapToGrid w:val="0"/>
              <w:jc w:val="center"/>
              <w:rPr>
                <w:rFonts w:cs="宋体"/>
                <w:bCs/>
                <w:szCs w:val="21"/>
              </w:rPr>
            </w:pPr>
            <w:r>
              <w:rPr>
                <w:rFonts w:hint="eastAsia" w:cs="宋体"/>
                <w:bCs/>
                <w:szCs w:val="21"/>
              </w:rPr>
              <w:t>境影</w:t>
            </w:r>
          </w:p>
          <w:p>
            <w:pPr>
              <w:adjustRightInd w:val="0"/>
              <w:snapToGrid w:val="0"/>
              <w:jc w:val="center"/>
              <w:rPr>
                <w:rFonts w:cs="宋体"/>
                <w:bCs/>
                <w:szCs w:val="21"/>
              </w:rPr>
            </w:pPr>
            <w:r>
              <w:rPr>
                <w:rFonts w:hint="eastAsia" w:cs="宋体"/>
                <w:bCs/>
                <w:szCs w:val="21"/>
              </w:rPr>
              <w:t>响和</w:t>
            </w:r>
          </w:p>
          <w:p>
            <w:pPr>
              <w:adjustRightInd w:val="0"/>
              <w:snapToGrid w:val="0"/>
              <w:jc w:val="center"/>
              <w:rPr>
                <w:rFonts w:cs="宋体"/>
                <w:bCs/>
                <w:szCs w:val="21"/>
              </w:rPr>
            </w:pPr>
            <w:r>
              <w:rPr>
                <w:rFonts w:hint="eastAsia" w:cs="宋体"/>
                <w:bCs/>
                <w:szCs w:val="21"/>
              </w:rPr>
              <w:t>保护</w:t>
            </w:r>
          </w:p>
          <w:p>
            <w:pPr>
              <w:adjustRightInd w:val="0"/>
              <w:snapToGrid w:val="0"/>
              <w:jc w:val="center"/>
              <w:rPr>
                <w:rFonts w:cs="宋体"/>
                <w:bCs/>
                <w:szCs w:val="21"/>
              </w:rPr>
            </w:pPr>
            <w:r>
              <w:rPr>
                <w:rFonts w:hint="eastAsia" w:cs="宋体"/>
                <w:bCs/>
                <w:szCs w:val="21"/>
              </w:rPr>
              <w:t>措施</w:t>
            </w:r>
          </w:p>
        </w:tc>
        <w:tc>
          <w:tcPr>
            <w:tcW w:w="12868" w:type="dxa"/>
            <w:tcBorders>
              <w:top w:val="single" w:color="auto" w:sz="4" w:space="0"/>
              <w:left w:val="single" w:color="auto" w:sz="4" w:space="0"/>
              <w:bottom w:val="single" w:color="auto" w:sz="4" w:space="0"/>
              <w:right w:val="single" w:color="auto" w:sz="8" w:space="0"/>
            </w:tcBorders>
            <w:vAlign w:val="center"/>
          </w:tcPr>
          <w:p>
            <w:pPr>
              <w:adjustRightInd w:val="0"/>
              <w:spacing w:line="360" w:lineRule="auto"/>
              <w:ind w:firstLine="422" w:firstLineChars="200"/>
              <w:jc w:val="center"/>
              <w:outlineLvl w:val="0"/>
              <w:rPr>
                <w:b/>
              </w:rPr>
            </w:pPr>
            <w:bookmarkStart w:id="26" w:name="_Toc117775789"/>
            <w:r>
              <w:rPr>
                <w:rFonts w:hint="eastAsia"/>
                <w:b/>
              </w:rPr>
              <w:t>表4</w:t>
            </w:r>
            <w:r>
              <w:rPr>
                <w:b/>
              </w:rPr>
              <w:t>-1</w:t>
            </w:r>
            <w:r>
              <w:rPr>
                <w:rFonts w:hint="eastAsia"/>
                <w:b/>
              </w:rPr>
              <w:t xml:space="preserve"> </w:t>
            </w:r>
            <w:r>
              <w:rPr>
                <w:b/>
              </w:rPr>
              <w:t xml:space="preserve"> </w:t>
            </w:r>
            <w:r>
              <w:rPr>
                <w:rFonts w:hint="eastAsia"/>
                <w:b/>
              </w:rPr>
              <w:t>废气污染源源强核算结果及相关参数一览表</w:t>
            </w:r>
            <w:bookmarkEnd w:id="26"/>
          </w:p>
          <w:tbl>
            <w:tblPr>
              <w:tblStyle w:val="23"/>
              <w:tblW w:w="12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126"/>
              <w:gridCol w:w="1122"/>
              <w:gridCol w:w="1132"/>
              <w:gridCol w:w="1273"/>
              <w:gridCol w:w="1132"/>
              <w:gridCol w:w="844"/>
              <w:gridCol w:w="759"/>
              <w:gridCol w:w="1132"/>
              <w:gridCol w:w="1273"/>
              <w:gridCol w:w="1132"/>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restart"/>
                  <w:vAlign w:val="center"/>
                </w:tcPr>
                <w:p>
                  <w:pPr>
                    <w:pStyle w:val="9"/>
                    <w:spacing w:before="0" w:after="0" w:line="240" w:lineRule="auto"/>
                    <w:ind w:right="0"/>
                    <w:jc w:val="center"/>
                    <w:rPr>
                      <w:b/>
                      <w:bCs/>
                      <w:sz w:val="21"/>
                      <w:szCs w:val="21"/>
                    </w:rPr>
                  </w:pPr>
                  <w:r>
                    <w:rPr>
                      <w:rFonts w:hint="eastAsia"/>
                      <w:b/>
                      <w:bCs/>
                      <w:sz w:val="21"/>
                      <w:szCs w:val="21"/>
                    </w:rPr>
                    <w:t>排气筒</w:t>
                  </w:r>
                </w:p>
              </w:tc>
              <w:tc>
                <w:tcPr>
                  <w:tcW w:w="1126" w:type="dxa"/>
                  <w:vMerge w:val="restart"/>
                  <w:vAlign w:val="center"/>
                </w:tcPr>
                <w:p>
                  <w:pPr>
                    <w:pStyle w:val="9"/>
                    <w:spacing w:before="0" w:after="0" w:line="240" w:lineRule="auto"/>
                    <w:ind w:right="0"/>
                    <w:jc w:val="center"/>
                    <w:rPr>
                      <w:b/>
                      <w:bCs/>
                      <w:sz w:val="21"/>
                      <w:szCs w:val="21"/>
                    </w:rPr>
                  </w:pPr>
                  <w:r>
                    <w:rPr>
                      <w:rFonts w:hint="eastAsia"/>
                      <w:b/>
                      <w:bCs/>
                      <w:sz w:val="21"/>
                      <w:szCs w:val="21"/>
                    </w:rPr>
                    <w:t>污染物</w:t>
                  </w:r>
                </w:p>
              </w:tc>
              <w:tc>
                <w:tcPr>
                  <w:tcW w:w="4659" w:type="dxa"/>
                  <w:gridSpan w:val="4"/>
                  <w:vAlign w:val="center"/>
                </w:tcPr>
                <w:p>
                  <w:pPr>
                    <w:pStyle w:val="9"/>
                    <w:spacing w:before="0" w:after="0" w:line="240" w:lineRule="auto"/>
                    <w:ind w:right="0"/>
                    <w:jc w:val="center"/>
                    <w:rPr>
                      <w:b/>
                      <w:bCs/>
                      <w:sz w:val="21"/>
                      <w:szCs w:val="21"/>
                    </w:rPr>
                  </w:pPr>
                  <w:r>
                    <w:rPr>
                      <w:rFonts w:hint="eastAsia"/>
                      <w:b/>
                      <w:bCs/>
                      <w:sz w:val="21"/>
                      <w:szCs w:val="21"/>
                    </w:rPr>
                    <w:t>污染物产生</w:t>
                  </w:r>
                </w:p>
              </w:tc>
              <w:tc>
                <w:tcPr>
                  <w:tcW w:w="1603" w:type="dxa"/>
                  <w:gridSpan w:val="2"/>
                  <w:vAlign w:val="center"/>
                </w:tcPr>
                <w:p>
                  <w:pPr>
                    <w:pStyle w:val="9"/>
                    <w:spacing w:before="0" w:after="0" w:line="240" w:lineRule="auto"/>
                    <w:ind w:right="0"/>
                    <w:jc w:val="center"/>
                    <w:rPr>
                      <w:b/>
                      <w:bCs/>
                      <w:sz w:val="21"/>
                      <w:szCs w:val="21"/>
                    </w:rPr>
                  </w:pPr>
                  <w:r>
                    <w:rPr>
                      <w:rFonts w:hint="eastAsia"/>
                      <w:b/>
                      <w:bCs/>
                      <w:sz w:val="21"/>
                      <w:szCs w:val="21"/>
                    </w:rPr>
                    <w:t>治理措施</w:t>
                  </w:r>
                </w:p>
              </w:tc>
              <w:tc>
                <w:tcPr>
                  <w:tcW w:w="3537" w:type="dxa"/>
                  <w:gridSpan w:val="3"/>
                  <w:vAlign w:val="center"/>
                </w:tcPr>
                <w:p>
                  <w:pPr>
                    <w:pStyle w:val="9"/>
                    <w:spacing w:before="0" w:after="0" w:line="240" w:lineRule="auto"/>
                    <w:ind w:right="0"/>
                    <w:jc w:val="center"/>
                    <w:rPr>
                      <w:b/>
                      <w:bCs/>
                      <w:sz w:val="21"/>
                      <w:szCs w:val="21"/>
                    </w:rPr>
                  </w:pPr>
                  <w:r>
                    <w:rPr>
                      <w:rFonts w:hint="eastAsia"/>
                      <w:b/>
                      <w:bCs/>
                      <w:sz w:val="21"/>
                      <w:szCs w:val="21"/>
                    </w:rPr>
                    <w:t>污染物排放</w:t>
                  </w:r>
                </w:p>
              </w:tc>
              <w:tc>
                <w:tcPr>
                  <w:tcW w:w="847" w:type="dxa"/>
                  <w:vMerge w:val="restart"/>
                  <w:vAlign w:val="center"/>
                </w:tcPr>
                <w:p>
                  <w:pPr>
                    <w:pStyle w:val="9"/>
                    <w:spacing w:before="0" w:after="0" w:line="240" w:lineRule="auto"/>
                    <w:ind w:right="0"/>
                    <w:jc w:val="center"/>
                    <w:rPr>
                      <w:b/>
                      <w:bCs/>
                      <w:sz w:val="21"/>
                      <w:szCs w:val="21"/>
                    </w:rPr>
                  </w:pPr>
                  <w:r>
                    <w:rPr>
                      <w:rFonts w:hint="eastAsia"/>
                      <w:b/>
                      <w:bCs/>
                      <w:sz w:val="21"/>
                      <w:szCs w:val="21"/>
                    </w:rPr>
                    <w:t>排放时间/</w:t>
                  </w:r>
                  <w:r>
                    <w:rPr>
                      <w:b/>
                      <w:bCs/>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pStyle w:val="9"/>
                    <w:spacing w:before="0" w:after="0" w:line="240" w:lineRule="auto"/>
                    <w:ind w:right="0"/>
                    <w:jc w:val="center"/>
                    <w:rPr>
                      <w:b/>
                      <w:bCs/>
                      <w:sz w:val="21"/>
                      <w:szCs w:val="21"/>
                    </w:rPr>
                  </w:pPr>
                </w:p>
              </w:tc>
              <w:tc>
                <w:tcPr>
                  <w:tcW w:w="1126" w:type="dxa"/>
                  <w:vMerge w:val="continue"/>
                  <w:vAlign w:val="center"/>
                </w:tcPr>
                <w:p>
                  <w:pPr>
                    <w:pStyle w:val="9"/>
                    <w:spacing w:before="0" w:after="0" w:line="240" w:lineRule="auto"/>
                    <w:ind w:right="0"/>
                    <w:jc w:val="center"/>
                    <w:rPr>
                      <w:b/>
                      <w:bCs/>
                      <w:sz w:val="21"/>
                      <w:szCs w:val="21"/>
                    </w:rPr>
                  </w:pPr>
                </w:p>
              </w:tc>
              <w:tc>
                <w:tcPr>
                  <w:tcW w:w="1122" w:type="dxa"/>
                  <w:vAlign w:val="center"/>
                </w:tcPr>
                <w:p>
                  <w:pPr>
                    <w:pStyle w:val="9"/>
                    <w:spacing w:before="0" w:after="0" w:line="240" w:lineRule="auto"/>
                    <w:ind w:right="0"/>
                    <w:jc w:val="center"/>
                    <w:rPr>
                      <w:b/>
                      <w:bCs/>
                      <w:sz w:val="21"/>
                      <w:szCs w:val="21"/>
                    </w:rPr>
                  </w:pPr>
                  <w:r>
                    <w:rPr>
                      <w:rFonts w:hint="eastAsia"/>
                      <w:b/>
                      <w:bCs/>
                      <w:sz w:val="21"/>
                      <w:szCs w:val="21"/>
                    </w:rPr>
                    <w:t>核算方法</w:t>
                  </w:r>
                </w:p>
              </w:tc>
              <w:tc>
                <w:tcPr>
                  <w:tcW w:w="1132" w:type="dxa"/>
                  <w:vAlign w:val="center"/>
                </w:tcPr>
                <w:p>
                  <w:pPr>
                    <w:pStyle w:val="9"/>
                    <w:spacing w:before="0" w:after="0" w:line="240" w:lineRule="auto"/>
                    <w:ind w:right="0"/>
                    <w:jc w:val="center"/>
                    <w:rPr>
                      <w:b/>
                      <w:bCs/>
                      <w:spacing w:val="-6"/>
                      <w:sz w:val="21"/>
                      <w:szCs w:val="21"/>
                    </w:rPr>
                  </w:pPr>
                  <w:r>
                    <w:rPr>
                      <w:rFonts w:hint="eastAsia"/>
                      <w:b/>
                      <w:bCs/>
                      <w:spacing w:val="-6"/>
                      <w:sz w:val="21"/>
                      <w:szCs w:val="21"/>
                    </w:rPr>
                    <w:t>烟气量（m</w:t>
                  </w:r>
                  <w:r>
                    <w:rPr>
                      <w:b/>
                      <w:bCs/>
                      <w:spacing w:val="-6"/>
                      <w:sz w:val="21"/>
                      <w:szCs w:val="21"/>
                      <w:vertAlign w:val="superscript"/>
                    </w:rPr>
                    <w:t>3</w:t>
                  </w:r>
                  <w:r>
                    <w:rPr>
                      <w:rFonts w:hint="eastAsia"/>
                      <w:b/>
                      <w:bCs/>
                      <w:spacing w:val="-6"/>
                      <w:sz w:val="21"/>
                      <w:szCs w:val="21"/>
                    </w:rPr>
                    <w:t>/</w:t>
                  </w:r>
                  <w:r>
                    <w:rPr>
                      <w:b/>
                      <w:bCs/>
                      <w:spacing w:val="-6"/>
                      <w:sz w:val="21"/>
                      <w:szCs w:val="21"/>
                    </w:rPr>
                    <w:t>h</w:t>
                  </w:r>
                  <w:r>
                    <w:rPr>
                      <w:rFonts w:hint="eastAsia"/>
                      <w:b/>
                      <w:bCs/>
                      <w:spacing w:val="-6"/>
                      <w:sz w:val="21"/>
                      <w:szCs w:val="21"/>
                    </w:rPr>
                    <w:t>）</w:t>
                  </w:r>
                </w:p>
              </w:tc>
              <w:tc>
                <w:tcPr>
                  <w:tcW w:w="1273" w:type="dxa"/>
                  <w:vAlign w:val="center"/>
                </w:tcPr>
                <w:p>
                  <w:pPr>
                    <w:pStyle w:val="9"/>
                    <w:spacing w:before="0" w:after="0" w:line="240" w:lineRule="auto"/>
                    <w:ind w:right="0"/>
                    <w:jc w:val="center"/>
                    <w:rPr>
                      <w:b/>
                      <w:bCs/>
                      <w:spacing w:val="-6"/>
                      <w:sz w:val="21"/>
                      <w:szCs w:val="21"/>
                    </w:rPr>
                  </w:pPr>
                  <w:r>
                    <w:rPr>
                      <w:rFonts w:hint="eastAsia"/>
                      <w:b/>
                      <w:bCs/>
                      <w:spacing w:val="-6"/>
                      <w:sz w:val="21"/>
                      <w:szCs w:val="21"/>
                    </w:rPr>
                    <w:t>质量浓度（mg</w:t>
                  </w:r>
                  <w:r>
                    <w:rPr>
                      <w:b/>
                      <w:bCs/>
                      <w:spacing w:val="-6"/>
                      <w:sz w:val="21"/>
                      <w:szCs w:val="21"/>
                    </w:rPr>
                    <w:t>/</w:t>
                  </w:r>
                  <w:r>
                    <w:rPr>
                      <w:rFonts w:hint="eastAsia"/>
                      <w:b/>
                      <w:bCs/>
                      <w:spacing w:val="-6"/>
                      <w:sz w:val="21"/>
                      <w:szCs w:val="21"/>
                    </w:rPr>
                    <w:t>m</w:t>
                  </w:r>
                  <w:r>
                    <w:rPr>
                      <w:b/>
                      <w:bCs/>
                      <w:spacing w:val="-6"/>
                      <w:sz w:val="21"/>
                      <w:szCs w:val="21"/>
                      <w:vertAlign w:val="superscript"/>
                    </w:rPr>
                    <w:t>3</w:t>
                  </w:r>
                  <w:r>
                    <w:rPr>
                      <w:rFonts w:hint="eastAsia"/>
                      <w:b/>
                      <w:bCs/>
                      <w:spacing w:val="-6"/>
                      <w:sz w:val="21"/>
                      <w:szCs w:val="21"/>
                    </w:rPr>
                    <w:t>）</w:t>
                  </w:r>
                </w:p>
              </w:tc>
              <w:tc>
                <w:tcPr>
                  <w:tcW w:w="1132" w:type="dxa"/>
                  <w:vAlign w:val="center"/>
                </w:tcPr>
                <w:p>
                  <w:pPr>
                    <w:pStyle w:val="9"/>
                    <w:spacing w:before="0" w:after="0" w:line="240" w:lineRule="auto"/>
                    <w:ind w:right="0"/>
                    <w:jc w:val="center"/>
                    <w:rPr>
                      <w:b/>
                      <w:bCs/>
                      <w:spacing w:val="-6"/>
                      <w:sz w:val="21"/>
                      <w:szCs w:val="21"/>
                    </w:rPr>
                  </w:pPr>
                  <w:r>
                    <w:rPr>
                      <w:rFonts w:hint="eastAsia"/>
                      <w:b/>
                      <w:bCs/>
                      <w:spacing w:val="-6"/>
                      <w:sz w:val="21"/>
                      <w:szCs w:val="21"/>
                    </w:rPr>
                    <w:t>产生量（k</w:t>
                  </w:r>
                  <w:r>
                    <w:rPr>
                      <w:b/>
                      <w:bCs/>
                      <w:spacing w:val="-6"/>
                      <w:sz w:val="21"/>
                      <w:szCs w:val="21"/>
                    </w:rPr>
                    <w:t>g/h</w:t>
                  </w:r>
                  <w:r>
                    <w:rPr>
                      <w:rFonts w:hint="eastAsia"/>
                      <w:b/>
                      <w:bCs/>
                      <w:spacing w:val="-6"/>
                      <w:sz w:val="21"/>
                      <w:szCs w:val="21"/>
                    </w:rPr>
                    <w:t>）</w:t>
                  </w:r>
                </w:p>
              </w:tc>
              <w:tc>
                <w:tcPr>
                  <w:tcW w:w="844" w:type="dxa"/>
                  <w:vAlign w:val="center"/>
                </w:tcPr>
                <w:p>
                  <w:pPr>
                    <w:pStyle w:val="9"/>
                    <w:spacing w:before="0" w:after="0" w:line="240" w:lineRule="auto"/>
                    <w:ind w:right="0"/>
                    <w:jc w:val="center"/>
                    <w:rPr>
                      <w:b/>
                      <w:bCs/>
                      <w:spacing w:val="-6"/>
                      <w:sz w:val="21"/>
                      <w:szCs w:val="21"/>
                    </w:rPr>
                  </w:pPr>
                  <w:r>
                    <w:rPr>
                      <w:rFonts w:hint="eastAsia"/>
                      <w:b/>
                      <w:bCs/>
                      <w:spacing w:val="-6"/>
                      <w:sz w:val="21"/>
                      <w:szCs w:val="21"/>
                    </w:rPr>
                    <w:t>工艺</w:t>
                  </w:r>
                </w:p>
              </w:tc>
              <w:tc>
                <w:tcPr>
                  <w:tcW w:w="759" w:type="dxa"/>
                  <w:vAlign w:val="center"/>
                </w:tcPr>
                <w:p>
                  <w:pPr>
                    <w:pStyle w:val="9"/>
                    <w:spacing w:before="0" w:after="0" w:line="240" w:lineRule="auto"/>
                    <w:ind w:right="0"/>
                    <w:jc w:val="center"/>
                    <w:rPr>
                      <w:b/>
                      <w:bCs/>
                      <w:spacing w:val="-6"/>
                      <w:sz w:val="21"/>
                      <w:szCs w:val="21"/>
                    </w:rPr>
                  </w:pPr>
                  <w:r>
                    <w:rPr>
                      <w:rFonts w:hint="eastAsia"/>
                      <w:b/>
                      <w:bCs/>
                      <w:spacing w:val="-6"/>
                      <w:sz w:val="21"/>
                      <w:szCs w:val="21"/>
                    </w:rPr>
                    <w:t>效率/</w:t>
                  </w:r>
                  <w:r>
                    <w:rPr>
                      <w:b/>
                      <w:bCs/>
                      <w:spacing w:val="-6"/>
                      <w:sz w:val="21"/>
                      <w:szCs w:val="21"/>
                    </w:rPr>
                    <w:t>%</w:t>
                  </w:r>
                </w:p>
              </w:tc>
              <w:tc>
                <w:tcPr>
                  <w:tcW w:w="1132" w:type="dxa"/>
                  <w:vAlign w:val="center"/>
                </w:tcPr>
                <w:p>
                  <w:pPr>
                    <w:pStyle w:val="9"/>
                    <w:spacing w:before="0" w:after="0" w:line="240" w:lineRule="auto"/>
                    <w:ind w:right="0"/>
                    <w:jc w:val="center"/>
                    <w:rPr>
                      <w:b/>
                      <w:bCs/>
                      <w:spacing w:val="-6"/>
                      <w:sz w:val="21"/>
                      <w:szCs w:val="21"/>
                    </w:rPr>
                  </w:pPr>
                  <w:r>
                    <w:rPr>
                      <w:rFonts w:hint="eastAsia"/>
                      <w:b/>
                      <w:bCs/>
                      <w:spacing w:val="-6"/>
                      <w:sz w:val="21"/>
                      <w:szCs w:val="21"/>
                    </w:rPr>
                    <w:t>烟气量（m</w:t>
                  </w:r>
                  <w:r>
                    <w:rPr>
                      <w:b/>
                      <w:bCs/>
                      <w:spacing w:val="-6"/>
                      <w:sz w:val="21"/>
                      <w:szCs w:val="21"/>
                      <w:vertAlign w:val="superscript"/>
                    </w:rPr>
                    <w:t>3</w:t>
                  </w:r>
                  <w:r>
                    <w:rPr>
                      <w:rFonts w:hint="eastAsia"/>
                      <w:b/>
                      <w:bCs/>
                      <w:spacing w:val="-6"/>
                      <w:sz w:val="21"/>
                      <w:szCs w:val="21"/>
                    </w:rPr>
                    <w:t>/</w:t>
                  </w:r>
                  <w:r>
                    <w:rPr>
                      <w:b/>
                      <w:bCs/>
                      <w:spacing w:val="-6"/>
                      <w:sz w:val="21"/>
                      <w:szCs w:val="21"/>
                    </w:rPr>
                    <w:t>h</w:t>
                  </w:r>
                  <w:r>
                    <w:rPr>
                      <w:rFonts w:hint="eastAsia"/>
                      <w:b/>
                      <w:bCs/>
                      <w:spacing w:val="-6"/>
                      <w:sz w:val="21"/>
                      <w:szCs w:val="21"/>
                    </w:rPr>
                    <w:t>）</w:t>
                  </w:r>
                </w:p>
              </w:tc>
              <w:tc>
                <w:tcPr>
                  <w:tcW w:w="1273" w:type="dxa"/>
                  <w:vAlign w:val="center"/>
                </w:tcPr>
                <w:p>
                  <w:pPr>
                    <w:pStyle w:val="9"/>
                    <w:spacing w:before="0" w:after="0" w:line="240" w:lineRule="auto"/>
                    <w:ind w:right="0"/>
                    <w:jc w:val="center"/>
                    <w:rPr>
                      <w:b/>
                      <w:bCs/>
                      <w:spacing w:val="-6"/>
                      <w:sz w:val="21"/>
                      <w:szCs w:val="21"/>
                    </w:rPr>
                  </w:pPr>
                  <w:r>
                    <w:rPr>
                      <w:rFonts w:hint="eastAsia"/>
                      <w:b/>
                      <w:bCs/>
                      <w:spacing w:val="-6"/>
                      <w:sz w:val="21"/>
                      <w:szCs w:val="21"/>
                    </w:rPr>
                    <w:t>质量浓度</w:t>
                  </w:r>
                </w:p>
                <w:p>
                  <w:pPr>
                    <w:pStyle w:val="9"/>
                    <w:spacing w:before="0" w:after="0" w:line="240" w:lineRule="auto"/>
                    <w:ind w:right="0"/>
                    <w:jc w:val="center"/>
                    <w:rPr>
                      <w:b/>
                      <w:bCs/>
                      <w:spacing w:val="-6"/>
                      <w:sz w:val="21"/>
                      <w:szCs w:val="21"/>
                    </w:rPr>
                  </w:pPr>
                  <w:r>
                    <w:rPr>
                      <w:rFonts w:hint="eastAsia"/>
                      <w:b/>
                      <w:bCs/>
                      <w:spacing w:val="-6"/>
                      <w:sz w:val="21"/>
                      <w:szCs w:val="21"/>
                    </w:rPr>
                    <w:t>（mg</w:t>
                  </w:r>
                  <w:r>
                    <w:rPr>
                      <w:b/>
                      <w:bCs/>
                      <w:spacing w:val="-6"/>
                      <w:sz w:val="21"/>
                      <w:szCs w:val="21"/>
                    </w:rPr>
                    <w:t>/</w:t>
                  </w:r>
                  <w:r>
                    <w:rPr>
                      <w:rFonts w:hint="eastAsia"/>
                      <w:b/>
                      <w:bCs/>
                      <w:spacing w:val="-6"/>
                      <w:sz w:val="21"/>
                      <w:szCs w:val="21"/>
                    </w:rPr>
                    <w:t>m</w:t>
                  </w:r>
                  <w:r>
                    <w:rPr>
                      <w:b/>
                      <w:bCs/>
                      <w:spacing w:val="-6"/>
                      <w:sz w:val="21"/>
                      <w:szCs w:val="21"/>
                      <w:vertAlign w:val="superscript"/>
                    </w:rPr>
                    <w:t>3</w:t>
                  </w:r>
                  <w:r>
                    <w:rPr>
                      <w:rFonts w:hint="eastAsia"/>
                      <w:b/>
                      <w:bCs/>
                      <w:spacing w:val="-6"/>
                      <w:sz w:val="21"/>
                      <w:szCs w:val="21"/>
                    </w:rPr>
                    <w:t>）</w:t>
                  </w:r>
                </w:p>
              </w:tc>
              <w:tc>
                <w:tcPr>
                  <w:tcW w:w="1132" w:type="dxa"/>
                  <w:vAlign w:val="center"/>
                </w:tcPr>
                <w:p>
                  <w:pPr>
                    <w:pStyle w:val="9"/>
                    <w:spacing w:before="0" w:after="0" w:line="240" w:lineRule="auto"/>
                    <w:ind w:right="0"/>
                    <w:jc w:val="center"/>
                    <w:rPr>
                      <w:b/>
                      <w:bCs/>
                      <w:spacing w:val="-6"/>
                      <w:sz w:val="21"/>
                      <w:szCs w:val="21"/>
                    </w:rPr>
                  </w:pPr>
                  <w:r>
                    <w:rPr>
                      <w:rFonts w:hint="eastAsia"/>
                      <w:b/>
                      <w:bCs/>
                      <w:spacing w:val="-6"/>
                      <w:sz w:val="21"/>
                      <w:szCs w:val="21"/>
                    </w:rPr>
                    <w:t>排放量</w:t>
                  </w:r>
                </w:p>
                <w:p>
                  <w:pPr>
                    <w:pStyle w:val="9"/>
                    <w:spacing w:before="0" w:after="0" w:line="240" w:lineRule="auto"/>
                    <w:ind w:right="0"/>
                    <w:jc w:val="center"/>
                    <w:rPr>
                      <w:b/>
                      <w:bCs/>
                      <w:spacing w:val="-6"/>
                      <w:sz w:val="21"/>
                      <w:szCs w:val="21"/>
                    </w:rPr>
                  </w:pPr>
                  <w:r>
                    <w:rPr>
                      <w:rFonts w:hint="eastAsia"/>
                      <w:b/>
                      <w:bCs/>
                      <w:spacing w:val="-6"/>
                      <w:sz w:val="21"/>
                      <w:szCs w:val="21"/>
                    </w:rPr>
                    <w:t>（k</w:t>
                  </w:r>
                  <w:r>
                    <w:rPr>
                      <w:b/>
                      <w:bCs/>
                      <w:spacing w:val="-6"/>
                      <w:sz w:val="21"/>
                      <w:szCs w:val="21"/>
                    </w:rPr>
                    <w:t>g/h</w:t>
                  </w:r>
                  <w:r>
                    <w:rPr>
                      <w:rFonts w:hint="eastAsia"/>
                      <w:b/>
                      <w:bCs/>
                      <w:spacing w:val="-6"/>
                      <w:sz w:val="21"/>
                      <w:szCs w:val="21"/>
                    </w:rPr>
                    <w:t>）</w:t>
                  </w:r>
                </w:p>
              </w:tc>
              <w:tc>
                <w:tcPr>
                  <w:tcW w:w="847" w:type="dxa"/>
                  <w:vMerge w:val="continue"/>
                  <w:vAlign w:val="center"/>
                </w:tcPr>
                <w:p>
                  <w:pPr>
                    <w:pStyle w:val="9"/>
                    <w:spacing w:before="0" w:after="0" w:line="240" w:lineRule="auto"/>
                    <w:ind w:righ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restart"/>
                  <w:vAlign w:val="center"/>
                </w:tcPr>
                <w:p>
                  <w:pPr>
                    <w:pStyle w:val="9"/>
                    <w:spacing w:before="0" w:after="0" w:line="240" w:lineRule="auto"/>
                    <w:ind w:right="0"/>
                    <w:jc w:val="center"/>
                    <w:rPr>
                      <w:sz w:val="21"/>
                      <w:szCs w:val="21"/>
                    </w:rPr>
                  </w:pPr>
                  <w:r>
                    <w:rPr>
                      <w:sz w:val="21"/>
                      <w:szCs w:val="21"/>
                    </w:rPr>
                    <w:t>15</w:t>
                  </w:r>
                  <w:r>
                    <w:rPr>
                      <w:rFonts w:hint="eastAsia"/>
                      <w:sz w:val="21"/>
                      <w:szCs w:val="21"/>
                    </w:rPr>
                    <w:t>万吨/年饲钙装置干燥+含氟尾气排口</w:t>
                  </w:r>
                </w:p>
              </w:tc>
              <w:tc>
                <w:tcPr>
                  <w:tcW w:w="1126" w:type="dxa"/>
                  <w:vAlign w:val="center"/>
                </w:tcPr>
                <w:p>
                  <w:pPr>
                    <w:pStyle w:val="9"/>
                    <w:spacing w:before="0" w:after="0" w:line="240" w:lineRule="auto"/>
                    <w:ind w:right="0"/>
                    <w:jc w:val="center"/>
                    <w:rPr>
                      <w:sz w:val="21"/>
                      <w:szCs w:val="21"/>
                    </w:rPr>
                  </w:pPr>
                  <w:r>
                    <w:rPr>
                      <w:rFonts w:hint="eastAsia"/>
                      <w:sz w:val="21"/>
                      <w:szCs w:val="21"/>
                    </w:rPr>
                    <w:t>S</w:t>
                  </w:r>
                  <w:r>
                    <w:rPr>
                      <w:sz w:val="21"/>
                      <w:szCs w:val="21"/>
                    </w:rPr>
                    <w:t>O</w:t>
                  </w:r>
                  <w:r>
                    <w:rPr>
                      <w:sz w:val="21"/>
                      <w:szCs w:val="21"/>
                      <w:vertAlign w:val="subscript"/>
                    </w:rPr>
                    <w:t>2</w:t>
                  </w:r>
                  <w:r>
                    <w:rPr>
                      <w:rFonts w:hint="eastAsia"/>
                      <w:sz w:val="21"/>
                      <w:szCs w:val="21"/>
                    </w:rPr>
                    <w:t>（燃煤）</w:t>
                  </w:r>
                </w:p>
              </w:tc>
              <w:tc>
                <w:tcPr>
                  <w:tcW w:w="1122" w:type="dxa"/>
                  <w:vAlign w:val="center"/>
                </w:tcPr>
                <w:p>
                  <w:pPr>
                    <w:pStyle w:val="9"/>
                    <w:spacing w:before="0" w:after="0" w:line="240" w:lineRule="auto"/>
                    <w:ind w:right="0"/>
                    <w:jc w:val="center"/>
                    <w:rPr>
                      <w:sz w:val="21"/>
                      <w:szCs w:val="21"/>
                    </w:rPr>
                  </w:pPr>
                  <w:r>
                    <w:rPr>
                      <w:rFonts w:hint="eastAsia"/>
                      <w:sz w:val="21"/>
                      <w:szCs w:val="21"/>
                    </w:rPr>
                    <w:t>物料核算法</w:t>
                  </w:r>
                </w:p>
              </w:tc>
              <w:tc>
                <w:tcPr>
                  <w:tcW w:w="1132" w:type="dxa"/>
                  <w:vMerge w:val="restart"/>
                  <w:vAlign w:val="center"/>
                </w:tcPr>
                <w:p>
                  <w:pPr>
                    <w:pStyle w:val="9"/>
                    <w:spacing w:before="0" w:after="0" w:line="240" w:lineRule="auto"/>
                    <w:ind w:right="0"/>
                    <w:jc w:val="center"/>
                    <w:rPr>
                      <w:sz w:val="21"/>
                      <w:szCs w:val="21"/>
                    </w:rPr>
                  </w:pPr>
                  <w:r>
                    <w:rPr>
                      <w:sz w:val="21"/>
                      <w:szCs w:val="21"/>
                    </w:rPr>
                    <w:t>100000</w:t>
                  </w:r>
                </w:p>
              </w:tc>
              <w:tc>
                <w:tcPr>
                  <w:tcW w:w="1273" w:type="dxa"/>
                  <w:vAlign w:val="center"/>
                </w:tcPr>
                <w:p>
                  <w:pPr>
                    <w:pStyle w:val="9"/>
                    <w:spacing w:before="0" w:after="0" w:line="240" w:lineRule="auto"/>
                    <w:ind w:right="0"/>
                    <w:jc w:val="center"/>
                    <w:rPr>
                      <w:sz w:val="21"/>
                      <w:szCs w:val="21"/>
                    </w:rPr>
                  </w:pPr>
                  <w:r>
                    <w:rPr>
                      <w:sz w:val="21"/>
                      <w:szCs w:val="21"/>
                    </w:rPr>
                    <w:t xml:space="preserve">88.143 </w:t>
                  </w:r>
                </w:p>
              </w:tc>
              <w:tc>
                <w:tcPr>
                  <w:tcW w:w="1132" w:type="dxa"/>
                  <w:vAlign w:val="center"/>
                </w:tcPr>
                <w:p>
                  <w:pPr>
                    <w:pStyle w:val="9"/>
                    <w:spacing w:before="0" w:after="0" w:line="240" w:lineRule="auto"/>
                    <w:ind w:right="0"/>
                    <w:jc w:val="center"/>
                    <w:rPr>
                      <w:sz w:val="21"/>
                      <w:szCs w:val="21"/>
                    </w:rPr>
                  </w:pPr>
                  <w:r>
                    <w:rPr>
                      <w:sz w:val="21"/>
                      <w:szCs w:val="21"/>
                    </w:rPr>
                    <w:t xml:space="preserve">8.814 </w:t>
                  </w:r>
                </w:p>
              </w:tc>
              <w:tc>
                <w:tcPr>
                  <w:tcW w:w="844" w:type="dxa"/>
                  <w:vMerge w:val="restart"/>
                  <w:vAlign w:val="center"/>
                </w:tcPr>
                <w:p>
                  <w:pPr>
                    <w:pStyle w:val="9"/>
                    <w:spacing w:before="0" w:after="0" w:line="240" w:lineRule="auto"/>
                    <w:ind w:right="0"/>
                    <w:jc w:val="center"/>
                    <w:rPr>
                      <w:sz w:val="21"/>
                      <w:szCs w:val="21"/>
                    </w:rPr>
                  </w:pPr>
                  <w:r>
                    <w:rPr>
                      <w:rFonts w:hint="eastAsia"/>
                      <w:sz w:val="21"/>
                      <w:szCs w:val="21"/>
                    </w:rPr>
                    <w:t>旋风除尘器</w:t>
                  </w:r>
                  <w:r>
                    <w:rPr>
                      <w:sz w:val="21"/>
                      <w:szCs w:val="21"/>
                    </w:rPr>
                    <w:t>+</w:t>
                  </w:r>
                  <w:r>
                    <w:rPr>
                      <w:rFonts w:hint="eastAsia"/>
                      <w:sz w:val="21"/>
                      <w:szCs w:val="21"/>
                    </w:rPr>
                    <w:t>喷雾干燥尾气洗涤塔</w:t>
                  </w:r>
                </w:p>
              </w:tc>
              <w:tc>
                <w:tcPr>
                  <w:tcW w:w="759" w:type="dxa"/>
                  <w:vAlign w:val="center"/>
                </w:tcPr>
                <w:p>
                  <w:pPr>
                    <w:pStyle w:val="9"/>
                    <w:spacing w:before="0" w:after="0" w:line="240" w:lineRule="auto"/>
                    <w:ind w:right="0"/>
                    <w:jc w:val="center"/>
                    <w:rPr>
                      <w:sz w:val="21"/>
                      <w:szCs w:val="21"/>
                    </w:rPr>
                  </w:pPr>
                  <w:r>
                    <w:rPr>
                      <w:rFonts w:hint="eastAsia"/>
                      <w:sz w:val="21"/>
                      <w:szCs w:val="21"/>
                    </w:rPr>
                    <w:t>6</w:t>
                  </w:r>
                  <w:r>
                    <w:rPr>
                      <w:sz w:val="21"/>
                      <w:szCs w:val="21"/>
                    </w:rPr>
                    <w:t>5%</w:t>
                  </w:r>
                </w:p>
              </w:tc>
              <w:tc>
                <w:tcPr>
                  <w:tcW w:w="1132" w:type="dxa"/>
                  <w:vMerge w:val="restart"/>
                  <w:vAlign w:val="center"/>
                </w:tcPr>
                <w:p>
                  <w:pPr>
                    <w:pStyle w:val="9"/>
                    <w:spacing w:before="0" w:after="0" w:line="240" w:lineRule="auto"/>
                    <w:ind w:right="0"/>
                    <w:jc w:val="center"/>
                    <w:rPr>
                      <w:sz w:val="21"/>
                      <w:szCs w:val="21"/>
                    </w:rPr>
                  </w:pPr>
                  <w:r>
                    <w:rPr>
                      <w:sz w:val="21"/>
                      <w:szCs w:val="21"/>
                    </w:rPr>
                    <w:t>100000</w:t>
                  </w:r>
                </w:p>
              </w:tc>
              <w:tc>
                <w:tcPr>
                  <w:tcW w:w="1273" w:type="dxa"/>
                  <w:vAlign w:val="center"/>
                </w:tcPr>
                <w:p>
                  <w:pPr>
                    <w:pStyle w:val="9"/>
                    <w:spacing w:before="0" w:after="0" w:line="240" w:lineRule="auto"/>
                    <w:ind w:right="0"/>
                    <w:jc w:val="center"/>
                    <w:rPr>
                      <w:sz w:val="21"/>
                      <w:szCs w:val="21"/>
                    </w:rPr>
                  </w:pPr>
                  <w:r>
                    <w:rPr>
                      <w:sz w:val="21"/>
                      <w:szCs w:val="21"/>
                    </w:rPr>
                    <w:t>30.85</w:t>
                  </w:r>
                </w:p>
              </w:tc>
              <w:tc>
                <w:tcPr>
                  <w:tcW w:w="1132" w:type="dxa"/>
                  <w:vAlign w:val="center"/>
                </w:tcPr>
                <w:p>
                  <w:pPr>
                    <w:pStyle w:val="9"/>
                    <w:spacing w:before="0" w:after="0" w:line="240" w:lineRule="auto"/>
                    <w:ind w:right="0"/>
                    <w:jc w:val="center"/>
                    <w:rPr>
                      <w:sz w:val="21"/>
                      <w:szCs w:val="21"/>
                    </w:rPr>
                  </w:pPr>
                  <w:r>
                    <w:rPr>
                      <w:sz w:val="21"/>
                      <w:szCs w:val="21"/>
                    </w:rPr>
                    <w:t>3.085</w:t>
                  </w:r>
                </w:p>
              </w:tc>
              <w:tc>
                <w:tcPr>
                  <w:tcW w:w="847" w:type="dxa"/>
                  <w:vAlign w:val="center"/>
                </w:tcPr>
                <w:p>
                  <w:pPr>
                    <w:pStyle w:val="9"/>
                    <w:spacing w:before="0" w:after="0" w:line="240" w:lineRule="auto"/>
                    <w:ind w:right="0"/>
                    <w:jc w:val="center"/>
                    <w:rPr>
                      <w:sz w:val="21"/>
                      <w:szCs w:val="21"/>
                    </w:rPr>
                  </w:pPr>
                  <w:r>
                    <w:rPr>
                      <w:rFonts w:hint="eastAsia"/>
                      <w:sz w:val="21"/>
                      <w:szCs w:val="21"/>
                    </w:rPr>
                    <w:t>6</w:t>
                  </w:r>
                  <w:r>
                    <w:rPr>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pStyle w:val="9"/>
                    <w:spacing w:before="0" w:after="0" w:line="240" w:lineRule="auto"/>
                    <w:ind w:right="0"/>
                    <w:jc w:val="center"/>
                    <w:rPr>
                      <w:sz w:val="21"/>
                      <w:szCs w:val="21"/>
                    </w:rPr>
                  </w:pPr>
                </w:p>
              </w:tc>
              <w:tc>
                <w:tcPr>
                  <w:tcW w:w="1126" w:type="dxa"/>
                  <w:vAlign w:val="center"/>
                </w:tcPr>
                <w:p>
                  <w:pPr>
                    <w:pStyle w:val="9"/>
                    <w:spacing w:before="0" w:after="0" w:line="240" w:lineRule="auto"/>
                    <w:ind w:right="0"/>
                    <w:jc w:val="center"/>
                    <w:rPr>
                      <w:sz w:val="21"/>
                      <w:szCs w:val="21"/>
                    </w:rPr>
                  </w:pPr>
                  <w:r>
                    <w:rPr>
                      <w:rFonts w:hint="eastAsia"/>
                      <w:sz w:val="21"/>
                      <w:szCs w:val="21"/>
                    </w:rPr>
                    <w:t>S</w:t>
                  </w:r>
                  <w:r>
                    <w:rPr>
                      <w:sz w:val="21"/>
                      <w:szCs w:val="21"/>
                    </w:rPr>
                    <w:t>O</w:t>
                  </w:r>
                  <w:r>
                    <w:rPr>
                      <w:sz w:val="21"/>
                      <w:szCs w:val="21"/>
                      <w:vertAlign w:val="subscript"/>
                    </w:rPr>
                    <w:t>2</w:t>
                  </w:r>
                  <w:r>
                    <w:rPr>
                      <w:rFonts w:hint="eastAsia"/>
                      <w:sz w:val="21"/>
                      <w:szCs w:val="21"/>
                    </w:rPr>
                    <w:t>（天然气）</w:t>
                  </w:r>
                </w:p>
              </w:tc>
              <w:tc>
                <w:tcPr>
                  <w:tcW w:w="1122" w:type="dxa"/>
                  <w:vAlign w:val="center"/>
                </w:tcPr>
                <w:p>
                  <w:pPr>
                    <w:pStyle w:val="9"/>
                    <w:spacing w:before="0" w:after="0" w:line="240" w:lineRule="auto"/>
                    <w:ind w:right="0"/>
                    <w:jc w:val="center"/>
                    <w:rPr>
                      <w:sz w:val="21"/>
                      <w:szCs w:val="21"/>
                    </w:rPr>
                  </w:pPr>
                  <w:r>
                    <w:rPr>
                      <w:rFonts w:hint="eastAsia"/>
                      <w:sz w:val="21"/>
                      <w:szCs w:val="21"/>
                    </w:rPr>
                    <w:t>产排污系数法</w:t>
                  </w:r>
                </w:p>
              </w:tc>
              <w:tc>
                <w:tcPr>
                  <w:tcW w:w="1132" w:type="dxa"/>
                  <w:vMerge w:val="continue"/>
                  <w:vAlign w:val="center"/>
                </w:tcPr>
                <w:p>
                  <w:pPr>
                    <w:pStyle w:val="9"/>
                    <w:spacing w:before="0" w:after="0" w:line="240" w:lineRule="auto"/>
                    <w:ind w:right="0"/>
                    <w:jc w:val="center"/>
                    <w:rPr>
                      <w:sz w:val="21"/>
                      <w:szCs w:val="21"/>
                    </w:rPr>
                  </w:pPr>
                </w:p>
              </w:tc>
              <w:tc>
                <w:tcPr>
                  <w:tcW w:w="1273" w:type="dxa"/>
                  <w:vAlign w:val="center"/>
                </w:tcPr>
                <w:p>
                  <w:pPr>
                    <w:pStyle w:val="9"/>
                    <w:spacing w:before="0" w:after="0" w:line="240" w:lineRule="auto"/>
                    <w:ind w:right="0"/>
                    <w:jc w:val="center"/>
                    <w:rPr>
                      <w:sz w:val="21"/>
                      <w:szCs w:val="21"/>
                    </w:rPr>
                  </w:pPr>
                  <w:r>
                    <w:rPr>
                      <w:sz w:val="21"/>
                      <w:szCs w:val="21"/>
                    </w:rPr>
                    <w:t xml:space="preserve">6.000 </w:t>
                  </w:r>
                </w:p>
              </w:tc>
              <w:tc>
                <w:tcPr>
                  <w:tcW w:w="1132" w:type="dxa"/>
                  <w:vAlign w:val="center"/>
                </w:tcPr>
                <w:p>
                  <w:pPr>
                    <w:pStyle w:val="9"/>
                    <w:spacing w:before="0" w:after="0" w:line="240" w:lineRule="auto"/>
                    <w:ind w:right="0"/>
                    <w:jc w:val="center"/>
                    <w:rPr>
                      <w:sz w:val="21"/>
                      <w:szCs w:val="21"/>
                    </w:rPr>
                  </w:pPr>
                  <w:r>
                    <w:rPr>
                      <w:sz w:val="21"/>
                      <w:szCs w:val="21"/>
                    </w:rPr>
                    <w:t>0.6</w:t>
                  </w:r>
                </w:p>
              </w:tc>
              <w:tc>
                <w:tcPr>
                  <w:tcW w:w="844" w:type="dxa"/>
                  <w:vMerge w:val="continue"/>
                  <w:vAlign w:val="center"/>
                </w:tcPr>
                <w:p>
                  <w:pPr>
                    <w:pStyle w:val="9"/>
                    <w:spacing w:before="0" w:after="0" w:line="240" w:lineRule="auto"/>
                    <w:ind w:right="0"/>
                    <w:jc w:val="center"/>
                    <w:rPr>
                      <w:sz w:val="21"/>
                      <w:szCs w:val="21"/>
                    </w:rPr>
                  </w:pPr>
                </w:p>
              </w:tc>
              <w:tc>
                <w:tcPr>
                  <w:tcW w:w="759" w:type="dxa"/>
                  <w:vAlign w:val="center"/>
                </w:tcPr>
                <w:p>
                  <w:pPr>
                    <w:pStyle w:val="9"/>
                    <w:spacing w:before="0" w:after="0" w:line="240" w:lineRule="auto"/>
                    <w:ind w:right="0"/>
                    <w:jc w:val="center"/>
                    <w:rPr>
                      <w:sz w:val="21"/>
                      <w:szCs w:val="21"/>
                    </w:rPr>
                  </w:pPr>
                  <w:r>
                    <w:rPr>
                      <w:rFonts w:hint="eastAsia"/>
                      <w:sz w:val="21"/>
                      <w:szCs w:val="21"/>
                    </w:rPr>
                    <w:t>6</w:t>
                  </w:r>
                  <w:r>
                    <w:rPr>
                      <w:sz w:val="21"/>
                      <w:szCs w:val="21"/>
                    </w:rPr>
                    <w:t>5%</w:t>
                  </w:r>
                </w:p>
              </w:tc>
              <w:tc>
                <w:tcPr>
                  <w:tcW w:w="1132" w:type="dxa"/>
                  <w:vMerge w:val="continue"/>
                  <w:vAlign w:val="center"/>
                </w:tcPr>
                <w:p>
                  <w:pPr>
                    <w:pStyle w:val="9"/>
                    <w:spacing w:before="0" w:after="0" w:line="240" w:lineRule="auto"/>
                    <w:ind w:right="0"/>
                    <w:jc w:val="center"/>
                    <w:rPr>
                      <w:sz w:val="21"/>
                      <w:szCs w:val="21"/>
                    </w:rPr>
                  </w:pPr>
                </w:p>
              </w:tc>
              <w:tc>
                <w:tcPr>
                  <w:tcW w:w="1273" w:type="dxa"/>
                  <w:vAlign w:val="center"/>
                </w:tcPr>
                <w:p>
                  <w:pPr>
                    <w:pStyle w:val="9"/>
                    <w:spacing w:before="0" w:after="0" w:line="240" w:lineRule="auto"/>
                    <w:ind w:right="0"/>
                    <w:jc w:val="center"/>
                    <w:rPr>
                      <w:sz w:val="21"/>
                      <w:szCs w:val="21"/>
                    </w:rPr>
                  </w:pPr>
                  <w:r>
                    <w:rPr>
                      <w:sz w:val="21"/>
                      <w:szCs w:val="21"/>
                    </w:rPr>
                    <w:t>2.1</w:t>
                  </w:r>
                </w:p>
              </w:tc>
              <w:tc>
                <w:tcPr>
                  <w:tcW w:w="1132" w:type="dxa"/>
                  <w:vAlign w:val="center"/>
                </w:tcPr>
                <w:p>
                  <w:pPr>
                    <w:pStyle w:val="9"/>
                    <w:spacing w:before="0" w:after="0" w:line="240" w:lineRule="auto"/>
                    <w:ind w:right="0"/>
                    <w:jc w:val="center"/>
                    <w:rPr>
                      <w:sz w:val="21"/>
                      <w:szCs w:val="21"/>
                    </w:rPr>
                  </w:pPr>
                  <w:r>
                    <w:rPr>
                      <w:sz w:val="21"/>
                      <w:szCs w:val="21"/>
                    </w:rPr>
                    <w:t>0.21</w:t>
                  </w:r>
                </w:p>
              </w:tc>
              <w:tc>
                <w:tcPr>
                  <w:tcW w:w="847" w:type="dxa"/>
                  <w:vAlign w:val="center"/>
                </w:tcPr>
                <w:p>
                  <w:pPr>
                    <w:pStyle w:val="9"/>
                    <w:spacing w:before="0" w:after="0" w:line="240" w:lineRule="auto"/>
                    <w:ind w:right="0"/>
                    <w:jc w:val="center"/>
                    <w:rPr>
                      <w:sz w:val="21"/>
                      <w:szCs w:val="21"/>
                    </w:rPr>
                  </w:pPr>
                  <w:r>
                    <w:rPr>
                      <w:rFonts w:hint="eastAsia"/>
                      <w:sz w:val="21"/>
                      <w:szCs w:val="21"/>
                    </w:rPr>
                    <w:t>6</w:t>
                  </w:r>
                  <w:r>
                    <w:rPr>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pStyle w:val="9"/>
                    <w:spacing w:before="0" w:after="0" w:line="240" w:lineRule="auto"/>
                    <w:ind w:right="0"/>
                    <w:jc w:val="center"/>
                    <w:rPr>
                      <w:sz w:val="21"/>
                      <w:szCs w:val="21"/>
                    </w:rPr>
                  </w:pPr>
                </w:p>
              </w:tc>
              <w:tc>
                <w:tcPr>
                  <w:tcW w:w="1126" w:type="dxa"/>
                  <w:vAlign w:val="center"/>
                </w:tcPr>
                <w:p>
                  <w:pPr>
                    <w:pStyle w:val="9"/>
                    <w:spacing w:before="0" w:after="0" w:line="240" w:lineRule="auto"/>
                    <w:ind w:right="0"/>
                    <w:jc w:val="center"/>
                    <w:rPr>
                      <w:sz w:val="21"/>
                      <w:szCs w:val="21"/>
                    </w:rPr>
                  </w:pPr>
                  <w:r>
                    <w:rPr>
                      <w:sz w:val="21"/>
                      <w:szCs w:val="21"/>
                    </w:rPr>
                    <w:t>NOx</w:t>
                  </w:r>
                  <w:r>
                    <w:rPr>
                      <w:rFonts w:hint="eastAsia"/>
                      <w:sz w:val="21"/>
                      <w:szCs w:val="21"/>
                    </w:rPr>
                    <w:t>（燃煤）</w:t>
                  </w:r>
                </w:p>
              </w:tc>
              <w:tc>
                <w:tcPr>
                  <w:tcW w:w="1122" w:type="dxa"/>
                  <w:vAlign w:val="center"/>
                </w:tcPr>
                <w:p>
                  <w:pPr>
                    <w:widowControl/>
                    <w:jc w:val="center"/>
                    <w:rPr>
                      <w:szCs w:val="21"/>
                    </w:rPr>
                  </w:pPr>
                  <w:r>
                    <w:rPr>
                      <w:rFonts w:hint="eastAsia"/>
                      <w:szCs w:val="21"/>
                    </w:rPr>
                    <w:t>物料核算法</w:t>
                  </w:r>
                </w:p>
              </w:tc>
              <w:tc>
                <w:tcPr>
                  <w:tcW w:w="1132" w:type="dxa"/>
                  <w:vMerge w:val="continue"/>
                  <w:vAlign w:val="center"/>
                </w:tcPr>
                <w:p>
                  <w:pPr>
                    <w:pStyle w:val="9"/>
                    <w:spacing w:before="0" w:after="0" w:line="240" w:lineRule="auto"/>
                    <w:ind w:right="0"/>
                    <w:jc w:val="center"/>
                    <w:rPr>
                      <w:sz w:val="21"/>
                      <w:szCs w:val="21"/>
                    </w:rPr>
                  </w:pPr>
                </w:p>
              </w:tc>
              <w:tc>
                <w:tcPr>
                  <w:tcW w:w="1273" w:type="dxa"/>
                  <w:vAlign w:val="center"/>
                </w:tcPr>
                <w:p>
                  <w:pPr>
                    <w:pStyle w:val="9"/>
                    <w:spacing w:before="0" w:after="0" w:line="240" w:lineRule="auto"/>
                    <w:ind w:right="0"/>
                    <w:jc w:val="center"/>
                    <w:rPr>
                      <w:sz w:val="21"/>
                      <w:szCs w:val="21"/>
                    </w:rPr>
                  </w:pPr>
                  <w:r>
                    <w:rPr>
                      <w:sz w:val="21"/>
                      <w:szCs w:val="21"/>
                    </w:rPr>
                    <w:t xml:space="preserve">17.658 </w:t>
                  </w:r>
                </w:p>
              </w:tc>
              <w:tc>
                <w:tcPr>
                  <w:tcW w:w="1132" w:type="dxa"/>
                  <w:vAlign w:val="center"/>
                </w:tcPr>
                <w:p>
                  <w:pPr>
                    <w:pStyle w:val="9"/>
                    <w:spacing w:before="0" w:after="0" w:line="240" w:lineRule="auto"/>
                    <w:ind w:right="0"/>
                    <w:jc w:val="center"/>
                    <w:rPr>
                      <w:sz w:val="21"/>
                      <w:szCs w:val="21"/>
                    </w:rPr>
                  </w:pPr>
                  <w:r>
                    <w:rPr>
                      <w:sz w:val="21"/>
                      <w:szCs w:val="21"/>
                    </w:rPr>
                    <w:t>1.7658</w:t>
                  </w:r>
                </w:p>
              </w:tc>
              <w:tc>
                <w:tcPr>
                  <w:tcW w:w="844" w:type="dxa"/>
                  <w:vMerge w:val="continue"/>
                  <w:vAlign w:val="center"/>
                </w:tcPr>
                <w:p>
                  <w:pPr>
                    <w:pStyle w:val="9"/>
                    <w:spacing w:before="0" w:after="0" w:line="240" w:lineRule="auto"/>
                    <w:ind w:right="0"/>
                    <w:jc w:val="center"/>
                    <w:rPr>
                      <w:sz w:val="21"/>
                      <w:szCs w:val="21"/>
                    </w:rPr>
                  </w:pPr>
                </w:p>
              </w:tc>
              <w:tc>
                <w:tcPr>
                  <w:tcW w:w="759" w:type="dxa"/>
                  <w:vAlign w:val="center"/>
                </w:tcPr>
                <w:p>
                  <w:pPr>
                    <w:pStyle w:val="9"/>
                    <w:spacing w:before="0" w:after="0" w:line="240" w:lineRule="auto"/>
                    <w:ind w:right="0"/>
                    <w:jc w:val="center"/>
                    <w:rPr>
                      <w:sz w:val="21"/>
                      <w:szCs w:val="21"/>
                    </w:rPr>
                  </w:pPr>
                  <w:r>
                    <w:rPr>
                      <w:rFonts w:hint="eastAsia"/>
                      <w:sz w:val="21"/>
                      <w:szCs w:val="21"/>
                    </w:rPr>
                    <w:t>0</w:t>
                  </w:r>
                  <w:r>
                    <w:rPr>
                      <w:sz w:val="21"/>
                      <w:szCs w:val="21"/>
                    </w:rPr>
                    <w:t>%</w:t>
                  </w:r>
                </w:p>
              </w:tc>
              <w:tc>
                <w:tcPr>
                  <w:tcW w:w="1132" w:type="dxa"/>
                  <w:vMerge w:val="continue"/>
                  <w:vAlign w:val="center"/>
                </w:tcPr>
                <w:p>
                  <w:pPr>
                    <w:pStyle w:val="9"/>
                    <w:spacing w:before="0" w:after="0" w:line="240" w:lineRule="auto"/>
                    <w:ind w:right="0"/>
                    <w:jc w:val="center"/>
                    <w:rPr>
                      <w:sz w:val="21"/>
                      <w:szCs w:val="21"/>
                    </w:rPr>
                  </w:pPr>
                </w:p>
              </w:tc>
              <w:tc>
                <w:tcPr>
                  <w:tcW w:w="1273" w:type="dxa"/>
                  <w:vAlign w:val="center"/>
                </w:tcPr>
                <w:p>
                  <w:pPr>
                    <w:pStyle w:val="9"/>
                    <w:spacing w:before="0" w:after="0" w:line="240" w:lineRule="auto"/>
                    <w:ind w:right="0"/>
                    <w:jc w:val="center"/>
                    <w:rPr>
                      <w:sz w:val="21"/>
                      <w:szCs w:val="21"/>
                    </w:rPr>
                  </w:pPr>
                  <w:r>
                    <w:rPr>
                      <w:sz w:val="21"/>
                      <w:szCs w:val="21"/>
                    </w:rPr>
                    <w:t>17.658</w:t>
                  </w:r>
                </w:p>
              </w:tc>
              <w:tc>
                <w:tcPr>
                  <w:tcW w:w="1132" w:type="dxa"/>
                  <w:vAlign w:val="center"/>
                </w:tcPr>
                <w:p>
                  <w:pPr>
                    <w:pStyle w:val="9"/>
                    <w:spacing w:before="0" w:after="0" w:line="240" w:lineRule="auto"/>
                    <w:ind w:right="0"/>
                    <w:jc w:val="center"/>
                    <w:rPr>
                      <w:sz w:val="21"/>
                      <w:szCs w:val="21"/>
                    </w:rPr>
                  </w:pPr>
                  <w:r>
                    <w:rPr>
                      <w:sz w:val="21"/>
                      <w:szCs w:val="21"/>
                    </w:rPr>
                    <w:t>1.7658</w:t>
                  </w:r>
                </w:p>
              </w:tc>
              <w:tc>
                <w:tcPr>
                  <w:tcW w:w="847" w:type="dxa"/>
                  <w:vAlign w:val="center"/>
                </w:tcPr>
                <w:p>
                  <w:pPr>
                    <w:pStyle w:val="9"/>
                    <w:spacing w:before="0" w:after="0" w:line="240" w:lineRule="auto"/>
                    <w:ind w:right="0"/>
                    <w:jc w:val="center"/>
                    <w:rPr>
                      <w:sz w:val="21"/>
                      <w:szCs w:val="21"/>
                    </w:rPr>
                  </w:pPr>
                  <w:r>
                    <w:rPr>
                      <w:rFonts w:hint="eastAsia"/>
                      <w:sz w:val="21"/>
                      <w:szCs w:val="21"/>
                    </w:rPr>
                    <w:t>6</w:t>
                  </w:r>
                  <w:r>
                    <w:rPr>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pStyle w:val="9"/>
                    <w:spacing w:before="0" w:after="0" w:line="240" w:lineRule="auto"/>
                    <w:ind w:right="0"/>
                    <w:jc w:val="center"/>
                    <w:rPr>
                      <w:sz w:val="21"/>
                      <w:szCs w:val="21"/>
                    </w:rPr>
                  </w:pPr>
                </w:p>
              </w:tc>
              <w:tc>
                <w:tcPr>
                  <w:tcW w:w="1126" w:type="dxa"/>
                  <w:vAlign w:val="center"/>
                </w:tcPr>
                <w:p>
                  <w:pPr>
                    <w:pStyle w:val="9"/>
                    <w:spacing w:before="0" w:after="0" w:line="240" w:lineRule="auto"/>
                    <w:ind w:right="0"/>
                    <w:jc w:val="center"/>
                    <w:rPr>
                      <w:sz w:val="21"/>
                      <w:szCs w:val="21"/>
                    </w:rPr>
                  </w:pPr>
                  <w:r>
                    <w:rPr>
                      <w:sz w:val="21"/>
                      <w:szCs w:val="21"/>
                    </w:rPr>
                    <w:t>NOx</w:t>
                  </w:r>
                  <w:r>
                    <w:rPr>
                      <w:rFonts w:hint="eastAsia"/>
                      <w:sz w:val="21"/>
                      <w:szCs w:val="21"/>
                    </w:rPr>
                    <w:t>（天然气）</w:t>
                  </w:r>
                </w:p>
              </w:tc>
              <w:tc>
                <w:tcPr>
                  <w:tcW w:w="1122" w:type="dxa"/>
                  <w:vAlign w:val="center"/>
                </w:tcPr>
                <w:p>
                  <w:pPr>
                    <w:pStyle w:val="9"/>
                    <w:spacing w:before="0" w:after="0" w:line="240" w:lineRule="auto"/>
                    <w:ind w:right="0"/>
                    <w:jc w:val="center"/>
                    <w:rPr>
                      <w:sz w:val="21"/>
                      <w:szCs w:val="21"/>
                    </w:rPr>
                  </w:pPr>
                  <w:r>
                    <w:rPr>
                      <w:rFonts w:hint="eastAsia"/>
                      <w:sz w:val="21"/>
                      <w:szCs w:val="21"/>
                    </w:rPr>
                    <w:t>产排污系数法</w:t>
                  </w:r>
                </w:p>
              </w:tc>
              <w:tc>
                <w:tcPr>
                  <w:tcW w:w="1132" w:type="dxa"/>
                  <w:vMerge w:val="continue"/>
                  <w:vAlign w:val="center"/>
                </w:tcPr>
                <w:p>
                  <w:pPr>
                    <w:pStyle w:val="9"/>
                    <w:spacing w:before="0" w:after="0" w:line="240" w:lineRule="auto"/>
                    <w:ind w:right="0"/>
                    <w:jc w:val="center"/>
                    <w:rPr>
                      <w:sz w:val="21"/>
                      <w:szCs w:val="21"/>
                    </w:rPr>
                  </w:pPr>
                </w:p>
              </w:tc>
              <w:tc>
                <w:tcPr>
                  <w:tcW w:w="1273" w:type="dxa"/>
                  <w:vAlign w:val="center"/>
                </w:tcPr>
                <w:p>
                  <w:pPr>
                    <w:pStyle w:val="9"/>
                    <w:spacing w:before="0" w:after="0" w:line="240" w:lineRule="auto"/>
                    <w:ind w:right="0"/>
                    <w:jc w:val="center"/>
                    <w:rPr>
                      <w:sz w:val="21"/>
                      <w:szCs w:val="21"/>
                    </w:rPr>
                  </w:pPr>
                  <w:r>
                    <w:rPr>
                      <w:sz w:val="21"/>
                      <w:szCs w:val="21"/>
                    </w:rPr>
                    <w:t xml:space="preserve">23.805 </w:t>
                  </w:r>
                </w:p>
              </w:tc>
              <w:tc>
                <w:tcPr>
                  <w:tcW w:w="1132" w:type="dxa"/>
                  <w:vAlign w:val="center"/>
                </w:tcPr>
                <w:p>
                  <w:pPr>
                    <w:pStyle w:val="9"/>
                    <w:spacing w:before="0" w:after="0" w:line="240" w:lineRule="auto"/>
                    <w:ind w:right="0"/>
                    <w:jc w:val="center"/>
                    <w:rPr>
                      <w:sz w:val="21"/>
                      <w:szCs w:val="21"/>
                    </w:rPr>
                  </w:pPr>
                  <w:r>
                    <w:rPr>
                      <w:sz w:val="21"/>
                      <w:szCs w:val="21"/>
                    </w:rPr>
                    <w:t>2.3805</w:t>
                  </w:r>
                </w:p>
              </w:tc>
              <w:tc>
                <w:tcPr>
                  <w:tcW w:w="844" w:type="dxa"/>
                  <w:vMerge w:val="continue"/>
                  <w:vAlign w:val="center"/>
                </w:tcPr>
                <w:p>
                  <w:pPr>
                    <w:pStyle w:val="9"/>
                    <w:spacing w:before="0" w:after="0" w:line="240" w:lineRule="auto"/>
                    <w:ind w:right="0"/>
                    <w:jc w:val="center"/>
                    <w:rPr>
                      <w:sz w:val="21"/>
                      <w:szCs w:val="21"/>
                    </w:rPr>
                  </w:pPr>
                </w:p>
              </w:tc>
              <w:tc>
                <w:tcPr>
                  <w:tcW w:w="759" w:type="dxa"/>
                  <w:vAlign w:val="center"/>
                </w:tcPr>
                <w:p>
                  <w:pPr>
                    <w:pStyle w:val="9"/>
                    <w:spacing w:before="0" w:after="0" w:line="240" w:lineRule="auto"/>
                    <w:ind w:right="0"/>
                    <w:jc w:val="center"/>
                    <w:rPr>
                      <w:sz w:val="21"/>
                      <w:szCs w:val="21"/>
                    </w:rPr>
                  </w:pPr>
                  <w:r>
                    <w:rPr>
                      <w:rFonts w:hint="eastAsia"/>
                      <w:sz w:val="21"/>
                      <w:szCs w:val="21"/>
                    </w:rPr>
                    <w:t>0</w:t>
                  </w:r>
                  <w:r>
                    <w:rPr>
                      <w:sz w:val="21"/>
                      <w:szCs w:val="21"/>
                    </w:rPr>
                    <w:t>%</w:t>
                  </w:r>
                </w:p>
              </w:tc>
              <w:tc>
                <w:tcPr>
                  <w:tcW w:w="1132" w:type="dxa"/>
                  <w:vMerge w:val="continue"/>
                  <w:vAlign w:val="center"/>
                </w:tcPr>
                <w:p>
                  <w:pPr>
                    <w:pStyle w:val="9"/>
                    <w:spacing w:before="0" w:after="0" w:line="240" w:lineRule="auto"/>
                    <w:ind w:right="0"/>
                    <w:jc w:val="center"/>
                    <w:rPr>
                      <w:sz w:val="21"/>
                      <w:szCs w:val="21"/>
                    </w:rPr>
                  </w:pPr>
                </w:p>
              </w:tc>
              <w:tc>
                <w:tcPr>
                  <w:tcW w:w="1273" w:type="dxa"/>
                  <w:vAlign w:val="center"/>
                </w:tcPr>
                <w:p>
                  <w:pPr>
                    <w:pStyle w:val="9"/>
                    <w:spacing w:before="0" w:after="0" w:line="240" w:lineRule="auto"/>
                    <w:ind w:right="0"/>
                    <w:jc w:val="center"/>
                    <w:rPr>
                      <w:sz w:val="21"/>
                      <w:szCs w:val="21"/>
                    </w:rPr>
                  </w:pPr>
                  <w:r>
                    <w:rPr>
                      <w:sz w:val="21"/>
                      <w:szCs w:val="21"/>
                    </w:rPr>
                    <w:t>23.805</w:t>
                  </w:r>
                </w:p>
              </w:tc>
              <w:tc>
                <w:tcPr>
                  <w:tcW w:w="1132" w:type="dxa"/>
                  <w:vAlign w:val="center"/>
                </w:tcPr>
                <w:p>
                  <w:pPr>
                    <w:pStyle w:val="9"/>
                    <w:spacing w:before="0" w:after="0" w:line="240" w:lineRule="auto"/>
                    <w:ind w:right="0"/>
                    <w:jc w:val="center"/>
                    <w:rPr>
                      <w:sz w:val="21"/>
                      <w:szCs w:val="21"/>
                    </w:rPr>
                  </w:pPr>
                  <w:r>
                    <w:rPr>
                      <w:sz w:val="21"/>
                      <w:szCs w:val="21"/>
                    </w:rPr>
                    <w:t>2.3805</w:t>
                  </w:r>
                </w:p>
              </w:tc>
              <w:tc>
                <w:tcPr>
                  <w:tcW w:w="847" w:type="dxa"/>
                  <w:vAlign w:val="center"/>
                </w:tcPr>
                <w:p>
                  <w:pPr>
                    <w:pStyle w:val="9"/>
                    <w:spacing w:before="0" w:after="0" w:line="240" w:lineRule="auto"/>
                    <w:ind w:right="0"/>
                    <w:jc w:val="center"/>
                    <w:rPr>
                      <w:sz w:val="21"/>
                      <w:szCs w:val="21"/>
                    </w:rPr>
                  </w:pPr>
                  <w:r>
                    <w:rPr>
                      <w:rFonts w:hint="eastAsia"/>
                      <w:sz w:val="21"/>
                      <w:szCs w:val="21"/>
                    </w:rPr>
                    <w:t>6</w:t>
                  </w:r>
                  <w:r>
                    <w:rPr>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pStyle w:val="9"/>
                    <w:spacing w:before="0" w:after="0" w:line="240" w:lineRule="auto"/>
                    <w:ind w:right="0"/>
                    <w:jc w:val="center"/>
                    <w:rPr>
                      <w:sz w:val="21"/>
                      <w:szCs w:val="21"/>
                    </w:rPr>
                  </w:pPr>
                </w:p>
              </w:tc>
              <w:tc>
                <w:tcPr>
                  <w:tcW w:w="1126" w:type="dxa"/>
                  <w:vAlign w:val="center"/>
                </w:tcPr>
                <w:p>
                  <w:pPr>
                    <w:pStyle w:val="9"/>
                    <w:spacing w:before="0" w:after="0" w:line="240" w:lineRule="auto"/>
                    <w:ind w:right="0"/>
                    <w:jc w:val="center"/>
                    <w:rPr>
                      <w:sz w:val="21"/>
                      <w:szCs w:val="21"/>
                    </w:rPr>
                  </w:pPr>
                  <w:r>
                    <w:rPr>
                      <w:rFonts w:hint="eastAsia"/>
                      <w:sz w:val="21"/>
                      <w:szCs w:val="21"/>
                    </w:rPr>
                    <w:t>颗粒物（燃煤）</w:t>
                  </w:r>
                </w:p>
              </w:tc>
              <w:tc>
                <w:tcPr>
                  <w:tcW w:w="1122" w:type="dxa"/>
                  <w:vAlign w:val="center"/>
                </w:tcPr>
                <w:p>
                  <w:pPr>
                    <w:pStyle w:val="9"/>
                    <w:spacing w:before="0" w:after="0" w:line="240" w:lineRule="auto"/>
                    <w:ind w:right="0"/>
                    <w:jc w:val="center"/>
                    <w:rPr>
                      <w:sz w:val="21"/>
                      <w:szCs w:val="21"/>
                    </w:rPr>
                  </w:pPr>
                  <w:r>
                    <w:rPr>
                      <w:rFonts w:hint="eastAsia"/>
                      <w:sz w:val="21"/>
                      <w:szCs w:val="21"/>
                    </w:rPr>
                    <w:t>物料核算法</w:t>
                  </w:r>
                </w:p>
              </w:tc>
              <w:tc>
                <w:tcPr>
                  <w:tcW w:w="1132" w:type="dxa"/>
                  <w:vMerge w:val="continue"/>
                  <w:vAlign w:val="center"/>
                </w:tcPr>
                <w:p>
                  <w:pPr>
                    <w:pStyle w:val="9"/>
                    <w:spacing w:before="0" w:after="0" w:line="240" w:lineRule="auto"/>
                    <w:ind w:right="0"/>
                    <w:jc w:val="center"/>
                    <w:rPr>
                      <w:sz w:val="21"/>
                      <w:szCs w:val="21"/>
                    </w:rPr>
                  </w:pPr>
                </w:p>
              </w:tc>
              <w:tc>
                <w:tcPr>
                  <w:tcW w:w="1273" w:type="dxa"/>
                  <w:vAlign w:val="center"/>
                </w:tcPr>
                <w:p>
                  <w:pPr>
                    <w:pStyle w:val="9"/>
                    <w:spacing w:before="0" w:after="0" w:line="240" w:lineRule="auto"/>
                    <w:ind w:right="0"/>
                    <w:jc w:val="center"/>
                    <w:rPr>
                      <w:sz w:val="21"/>
                      <w:szCs w:val="21"/>
                    </w:rPr>
                  </w:pPr>
                  <w:r>
                    <w:rPr>
                      <w:rFonts w:hint="eastAsia"/>
                      <w:sz w:val="21"/>
                      <w:szCs w:val="21"/>
                    </w:rPr>
                    <w:t>2</w:t>
                  </w:r>
                  <w:r>
                    <w:rPr>
                      <w:sz w:val="21"/>
                      <w:szCs w:val="21"/>
                    </w:rPr>
                    <w:t>360.61</w:t>
                  </w:r>
                </w:p>
              </w:tc>
              <w:tc>
                <w:tcPr>
                  <w:tcW w:w="1132" w:type="dxa"/>
                  <w:vAlign w:val="center"/>
                </w:tcPr>
                <w:p>
                  <w:pPr>
                    <w:pStyle w:val="9"/>
                    <w:spacing w:before="0" w:after="0" w:line="240" w:lineRule="auto"/>
                    <w:ind w:right="0"/>
                    <w:jc w:val="center"/>
                    <w:rPr>
                      <w:sz w:val="21"/>
                      <w:szCs w:val="21"/>
                    </w:rPr>
                  </w:pPr>
                  <w:r>
                    <w:rPr>
                      <w:rFonts w:hint="eastAsia"/>
                      <w:sz w:val="21"/>
                      <w:szCs w:val="21"/>
                    </w:rPr>
                    <w:t>2</w:t>
                  </w:r>
                  <w:r>
                    <w:rPr>
                      <w:sz w:val="21"/>
                      <w:szCs w:val="21"/>
                    </w:rPr>
                    <w:t>36.061</w:t>
                  </w:r>
                </w:p>
              </w:tc>
              <w:tc>
                <w:tcPr>
                  <w:tcW w:w="844" w:type="dxa"/>
                  <w:vMerge w:val="continue"/>
                  <w:vAlign w:val="center"/>
                </w:tcPr>
                <w:p>
                  <w:pPr>
                    <w:pStyle w:val="9"/>
                    <w:spacing w:before="0" w:after="0" w:line="240" w:lineRule="auto"/>
                    <w:ind w:right="0"/>
                    <w:jc w:val="center"/>
                    <w:rPr>
                      <w:sz w:val="21"/>
                      <w:szCs w:val="21"/>
                    </w:rPr>
                  </w:pPr>
                </w:p>
              </w:tc>
              <w:tc>
                <w:tcPr>
                  <w:tcW w:w="759" w:type="dxa"/>
                  <w:vAlign w:val="center"/>
                </w:tcPr>
                <w:p>
                  <w:pPr>
                    <w:pStyle w:val="9"/>
                    <w:spacing w:before="0" w:after="0" w:line="240" w:lineRule="auto"/>
                    <w:ind w:right="0"/>
                    <w:jc w:val="center"/>
                    <w:rPr>
                      <w:sz w:val="21"/>
                      <w:szCs w:val="21"/>
                    </w:rPr>
                  </w:pPr>
                  <w:r>
                    <w:rPr>
                      <w:rFonts w:hint="eastAsia"/>
                      <w:sz w:val="21"/>
                      <w:szCs w:val="21"/>
                    </w:rPr>
                    <w:t>9</w:t>
                  </w:r>
                  <w:r>
                    <w:rPr>
                      <w:sz w:val="21"/>
                      <w:szCs w:val="21"/>
                    </w:rPr>
                    <w:t>9.5%</w:t>
                  </w:r>
                </w:p>
              </w:tc>
              <w:tc>
                <w:tcPr>
                  <w:tcW w:w="1132" w:type="dxa"/>
                  <w:vMerge w:val="continue"/>
                  <w:vAlign w:val="center"/>
                </w:tcPr>
                <w:p>
                  <w:pPr>
                    <w:pStyle w:val="9"/>
                    <w:spacing w:before="0" w:after="0" w:line="240" w:lineRule="auto"/>
                    <w:ind w:right="0"/>
                    <w:jc w:val="center"/>
                    <w:rPr>
                      <w:sz w:val="21"/>
                      <w:szCs w:val="21"/>
                    </w:rPr>
                  </w:pPr>
                </w:p>
              </w:tc>
              <w:tc>
                <w:tcPr>
                  <w:tcW w:w="1273" w:type="dxa"/>
                  <w:vAlign w:val="center"/>
                </w:tcPr>
                <w:p>
                  <w:pPr>
                    <w:pStyle w:val="9"/>
                    <w:spacing w:before="0" w:after="0" w:line="240" w:lineRule="auto"/>
                    <w:ind w:right="0"/>
                    <w:jc w:val="center"/>
                    <w:rPr>
                      <w:sz w:val="21"/>
                      <w:szCs w:val="21"/>
                    </w:rPr>
                  </w:pPr>
                  <w:r>
                    <w:rPr>
                      <w:rFonts w:hint="eastAsia"/>
                      <w:sz w:val="21"/>
                      <w:szCs w:val="21"/>
                    </w:rPr>
                    <w:t>1</w:t>
                  </w:r>
                  <w:r>
                    <w:rPr>
                      <w:sz w:val="21"/>
                      <w:szCs w:val="21"/>
                    </w:rPr>
                    <w:t>1.803</w:t>
                  </w:r>
                </w:p>
              </w:tc>
              <w:tc>
                <w:tcPr>
                  <w:tcW w:w="1132" w:type="dxa"/>
                  <w:vAlign w:val="center"/>
                </w:tcPr>
                <w:p>
                  <w:pPr>
                    <w:pStyle w:val="9"/>
                    <w:spacing w:before="0" w:after="0" w:line="240" w:lineRule="auto"/>
                    <w:ind w:right="0"/>
                    <w:jc w:val="center"/>
                    <w:rPr>
                      <w:sz w:val="21"/>
                      <w:szCs w:val="21"/>
                    </w:rPr>
                  </w:pPr>
                  <w:r>
                    <w:rPr>
                      <w:rFonts w:hint="eastAsia"/>
                      <w:sz w:val="21"/>
                      <w:szCs w:val="21"/>
                    </w:rPr>
                    <w:t>1</w:t>
                  </w:r>
                  <w:r>
                    <w:rPr>
                      <w:sz w:val="21"/>
                      <w:szCs w:val="21"/>
                    </w:rPr>
                    <w:t>.180</w:t>
                  </w:r>
                </w:p>
              </w:tc>
              <w:tc>
                <w:tcPr>
                  <w:tcW w:w="847" w:type="dxa"/>
                  <w:vAlign w:val="center"/>
                </w:tcPr>
                <w:p>
                  <w:pPr>
                    <w:pStyle w:val="9"/>
                    <w:spacing w:before="0" w:after="0" w:line="240" w:lineRule="auto"/>
                    <w:ind w:right="0"/>
                    <w:jc w:val="center"/>
                    <w:rPr>
                      <w:sz w:val="21"/>
                      <w:szCs w:val="21"/>
                    </w:rPr>
                  </w:pPr>
                  <w:r>
                    <w:rPr>
                      <w:rFonts w:hint="eastAsia"/>
                      <w:sz w:val="21"/>
                      <w:szCs w:val="21"/>
                    </w:rPr>
                    <w:t>6</w:t>
                  </w:r>
                  <w:r>
                    <w:rPr>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pStyle w:val="9"/>
                    <w:spacing w:before="0" w:after="0" w:line="240" w:lineRule="auto"/>
                    <w:ind w:right="0"/>
                    <w:jc w:val="center"/>
                    <w:rPr>
                      <w:sz w:val="21"/>
                      <w:szCs w:val="21"/>
                    </w:rPr>
                  </w:pPr>
                </w:p>
              </w:tc>
              <w:tc>
                <w:tcPr>
                  <w:tcW w:w="1126" w:type="dxa"/>
                  <w:vAlign w:val="center"/>
                </w:tcPr>
                <w:p>
                  <w:pPr>
                    <w:pStyle w:val="9"/>
                    <w:spacing w:before="0" w:after="0" w:line="240" w:lineRule="auto"/>
                    <w:ind w:right="0"/>
                    <w:jc w:val="center"/>
                    <w:rPr>
                      <w:sz w:val="21"/>
                      <w:szCs w:val="21"/>
                    </w:rPr>
                  </w:pPr>
                  <w:r>
                    <w:rPr>
                      <w:rFonts w:hint="eastAsia"/>
                      <w:sz w:val="21"/>
                      <w:szCs w:val="21"/>
                    </w:rPr>
                    <w:t>颗粒物（天然气）</w:t>
                  </w:r>
                </w:p>
              </w:tc>
              <w:tc>
                <w:tcPr>
                  <w:tcW w:w="1122" w:type="dxa"/>
                  <w:vAlign w:val="center"/>
                </w:tcPr>
                <w:p>
                  <w:pPr>
                    <w:pStyle w:val="9"/>
                    <w:spacing w:before="0" w:after="0" w:line="240" w:lineRule="auto"/>
                    <w:ind w:right="0"/>
                    <w:jc w:val="center"/>
                    <w:rPr>
                      <w:sz w:val="21"/>
                      <w:szCs w:val="21"/>
                    </w:rPr>
                  </w:pPr>
                  <w:r>
                    <w:rPr>
                      <w:rFonts w:hint="eastAsia"/>
                      <w:sz w:val="21"/>
                      <w:szCs w:val="21"/>
                    </w:rPr>
                    <w:t>产排污系数法</w:t>
                  </w:r>
                </w:p>
              </w:tc>
              <w:tc>
                <w:tcPr>
                  <w:tcW w:w="1132" w:type="dxa"/>
                  <w:vMerge w:val="continue"/>
                  <w:vAlign w:val="center"/>
                </w:tcPr>
                <w:p>
                  <w:pPr>
                    <w:pStyle w:val="9"/>
                    <w:spacing w:before="0" w:after="0" w:line="240" w:lineRule="auto"/>
                    <w:ind w:right="0"/>
                    <w:jc w:val="center"/>
                    <w:rPr>
                      <w:sz w:val="21"/>
                      <w:szCs w:val="21"/>
                    </w:rPr>
                  </w:pPr>
                </w:p>
              </w:tc>
              <w:tc>
                <w:tcPr>
                  <w:tcW w:w="1273" w:type="dxa"/>
                  <w:vAlign w:val="center"/>
                </w:tcPr>
                <w:p>
                  <w:pPr>
                    <w:pStyle w:val="9"/>
                    <w:spacing w:before="0" w:after="0" w:line="240" w:lineRule="auto"/>
                    <w:ind w:right="0"/>
                    <w:jc w:val="center"/>
                    <w:rPr>
                      <w:sz w:val="21"/>
                      <w:szCs w:val="21"/>
                    </w:rPr>
                  </w:pPr>
                  <w:r>
                    <w:rPr>
                      <w:rFonts w:hint="eastAsia"/>
                      <w:sz w:val="21"/>
                      <w:szCs w:val="21"/>
                    </w:rPr>
                    <w:t>2</w:t>
                  </w:r>
                  <w:r>
                    <w:rPr>
                      <w:sz w:val="21"/>
                      <w:szCs w:val="21"/>
                    </w:rPr>
                    <w:t>.1</w:t>
                  </w:r>
                </w:p>
              </w:tc>
              <w:tc>
                <w:tcPr>
                  <w:tcW w:w="1132" w:type="dxa"/>
                  <w:vAlign w:val="center"/>
                </w:tcPr>
                <w:p>
                  <w:pPr>
                    <w:pStyle w:val="9"/>
                    <w:spacing w:before="0" w:after="0" w:line="240" w:lineRule="auto"/>
                    <w:ind w:right="0"/>
                    <w:jc w:val="center"/>
                    <w:rPr>
                      <w:sz w:val="21"/>
                      <w:szCs w:val="21"/>
                    </w:rPr>
                  </w:pPr>
                  <w:r>
                    <w:rPr>
                      <w:rFonts w:hint="eastAsia"/>
                      <w:sz w:val="21"/>
                      <w:szCs w:val="21"/>
                    </w:rPr>
                    <w:t>0</w:t>
                  </w:r>
                  <w:r>
                    <w:rPr>
                      <w:sz w:val="21"/>
                      <w:szCs w:val="21"/>
                    </w:rPr>
                    <w:t>.21</w:t>
                  </w:r>
                </w:p>
              </w:tc>
              <w:tc>
                <w:tcPr>
                  <w:tcW w:w="844" w:type="dxa"/>
                  <w:vMerge w:val="continue"/>
                  <w:vAlign w:val="center"/>
                </w:tcPr>
                <w:p>
                  <w:pPr>
                    <w:pStyle w:val="9"/>
                    <w:spacing w:before="0" w:after="0" w:line="240" w:lineRule="auto"/>
                    <w:ind w:right="0"/>
                    <w:jc w:val="center"/>
                    <w:rPr>
                      <w:sz w:val="21"/>
                      <w:szCs w:val="21"/>
                    </w:rPr>
                  </w:pPr>
                </w:p>
              </w:tc>
              <w:tc>
                <w:tcPr>
                  <w:tcW w:w="759" w:type="dxa"/>
                  <w:vAlign w:val="center"/>
                </w:tcPr>
                <w:p>
                  <w:pPr>
                    <w:pStyle w:val="9"/>
                    <w:spacing w:before="0" w:after="0" w:line="240" w:lineRule="auto"/>
                    <w:ind w:right="0"/>
                    <w:jc w:val="center"/>
                    <w:rPr>
                      <w:sz w:val="21"/>
                      <w:szCs w:val="21"/>
                    </w:rPr>
                  </w:pPr>
                  <w:r>
                    <w:rPr>
                      <w:rFonts w:hint="eastAsia"/>
                      <w:sz w:val="21"/>
                      <w:szCs w:val="21"/>
                    </w:rPr>
                    <w:t>9</w:t>
                  </w:r>
                  <w:r>
                    <w:rPr>
                      <w:sz w:val="21"/>
                      <w:szCs w:val="21"/>
                    </w:rPr>
                    <w:t>9.5%</w:t>
                  </w:r>
                </w:p>
              </w:tc>
              <w:tc>
                <w:tcPr>
                  <w:tcW w:w="1132" w:type="dxa"/>
                  <w:vMerge w:val="continue"/>
                  <w:vAlign w:val="center"/>
                </w:tcPr>
                <w:p>
                  <w:pPr>
                    <w:pStyle w:val="9"/>
                    <w:spacing w:before="0" w:after="0" w:line="240" w:lineRule="auto"/>
                    <w:ind w:right="0"/>
                    <w:jc w:val="center"/>
                    <w:rPr>
                      <w:sz w:val="21"/>
                      <w:szCs w:val="21"/>
                    </w:rPr>
                  </w:pPr>
                </w:p>
              </w:tc>
              <w:tc>
                <w:tcPr>
                  <w:tcW w:w="1273" w:type="dxa"/>
                  <w:vAlign w:val="center"/>
                </w:tcPr>
                <w:p>
                  <w:pPr>
                    <w:pStyle w:val="9"/>
                    <w:spacing w:before="0" w:after="0" w:line="240" w:lineRule="auto"/>
                    <w:ind w:right="0"/>
                    <w:jc w:val="center"/>
                    <w:rPr>
                      <w:sz w:val="21"/>
                      <w:szCs w:val="21"/>
                    </w:rPr>
                  </w:pPr>
                  <w:r>
                    <w:rPr>
                      <w:rFonts w:hint="eastAsia"/>
                      <w:sz w:val="21"/>
                      <w:szCs w:val="21"/>
                    </w:rPr>
                    <w:t>0</w:t>
                  </w:r>
                  <w:r>
                    <w:rPr>
                      <w:sz w:val="21"/>
                      <w:szCs w:val="21"/>
                    </w:rPr>
                    <w:t>.0105</w:t>
                  </w:r>
                </w:p>
              </w:tc>
              <w:tc>
                <w:tcPr>
                  <w:tcW w:w="1132" w:type="dxa"/>
                  <w:vAlign w:val="center"/>
                </w:tcPr>
                <w:p>
                  <w:pPr>
                    <w:pStyle w:val="9"/>
                    <w:spacing w:before="0" w:after="0" w:line="240" w:lineRule="auto"/>
                    <w:ind w:right="0"/>
                    <w:jc w:val="center"/>
                    <w:rPr>
                      <w:sz w:val="21"/>
                      <w:szCs w:val="21"/>
                    </w:rPr>
                  </w:pPr>
                  <w:r>
                    <w:rPr>
                      <w:rFonts w:hint="eastAsia"/>
                      <w:sz w:val="21"/>
                      <w:szCs w:val="21"/>
                    </w:rPr>
                    <w:t>0</w:t>
                  </w:r>
                  <w:r>
                    <w:rPr>
                      <w:sz w:val="21"/>
                      <w:szCs w:val="21"/>
                    </w:rPr>
                    <w:t>.0011</w:t>
                  </w:r>
                </w:p>
              </w:tc>
              <w:tc>
                <w:tcPr>
                  <w:tcW w:w="847" w:type="dxa"/>
                  <w:vAlign w:val="center"/>
                </w:tcPr>
                <w:p>
                  <w:pPr>
                    <w:pStyle w:val="9"/>
                    <w:spacing w:before="0" w:after="0" w:line="240" w:lineRule="auto"/>
                    <w:ind w:right="0"/>
                    <w:jc w:val="center"/>
                    <w:rPr>
                      <w:sz w:val="21"/>
                      <w:szCs w:val="21"/>
                    </w:rPr>
                  </w:pPr>
                  <w:r>
                    <w:rPr>
                      <w:rFonts w:hint="eastAsia"/>
                      <w:sz w:val="21"/>
                      <w:szCs w:val="21"/>
                    </w:rPr>
                    <w:t>6</w:t>
                  </w:r>
                  <w:r>
                    <w:rPr>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pStyle w:val="9"/>
                    <w:spacing w:before="0" w:after="0" w:line="240" w:lineRule="auto"/>
                    <w:ind w:right="0"/>
                    <w:jc w:val="center"/>
                    <w:rPr>
                      <w:sz w:val="21"/>
                      <w:szCs w:val="21"/>
                    </w:rPr>
                  </w:pPr>
                </w:p>
              </w:tc>
              <w:tc>
                <w:tcPr>
                  <w:tcW w:w="1126" w:type="dxa"/>
                  <w:vAlign w:val="center"/>
                </w:tcPr>
                <w:p>
                  <w:pPr>
                    <w:pStyle w:val="9"/>
                    <w:spacing w:before="0" w:after="0" w:line="240" w:lineRule="auto"/>
                    <w:ind w:right="0"/>
                    <w:jc w:val="center"/>
                    <w:rPr>
                      <w:sz w:val="21"/>
                      <w:szCs w:val="21"/>
                    </w:rPr>
                  </w:pPr>
                  <w:r>
                    <w:rPr>
                      <w:rFonts w:hint="eastAsia"/>
                      <w:sz w:val="21"/>
                      <w:szCs w:val="21"/>
                    </w:rPr>
                    <w:t>颗粒物（生产工艺）</w:t>
                  </w:r>
                </w:p>
              </w:tc>
              <w:tc>
                <w:tcPr>
                  <w:tcW w:w="1122" w:type="dxa"/>
                  <w:vAlign w:val="center"/>
                </w:tcPr>
                <w:p>
                  <w:pPr>
                    <w:pStyle w:val="9"/>
                    <w:spacing w:before="0" w:after="0" w:line="240" w:lineRule="auto"/>
                    <w:ind w:right="0"/>
                    <w:jc w:val="center"/>
                    <w:rPr>
                      <w:sz w:val="21"/>
                      <w:szCs w:val="21"/>
                    </w:rPr>
                  </w:pPr>
                  <w:r>
                    <w:rPr>
                      <w:rFonts w:hint="eastAsia"/>
                      <w:sz w:val="21"/>
                      <w:szCs w:val="21"/>
                    </w:rPr>
                    <w:t>物料平衡</w:t>
                  </w:r>
                </w:p>
              </w:tc>
              <w:tc>
                <w:tcPr>
                  <w:tcW w:w="1132" w:type="dxa"/>
                  <w:vMerge w:val="continue"/>
                  <w:vAlign w:val="center"/>
                </w:tcPr>
                <w:p>
                  <w:pPr>
                    <w:pStyle w:val="9"/>
                    <w:spacing w:before="0" w:after="0" w:line="240" w:lineRule="auto"/>
                    <w:ind w:right="0"/>
                    <w:jc w:val="center"/>
                    <w:rPr>
                      <w:sz w:val="21"/>
                      <w:szCs w:val="21"/>
                    </w:rPr>
                  </w:pPr>
                </w:p>
              </w:tc>
              <w:tc>
                <w:tcPr>
                  <w:tcW w:w="1273" w:type="dxa"/>
                  <w:vAlign w:val="center"/>
                </w:tcPr>
                <w:p>
                  <w:pPr>
                    <w:pStyle w:val="9"/>
                    <w:spacing w:before="0" w:after="0" w:line="240" w:lineRule="auto"/>
                    <w:ind w:right="0"/>
                    <w:jc w:val="center"/>
                    <w:rPr>
                      <w:sz w:val="21"/>
                      <w:szCs w:val="21"/>
                    </w:rPr>
                  </w:pPr>
                  <w:r>
                    <w:rPr>
                      <w:sz w:val="21"/>
                      <w:szCs w:val="21"/>
                    </w:rPr>
                    <w:t>4588.89</w:t>
                  </w:r>
                </w:p>
              </w:tc>
              <w:tc>
                <w:tcPr>
                  <w:tcW w:w="1132" w:type="dxa"/>
                  <w:vAlign w:val="center"/>
                </w:tcPr>
                <w:p>
                  <w:pPr>
                    <w:pStyle w:val="9"/>
                    <w:spacing w:before="0" w:after="0" w:line="240" w:lineRule="auto"/>
                    <w:ind w:right="0"/>
                    <w:jc w:val="center"/>
                    <w:rPr>
                      <w:sz w:val="21"/>
                      <w:szCs w:val="21"/>
                    </w:rPr>
                  </w:pPr>
                  <w:r>
                    <w:rPr>
                      <w:rFonts w:hint="eastAsia"/>
                      <w:sz w:val="21"/>
                      <w:szCs w:val="21"/>
                    </w:rPr>
                    <w:t>4</w:t>
                  </w:r>
                  <w:r>
                    <w:rPr>
                      <w:sz w:val="21"/>
                      <w:szCs w:val="21"/>
                    </w:rPr>
                    <w:t>58.889</w:t>
                  </w:r>
                </w:p>
              </w:tc>
              <w:tc>
                <w:tcPr>
                  <w:tcW w:w="844" w:type="dxa"/>
                  <w:vMerge w:val="continue"/>
                  <w:vAlign w:val="center"/>
                </w:tcPr>
                <w:p>
                  <w:pPr>
                    <w:pStyle w:val="9"/>
                    <w:spacing w:before="0" w:after="0" w:line="240" w:lineRule="auto"/>
                    <w:ind w:right="0"/>
                    <w:jc w:val="center"/>
                    <w:rPr>
                      <w:sz w:val="21"/>
                      <w:szCs w:val="21"/>
                    </w:rPr>
                  </w:pPr>
                </w:p>
              </w:tc>
              <w:tc>
                <w:tcPr>
                  <w:tcW w:w="759" w:type="dxa"/>
                  <w:vAlign w:val="center"/>
                </w:tcPr>
                <w:p>
                  <w:pPr>
                    <w:pStyle w:val="9"/>
                    <w:spacing w:before="0" w:after="0" w:line="240" w:lineRule="auto"/>
                    <w:ind w:right="0"/>
                    <w:jc w:val="center"/>
                    <w:rPr>
                      <w:sz w:val="21"/>
                      <w:szCs w:val="21"/>
                    </w:rPr>
                  </w:pPr>
                  <w:r>
                    <w:rPr>
                      <w:rFonts w:hint="eastAsia"/>
                      <w:sz w:val="21"/>
                      <w:szCs w:val="21"/>
                    </w:rPr>
                    <w:t>9</w:t>
                  </w:r>
                  <w:r>
                    <w:rPr>
                      <w:sz w:val="21"/>
                      <w:szCs w:val="21"/>
                    </w:rPr>
                    <w:t>9.5%</w:t>
                  </w:r>
                </w:p>
              </w:tc>
              <w:tc>
                <w:tcPr>
                  <w:tcW w:w="1132" w:type="dxa"/>
                  <w:vMerge w:val="continue"/>
                  <w:vAlign w:val="center"/>
                </w:tcPr>
                <w:p>
                  <w:pPr>
                    <w:pStyle w:val="9"/>
                    <w:spacing w:before="0" w:after="0" w:line="240" w:lineRule="auto"/>
                    <w:ind w:right="0"/>
                    <w:jc w:val="center"/>
                    <w:rPr>
                      <w:sz w:val="21"/>
                      <w:szCs w:val="21"/>
                    </w:rPr>
                  </w:pPr>
                </w:p>
              </w:tc>
              <w:tc>
                <w:tcPr>
                  <w:tcW w:w="1273" w:type="dxa"/>
                  <w:vAlign w:val="center"/>
                </w:tcPr>
                <w:p>
                  <w:pPr>
                    <w:pStyle w:val="9"/>
                    <w:spacing w:before="0" w:after="0" w:line="240" w:lineRule="auto"/>
                    <w:ind w:right="0"/>
                    <w:jc w:val="center"/>
                    <w:rPr>
                      <w:sz w:val="21"/>
                      <w:szCs w:val="21"/>
                    </w:rPr>
                  </w:pPr>
                  <w:r>
                    <w:rPr>
                      <w:rFonts w:hint="eastAsia"/>
                      <w:sz w:val="21"/>
                      <w:szCs w:val="21"/>
                    </w:rPr>
                    <w:t>2</w:t>
                  </w:r>
                  <w:r>
                    <w:rPr>
                      <w:sz w:val="21"/>
                      <w:szCs w:val="21"/>
                    </w:rPr>
                    <w:t>2.944</w:t>
                  </w:r>
                </w:p>
              </w:tc>
              <w:tc>
                <w:tcPr>
                  <w:tcW w:w="1132" w:type="dxa"/>
                  <w:vAlign w:val="center"/>
                </w:tcPr>
                <w:p>
                  <w:pPr>
                    <w:pStyle w:val="9"/>
                    <w:spacing w:before="0" w:after="0" w:line="240" w:lineRule="auto"/>
                    <w:ind w:right="0"/>
                    <w:jc w:val="center"/>
                    <w:rPr>
                      <w:sz w:val="21"/>
                      <w:szCs w:val="21"/>
                    </w:rPr>
                  </w:pPr>
                  <w:r>
                    <w:rPr>
                      <w:rFonts w:hint="eastAsia"/>
                      <w:sz w:val="21"/>
                      <w:szCs w:val="21"/>
                    </w:rPr>
                    <w:t>2</w:t>
                  </w:r>
                  <w:r>
                    <w:rPr>
                      <w:sz w:val="21"/>
                      <w:szCs w:val="21"/>
                    </w:rPr>
                    <w:t>.294</w:t>
                  </w:r>
                </w:p>
              </w:tc>
              <w:tc>
                <w:tcPr>
                  <w:tcW w:w="847" w:type="dxa"/>
                  <w:vAlign w:val="center"/>
                </w:tcPr>
                <w:p>
                  <w:pPr>
                    <w:pStyle w:val="9"/>
                    <w:spacing w:before="0" w:after="0" w:line="240" w:lineRule="auto"/>
                    <w:ind w:right="0"/>
                    <w:jc w:val="center"/>
                    <w:rPr>
                      <w:sz w:val="21"/>
                      <w:szCs w:val="21"/>
                    </w:rPr>
                  </w:pPr>
                  <w:r>
                    <w:rPr>
                      <w:rFonts w:hint="eastAsia"/>
                      <w:sz w:val="21"/>
                      <w:szCs w:val="21"/>
                    </w:rPr>
                    <w:t>7</w:t>
                  </w:r>
                  <w:r>
                    <w:rPr>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pStyle w:val="9"/>
                    <w:spacing w:before="0" w:after="0" w:line="240" w:lineRule="auto"/>
                    <w:ind w:right="0"/>
                    <w:jc w:val="center"/>
                    <w:rPr>
                      <w:sz w:val="21"/>
                      <w:szCs w:val="21"/>
                    </w:rPr>
                  </w:pPr>
                </w:p>
              </w:tc>
              <w:tc>
                <w:tcPr>
                  <w:tcW w:w="1126" w:type="dxa"/>
                  <w:vAlign w:val="center"/>
                </w:tcPr>
                <w:p>
                  <w:pPr>
                    <w:pStyle w:val="9"/>
                    <w:spacing w:before="0" w:after="0" w:line="240" w:lineRule="auto"/>
                    <w:ind w:right="0"/>
                    <w:jc w:val="center"/>
                    <w:rPr>
                      <w:sz w:val="21"/>
                      <w:szCs w:val="21"/>
                    </w:rPr>
                  </w:pPr>
                  <w:r>
                    <w:rPr>
                      <w:rFonts w:hint="eastAsia"/>
                      <w:sz w:val="21"/>
                      <w:szCs w:val="21"/>
                    </w:rPr>
                    <w:t>氟化物</w:t>
                  </w:r>
                </w:p>
              </w:tc>
              <w:tc>
                <w:tcPr>
                  <w:tcW w:w="1122" w:type="dxa"/>
                  <w:vAlign w:val="center"/>
                </w:tcPr>
                <w:p>
                  <w:pPr>
                    <w:pStyle w:val="9"/>
                    <w:spacing w:before="0" w:after="0" w:line="240" w:lineRule="auto"/>
                    <w:ind w:right="0"/>
                    <w:jc w:val="center"/>
                    <w:rPr>
                      <w:sz w:val="21"/>
                      <w:szCs w:val="21"/>
                    </w:rPr>
                  </w:pPr>
                  <w:r>
                    <w:rPr>
                      <w:rFonts w:hint="eastAsia"/>
                      <w:sz w:val="21"/>
                      <w:szCs w:val="21"/>
                    </w:rPr>
                    <w:t>物料平衡</w:t>
                  </w:r>
                </w:p>
              </w:tc>
              <w:tc>
                <w:tcPr>
                  <w:tcW w:w="1132" w:type="dxa"/>
                  <w:vMerge w:val="continue"/>
                  <w:vAlign w:val="center"/>
                </w:tcPr>
                <w:p>
                  <w:pPr>
                    <w:pStyle w:val="9"/>
                    <w:spacing w:before="0" w:after="0" w:line="240" w:lineRule="auto"/>
                    <w:ind w:right="0"/>
                    <w:jc w:val="center"/>
                    <w:rPr>
                      <w:sz w:val="21"/>
                      <w:szCs w:val="21"/>
                    </w:rPr>
                  </w:pPr>
                </w:p>
              </w:tc>
              <w:tc>
                <w:tcPr>
                  <w:tcW w:w="1273" w:type="dxa"/>
                  <w:vAlign w:val="center"/>
                </w:tcPr>
                <w:p>
                  <w:pPr>
                    <w:pStyle w:val="9"/>
                    <w:spacing w:before="0" w:after="0" w:line="240" w:lineRule="auto"/>
                    <w:ind w:right="0"/>
                    <w:jc w:val="center"/>
                    <w:rPr>
                      <w:sz w:val="21"/>
                      <w:szCs w:val="21"/>
                    </w:rPr>
                  </w:pPr>
                  <w:r>
                    <w:rPr>
                      <w:sz w:val="21"/>
                      <w:szCs w:val="21"/>
                    </w:rPr>
                    <w:t>9.03</w:t>
                  </w:r>
                </w:p>
              </w:tc>
              <w:tc>
                <w:tcPr>
                  <w:tcW w:w="1132" w:type="dxa"/>
                  <w:vAlign w:val="center"/>
                </w:tcPr>
                <w:p>
                  <w:pPr>
                    <w:pStyle w:val="9"/>
                    <w:spacing w:before="0" w:after="0" w:line="240" w:lineRule="auto"/>
                    <w:ind w:right="0"/>
                    <w:jc w:val="center"/>
                    <w:rPr>
                      <w:sz w:val="21"/>
                      <w:szCs w:val="21"/>
                    </w:rPr>
                  </w:pPr>
                  <w:r>
                    <w:rPr>
                      <w:sz w:val="21"/>
                      <w:szCs w:val="21"/>
                    </w:rPr>
                    <w:t>0.903</w:t>
                  </w:r>
                </w:p>
              </w:tc>
              <w:tc>
                <w:tcPr>
                  <w:tcW w:w="844" w:type="dxa"/>
                  <w:vMerge w:val="continue"/>
                  <w:vAlign w:val="center"/>
                </w:tcPr>
                <w:p>
                  <w:pPr>
                    <w:pStyle w:val="9"/>
                    <w:spacing w:before="0" w:after="0" w:line="240" w:lineRule="auto"/>
                    <w:ind w:right="0"/>
                    <w:jc w:val="center"/>
                    <w:rPr>
                      <w:sz w:val="21"/>
                      <w:szCs w:val="21"/>
                    </w:rPr>
                  </w:pPr>
                </w:p>
              </w:tc>
              <w:tc>
                <w:tcPr>
                  <w:tcW w:w="759" w:type="dxa"/>
                  <w:vAlign w:val="center"/>
                </w:tcPr>
                <w:p>
                  <w:pPr>
                    <w:pStyle w:val="9"/>
                    <w:spacing w:before="0" w:after="0" w:line="240" w:lineRule="auto"/>
                    <w:ind w:right="0"/>
                    <w:jc w:val="center"/>
                    <w:rPr>
                      <w:sz w:val="21"/>
                      <w:szCs w:val="21"/>
                    </w:rPr>
                  </w:pPr>
                  <w:r>
                    <w:rPr>
                      <w:rFonts w:hint="eastAsia"/>
                      <w:sz w:val="21"/>
                      <w:szCs w:val="21"/>
                    </w:rPr>
                    <w:t>9</w:t>
                  </w:r>
                  <w:r>
                    <w:rPr>
                      <w:sz w:val="21"/>
                      <w:szCs w:val="21"/>
                    </w:rPr>
                    <w:t>0%</w:t>
                  </w:r>
                </w:p>
              </w:tc>
              <w:tc>
                <w:tcPr>
                  <w:tcW w:w="1132" w:type="dxa"/>
                  <w:vMerge w:val="continue"/>
                  <w:vAlign w:val="center"/>
                </w:tcPr>
                <w:p>
                  <w:pPr>
                    <w:pStyle w:val="9"/>
                    <w:spacing w:before="0" w:after="0" w:line="240" w:lineRule="auto"/>
                    <w:ind w:right="0"/>
                    <w:jc w:val="center"/>
                    <w:rPr>
                      <w:sz w:val="21"/>
                      <w:szCs w:val="21"/>
                    </w:rPr>
                  </w:pPr>
                </w:p>
              </w:tc>
              <w:tc>
                <w:tcPr>
                  <w:tcW w:w="1273" w:type="dxa"/>
                  <w:vAlign w:val="center"/>
                </w:tcPr>
                <w:p>
                  <w:pPr>
                    <w:pStyle w:val="9"/>
                    <w:spacing w:before="0" w:after="0" w:line="240" w:lineRule="auto"/>
                    <w:ind w:right="0"/>
                    <w:jc w:val="center"/>
                    <w:rPr>
                      <w:sz w:val="21"/>
                      <w:szCs w:val="21"/>
                    </w:rPr>
                  </w:pPr>
                  <w:r>
                    <w:rPr>
                      <w:sz w:val="21"/>
                      <w:szCs w:val="21"/>
                    </w:rPr>
                    <w:t>0.903</w:t>
                  </w:r>
                </w:p>
              </w:tc>
              <w:tc>
                <w:tcPr>
                  <w:tcW w:w="1132" w:type="dxa"/>
                  <w:vAlign w:val="center"/>
                </w:tcPr>
                <w:p>
                  <w:pPr>
                    <w:pStyle w:val="9"/>
                    <w:spacing w:before="0" w:after="0" w:line="240" w:lineRule="auto"/>
                    <w:ind w:right="0"/>
                    <w:jc w:val="center"/>
                    <w:rPr>
                      <w:sz w:val="21"/>
                      <w:szCs w:val="21"/>
                    </w:rPr>
                  </w:pPr>
                  <w:r>
                    <w:rPr>
                      <w:sz w:val="21"/>
                      <w:szCs w:val="21"/>
                    </w:rPr>
                    <w:t>0.0903</w:t>
                  </w:r>
                </w:p>
              </w:tc>
              <w:tc>
                <w:tcPr>
                  <w:tcW w:w="847" w:type="dxa"/>
                  <w:vAlign w:val="center"/>
                </w:tcPr>
                <w:p>
                  <w:pPr>
                    <w:pStyle w:val="9"/>
                    <w:spacing w:before="0" w:after="0" w:line="240" w:lineRule="auto"/>
                    <w:ind w:right="0"/>
                    <w:jc w:val="center"/>
                    <w:rPr>
                      <w:sz w:val="21"/>
                      <w:szCs w:val="21"/>
                    </w:rPr>
                  </w:pPr>
                  <w:r>
                    <w:rPr>
                      <w:rFonts w:hint="eastAsia"/>
                      <w:sz w:val="21"/>
                      <w:szCs w:val="21"/>
                    </w:rPr>
                    <w:t>7</w:t>
                  </w:r>
                  <w:r>
                    <w:rPr>
                      <w:sz w:val="21"/>
                      <w:szCs w:val="21"/>
                    </w:rPr>
                    <w:t>200</w:t>
                  </w:r>
                </w:p>
              </w:tc>
            </w:tr>
          </w:tbl>
          <w:p>
            <w:pPr>
              <w:adjustRightInd w:val="0"/>
              <w:spacing w:line="360" w:lineRule="auto"/>
              <w:ind w:firstLine="422" w:firstLineChars="200"/>
              <w:jc w:val="center"/>
              <w:outlineLvl w:val="0"/>
              <w:rPr>
                <w:b/>
              </w:rPr>
            </w:pPr>
            <w:r>
              <w:rPr>
                <w:rFonts w:hint="eastAsia"/>
                <w:b/>
              </w:rPr>
              <w:t>表4</w:t>
            </w:r>
            <w:r>
              <w:rPr>
                <w:b/>
              </w:rPr>
              <w:t xml:space="preserve">-2  </w:t>
            </w:r>
            <w:r>
              <w:rPr>
                <w:rFonts w:hint="eastAsia"/>
                <w:b/>
              </w:rPr>
              <w:t>项目大气污染物有组织排放量核算表</w:t>
            </w:r>
          </w:p>
          <w:tbl>
            <w:tblPr>
              <w:tblStyle w:val="23"/>
              <w:tblW w:w="6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1885"/>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6" w:type="dxa"/>
                  <w:vAlign w:val="center"/>
                </w:tcPr>
                <w:p>
                  <w:pPr>
                    <w:pStyle w:val="29"/>
                    <w:spacing w:line="240" w:lineRule="auto"/>
                    <w:ind w:firstLine="0" w:firstLineChars="0"/>
                    <w:jc w:val="center"/>
                    <w:rPr>
                      <w:color w:val="auto"/>
                      <w:sz w:val="21"/>
                      <w:szCs w:val="21"/>
                    </w:rPr>
                  </w:pPr>
                  <w:r>
                    <w:rPr>
                      <w:rFonts w:hint="eastAsia"/>
                      <w:color w:val="auto"/>
                      <w:sz w:val="21"/>
                      <w:szCs w:val="21"/>
                    </w:rPr>
                    <w:t>排气筒编号</w:t>
                  </w:r>
                </w:p>
              </w:tc>
              <w:tc>
                <w:tcPr>
                  <w:tcW w:w="1885" w:type="dxa"/>
                  <w:vAlign w:val="center"/>
                </w:tcPr>
                <w:p>
                  <w:pPr>
                    <w:pStyle w:val="29"/>
                    <w:spacing w:line="240" w:lineRule="auto"/>
                    <w:ind w:firstLine="0" w:firstLineChars="0"/>
                    <w:jc w:val="center"/>
                    <w:rPr>
                      <w:color w:val="auto"/>
                      <w:sz w:val="21"/>
                      <w:szCs w:val="21"/>
                    </w:rPr>
                  </w:pPr>
                  <w:r>
                    <w:rPr>
                      <w:rFonts w:hint="eastAsia"/>
                      <w:color w:val="auto"/>
                      <w:sz w:val="21"/>
                      <w:szCs w:val="21"/>
                    </w:rPr>
                    <w:t>污染物</w:t>
                  </w:r>
                </w:p>
              </w:tc>
              <w:tc>
                <w:tcPr>
                  <w:tcW w:w="2888" w:type="dxa"/>
                  <w:vAlign w:val="center"/>
                </w:tcPr>
                <w:p>
                  <w:pPr>
                    <w:pStyle w:val="29"/>
                    <w:spacing w:line="240" w:lineRule="auto"/>
                    <w:ind w:firstLine="0" w:firstLineChars="0"/>
                    <w:jc w:val="center"/>
                    <w:rPr>
                      <w:color w:val="auto"/>
                      <w:sz w:val="21"/>
                      <w:szCs w:val="21"/>
                    </w:rPr>
                  </w:pPr>
                  <w:r>
                    <w:rPr>
                      <w:rFonts w:hint="eastAsia"/>
                      <w:color w:val="auto"/>
                      <w:sz w:val="21"/>
                      <w:szCs w:val="21"/>
                    </w:rPr>
                    <w:t>核算年排放量（t</w:t>
                  </w:r>
                  <w:r>
                    <w:rPr>
                      <w:color w:val="auto"/>
                      <w:sz w:val="21"/>
                      <w:szCs w:val="21"/>
                    </w:rPr>
                    <w:t>/a</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6" w:type="dxa"/>
                  <w:vMerge w:val="restart"/>
                  <w:vAlign w:val="center"/>
                </w:tcPr>
                <w:p>
                  <w:pPr>
                    <w:pStyle w:val="29"/>
                    <w:spacing w:line="240" w:lineRule="auto"/>
                    <w:ind w:firstLine="0" w:firstLineChars="0"/>
                    <w:jc w:val="center"/>
                    <w:rPr>
                      <w:color w:val="auto"/>
                      <w:sz w:val="21"/>
                      <w:szCs w:val="21"/>
                    </w:rPr>
                  </w:pPr>
                  <w:r>
                    <w:rPr>
                      <w:rFonts w:hint="eastAsia"/>
                      <w:color w:val="auto"/>
                      <w:sz w:val="21"/>
                      <w:szCs w:val="21"/>
                    </w:rPr>
                    <w:t>D</w:t>
                  </w:r>
                  <w:r>
                    <w:rPr>
                      <w:color w:val="auto"/>
                      <w:sz w:val="21"/>
                      <w:szCs w:val="21"/>
                    </w:rPr>
                    <w:t>A004</w:t>
                  </w:r>
                </w:p>
              </w:tc>
              <w:tc>
                <w:tcPr>
                  <w:tcW w:w="1885" w:type="dxa"/>
                  <w:vAlign w:val="center"/>
                </w:tcPr>
                <w:p>
                  <w:pPr>
                    <w:pStyle w:val="29"/>
                    <w:spacing w:line="240" w:lineRule="auto"/>
                    <w:ind w:firstLine="0" w:firstLineChars="0"/>
                    <w:jc w:val="center"/>
                    <w:rPr>
                      <w:color w:val="auto"/>
                      <w:sz w:val="21"/>
                      <w:szCs w:val="21"/>
                    </w:rPr>
                  </w:pPr>
                  <w:r>
                    <w:rPr>
                      <w:rFonts w:hint="eastAsia"/>
                      <w:color w:val="auto"/>
                      <w:sz w:val="21"/>
                      <w:szCs w:val="21"/>
                    </w:rPr>
                    <w:t>废气量</w:t>
                  </w:r>
                </w:p>
              </w:tc>
              <w:tc>
                <w:tcPr>
                  <w:tcW w:w="2888" w:type="dxa"/>
                  <w:vAlign w:val="center"/>
                </w:tcPr>
                <w:p>
                  <w:pPr>
                    <w:pStyle w:val="29"/>
                    <w:spacing w:line="240" w:lineRule="auto"/>
                    <w:ind w:firstLine="0" w:firstLineChars="0"/>
                    <w:jc w:val="center"/>
                    <w:rPr>
                      <w:color w:val="auto"/>
                      <w:sz w:val="21"/>
                      <w:szCs w:val="21"/>
                    </w:rPr>
                  </w:pPr>
                  <w:r>
                    <w:rPr>
                      <w:color w:val="auto"/>
                      <w:sz w:val="21"/>
                      <w:szCs w:val="21"/>
                    </w:rPr>
                    <w:t>72000</w:t>
                  </w:r>
                  <w:r>
                    <w:rPr>
                      <w:rFonts w:hint="eastAsia"/>
                      <w:color w:val="auto"/>
                      <w:sz w:val="21"/>
                      <w:szCs w:val="21"/>
                    </w:rPr>
                    <w:t>万m</w:t>
                  </w:r>
                  <w:r>
                    <w:rPr>
                      <w:color w:val="auto"/>
                      <w:sz w:val="21"/>
                      <w:szCs w:val="21"/>
                      <w:vertAlign w:val="superscript"/>
                    </w:rPr>
                    <w:t>3</w:t>
                  </w:r>
                  <w:r>
                    <w:rPr>
                      <w:color w:val="auto"/>
                      <w:sz w:val="21"/>
                      <w:szCs w:val="21"/>
                    </w:rPr>
                    <w:t>/a</w:t>
                  </w:r>
                  <w:r>
                    <w:rPr>
                      <w:rFonts w:hint="eastAsia"/>
                      <w:color w:val="auto"/>
                      <w:sz w:val="21"/>
                      <w:szCs w:val="21"/>
                    </w:rPr>
                    <w:t>（</w:t>
                  </w:r>
                  <w:r>
                    <w:rPr>
                      <w:color w:val="auto"/>
                      <w:sz w:val="21"/>
                      <w:szCs w:val="21"/>
                    </w:rPr>
                    <w:t>100000m</w:t>
                  </w:r>
                  <w:r>
                    <w:rPr>
                      <w:color w:val="auto"/>
                      <w:sz w:val="21"/>
                      <w:szCs w:val="21"/>
                      <w:vertAlign w:val="superscript"/>
                    </w:rPr>
                    <w:t>3</w:t>
                  </w:r>
                  <w:r>
                    <w:rPr>
                      <w:rFonts w:hint="eastAsia"/>
                      <w:color w:val="auto"/>
                      <w:sz w:val="21"/>
                      <w:szCs w:val="21"/>
                    </w:rPr>
                    <w:t>/</w:t>
                  </w:r>
                  <w:r>
                    <w:rPr>
                      <w:color w:val="auto"/>
                      <w:sz w:val="21"/>
                      <w:szCs w:val="21"/>
                    </w:rPr>
                    <w:t>h</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6" w:type="dxa"/>
                  <w:vMerge w:val="continue"/>
                  <w:vAlign w:val="center"/>
                </w:tcPr>
                <w:p>
                  <w:pPr>
                    <w:pStyle w:val="29"/>
                    <w:spacing w:line="240" w:lineRule="auto"/>
                    <w:ind w:firstLine="0" w:firstLineChars="0"/>
                    <w:jc w:val="center"/>
                    <w:rPr>
                      <w:color w:val="auto"/>
                      <w:sz w:val="21"/>
                      <w:szCs w:val="21"/>
                    </w:rPr>
                  </w:pPr>
                </w:p>
              </w:tc>
              <w:tc>
                <w:tcPr>
                  <w:tcW w:w="1885" w:type="dxa"/>
                  <w:vAlign w:val="center"/>
                </w:tcPr>
                <w:p>
                  <w:pPr>
                    <w:pStyle w:val="29"/>
                    <w:spacing w:line="240" w:lineRule="auto"/>
                    <w:ind w:firstLine="0" w:firstLineChars="0"/>
                    <w:jc w:val="center"/>
                    <w:rPr>
                      <w:color w:val="auto"/>
                      <w:sz w:val="21"/>
                      <w:szCs w:val="21"/>
                    </w:rPr>
                  </w:pPr>
                  <w:r>
                    <w:rPr>
                      <w:rFonts w:hint="eastAsia"/>
                      <w:color w:val="auto"/>
                      <w:sz w:val="21"/>
                      <w:szCs w:val="21"/>
                    </w:rPr>
                    <w:t>S</w:t>
                  </w:r>
                  <w:r>
                    <w:rPr>
                      <w:color w:val="auto"/>
                      <w:sz w:val="21"/>
                      <w:szCs w:val="21"/>
                    </w:rPr>
                    <w:t>O</w:t>
                  </w:r>
                  <w:r>
                    <w:rPr>
                      <w:color w:val="auto"/>
                      <w:sz w:val="21"/>
                      <w:szCs w:val="21"/>
                      <w:vertAlign w:val="subscript"/>
                    </w:rPr>
                    <w:t>2</w:t>
                  </w:r>
                </w:p>
              </w:tc>
              <w:tc>
                <w:tcPr>
                  <w:tcW w:w="2888" w:type="dxa"/>
                  <w:vAlign w:val="center"/>
                </w:tcPr>
                <w:p>
                  <w:pPr>
                    <w:pStyle w:val="29"/>
                    <w:spacing w:line="240" w:lineRule="auto"/>
                    <w:ind w:firstLine="0" w:firstLineChars="0"/>
                    <w:jc w:val="center"/>
                    <w:rPr>
                      <w:color w:val="auto"/>
                      <w:sz w:val="21"/>
                      <w:szCs w:val="21"/>
                    </w:rPr>
                  </w:pPr>
                  <w:r>
                    <w:rPr>
                      <w:rFonts w:hint="eastAsia"/>
                      <w:color w:val="auto"/>
                      <w:sz w:val="21"/>
                      <w:szCs w:val="21"/>
                    </w:rPr>
                    <w:t>2</w:t>
                  </w:r>
                  <w:r>
                    <w:rPr>
                      <w:color w:val="auto"/>
                      <w:sz w:val="21"/>
                      <w:szCs w:val="21"/>
                    </w:rPr>
                    <w:t>0.487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6" w:type="dxa"/>
                  <w:vMerge w:val="continue"/>
                  <w:vAlign w:val="center"/>
                </w:tcPr>
                <w:p>
                  <w:pPr>
                    <w:pStyle w:val="29"/>
                    <w:spacing w:line="240" w:lineRule="auto"/>
                    <w:ind w:firstLine="0" w:firstLineChars="0"/>
                    <w:jc w:val="center"/>
                    <w:rPr>
                      <w:color w:val="auto"/>
                      <w:sz w:val="21"/>
                      <w:szCs w:val="21"/>
                    </w:rPr>
                  </w:pPr>
                </w:p>
              </w:tc>
              <w:tc>
                <w:tcPr>
                  <w:tcW w:w="1885" w:type="dxa"/>
                  <w:vAlign w:val="center"/>
                </w:tcPr>
                <w:p>
                  <w:pPr>
                    <w:pStyle w:val="29"/>
                    <w:spacing w:line="240" w:lineRule="auto"/>
                    <w:ind w:firstLine="0" w:firstLineChars="0"/>
                    <w:jc w:val="center"/>
                    <w:rPr>
                      <w:color w:val="auto"/>
                      <w:sz w:val="21"/>
                      <w:szCs w:val="21"/>
                    </w:rPr>
                  </w:pPr>
                  <w:r>
                    <w:rPr>
                      <w:rFonts w:hint="eastAsia"/>
                      <w:color w:val="auto"/>
                      <w:sz w:val="21"/>
                      <w:szCs w:val="21"/>
                    </w:rPr>
                    <w:t>N</w:t>
                  </w:r>
                  <w:r>
                    <w:rPr>
                      <w:color w:val="auto"/>
                      <w:sz w:val="21"/>
                      <w:szCs w:val="21"/>
                    </w:rPr>
                    <w:t>Ox</w:t>
                  </w:r>
                </w:p>
              </w:tc>
              <w:tc>
                <w:tcPr>
                  <w:tcW w:w="2888" w:type="dxa"/>
                  <w:vAlign w:val="center"/>
                </w:tcPr>
                <w:p>
                  <w:pPr>
                    <w:pStyle w:val="29"/>
                    <w:spacing w:line="240" w:lineRule="auto"/>
                    <w:ind w:firstLine="0" w:firstLineChars="0"/>
                    <w:jc w:val="center"/>
                    <w:rPr>
                      <w:color w:val="auto"/>
                      <w:sz w:val="21"/>
                      <w:szCs w:val="21"/>
                    </w:rPr>
                  </w:pPr>
                  <w:r>
                    <w:rPr>
                      <w:rFonts w:hint="eastAsia"/>
                      <w:color w:val="auto"/>
                      <w:sz w:val="21"/>
                      <w:szCs w:val="21"/>
                    </w:rPr>
                    <w:t>1</w:t>
                  </w:r>
                  <w:r>
                    <w:rPr>
                      <w:color w:val="auto"/>
                      <w:sz w:val="21"/>
                      <w:szCs w:val="21"/>
                    </w:rPr>
                    <w:t>3.082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6" w:type="dxa"/>
                  <w:vMerge w:val="continue"/>
                  <w:vAlign w:val="center"/>
                </w:tcPr>
                <w:p>
                  <w:pPr>
                    <w:pStyle w:val="29"/>
                    <w:spacing w:line="240" w:lineRule="auto"/>
                    <w:ind w:firstLine="0" w:firstLineChars="0"/>
                    <w:jc w:val="center"/>
                    <w:rPr>
                      <w:color w:val="auto"/>
                      <w:sz w:val="21"/>
                      <w:szCs w:val="21"/>
                    </w:rPr>
                  </w:pPr>
                </w:p>
              </w:tc>
              <w:tc>
                <w:tcPr>
                  <w:tcW w:w="1885" w:type="dxa"/>
                  <w:vAlign w:val="center"/>
                </w:tcPr>
                <w:p>
                  <w:pPr>
                    <w:pStyle w:val="29"/>
                    <w:spacing w:line="240" w:lineRule="auto"/>
                    <w:ind w:firstLine="0" w:firstLineChars="0"/>
                    <w:jc w:val="center"/>
                    <w:rPr>
                      <w:color w:val="auto"/>
                      <w:sz w:val="21"/>
                      <w:szCs w:val="21"/>
                    </w:rPr>
                  </w:pPr>
                  <w:r>
                    <w:rPr>
                      <w:rFonts w:hint="eastAsia"/>
                      <w:color w:val="auto"/>
                      <w:sz w:val="21"/>
                      <w:szCs w:val="21"/>
                    </w:rPr>
                    <w:t>颗粒物</w:t>
                  </w:r>
                </w:p>
              </w:tc>
              <w:tc>
                <w:tcPr>
                  <w:tcW w:w="2888" w:type="dxa"/>
                  <w:vAlign w:val="center"/>
                </w:tcPr>
                <w:p>
                  <w:pPr>
                    <w:pStyle w:val="29"/>
                    <w:spacing w:line="240" w:lineRule="auto"/>
                    <w:ind w:firstLine="0" w:firstLineChars="0"/>
                    <w:jc w:val="center"/>
                    <w:rPr>
                      <w:color w:val="auto"/>
                      <w:sz w:val="21"/>
                      <w:szCs w:val="21"/>
                    </w:rPr>
                  </w:pPr>
                  <w:r>
                    <w:rPr>
                      <w:rFonts w:hint="eastAsia"/>
                      <w:color w:val="auto"/>
                      <w:sz w:val="21"/>
                      <w:szCs w:val="21"/>
                    </w:rPr>
                    <w:t>2</w:t>
                  </w:r>
                  <w:r>
                    <w:rPr>
                      <w:color w:val="auto"/>
                      <w:sz w:val="21"/>
                      <w:szCs w:val="21"/>
                    </w:rPr>
                    <w:t>4.31</w:t>
                  </w:r>
                </w:p>
              </w:tc>
            </w:tr>
          </w:tbl>
          <w:p>
            <w:pPr>
              <w:pStyle w:val="59"/>
              <w:spacing w:line="360" w:lineRule="auto"/>
              <w:ind w:firstLine="480" w:firstLineChars="200"/>
              <w:jc w:val="center"/>
              <w:rPr>
                <w:rFonts w:ascii="Times New Roman" w:hAnsi="Times New Roman"/>
                <w:sz w:val="24"/>
                <w:szCs w:val="24"/>
              </w:rPr>
            </w:pPr>
          </w:p>
        </w:tc>
      </w:tr>
    </w:tbl>
    <w:p>
      <w:pPr>
        <w:adjustRightInd w:val="0"/>
        <w:snapToGrid w:val="0"/>
        <w:jc w:val="center"/>
        <w:rPr>
          <w:rFonts w:cs="宋体"/>
          <w:bCs/>
          <w:szCs w:val="21"/>
        </w:rPr>
        <w:sectPr>
          <w:pgSz w:w="16838" w:h="11906" w:orient="landscape"/>
          <w:pgMar w:top="1531" w:right="1701" w:bottom="1531" w:left="1701" w:header="851" w:footer="851" w:gutter="0"/>
          <w:cols w:space="720" w:num="1"/>
          <w:docGrid w:linePitch="312" w:charSpace="0"/>
        </w:sectPr>
      </w:pPr>
    </w:p>
    <w:tbl>
      <w:tblPr>
        <w:tblStyle w:val="22"/>
        <w:tblW w:w="924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5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10" w:hRule="atLeast"/>
          <w:jc w:val="center"/>
        </w:trPr>
        <w:tc>
          <w:tcPr>
            <w:tcW w:w="676" w:type="dxa"/>
            <w:tcBorders>
              <w:top w:val="single" w:color="auto" w:sz="4" w:space="0"/>
              <w:left w:val="single" w:color="auto" w:sz="8"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rPr>
                <w:rFonts w:cs="宋体"/>
                <w:bCs/>
                <w:szCs w:val="21"/>
              </w:rPr>
            </w:pPr>
            <w:r>
              <w:rPr>
                <w:rFonts w:hint="eastAsia" w:cs="宋体"/>
                <w:bCs/>
                <w:szCs w:val="21"/>
              </w:rPr>
              <w:t>运营</w:t>
            </w:r>
          </w:p>
          <w:p>
            <w:pPr>
              <w:adjustRightInd w:val="0"/>
              <w:snapToGrid w:val="0"/>
              <w:jc w:val="center"/>
              <w:rPr>
                <w:rFonts w:cs="宋体"/>
                <w:bCs/>
                <w:szCs w:val="21"/>
              </w:rPr>
            </w:pPr>
            <w:r>
              <w:rPr>
                <w:rFonts w:hint="eastAsia" w:cs="宋体"/>
                <w:bCs/>
                <w:szCs w:val="21"/>
              </w:rPr>
              <w:t>期环</w:t>
            </w:r>
          </w:p>
          <w:p>
            <w:pPr>
              <w:adjustRightInd w:val="0"/>
              <w:snapToGrid w:val="0"/>
              <w:jc w:val="center"/>
              <w:rPr>
                <w:rFonts w:cs="宋体"/>
                <w:bCs/>
                <w:szCs w:val="21"/>
              </w:rPr>
            </w:pPr>
            <w:r>
              <w:rPr>
                <w:rFonts w:hint="eastAsia" w:cs="宋体"/>
                <w:bCs/>
                <w:szCs w:val="21"/>
              </w:rPr>
              <w:t>境影</w:t>
            </w:r>
          </w:p>
          <w:p>
            <w:pPr>
              <w:adjustRightInd w:val="0"/>
              <w:snapToGrid w:val="0"/>
              <w:jc w:val="center"/>
              <w:rPr>
                <w:rFonts w:cs="宋体"/>
                <w:bCs/>
                <w:szCs w:val="21"/>
              </w:rPr>
            </w:pPr>
            <w:r>
              <w:rPr>
                <w:rFonts w:hint="eastAsia" w:cs="宋体"/>
                <w:bCs/>
                <w:szCs w:val="21"/>
              </w:rPr>
              <w:t>响和</w:t>
            </w:r>
          </w:p>
          <w:p>
            <w:pPr>
              <w:adjustRightInd w:val="0"/>
              <w:snapToGrid w:val="0"/>
              <w:jc w:val="center"/>
              <w:rPr>
                <w:rFonts w:cs="宋体"/>
                <w:bCs/>
                <w:szCs w:val="21"/>
              </w:rPr>
            </w:pPr>
            <w:r>
              <w:rPr>
                <w:rFonts w:hint="eastAsia" w:cs="宋体"/>
                <w:bCs/>
                <w:szCs w:val="21"/>
              </w:rPr>
              <w:t>保护</w:t>
            </w:r>
          </w:p>
          <w:p>
            <w:pPr>
              <w:adjustRightInd w:val="0"/>
              <w:snapToGrid w:val="0"/>
              <w:jc w:val="center"/>
              <w:rPr>
                <w:rFonts w:cs="宋体"/>
                <w:bCs/>
                <w:szCs w:val="21"/>
              </w:rPr>
            </w:pPr>
            <w:r>
              <w:rPr>
                <w:rFonts w:hint="eastAsia" w:cs="宋体"/>
                <w:bCs/>
                <w:szCs w:val="21"/>
              </w:rPr>
              <w:t>措施</w:t>
            </w:r>
          </w:p>
        </w:tc>
        <w:tc>
          <w:tcPr>
            <w:tcW w:w="8566" w:type="dxa"/>
            <w:tcBorders>
              <w:top w:val="single" w:color="auto" w:sz="4" w:space="0"/>
              <w:left w:val="single" w:color="auto" w:sz="4" w:space="0"/>
              <w:bottom w:val="single" w:color="auto" w:sz="4" w:space="0"/>
              <w:right w:val="single" w:color="auto" w:sz="8" w:space="0"/>
            </w:tcBorders>
          </w:tcPr>
          <w:p>
            <w:pPr>
              <w:spacing w:line="360" w:lineRule="auto"/>
              <w:jc w:val="center"/>
              <w:rPr>
                <w:b/>
                <w:kern w:val="0"/>
              </w:rPr>
            </w:pPr>
            <w:r>
              <w:rPr>
                <w:rFonts w:hint="eastAsia"/>
                <w:b/>
                <w:kern w:val="0"/>
              </w:rPr>
              <w:t>表4</w:t>
            </w:r>
            <w:r>
              <w:rPr>
                <w:b/>
                <w:kern w:val="0"/>
              </w:rPr>
              <w:t xml:space="preserve">-2  </w:t>
            </w:r>
            <w:r>
              <w:rPr>
                <w:rFonts w:hint="eastAsia"/>
                <w:b/>
                <w:kern w:val="0"/>
              </w:rPr>
              <w:t>排气筒基本情况</w:t>
            </w:r>
          </w:p>
          <w:tbl>
            <w:tblPr>
              <w:tblStyle w:val="23"/>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936"/>
              <w:gridCol w:w="992"/>
              <w:gridCol w:w="2242"/>
              <w:gridCol w:w="877"/>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0" w:type="dxa"/>
                  <w:vAlign w:val="center"/>
                </w:tcPr>
                <w:p>
                  <w:pPr>
                    <w:jc w:val="center"/>
                    <w:rPr>
                      <w:b/>
                      <w:kern w:val="0"/>
                    </w:rPr>
                  </w:pPr>
                  <w:r>
                    <w:rPr>
                      <w:rFonts w:hint="eastAsia"/>
                      <w:b/>
                      <w:kern w:val="0"/>
                    </w:rPr>
                    <w:t>排气筒高度</w:t>
                  </w:r>
                </w:p>
              </w:tc>
              <w:tc>
                <w:tcPr>
                  <w:tcW w:w="936" w:type="dxa"/>
                  <w:vAlign w:val="center"/>
                </w:tcPr>
                <w:p>
                  <w:pPr>
                    <w:jc w:val="center"/>
                    <w:rPr>
                      <w:b/>
                      <w:kern w:val="0"/>
                    </w:rPr>
                  </w:pPr>
                  <w:r>
                    <w:rPr>
                      <w:rFonts w:hint="eastAsia"/>
                      <w:b/>
                      <w:kern w:val="0"/>
                    </w:rPr>
                    <w:t>内径</w:t>
                  </w:r>
                </w:p>
              </w:tc>
              <w:tc>
                <w:tcPr>
                  <w:tcW w:w="992" w:type="dxa"/>
                  <w:vAlign w:val="center"/>
                </w:tcPr>
                <w:p>
                  <w:pPr>
                    <w:jc w:val="center"/>
                    <w:rPr>
                      <w:b/>
                      <w:kern w:val="0"/>
                    </w:rPr>
                  </w:pPr>
                  <w:r>
                    <w:rPr>
                      <w:rFonts w:hint="eastAsia"/>
                      <w:b/>
                      <w:kern w:val="0"/>
                    </w:rPr>
                    <w:t>温度</w:t>
                  </w:r>
                </w:p>
              </w:tc>
              <w:tc>
                <w:tcPr>
                  <w:tcW w:w="2242" w:type="dxa"/>
                  <w:vAlign w:val="center"/>
                </w:tcPr>
                <w:p>
                  <w:pPr>
                    <w:jc w:val="center"/>
                    <w:rPr>
                      <w:b/>
                      <w:kern w:val="0"/>
                    </w:rPr>
                  </w:pPr>
                  <w:r>
                    <w:rPr>
                      <w:rFonts w:hint="eastAsia"/>
                      <w:b/>
                      <w:kern w:val="0"/>
                    </w:rPr>
                    <w:t>编号及名称</w:t>
                  </w:r>
                </w:p>
              </w:tc>
              <w:tc>
                <w:tcPr>
                  <w:tcW w:w="877" w:type="dxa"/>
                  <w:vAlign w:val="center"/>
                </w:tcPr>
                <w:p>
                  <w:pPr>
                    <w:jc w:val="center"/>
                    <w:rPr>
                      <w:b/>
                      <w:kern w:val="0"/>
                    </w:rPr>
                  </w:pPr>
                  <w:r>
                    <w:rPr>
                      <w:rFonts w:hint="eastAsia"/>
                      <w:b/>
                      <w:kern w:val="0"/>
                    </w:rPr>
                    <w:t>类型</w:t>
                  </w:r>
                </w:p>
              </w:tc>
              <w:tc>
                <w:tcPr>
                  <w:tcW w:w="1903" w:type="dxa"/>
                  <w:vAlign w:val="center"/>
                </w:tcPr>
                <w:p>
                  <w:pPr>
                    <w:jc w:val="center"/>
                    <w:rPr>
                      <w:b/>
                      <w:kern w:val="0"/>
                    </w:rPr>
                  </w:pPr>
                  <w:r>
                    <w:rPr>
                      <w:rFonts w:hint="eastAsia"/>
                      <w:b/>
                      <w:kern w:val="0"/>
                    </w:rPr>
                    <w:t>地理坐标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0" w:type="dxa"/>
                  <w:vAlign w:val="center"/>
                </w:tcPr>
                <w:p>
                  <w:pPr>
                    <w:jc w:val="center"/>
                    <w:rPr>
                      <w:bCs/>
                      <w:kern w:val="0"/>
                    </w:rPr>
                  </w:pPr>
                  <w:r>
                    <w:rPr>
                      <w:rFonts w:hint="eastAsia"/>
                      <w:bCs/>
                      <w:kern w:val="0"/>
                    </w:rPr>
                    <w:t>4</w:t>
                  </w:r>
                  <w:r>
                    <w:rPr>
                      <w:bCs/>
                      <w:kern w:val="0"/>
                    </w:rPr>
                    <w:t>0m</w:t>
                  </w:r>
                </w:p>
              </w:tc>
              <w:tc>
                <w:tcPr>
                  <w:tcW w:w="936" w:type="dxa"/>
                  <w:vAlign w:val="center"/>
                </w:tcPr>
                <w:p>
                  <w:pPr>
                    <w:jc w:val="center"/>
                    <w:rPr>
                      <w:bCs/>
                      <w:kern w:val="0"/>
                    </w:rPr>
                  </w:pPr>
                  <w:r>
                    <w:rPr>
                      <w:rFonts w:hint="eastAsia"/>
                      <w:bCs/>
                      <w:kern w:val="0"/>
                    </w:rPr>
                    <w:t>1</w:t>
                  </w:r>
                  <w:r>
                    <w:rPr>
                      <w:bCs/>
                      <w:kern w:val="0"/>
                    </w:rPr>
                    <w:t>.8m</w:t>
                  </w:r>
                </w:p>
              </w:tc>
              <w:tc>
                <w:tcPr>
                  <w:tcW w:w="992" w:type="dxa"/>
                  <w:vAlign w:val="center"/>
                </w:tcPr>
                <w:p>
                  <w:pPr>
                    <w:jc w:val="center"/>
                    <w:rPr>
                      <w:bCs/>
                      <w:kern w:val="0"/>
                    </w:rPr>
                  </w:pPr>
                  <w:r>
                    <w:rPr>
                      <w:bCs/>
                      <w:kern w:val="0"/>
                    </w:rPr>
                    <w:t>70</w:t>
                  </w:r>
                  <w:r>
                    <w:rPr>
                      <w:rFonts w:hint="eastAsia"/>
                      <w:bCs/>
                      <w:kern w:val="0"/>
                    </w:rPr>
                    <w:t>℃</w:t>
                  </w:r>
                </w:p>
              </w:tc>
              <w:tc>
                <w:tcPr>
                  <w:tcW w:w="2242" w:type="dxa"/>
                  <w:vAlign w:val="center"/>
                </w:tcPr>
                <w:p>
                  <w:pPr>
                    <w:pStyle w:val="29"/>
                    <w:spacing w:line="240" w:lineRule="auto"/>
                    <w:ind w:firstLine="0" w:firstLineChars="0"/>
                    <w:jc w:val="center"/>
                    <w:rPr>
                      <w:bCs/>
                      <w:color w:val="auto"/>
                      <w:sz w:val="21"/>
                    </w:rPr>
                  </w:pPr>
                  <w:r>
                    <w:rPr>
                      <w:rFonts w:hint="eastAsia"/>
                      <w:bCs/>
                      <w:color w:val="auto"/>
                      <w:sz w:val="21"/>
                    </w:rPr>
                    <w:t>1</w:t>
                  </w:r>
                  <w:r>
                    <w:rPr>
                      <w:bCs/>
                      <w:color w:val="auto"/>
                      <w:sz w:val="21"/>
                    </w:rPr>
                    <w:t>0+15</w:t>
                  </w:r>
                  <w:r>
                    <w:rPr>
                      <w:rFonts w:hint="eastAsia"/>
                      <w:bCs/>
                      <w:color w:val="auto"/>
                      <w:sz w:val="21"/>
                    </w:rPr>
                    <w:t>万吨/年饲钙装置干燥+含氟洗涤尾气排口（D</w:t>
                  </w:r>
                  <w:r>
                    <w:rPr>
                      <w:bCs/>
                      <w:color w:val="auto"/>
                      <w:sz w:val="21"/>
                    </w:rPr>
                    <w:t>A004</w:t>
                  </w:r>
                  <w:r>
                    <w:rPr>
                      <w:rFonts w:hint="eastAsia"/>
                      <w:bCs/>
                      <w:color w:val="auto"/>
                      <w:sz w:val="21"/>
                    </w:rPr>
                    <w:t>）</w:t>
                  </w:r>
                </w:p>
              </w:tc>
              <w:tc>
                <w:tcPr>
                  <w:tcW w:w="877" w:type="dxa"/>
                  <w:vAlign w:val="center"/>
                </w:tcPr>
                <w:p>
                  <w:pPr>
                    <w:jc w:val="center"/>
                    <w:rPr>
                      <w:bCs/>
                      <w:kern w:val="0"/>
                    </w:rPr>
                  </w:pPr>
                  <w:r>
                    <w:rPr>
                      <w:rFonts w:hint="eastAsia"/>
                      <w:bCs/>
                      <w:kern w:val="0"/>
                    </w:rPr>
                    <w:t>一般排放口</w:t>
                  </w:r>
                </w:p>
              </w:tc>
              <w:tc>
                <w:tcPr>
                  <w:tcW w:w="1903" w:type="dxa"/>
                  <w:vAlign w:val="center"/>
                </w:tcPr>
                <w:p>
                  <w:pPr>
                    <w:jc w:val="center"/>
                    <w:rPr>
                      <w:bCs/>
                      <w:kern w:val="0"/>
                    </w:rPr>
                  </w:pPr>
                  <w:r>
                    <w:rPr>
                      <w:rFonts w:hint="eastAsia"/>
                      <w:bCs/>
                      <w:kern w:val="0"/>
                    </w:rPr>
                    <w:t>1</w:t>
                  </w:r>
                  <w:r>
                    <w:rPr>
                      <w:bCs/>
                      <w:kern w:val="0"/>
                    </w:rPr>
                    <w:t>02</w:t>
                  </w:r>
                  <w:r>
                    <w:rPr>
                      <w:rFonts w:hint="eastAsia"/>
                      <w:bCs/>
                      <w:kern w:val="0"/>
                    </w:rPr>
                    <w:t>°3</w:t>
                  </w:r>
                  <w:r>
                    <w:rPr>
                      <w:bCs/>
                      <w:kern w:val="0"/>
                    </w:rPr>
                    <w:t>1</w:t>
                  </w:r>
                  <w:r>
                    <w:rPr>
                      <w:rFonts w:hint="eastAsia"/>
                      <w:bCs/>
                      <w:kern w:val="0"/>
                    </w:rPr>
                    <w:t>’1</w:t>
                  </w:r>
                  <w:r>
                    <w:rPr>
                      <w:bCs/>
                      <w:kern w:val="0"/>
                    </w:rPr>
                    <w:t>7.90</w:t>
                  </w:r>
                  <w:r>
                    <w:rPr>
                      <w:rFonts w:hint="eastAsia"/>
                      <w:bCs/>
                      <w:kern w:val="0"/>
                    </w:rPr>
                    <w:t>”</w:t>
                  </w:r>
                </w:p>
                <w:p>
                  <w:pPr>
                    <w:pStyle w:val="29"/>
                    <w:spacing w:line="240" w:lineRule="auto"/>
                    <w:ind w:firstLine="0" w:firstLineChars="0"/>
                    <w:jc w:val="center"/>
                    <w:rPr>
                      <w:bCs/>
                      <w:color w:val="auto"/>
                      <w:sz w:val="21"/>
                    </w:rPr>
                  </w:pPr>
                  <w:r>
                    <w:rPr>
                      <w:rFonts w:hint="eastAsia"/>
                      <w:bCs/>
                      <w:color w:val="auto"/>
                      <w:sz w:val="21"/>
                    </w:rPr>
                    <w:t>2</w:t>
                  </w:r>
                  <w:r>
                    <w:rPr>
                      <w:bCs/>
                      <w:color w:val="auto"/>
                      <w:sz w:val="21"/>
                    </w:rPr>
                    <w:t>4</w:t>
                  </w:r>
                  <w:r>
                    <w:rPr>
                      <w:rFonts w:hint="eastAsia"/>
                      <w:bCs/>
                      <w:color w:val="auto"/>
                      <w:sz w:val="21"/>
                    </w:rPr>
                    <w:t>°4</w:t>
                  </w:r>
                  <w:r>
                    <w:rPr>
                      <w:bCs/>
                      <w:color w:val="auto"/>
                      <w:sz w:val="21"/>
                    </w:rPr>
                    <w:t>2</w:t>
                  </w:r>
                  <w:r>
                    <w:rPr>
                      <w:rFonts w:hint="eastAsia"/>
                      <w:bCs/>
                      <w:color w:val="auto"/>
                      <w:sz w:val="21"/>
                    </w:rPr>
                    <w:t>’7</w:t>
                  </w:r>
                  <w:r>
                    <w:rPr>
                      <w:bCs/>
                      <w:color w:val="auto"/>
                      <w:sz w:val="21"/>
                    </w:rPr>
                    <w:t>.20</w:t>
                  </w:r>
                  <w:r>
                    <w:rPr>
                      <w:rFonts w:hint="eastAsia"/>
                      <w:bCs/>
                      <w:color w:val="auto"/>
                      <w:sz w:val="21"/>
                    </w:rPr>
                    <w:t>”</w:t>
                  </w:r>
                </w:p>
              </w:tc>
            </w:tr>
          </w:tbl>
          <w:p>
            <w:pPr>
              <w:spacing w:line="360" w:lineRule="auto"/>
              <w:ind w:firstLine="482" w:firstLineChars="200"/>
              <w:rPr>
                <w:b/>
                <w:kern w:val="0"/>
                <w:sz w:val="24"/>
              </w:rPr>
            </w:pPr>
          </w:p>
          <w:p>
            <w:pPr>
              <w:spacing w:line="360" w:lineRule="auto"/>
              <w:ind w:firstLine="482" w:firstLineChars="200"/>
              <w:rPr>
                <w:b/>
                <w:kern w:val="0"/>
                <w:sz w:val="24"/>
              </w:rPr>
            </w:pPr>
            <w:r>
              <w:rPr>
                <w:rFonts w:hint="eastAsia"/>
                <w:b/>
                <w:kern w:val="0"/>
                <w:sz w:val="24"/>
              </w:rPr>
              <w:t>燃煤锅炉：</w:t>
            </w:r>
          </w:p>
          <w:p>
            <w:pPr>
              <w:spacing w:line="360" w:lineRule="auto"/>
              <w:ind w:firstLine="482" w:firstLineChars="200"/>
              <w:rPr>
                <w:sz w:val="24"/>
              </w:rPr>
            </w:pPr>
            <w:r>
              <w:rPr>
                <w:rFonts w:hint="eastAsia"/>
                <w:b/>
                <w:kern w:val="0"/>
                <w:sz w:val="24"/>
              </w:rPr>
              <w:t>①</w:t>
            </w:r>
            <w:r>
              <w:rPr>
                <w:sz w:val="24"/>
              </w:rPr>
              <w:t>SO</w:t>
            </w:r>
            <w:r>
              <w:rPr>
                <w:sz w:val="24"/>
                <w:vertAlign w:val="subscript"/>
              </w:rPr>
              <w:t>2</w:t>
            </w:r>
            <w:r>
              <w:rPr>
                <w:rFonts w:hint="eastAsia"/>
                <w:sz w:val="24"/>
              </w:rPr>
              <w:t>：根据《污染源源强核算技术指南锅炉》（</w:t>
            </w:r>
            <w:r>
              <w:rPr>
                <w:sz w:val="24"/>
              </w:rPr>
              <w:t>HJ991-2018</w:t>
            </w:r>
            <w:r>
              <w:rPr>
                <w:rFonts w:hint="eastAsia"/>
                <w:sz w:val="24"/>
              </w:rPr>
              <w:t>）按照5.1.1条燃煤、燃生物质锅炉废气污染源源强核算方法，燃煤产生的二氧化硫的计算公式如下：</w:t>
            </w:r>
          </w:p>
          <w:p>
            <w:pPr>
              <w:spacing w:line="360" w:lineRule="auto"/>
              <w:jc w:val="center"/>
              <w:rPr>
                <w:sz w:val="24"/>
              </w:rPr>
            </w:pPr>
            <m:oMathPara>
              <m:oMath>
                <m:sSub>
                  <m:sSubPr>
                    <m:ctrlPr>
                      <w:rPr>
                        <w:rFonts w:ascii="Cambria Math" w:hAnsi="Cambria Math"/>
                        <w:i/>
                        <w:sz w:val="24"/>
                      </w:rPr>
                    </m:ctrlPr>
                  </m:sSubPr>
                  <m:e>
                    <m:r>
                      <w:rPr>
                        <w:rFonts w:ascii="Cambria Math" w:hAnsi="Cambria Math"/>
                        <w:sz w:val="24"/>
                      </w:rPr>
                      <m:t>E</m:t>
                    </m:r>
                    <m:ctrlPr>
                      <w:rPr>
                        <w:rFonts w:ascii="Cambria Math" w:hAnsi="Cambria Math"/>
                        <w:i/>
                        <w:sz w:val="24"/>
                      </w:rPr>
                    </m:ctrlPr>
                  </m:e>
                  <m:sub>
                    <m:r>
                      <w:rPr>
                        <w:rFonts w:ascii="Cambria Math" w:hAnsi="Cambria Math"/>
                        <w:sz w:val="24"/>
                      </w:rPr>
                      <m:t>SO2</m:t>
                    </m:r>
                    <m:ctrlPr>
                      <w:rPr>
                        <w:rFonts w:ascii="Cambria Math" w:hAnsi="Cambria Math"/>
                        <w:i/>
                        <w:sz w:val="24"/>
                      </w:rPr>
                    </m:ctrlPr>
                  </m:sub>
                </m:sSub>
                <m:r>
                  <w:rPr>
                    <w:rFonts w:ascii="Cambria Math" w:hAnsi="Cambria Math"/>
                    <w:sz w:val="24"/>
                  </w:rPr>
                  <m:t>=2R×</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S</m:t>
                        </m:r>
                        <m:ctrlPr>
                          <w:rPr>
                            <w:rFonts w:ascii="Cambria Math" w:hAnsi="Cambria Math"/>
                            <w:i/>
                            <w:sz w:val="24"/>
                          </w:rPr>
                        </m:ctrlPr>
                      </m:e>
                      <m:sub>
                        <m:r>
                          <w:rPr>
                            <w:rFonts w:ascii="Cambria Math" w:hAnsi="Cambria Math"/>
                            <w:sz w:val="24"/>
                          </w:rPr>
                          <m:t>ar</m:t>
                        </m:r>
                        <m:ctrlPr>
                          <w:rPr>
                            <w:rFonts w:ascii="Cambria Math" w:hAnsi="Cambria Math"/>
                            <w:i/>
                            <w:sz w:val="24"/>
                          </w:rPr>
                        </m:ctrlPr>
                      </m:sub>
                    </m:sSub>
                    <m:ctrlPr>
                      <w:rPr>
                        <w:rFonts w:ascii="Cambria Math" w:hAnsi="Cambria Math"/>
                        <w:i/>
                        <w:sz w:val="24"/>
                      </w:rPr>
                    </m:ctrlPr>
                  </m:num>
                  <m:den>
                    <m:r>
                      <w:rPr>
                        <w:rFonts w:ascii="Cambria Math" w:hAnsi="Cambria Math"/>
                        <w:sz w:val="24"/>
                      </w:rPr>
                      <m:t>100</m:t>
                    </m:r>
                    <m:ctrlPr>
                      <w:rPr>
                        <w:rFonts w:ascii="Cambria Math" w:hAnsi="Cambria Math"/>
                        <w:i/>
                        <w:sz w:val="24"/>
                      </w:rPr>
                    </m:ctrlPr>
                  </m:den>
                </m:f>
                <m:r>
                  <w:rPr>
                    <w:rFonts w:ascii="Cambria Math" w:hAnsi="Cambria Math"/>
                    <w:sz w:val="24"/>
                  </w:rPr>
                  <m:t>×</m:t>
                </m:r>
                <m:d>
                  <m:dPr>
                    <m:ctrlPr>
                      <w:rPr>
                        <w:rFonts w:ascii="Cambria Math" w:hAnsi="Cambria Math"/>
                        <w:i/>
                        <w:sz w:val="24"/>
                      </w:rPr>
                    </m:ctrlPr>
                  </m:dPr>
                  <m:e>
                    <m:r>
                      <w:rPr>
                        <w:rFonts w:ascii="Cambria Math" w:hAnsi="Cambria Math"/>
                        <w:sz w:val="24"/>
                      </w:rPr>
                      <m:t>1-</m:t>
                    </m:r>
                    <m:f>
                      <m:fPr>
                        <m:ctrlPr>
                          <w:rPr>
                            <w:rFonts w:ascii="Cambria Math" w:hAnsi="Cambria Math"/>
                            <w:i/>
                            <w:sz w:val="24"/>
                          </w:rPr>
                        </m:ctrlPr>
                      </m:fPr>
                      <m:num>
                        <m:sSub>
                          <m:sSubPr>
                            <m:ctrlPr>
                              <w:rPr>
                                <w:rFonts w:ascii="Cambria Math" w:hAnsi="Cambria Math"/>
                                <w:i/>
                                <w:sz w:val="24"/>
                              </w:rPr>
                            </m:ctrlPr>
                          </m:sSubPr>
                          <m:e>
                            <m:r>
                              <w:rPr>
                                <w:rFonts w:hint="eastAsia" w:ascii="Cambria Math" w:hAnsi="Cambria Math"/>
                                <w:sz w:val="24"/>
                              </w:rPr>
                              <m:t>q</m:t>
                            </m:r>
                            <m:ctrlPr>
                              <w:rPr>
                                <w:rFonts w:ascii="Cambria Math" w:hAnsi="Cambria Math"/>
                                <w:i/>
                                <w:sz w:val="24"/>
                              </w:rPr>
                            </m:ctrlPr>
                          </m:e>
                          <m:sub>
                            <m:r>
                              <w:rPr>
                                <w:rFonts w:ascii="Cambria Math" w:hAnsi="Cambria Math"/>
                                <w:sz w:val="24"/>
                              </w:rPr>
                              <m:t>4</m:t>
                            </m:r>
                            <m:ctrlPr>
                              <w:rPr>
                                <w:rFonts w:ascii="Cambria Math" w:hAnsi="Cambria Math"/>
                                <w:i/>
                                <w:sz w:val="24"/>
                              </w:rPr>
                            </m:ctrlPr>
                          </m:sub>
                        </m:sSub>
                        <m:ctrlPr>
                          <w:rPr>
                            <w:rFonts w:ascii="Cambria Math" w:hAnsi="Cambria Math"/>
                            <w:i/>
                            <w:sz w:val="24"/>
                          </w:rPr>
                        </m:ctrlPr>
                      </m:num>
                      <m:den>
                        <m:r>
                          <w:rPr>
                            <w:rFonts w:ascii="Cambria Math" w:hAnsi="Cambria Math"/>
                            <w:sz w:val="24"/>
                          </w:rPr>
                          <m:t>100</m:t>
                        </m:r>
                        <m:ctrlPr>
                          <w:rPr>
                            <w:rFonts w:ascii="Cambria Math" w:hAnsi="Cambria Math"/>
                            <w:i/>
                            <w:sz w:val="24"/>
                          </w:rPr>
                        </m:ctrlPr>
                      </m:den>
                    </m:f>
                    <m:ctrlPr>
                      <w:rPr>
                        <w:rFonts w:ascii="Cambria Math" w:hAnsi="Cambria Math"/>
                        <w:i/>
                        <w:sz w:val="24"/>
                      </w:rPr>
                    </m:ctrlPr>
                  </m:e>
                </m:d>
                <m:r>
                  <w:rPr>
                    <w:rFonts w:ascii="Cambria Math" w:hAnsi="Cambria Math"/>
                    <w:sz w:val="24"/>
                  </w:rPr>
                  <m:t>×</m:t>
                </m:r>
                <m:d>
                  <m:dPr>
                    <m:ctrlPr>
                      <w:rPr>
                        <w:rFonts w:ascii="Cambria Math" w:hAnsi="Cambria Math"/>
                        <w:i/>
                        <w:sz w:val="24"/>
                      </w:rPr>
                    </m:ctrlPr>
                  </m:dPr>
                  <m:e>
                    <m:r>
                      <w:rPr>
                        <w:rFonts w:ascii="Cambria Math" w:hAnsi="Cambria Math"/>
                        <w:sz w:val="24"/>
                      </w:rPr>
                      <m:t>1-</m:t>
                    </m:r>
                    <m:f>
                      <m:fPr>
                        <m:ctrlPr>
                          <w:rPr>
                            <w:rFonts w:ascii="Cambria Math" w:hAnsi="Cambria Math"/>
                            <w:i/>
                            <w:sz w:val="24"/>
                          </w:rPr>
                        </m:ctrlPr>
                      </m:fPr>
                      <m:num>
                        <m:sSub>
                          <m:sSubPr>
                            <m:ctrlPr>
                              <w:rPr>
                                <w:rFonts w:ascii="Cambria Math" w:hAnsi="Cambria Math"/>
                                <w:i/>
                                <w:sz w:val="24"/>
                              </w:rPr>
                            </m:ctrlPr>
                          </m:sSubPr>
                          <m:e>
                            <m:r>
                              <m:rPr>
                                <m:sty m:val="p"/>
                              </m:rPr>
                              <w:rPr>
                                <w:rFonts w:ascii="Cambria Math" w:hAnsi="Cambria Math" w:cs="Cambria"/>
                                <w:sz w:val="24"/>
                              </w:rPr>
                              <m:t>ŋ</m:t>
                            </m:r>
                            <m:ctrlPr>
                              <w:rPr>
                                <w:rFonts w:ascii="Cambria Math" w:hAnsi="Cambria Math"/>
                                <w:i/>
                                <w:sz w:val="24"/>
                              </w:rPr>
                            </m:ctrlPr>
                          </m:e>
                          <m:sub>
                            <m:r>
                              <w:rPr>
                                <w:rFonts w:hint="eastAsia" w:ascii="Cambria Math" w:hAnsi="Cambria Math"/>
                                <w:sz w:val="24"/>
                              </w:rPr>
                              <m:t>s</m:t>
                            </m:r>
                            <m:ctrlPr>
                              <w:rPr>
                                <w:rFonts w:ascii="Cambria Math" w:hAnsi="Cambria Math"/>
                                <w:i/>
                                <w:sz w:val="24"/>
                              </w:rPr>
                            </m:ctrlPr>
                          </m:sub>
                        </m:sSub>
                        <m:ctrlPr>
                          <w:rPr>
                            <w:rFonts w:ascii="Cambria Math" w:hAnsi="Cambria Math"/>
                            <w:i/>
                            <w:sz w:val="24"/>
                          </w:rPr>
                        </m:ctrlPr>
                      </m:num>
                      <m:den>
                        <m:r>
                          <w:rPr>
                            <w:rFonts w:ascii="Cambria Math" w:hAnsi="Cambria Math"/>
                            <w:sz w:val="24"/>
                          </w:rPr>
                          <m:t>100</m:t>
                        </m:r>
                        <m:ctrlPr>
                          <w:rPr>
                            <w:rFonts w:ascii="Cambria Math" w:hAnsi="Cambria Math"/>
                            <w:i/>
                            <w:sz w:val="24"/>
                          </w:rPr>
                        </m:ctrlPr>
                      </m:den>
                    </m:f>
                    <m:ctrlPr>
                      <w:rPr>
                        <w:rFonts w:ascii="Cambria Math" w:hAnsi="Cambria Math"/>
                        <w:i/>
                        <w:sz w:val="24"/>
                      </w:rPr>
                    </m:ctrlPr>
                  </m:e>
                </m:d>
                <m:r>
                  <w:rPr>
                    <w:rFonts w:ascii="Cambria Math" w:hAnsi="Cambria Math"/>
                    <w:sz w:val="24"/>
                  </w:rPr>
                  <m:t>×K</m:t>
                </m:r>
              </m:oMath>
            </m:oMathPara>
          </w:p>
          <w:p>
            <w:pPr>
              <w:adjustRightInd w:val="0"/>
              <w:snapToGrid w:val="0"/>
              <w:spacing w:line="360" w:lineRule="auto"/>
              <w:ind w:firstLine="480" w:firstLineChars="200"/>
              <w:rPr>
                <w:sz w:val="24"/>
              </w:rPr>
            </w:pPr>
            <w:r>
              <w:rPr>
                <w:rFonts w:hint="eastAsia"/>
                <w:sz w:val="24"/>
              </w:rPr>
              <w:t>式中：</w:t>
            </w:r>
          </w:p>
          <w:p>
            <w:pPr>
              <w:adjustRightInd w:val="0"/>
              <w:snapToGrid w:val="0"/>
              <w:spacing w:line="360" w:lineRule="auto"/>
              <w:ind w:firstLine="480" w:firstLineChars="200"/>
              <w:rPr>
                <w:sz w:val="24"/>
              </w:rPr>
            </w:pPr>
            <m:oMath>
              <m:sSub>
                <m:sSubPr>
                  <m:ctrlPr>
                    <w:rPr>
                      <w:rFonts w:ascii="Cambria Math" w:hAnsi="Cambria Math"/>
                      <w:i/>
                      <w:sz w:val="24"/>
                    </w:rPr>
                  </m:ctrlPr>
                </m:sSubPr>
                <m:e>
                  <m:r>
                    <w:rPr>
                      <w:rFonts w:ascii="Cambria Math" w:hAnsi="Cambria Math"/>
                      <w:sz w:val="24"/>
                    </w:rPr>
                    <m:t>E</m:t>
                  </m:r>
                  <m:ctrlPr>
                    <w:rPr>
                      <w:rFonts w:ascii="Cambria Math" w:hAnsi="Cambria Math"/>
                      <w:i/>
                      <w:sz w:val="24"/>
                    </w:rPr>
                  </m:ctrlPr>
                </m:e>
                <m:sub>
                  <m:r>
                    <w:rPr>
                      <w:rFonts w:ascii="Cambria Math" w:hAnsi="Cambria Math"/>
                      <w:sz w:val="24"/>
                    </w:rPr>
                    <m:t>SO2</m:t>
                  </m:r>
                  <m:ctrlPr>
                    <w:rPr>
                      <w:rFonts w:ascii="Cambria Math" w:hAnsi="Cambria Math"/>
                      <w:i/>
                      <w:sz w:val="24"/>
                    </w:rPr>
                  </m:ctrlPr>
                </m:sub>
              </m:sSub>
            </m:oMath>
            <w:r>
              <w:rPr>
                <w:sz w:val="24"/>
              </w:rPr>
              <w:t>—</w:t>
            </w:r>
            <w:r>
              <w:rPr>
                <w:rFonts w:hint="eastAsia"/>
                <w:sz w:val="24"/>
              </w:rPr>
              <w:t>核算时段内二氧化硫排放量，t；</w:t>
            </w:r>
          </w:p>
          <w:p>
            <w:pPr>
              <w:adjustRightInd w:val="0"/>
              <w:snapToGrid w:val="0"/>
              <w:spacing w:line="360" w:lineRule="auto"/>
              <w:ind w:firstLine="480" w:firstLineChars="200"/>
              <w:rPr>
                <w:sz w:val="24"/>
              </w:rPr>
            </w:pPr>
            <w:r>
              <w:rPr>
                <w:rFonts w:hint="eastAsia"/>
                <w:sz w:val="24"/>
              </w:rPr>
              <w:t>R</w:t>
            </w:r>
            <w:r>
              <w:rPr>
                <w:sz w:val="24"/>
              </w:rPr>
              <w:t>—</w:t>
            </w:r>
            <w:r>
              <w:rPr>
                <w:rFonts w:hint="eastAsia"/>
                <w:sz w:val="24"/>
              </w:rPr>
              <w:t>核算时段内锅炉燃料耗量，</w:t>
            </w:r>
            <w:r>
              <w:rPr>
                <w:sz w:val="24"/>
              </w:rPr>
              <w:t>0.981t</w:t>
            </w:r>
            <w:r>
              <w:rPr>
                <w:rFonts w:hint="eastAsia"/>
                <w:sz w:val="24"/>
              </w:rPr>
              <w:t>；</w:t>
            </w:r>
          </w:p>
          <w:p>
            <w:pPr>
              <w:adjustRightInd w:val="0"/>
              <w:snapToGrid w:val="0"/>
              <w:spacing w:line="360" w:lineRule="auto"/>
              <w:ind w:firstLine="480" w:firstLineChars="200"/>
              <w:rPr>
                <w:sz w:val="24"/>
              </w:rPr>
            </w:pPr>
            <m:oMath>
              <m:sSub>
                <m:sSubPr>
                  <m:ctrlPr>
                    <w:rPr>
                      <w:rFonts w:ascii="Cambria Math" w:hAnsi="Cambria Math"/>
                      <w:i/>
                      <w:sz w:val="24"/>
                    </w:rPr>
                  </m:ctrlPr>
                </m:sSubPr>
                <m:e>
                  <m:r>
                    <w:rPr>
                      <w:rFonts w:ascii="Cambria Math" w:hAnsi="Cambria Math"/>
                      <w:sz w:val="24"/>
                    </w:rPr>
                    <m:t>S</m:t>
                  </m:r>
                  <m:ctrlPr>
                    <w:rPr>
                      <w:rFonts w:ascii="Cambria Math" w:hAnsi="Cambria Math"/>
                      <w:i/>
                      <w:sz w:val="24"/>
                    </w:rPr>
                  </m:ctrlPr>
                </m:e>
                <m:sub>
                  <m:r>
                    <w:rPr>
                      <w:rFonts w:ascii="Cambria Math" w:hAnsi="Cambria Math"/>
                      <w:sz w:val="24"/>
                    </w:rPr>
                    <m:t>ar</m:t>
                  </m:r>
                  <m:ctrlPr>
                    <w:rPr>
                      <w:rFonts w:ascii="Cambria Math" w:hAnsi="Cambria Math"/>
                      <w:i/>
                      <w:sz w:val="24"/>
                    </w:rPr>
                  </m:ctrlPr>
                </m:sub>
              </m:sSub>
            </m:oMath>
            <w:r>
              <w:rPr>
                <w:sz w:val="24"/>
              </w:rPr>
              <w:t>—</w:t>
            </w:r>
            <w:r>
              <w:rPr>
                <w:rFonts w:hint="eastAsia"/>
                <w:sz w:val="24"/>
              </w:rPr>
              <w:t>收到基硫的质量分数，%；根据原料成分分析表，取值0</w:t>
            </w:r>
            <w:r>
              <w:rPr>
                <w:sz w:val="24"/>
              </w:rPr>
              <w:t>.52</w:t>
            </w:r>
          </w:p>
          <w:p>
            <w:pPr>
              <w:adjustRightInd w:val="0"/>
              <w:snapToGrid w:val="0"/>
              <w:spacing w:line="360" w:lineRule="auto"/>
              <w:ind w:firstLine="480" w:firstLineChars="200"/>
              <w:rPr>
                <w:sz w:val="24"/>
              </w:rPr>
            </w:pPr>
            <m:oMath>
              <m:sSub>
                <m:sSubPr>
                  <m:ctrlPr>
                    <w:rPr>
                      <w:rFonts w:ascii="Cambria Math" w:hAnsi="Cambria Math"/>
                      <w:i/>
                      <w:sz w:val="24"/>
                    </w:rPr>
                  </m:ctrlPr>
                </m:sSubPr>
                <m:e>
                  <m:r>
                    <w:rPr>
                      <w:rFonts w:hint="eastAsia" w:ascii="Cambria Math" w:hAnsi="Cambria Math"/>
                      <w:sz w:val="24"/>
                    </w:rPr>
                    <m:t>q</m:t>
                  </m:r>
                  <m:ctrlPr>
                    <w:rPr>
                      <w:rFonts w:ascii="Cambria Math" w:hAnsi="Cambria Math"/>
                      <w:i/>
                      <w:sz w:val="24"/>
                    </w:rPr>
                  </m:ctrlPr>
                </m:e>
                <m:sub>
                  <m:r>
                    <w:rPr>
                      <w:rFonts w:ascii="Cambria Math" w:hAnsi="Cambria Math"/>
                      <w:sz w:val="24"/>
                    </w:rPr>
                    <m:t>4</m:t>
                  </m:r>
                  <m:ctrlPr>
                    <w:rPr>
                      <w:rFonts w:ascii="Cambria Math" w:hAnsi="Cambria Math"/>
                      <w:i/>
                      <w:sz w:val="24"/>
                    </w:rPr>
                  </m:ctrlPr>
                </m:sub>
              </m:sSub>
            </m:oMath>
            <w:r>
              <w:rPr>
                <w:sz w:val="24"/>
              </w:rPr>
              <w:t>—</w:t>
            </w:r>
            <w:r>
              <w:rPr>
                <w:rFonts w:hint="eastAsia"/>
                <w:sz w:val="24"/>
              </w:rPr>
              <w:t>锅炉机械不完全燃烧热损失，%；取值</w:t>
            </w:r>
            <w:r>
              <w:rPr>
                <w:sz w:val="24"/>
              </w:rPr>
              <w:t>4</w:t>
            </w:r>
            <w:r>
              <w:rPr>
                <w:rFonts w:hint="eastAsia"/>
                <w:sz w:val="24"/>
              </w:rPr>
              <w:t>。</w:t>
            </w:r>
          </w:p>
          <w:p>
            <w:pPr>
              <w:adjustRightInd w:val="0"/>
              <w:snapToGrid w:val="0"/>
              <w:spacing w:line="360" w:lineRule="auto"/>
              <w:ind w:firstLine="480" w:firstLineChars="200"/>
              <w:rPr>
                <w:sz w:val="24"/>
              </w:rPr>
            </w:pPr>
            <m:oMath>
              <m:sSub>
                <m:sSubPr>
                  <m:ctrlPr>
                    <w:rPr>
                      <w:rFonts w:ascii="Cambria Math" w:hAnsi="Cambria Math"/>
                      <w:i/>
                      <w:sz w:val="24"/>
                    </w:rPr>
                  </m:ctrlPr>
                </m:sSubPr>
                <m:e>
                  <m:r>
                    <m:rPr>
                      <m:sty m:val="p"/>
                    </m:rPr>
                    <w:rPr>
                      <w:rFonts w:ascii="Cambria Math" w:hAnsi="Cambria Math" w:cs="Cambria"/>
                      <w:sz w:val="24"/>
                    </w:rPr>
                    <m:t>ŋ</m:t>
                  </m:r>
                  <m:ctrlPr>
                    <w:rPr>
                      <w:rFonts w:ascii="Cambria Math" w:hAnsi="Cambria Math"/>
                      <w:i/>
                      <w:sz w:val="24"/>
                    </w:rPr>
                  </m:ctrlPr>
                </m:e>
                <m:sub>
                  <m:r>
                    <w:rPr>
                      <w:rFonts w:hint="eastAsia" w:ascii="Cambria Math" w:hAnsi="Cambria Math"/>
                      <w:sz w:val="24"/>
                    </w:rPr>
                    <m:t>s</m:t>
                  </m:r>
                  <m:ctrlPr>
                    <w:rPr>
                      <w:rFonts w:ascii="Cambria Math" w:hAnsi="Cambria Math"/>
                      <w:i/>
                      <w:sz w:val="24"/>
                    </w:rPr>
                  </m:ctrlPr>
                </m:sub>
              </m:sSub>
            </m:oMath>
            <w:r>
              <w:rPr>
                <w:sz w:val="24"/>
              </w:rPr>
              <w:t>—</w:t>
            </w:r>
            <w:r>
              <w:rPr>
                <w:rFonts w:hint="eastAsia"/>
                <w:sz w:val="24"/>
              </w:rPr>
              <w:t>脱硫效率，</w:t>
            </w:r>
            <w:r>
              <w:rPr>
                <w:sz w:val="24"/>
              </w:rPr>
              <w:t>%</w:t>
            </w:r>
            <w:r>
              <w:rPr>
                <w:rFonts w:hint="eastAsia"/>
                <w:sz w:val="24"/>
              </w:rPr>
              <w:t>，取值为</w:t>
            </w:r>
            <w:r>
              <w:rPr>
                <w:sz w:val="24"/>
              </w:rPr>
              <w:t>65</w:t>
            </w:r>
            <w:r>
              <w:rPr>
                <w:rFonts w:hint="eastAsia"/>
                <w:sz w:val="24"/>
              </w:rPr>
              <w:t>。</w:t>
            </w:r>
          </w:p>
          <w:p>
            <w:pPr>
              <w:adjustRightInd w:val="0"/>
              <w:snapToGrid w:val="0"/>
              <w:spacing w:line="360" w:lineRule="auto"/>
              <w:ind w:firstLine="480" w:firstLineChars="200"/>
              <w:rPr>
                <w:sz w:val="24"/>
              </w:rPr>
            </w:pPr>
            <m:oMath>
              <m:r>
                <w:rPr>
                  <w:rFonts w:ascii="Cambria Math" w:hAnsi="Cambria Math"/>
                  <w:sz w:val="24"/>
                </w:rPr>
                <m:t>K</m:t>
              </m:r>
            </m:oMath>
            <w:r>
              <w:rPr>
                <w:sz w:val="24"/>
              </w:rPr>
              <w:t>—</w:t>
            </w:r>
            <w:r>
              <w:rPr>
                <w:rFonts w:hint="eastAsia"/>
                <w:sz w:val="24"/>
              </w:rPr>
              <w:t>燃料中的硫燃烧后氧化成二氧化硫的份额，量纲一的量。根据《污染物源强核算技术指南 锅炉》（HJ991-2018）取值为0.</w:t>
            </w:r>
            <w:r>
              <w:rPr>
                <w:sz w:val="24"/>
              </w:rPr>
              <w:t>9</w:t>
            </w:r>
            <w:r>
              <w:rPr>
                <w:rFonts w:hint="eastAsia"/>
                <w:sz w:val="24"/>
              </w:rPr>
              <w:t>0。</w:t>
            </w:r>
          </w:p>
          <w:p>
            <w:pPr>
              <w:pStyle w:val="59"/>
              <w:spacing w:line="360" w:lineRule="auto"/>
              <w:ind w:firstLine="480" w:firstLineChars="200"/>
              <w:jc w:val="both"/>
              <w:rPr>
                <w:rFonts w:ascii="Times New Roman" w:hAnsi="Times New Roman"/>
                <w:sz w:val="24"/>
              </w:rPr>
            </w:pPr>
            <w:r>
              <w:rPr>
                <w:rFonts w:hint="eastAsia" w:ascii="Times New Roman" w:hAnsi="Times New Roman"/>
                <w:sz w:val="24"/>
              </w:rPr>
              <w:t>根据上式，二氧化硫排放量为</w:t>
            </w:r>
            <w:r>
              <w:rPr>
                <w:rFonts w:ascii="Times New Roman" w:hAnsi="Times New Roman"/>
                <w:sz w:val="24"/>
              </w:rPr>
              <w:t>3.085</w:t>
            </w:r>
            <w:r>
              <w:rPr>
                <w:rFonts w:hint="eastAsia" w:ascii="Times New Roman" w:hAnsi="Times New Roman"/>
                <w:sz w:val="24"/>
              </w:rPr>
              <w:t>kg/h。</w:t>
            </w:r>
          </w:p>
          <w:p>
            <w:pPr>
              <w:adjustRightInd w:val="0"/>
              <w:snapToGrid w:val="0"/>
              <w:spacing w:line="360" w:lineRule="auto"/>
              <w:ind w:firstLine="482" w:firstLineChars="200"/>
              <w:rPr>
                <w:sz w:val="24"/>
              </w:rPr>
            </w:pPr>
            <w:r>
              <w:rPr>
                <w:rFonts w:hint="eastAsia"/>
                <w:b/>
                <w:kern w:val="0"/>
                <w:sz w:val="24"/>
              </w:rPr>
              <w:t>②</w:t>
            </w:r>
            <w:r>
              <w:rPr>
                <w:sz w:val="24"/>
              </w:rPr>
              <w:t>NO</w:t>
            </w:r>
            <w:r>
              <w:rPr>
                <w:sz w:val="24"/>
                <w:vertAlign w:val="subscript"/>
              </w:rPr>
              <w:t>x</w:t>
            </w:r>
            <w:r>
              <w:rPr>
                <w:rFonts w:hint="eastAsia"/>
                <w:sz w:val="24"/>
              </w:rPr>
              <w:t>：根据《污染源源强核算技术指南锅炉》（</w:t>
            </w:r>
            <w:r>
              <w:rPr>
                <w:sz w:val="24"/>
              </w:rPr>
              <w:t>HJ991-2018</w:t>
            </w:r>
            <w:r>
              <w:rPr>
                <w:rFonts w:hint="eastAsia"/>
                <w:sz w:val="24"/>
              </w:rPr>
              <w:t>）按照5.1.1条燃煤、燃生物质锅炉废气污染源源强核算方法，氮氧化物排放核算方法如下：</w:t>
            </w:r>
          </w:p>
          <w:p>
            <w:pPr>
              <w:adjustRightInd w:val="0"/>
              <w:snapToGrid w:val="0"/>
              <w:spacing w:line="360" w:lineRule="auto"/>
              <w:ind w:firstLine="480" w:firstLineChars="200"/>
              <w:jc w:val="center"/>
              <w:rPr>
                <w:sz w:val="24"/>
              </w:rPr>
            </w:pPr>
            <m:oMathPara>
              <m:oMath>
                <m:sSub>
                  <m:sSubPr>
                    <m:ctrlPr>
                      <w:rPr>
                        <w:rFonts w:ascii="Cambria Math" w:hAnsi="Cambria Math"/>
                        <w:i/>
                        <w:sz w:val="24"/>
                      </w:rPr>
                    </m:ctrlPr>
                  </m:sSubPr>
                  <m:e>
                    <m:r>
                      <w:rPr>
                        <w:rFonts w:ascii="Cambria Math" w:hAnsi="Cambria Math"/>
                        <w:sz w:val="24"/>
                      </w:rPr>
                      <m:t>E</m:t>
                    </m:r>
                    <m:ctrlPr>
                      <w:rPr>
                        <w:rFonts w:ascii="Cambria Math" w:hAnsi="Cambria Math"/>
                        <w:i/>
                        <w:sz w:val="24"/>
                      </w:rPr>
                    </m:ctrlPr>
                  </m:e>
                  <m:sub>
                    <m:r>
                      <w:rPr>
                        <w:rFonts w:ascii="Cambria Math" w:hAnsi="Cambria Math"/>
                        <w:sz w:val="24"/>
                      </w:rPr>
                      <m:t>NOx</m:t>
                    </m:r>
                    <m:ctrlPr>
                      <w:rPr>
                        <w:rFonts w:ascii="Cambria Math" w:hAnsi="Cambria Math"/>
                        <w:i/>
                        <w:sz w:val="24"/>
                      </w:rPr>
                    </m:ctrlPr>
                  </m:sub>
                </m:sSub>
                <m:r>
                  <w:rPr>
                    <w:rFonts w:ascii="Cambria Math" w:hAnsi="Cambria Math"/>
                    <w:sz w:val="24"/>
                  </w:rPr>
                  <m:t>=</m:t>
                </m:r>
                <m:sSub>
                  <m:sSubPr>
                    <m:ctrlPr>
                      <w:rPr>
                        <w:rFonts w:ascii="Cambria Math" w:hAnsi="Cambria Math"/>
                        <w:i/>
                        <w:sz w:val="24"/>
                      </w:rPr>
                    </m:ctrlPr>
                  </m:sSubPr>
                  <m:e>
                    <m:r>
                      <w:rPr>
                        <w:rFonts w:ascii="Cambria Math" w:hAnsi="Cambria Math"/>
                        <w:sz w:val="24"/>
                      </w:rPr>
                      <m:t>ρ</m:t>
                    </m:r>
                    <m:ctrlPr>
                      <w:rPr>
                        <w:rFonts w:ascii="Cambria Math" w:hAnsi="Cambria Math"/>
                        <w:i/>
                        <w:sz w:val="24"/>
                      </w:rPr>
                    </m:ctrlPr>
                  </m:e>
                  <m:sub>
                    <m:r>
                      <w:rPr>
                        <w:rFonts w:ascii="Cambria Math" w:hAnsi="Cambria Math"/>
                        <w:sz w:val="24"/>
                      </w:rPr>
                      <m:t>NOx</m:t>
                    </m:r>
                    <m:ctrlPr>
                      <w:rPr>
                        <w:rFonts w:ascii="Cambria Math" w:hAnsi="Cambria Math"/>
                        <w:i/>
                        <w:sz w:val="24"/>
                      </w:rPr>
                    </m:ctrlPr>
                  </m:sub>
                </m:sSub>
                <m:r>
                  <w:rPr>
                    <w:rFonts w:ascii="Cambria Math" w:hAnsi="Cambria Math"/>
                    <w:sz w:val="24"/>
                  </w:rPr>
                  <m:t>×Q×</m:t>
                </m:r>
                <m:d>
                  <m:dPr>
                    <m:ctrlPr>
                      <w:rPr>
                        <w:rFonts w:ascii="Cambria Math" w:hAnsi="Cambria Math"/>
                        <w:i/>
                        <w:sz w:val="24"/>
                      </w:rPr>
                    </m:ctrlPr>
                  </m:dPr>
                  <m:e>
                    <m:r>
                      <w:rPr>
                        <w:rFonts w:ascii="Cambria Math" w:hAnsi="Cambria Math"/>
                        <w:sz w:val="24"/>
                      </w:rPr>
                      <m:t>1-</m:t>
                    </m:r>
                    <m:f>
                      <m:fPr>
                        <m:ctrlPr>
                          <w:rPr>
                            <w:rFonts w:ascii="Cambria Math" w:hAnsi="Cambria Math"/>
                            <w:i/>
                            <w:sz w:val="24"/>
                          </w:rPr>
                        </m:ctrlPr>
                      </m:fPr>
                      <m:num>
                        <m:sSub>
                          <m:sSubPr>
                            <m:ctrlPr>
                              <w:rPr>
                                <w:rFonts w:ascii="Cambria Math" w:hAnsi="Cambria Math"/>
                                <w:i/>
                                <w:sz w:val="24"/>
                              </w:rPr>
                            </m:ctrlPr>
                          </m:sSubPr>
                          <m:e>
                            <m:r>
                              <m:rPr>
                                <m:sty m:val="p"/>
                              </m:rPr>
                              <w:rPr>
                                <w:rFonts w:ascii="Cambria Math" w:hAnsi="Cambria Math" w:cs="Cambria"/>
                                <w:sz w:val="24"/>
                              </w:rPr>
                              <m:t>ŋ</m:t>
                            </m:r>
                            <m:ctrlPr>
                              <w:rPr>
                                <w:rFonts w:ascii="Cambria Math" w:hAnsi="Cambria Math"/>
                                <w:i/>
                                <w:sz w:val="24"/>
                              </w:rPr>
                            </m:ctrlPr>
                          </m:e>
                          <m:sub>
                            <m:r>
                              <w:rPr>
                                <w:rFonts w:ascii="Cambria Math" w:hAnsi="Cambria Math"/>
                                <w:sz w:val="24"/>
                              </w:rPr>
                              <m:t>NOx</m:t>
                            </m:r>
                            <m:ctrlPr>
                              <w:rPr>
                                <w:rFonts w:ascii="Cambria Math" w:hAnsi="Cambria Math"/>
                                <w:i/>
                                <w:sz w:val="24"/>
                              </w:rPr>
                            </m:ctrlPr>
                          </m:sub>
                        </m:sSub>
                        <m:ctrlPr>
                          <w:rPr>
                            <w:rFonts w:ascii="Cambria Math" w:hAnsi="Cambria Math"/>
                            <w:i/>
                            <w:sz w:val="24"/>
                          </w:rPr>
                        </m:ctrlPr>
                      </m:num>
                      <m:den>
                        <m:r>
                          <w:rPr>
                            <w:rFonts w:ascii="Cambria Math" w:hAnsi="Cambria Math"/>
                            <w:sz w:val="24"/>
                          </w:rPr>
                          <m:t>100</m:t>
                        </m:r>
                        <m:ctrlPr>
                          <w:rPr>
                            <w:rFonts w:ascii="Cambria Math" w:hAnsi="Cambria Math"/>
                            <w:i/>
                            <w:sz w:val="24"/>
                          </w:rPr>
                        </m:ctrlPr>
                      </m:den>
                    </m:f>
                    <m:ctrlPr>
                      <w:rPr>
                        <w:rFonts w:ascii="Cambria Math" w:hAnsi="Cambria Math"/>
                        <w:i/>
                        <w:sz w:val="24"/>
                      </w:rPr>
                    </m:ctrlPr>
                  </m:e>
                </m:d>
                <m:r>
                  <w:rPr>
                    <w:rFonts w:ascii="Cambria Math" w:hAnsi="Cambria Math"/>
                    <w:sz w:val="24"/>
                  </w:rPr>
                  <m:t>×</m:t>
                </m:r>
                <m:sSup>
                  <m:sSupPr>
                    <m:ctrlPr>
                      <w:rPr>
                        <w:rFonts w:ascii="Cambria Math" w:hAnsi="Cambria Math"/>
                        <w:i/>
                        <w:sz w:val="24"/>
                      </w:rPr>
                    </m:ctrlPr>
                  </m:sSupPr>
                  <m:e>
                    <m:r>
                      <w:rPr>
                        <w:rFonts w:ascii="Cambria Math" w:hAnsi="Cambria Math"/>
                        <w:sz w:val="24"/>
                      </w:rPr>
                      <m:t>10</m:t>
                    </m:r>
                    <m:ctrlPr>
                      <w:rPr>
                        <w:rFonts w:ascii="Cambria Math" w:hAnsi="Cambria Math"/>
                        <w:i/>
                        <w:sz w:val="24"/>
                      </w:rPr>
                    </m:ctrlPr>
                  </m:e>
                  <m:sup>
                    <m:r>
                      <w:rPr>
                        <w:rFonts w:ascii="Cambria Math" w:hAnsi="Cambria Math"/>
                        <w:sz w:val="24"/>
                      </w:rPr>
                      <m:t>-9</m:t>
                    </m:r>
                    <m:ctrlPr>
                      <w:rPr>
                        <w:rFonts w:ascii="Cambria Math" w:hAnsi="Cambria Math"/>
                        <w:i/>
                        <w:sz w:val="24"/>
                      </w:rPr>
                    </m:ctrlPr>
                  </m:sup>
                </m:sSup>
              </m:oMath>
            </m:oMathPara>
          </w:p>
          <w:p>
            <w:pPr>
              <w:adjustRightInd w:val="0"/>
              <w:snapToGrid w:val="0"/>
              <w:spacing w:line="360" w:lineRule="auto"/>
              <w:ind w:firstLine="480" w:firstLineChars="200"/>
              <w:rPr>
                <w:sz w:val="24"/>
              </w:rPr>
            </w:pPr>
            <w:r>
              <w:rPr>
                <w:rFonts w:hint="eastAsia"/>
                <w:sz w:val="24"/>
              </w:rPr>
              <w:t>式中：</w:t>
            </w:r>
          </w:p>
          <w:p>
            <w:pPr>
              <w:adjustRightInd w:val="0"/>
              <w:snapToGrid w:val="0"/>
              <w:spacing w:line="360" w:lineRule="auto"/>
              <w:ind w:firstLine="480" w:firstLineChars="200"/>
              <w:rPr>
                <w:sz w:val="24"/>
              </w:rPr>
            </w:pPr>
            <m:oMath>
              <m:sSub>
                <m:sSubPr>
                  <m:ctrlPr>
                    <w:rPr>
                      <w:rFonts w:ascii="Cambria Math" w:hAnsi="Cambria Math"/>
                      <w:i/>
                      <w:sz w:val="24"/>
                    </w:rPr>
                  </m:ctrlPr>
                </m:sSubPr>
                <m:e>
                  <m:r>
                    <w:rPr>
                      <w:rFonts w:ascii="Cambria Math" w:hAnsi="Cambria Math"/>
                      <w:sz w:val="24"/>
                    </w:rPr>
                    <m:t>E</m:t>
                  </m:r>
                  <m:ctrlPr>
                    <w:rPr>
                      <w:rFonts w:ascii="Cambria Math" w:hAnsi="Cambria Math"/>
                      <w:i/>
                      <w:sz w:val="24"/>
                    </w:rPr>
                  </m:ctrlPr>
                </m:e>
                <m:sub>
                  <m:r>
                    <w:rPr>
                      <w:rFonts w:ascii="Cambria Math" w:hAnsi="Cambria Math"/>
                      <w:sz w:val="24"/>
                    </w:rPr>
                    <m:t>NOx</m:t>
                  </m:r>
                  <m:ctrlPr>
                    <w:rPr>
                      <w:rFonts w:ascii="Cambria Math" w:hAnsi="Cambria Math"/>
                      <w:i/>
                      <w:sz w:val="24"/>
                    </w:rPr>
                  </m:ctrlPr>
                </m:sub>
              </m:sSub>
            </m:oMath>
            <w:r>
              <w:rPr>
                <w:rFonts w:hint="eastAsia"/>
                <w:sz w:val="24"/>
                <w:vertAlign w:val="subscript"/>
              </w:rPr>
              <w:t>——</w:t>
            </w:r>
            <w:r>
              <w:rPr>
                <w:rFonts w:hint="eastAsia"/>
                <w:sz w:val="24"/>
              </w:rPr>
              <w:t>核算时段内氮氧化物排放量，t；</w:t>
            </w:r>
          </w:p>
          <w:p>
            <w:pPr>
              <w:adjustRightInd w:val="0"/>
              <w:snapToGrid w:val="0"/>
              <w:spacing w:line="360" w:lineRule="auto"/>
              <w:ind w:firstLine="480" w:firstLineChars="200"/>
              <w:rPr>
                <w:sz w:val="24"/>
              </w:rPr>
            </w:pPr>
            <m:oMath>
              <m:sSub>
                <m:sSubPr>
                  <m:ctrlPr>
                    <w:rPr>
                      <w:rFonts w:ascii="Cambria Math" w:hAnsi="Cambria Math"/>
                      <w:i/>
                      <w:sz w:val="24"/>
                    </w:rPr>
                  </m:ctrlPr>
                </m:sSubPr>
                <m:e>
                  <m:r>
                    <w:rPr>
                      <w:rFonts w:ascii="Cambria Math" w:hAnsi="Cambria Math"/>
                      <w:sz w:val="24"/>
                    </w:rPr>
                    <m:t>ρ</m:t>
                  </m:r>
                  <m:ctrlPr>
                    <w:rPr>
                      <w:rFonts w:ascii="Cambria Math" w:hAnsi="Cambria Math"/>
                      <w:i/>
                      <w:sz w:val="24"/>
                    </w:rPr>
                  </m:ctrlPr>
                </m:e>
                <m:sub>
                  <m:r>
                    <w:rPr>
                      <w:rFonts w:ascii="Cambria Math" w:hAnsi="Cambria Math"/>
                      <w:sz w:val="24"/>
                    </w:rPr>
                    <m:t>NOx</m:t>
                  </m:r>
                  <m:ctrlPr>
                    <w:rPr>
                      <w:rFonts w:ascii="Cambria Math" w:hAnsi="Cambria Math"/>
                      <w:i/>
                      <w:sz w:val="24"/>
                    </w:rPr>
                  </m:ctrlPr>
                </m:sub>
              </m:sSub>
            </m:oMath>
            <w:r>
              <w:rPr>
                <w:rFonts w:hint="eastAsia"/>
                <w:sz w:val="24"/>
              </w:rPr>
              <w:t>—锅炉炉膛出口氮氧化物质量浓度，mg/m</w:t>
            </w:r>
            <w:r>
              <w:rPr>
                <w:rFonts w:hint="eastAsia"/>
                <w:sz w:val="24"/>
                <w:vertAlign w:val="superscript"/>
              </w:rPr>
              <w:t>3</w:t>
            </w:r>
            <w:r>
              <w:rPr>
                <w:rFonts w:hint="eastAsia"/>
                <w:sz w:val="24"/>
              </w:rPr>
              <w:t>；</w:t>
            </w:r>
          </w:p>
          <w:p>
            <w:pPr>
              <w:adjustRightInd w:val="0"/>
              <w:snapToGrid w:val="0"/>
              <w:spacing w:line="360" w:lineRule="auto"/>
              <w:ind w:firstLine="480" w:firstLineChars="200"/>
              <w:rPr>
                <w:sz w:val="24"/>
              </w:rPr>
            </w:pPr>
            <m:oMath>
              <m:r>
                <w:rPr>
                  <w:rFonts w:ascii="Cambria Math" w:hAnsi="Cambria Math"/>
                  <w:sz w:val="24"/>
                </w:rPr>
                <m:t>Q</m:t>
              </m:r>
            </m:oMath>
            <w:r>
              <w:rPr>
                <w:rFonts w:hint="eastAsia"/>
                <w:sz w:val="24"/>
              </w:rPr>
              <w:t>—核算时段内标态干烟气排放量，m</w:t>
            </w:r>
            <w:r>
              <w:rPr>
                <w:rFonts w:hint="eastAsia"/>
                <w:sz w:val="24"/>
                <w:vertAlign w:val="superscript"/>
              </w:rPr>
              <w:t>3</w:t>
            </w:r>
            <w:r>
              <w:rPr>
                <w:rFonts w:hint="eastAsia"/>
                <w:sz w:val="24"/>
              </w:rPr>
              <w:t>；</w:t>
            </w:r>
          </w:p>
          <w:p>
            <w:pPr>
              <w:pStyle w:val="59"/>
              <w:spacing w:line="360" w:lineRule="auto"/>
              <w:ind w:firstLine="480" w:firstLineChars="200"/>
              <w:jc w:val="both"/>
              <w:rPr>
                <w:rFonts w:ascii="Times New Roman" w:hAnsi="Times New Roman"/>
                <w:sz w:val="24"/>
              </w:rPr>
            </w:pPr>
            <m:oMath>
              <m:sSub>
                <m:sSubPr>
                  <m:ctrlPr>
                    <w:rPr>
                      <w:rFonts w:ascii="Cambria Math" w:hAnsi="Cambria Math"/>
                      <w:i/>
                      <w:sz w:val="24"/>
                    </w:rPr>
                  </m:ctrlPr>
                </m:sSubPr>
                <m:e>
                  <m:r>
                    <m:rPr>
                      <m:sty m:val="p"/>
                    </m:rPr>
                    <w:rPr>
                      <w:rFonts w:ascii="Cambria Math" w:hAnsi="Cambria Math" w:cs="Cambria"/>
                      <w:sz w:val="24"/>
                    </w:rPr>
                    <m:t>ŋ</m:t>
                  </m:r>
                  <m:ctrlPr>
                    <w:rPr>
                      <w:rFonts w:ascii="Cambria Math" w:hAnsi="Cambria Math"/>
                      <w:i/>
                      <w:sz w:val="24"/>
                    </w:rPr>
                  </m:ctrlPr>
                </m:e>
                <m:sub>
                  <m:r>
                    <w:rPr>
                      <w:rFonts w:ascii="Cambria Math" w:hAnsi="Cambria Math"/>
                      <w:sz w:val="24"/>
                    </w:rPr>
                    <m:t>NOx</m:t>
                  </m:r>
                  <m:ctrlPr>
                    <w:rPr>
                      <w:rFonts w:ascii="Cambria Math" w:hAnsi="Cambria Math"/>
                      <w:i/>
                      <w:sz w:val="24"/>
                    </w:rPr>
                  </m:ctrlPr>
                </m:sub>
              </m:sSub>
            </m:oMath>
            <w:r>
              <w:rPr>
                <w:rFonts w:ascii="Times New Roman" w:hAnsi="Times New Roman"/>
                <w:sz w:val="24"/>
              </w:rPr>
              <w:t>—</w:t>
            </w:r>
            <w:r>
              <w:rPr>
                <w:rFonts w:hint="eastAsia" w:ascii="Times New Roman" w:hAnsi="Times New Roman"/>
                <w:sz w:val="24"/>
              </w:rPr>
              <w:t>脱硫效率，</w:t>
            </w:r>
            <w:r>
              <w:rPr>
                <w:rFonts w:ascii="Times New Roman" w:hAnsi="Times New Roman"/>
                <w:sz w:val="24"/>
              </w:rPr>
              <w:t>%</w:t>
            </w:r>
            <w:r>
              <w:rPr>
                <w:rFonts w:hint="eastAsia" w:ascii="Times New Roman" w:hAnsi="Times New Roman"/>
                <w:sz w:val="24"/>
              </w:rPr>
              <w:t>，取值为0。</w:t>
            </w:r>
          </w:p>
          <w:p>
            <w:pPr>
              <w:pStyle w:val="59"/>
              <w:spacing w:line="360" w:lineRule="auto"/>
              <w:ind w:firstLine="480" w:firstLineChars="200"/>
              <w:jc w:val="both"/>
              <w:rPr>
                <w:rFonts w:ascii="Times New Roman" w:hAnsi="Times New Roman"/>
                <w:sz w:val="24"/>
              </w:rPr>
            </w:pPr>
            <w:r>
              <w:rPr>
                <w:rFonts w:hint="eastAsia" w:ascii="Times New Roman" w:hAnsi="Times New Roman"/>
                <w:sz w:val="24"/>
              </w:rPr>
              <w:t>根据上式，氮氧化物排放量为</w:t>
            </w:r>
            <w:r>
              <w:rPr>
                <w:rFonts w:ascii="Times New Roman" w:hAnsi="Times New Roman"/>
                <w:sz w:val="24"/>
              </w:rPr>
              <w:t>1.7658</w:t>
            </w:r>
            <w:r>
              <w:rPr>
                <w:rFonts w:hint="eastAsia" w:ascii="Times New Roman" w:hAnsi="Times New Roman"/>
                <w:sz w:val="24"/>
              </w:rPr>
              <w:t>kg/h。</w:t>
            </w:r>
          </w:p>
          <w:p>
            <w:pPr>
              <w:pStyle w:val="18"/>
              <w:widowControl w:val="0"/>
              <w:adjustRightInd w:val="0"/>
              <w:snapToGrid w:val="0"/>
              <w:spacing w:before="0" w:beforeAutospacing="0" w:after="0" w:afterAutospacing="0" w:line="360" w:lineRule="auto"/>
              <w:ind w:firstLine="420"/>
              <w:jc w:val="both"/>
              <w:rPr>
                <w:rFonts w:ascii="Times New Roman" w:hAnsi="Times New Roman"/>
              </w:rPr>
            </w:pPr>
            <w:r>
              <w:rPr>
                <w:rFonts w:hint="eastAsia" w:ascii="Times New Roman" w:hAnsi="Times New Roman"/>
                <w:b/>
              </w:rPr>
              <w:t>③颗粒物：</w:t>
            </w:r>
            <w:r>
              <w:rPr>
                <w:rFonts w:hint="eastAsia" w:ascii="Times New Roman" w:hAnsi="Times New Roman"/>
              </w:rPr>
              <w:t>1</w:t>
            </w:r>
            <w:r>
              <w:rPr>
                <w:rFonts w:ascii="Times New Roman" w:hAnsi="Times New Roman"/>
              </w:rPr>
              <w:t>5</w:t>
            </w:r>
            <w:r>
              <w:rPr>
                <w:rFonts w:hint="eastAsia" w:ascii="Times New Roman" w:hAnsi="Times New Roman"/>
              </w:rPr>
              <w:t>万吨/年饲钙生产装置产生颗粒物的环节主要为热风炉燃烧过程产生+物料破碎筛分、成品贮存过程产生。热风炉燃煤过程产生的颗粒物：根据《污染源源强核算技术指南锅炉》（HJ991-2018）按照5</w:t>
            </w:r>
            <w:r>
              <w:rPr>
                <w:rFonts w:ascii="Times New Roman" w:hAnsi="Times New Roman"/>
              </w:rPr>
              <w:t>.1.1</w:t>
            </w:r>
            <w:r>
              <w:rPr>
                <w:rFonts w:hint="eastAsia" w:ascii="Times New Roman" w:hAnsi="Times New Roman"/>
              </w:rPr>
              <w:t>条颗粒物（烟尘）排放量进行核算，核算方法如下：</w:t>
            </w:r>
          </w:p>
          <w:p>
            <w:pPr>
              <w:pStyle w:val="18"/>
              <w:widowControl w:val="0"/>
              <w:adjustRightInd w:val="0"/>
              <w:snapToGrid w:val="0"/>
              <w:spacing w:before="0" w:beforeAutospacing="0" w:after="0" w:afterAutospacing="0" w:line="360" w:lineRule="auto"/>
              <w:ind w:firstLine="420"/>
              <w:jc w:val="both"/>
              <w:rPr>
                <w:rFonts w:ascii="Times New Roman" w:hAnsi="Times New Roman"/>
              </w:rPr>
            </w:pPr>
            <m:oMathPara>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f>
                  <m:fPr>
                    <m:ctrlPr>
                      <w:rPr>
                        <w:rFonts w:ascii="Cambria Math" w:hAnsi="Cambria Math"/>
                        <w:i/>
                      </w:rPr>
                    </m:ctrlPr>
                  </m:fPr>
                  <m:num>
                    <m:r>
                      <w:rPr>
                        <w:rFonts w:ascii="Cambria Math" w:hAnsi="Cambria Math"/>
                      </w:rPr>
                      <m:t>R×</m:t>
                    </m:r>
                    <m:f>
                      <m:fPr>
                        <m:ctrlPr>
                          <w:rPr>
                            <w:rFonts w:ascii="Cambria Math" w:hAnsi="Cambria Math"/>
                            <w:i/>
                          </w:rPr>
                        </m:ctrlPr>
                      </m:fPr>
                      <m:num>
                        <m:sSub>
                          <m:sSubPr>
                            <m:ctrlPr>
                              <w:rPr>
                                <w:rFonts w:ascii="Cambria Math" w:hAnsi="Cambria Math"/>
                                <w:i/>
                              </w:rPr>
                            </m:ctrlPr>
                          </m:sSubPr>
                          <m:e>
                            <m:r>
                              <w:rPr>
                                <w:rFonts w:ascii="Cambria Math" w:hAnsi="Cambria Math"/>
                              </w:rPr>
                              <m:t>A</m:t>
                            </m:r>
                            <m:ctrlPr>
                              <w:rPr>
                                <w:rFonts w:ascii="Cambria Math" w:hAnsi="Cambria Math"/>
                                <w:i/>
                              </w:rPr>
                            </m:ctrlPr>
                          </m:e>
                          <m:sub>
                            <m:r>
                              <w:rPr>
                                <w:rFonts w:ascii="Cambria Math" w:hAnsi="Cambria Math"/>
                              </w:rPr>
                              <m:t>ar</m:t>
                            </m:r>
                            <m:ctrlPr>
                              <w:rPr>
                                <w:rFonts w:ascii="Cambria Math" w:hAnsi="Cambria Math"/>
                                <w:i/>
                              </w:rPr>
                            </m:ctrlPr>
                          </m:sub>
                        </m:sSub>
                        <m:ctrlPr>
                          <w:rPr>
                            <w:rFonts w:ascii="Cambria Math" w:hAnsi="Cambria Math"/>
                            <w:i/>
                          </w:rPr>
                        </m:ctrlPr>
                      </m:num>
                      <m:den>
                        <m:r>
                          <w:rPr>
                            <w:rFonts w:ascii="Cambria Math" w:hAnsi="Cambria Math"/>
                          </w:rPr>
                          <m:t>100</m:t>
                        </m:r>
                        <m:ctrlPr>
                          <w:rPr>
                            <w:rFonts w:ascii="Cambria Math" w:hAnsi="Cambria Math"/>
                            <w:i/>
                          </w:rPr>
                        </m:ctrlP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hint="eastAsia" w:ascii="Cambria Math" w:hAnsi="Cambria Math"/>
                              </w:rPr>
                              <m:t>d</m:t>
                            </m:r>
                            <m:ctrlPr>
                              <w:rPr>
                                <w:rFonts w:ascii="Cambria Math" w:hAnsi="Cambria Math"/>
                                <w:i/>
                              </w:rPr>
                            </m:ctrlPr>
                          </m:e>
                          <m:sub>
                            <m:r>
                              <w:rPr>
                                <w:rFonts w:ascii="Cambria Math" w:hAnsi="Cambria Math"/>
                              </w:rPr>
                              <m:t>fh</m:t>
                            </m:r>
                            <m:ctrlPr>
                              <w:rPr>
                                <w:rFonts w:ascii="Cambria Math" w:hAnsi="Cambria Math"/>
                                <w:i/>
                              </w:rPr>
                            </m:ctrlPr>
                          </m:sub>
                        </m:sSub>
                        <m:ctrlPr>
                          <w:rPr>
                            <w:rFonts w:ascii="Cambria Math" w:hAnsi="Cambria Math"/>
                            <w:i/>
                          </w:rPr>
                        </m:ctrlPr>
                      </m:num>
                      <m:den>
                        <m:r>
                          <w:rPr>
                            <w:rFonts w:ascii="Cambria Math" w:hAnsi="Cambria Math"/>
                          </w:rPr>
                          <m:t>100</m:t>
                        </m:r>
                        <m:ctrlPr>
                          <w:rPr>
                            <w:rFonts w:ascii="Cambria Math" w:hAnsi="Cambria Math"/>
                            <w:i/>
                          </w:rPr>
                        </m:ctrlPr>
                      </m:den>
                    </m:f>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hint="eastAsia" w:ascii="Cambria Math" w:hAnsi="Cambria Math"/>
                                  </w:rPr>
                                  <m:t>η</m:t>
                                </m:r>
                                <m:ctrlPr>
                                  <w:rPr>
                                    <w:rFonts w:ascii="Cambria Math" w:hAnsi="Cambria Math"/>
                                    <w:i/>
                                  </w:rPr>
                                </m:ctrlPr>
                              </m:e>
                              <m:sub>
                                <m:r>
                                  <w:rPr>
                                    <w:rFonts w:ascii="Cambria Math" w:hAnsi="Cambria Math"/>
                                  </w:rPr>
                                  <m:t>c</m:t>
                                </m:r>
                                <m:ctrlPr>
                                  <w:rPr>
                                    <w:rFonts w:ascii="Cambria Math" w:hAnsi="Cambria Math"/>
                                    <w:i/>
                                  </w:rPr>
                                </m:ctrlPr>
                              </m:sub>
                            </m:sSub>
                            <m:ctrlPr>
                              <w:rPr>
                                <w:rFonts w:ascii="Cambria Math" w:hAnsi="Cambria Math"/>
                                <w:i/>
                              </w:rPr>
                            </m:ctrlPr>
                          </m:num>
                          <m:den>
                            <m:r>
                              <w:rPr>
                                <w:rFonts w:ascii="Cambria Math" w:hAnsi="Cambria Math"/>
                              </w:rPr>
                              <m:t>100</m:t>
                            </m:r>
                            <m:ctrlPr>
                              <w:rPr>
                                <w:rFonts w:ascii="Cambria Math" w:hAnsi="Cambria Math"/>
                                <w:i/>
                              </w:rPr>
                            </m:ctrlPr>
                          </m:den>
                        </m:f>
                        <m:ctrlPr>
                          <w:rPr>
                            <w:rFonts w:ascii="Cambria Math" w:hAnsi="Cambria Math"/>
                            <w:i/>
                          </w:rPr>
                        </m:ctrlPr>
                      </m:e>
                    </m:d>
                    <m:ctrlPr>
                      <w:rPr>
                        <w:rFonts w:ascii="Cambria Math" w:hAnsi="Cambria Math"/>
                        <w:i/>
                      </w:rPr>
                    </m:ctrlP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C</m:t>
                            </m:r>
                            <m:ctrlPr>
                              <w:rPr>
                                <w:rFonts w:ascii="Cambria Math" w:hAnsi="Cambria Math"/>
                                <w:i/>
                              </w:rPr>
                            </m:ctrlPr>
                          </m:e>
                          <m:sub>
                            <m:r>
                              <w:rPr>
                                <w:rFonts w:hint="eastAsia" w:ascii="Cambria Math" w:hAnsi="Cambria Math"/>
                              </w:rPr>
                              <m:t>f</m:t>
                            </m:r>
                            <m:r>
                              <w:rPr>
                                <w:rFonts w:ascii="Cambria Math" w:hAnsi="Cambria Math"/>
                              </w:rPr>
                              <m:t>h</m:t>
                            </m:r>
                            <m:ctrlPr>
                              <w:rPr>
                                <w:rFonts w:ascii="Cambria Math" w:hAnsi="Cambria Math"/>
                                <w:i/>
                              </w:rPr>
                            </m:ctrlPr>
                          </m:sub>
                        </m:sSub>
                        <m:ctrlPr>
                          <w:rPr>
                            <w:rFonts w:ascii="Cambria Math" w:hAnsi="Cambria Math"/>
                            <w:i/>
                          </w:rPr>
                        </m:ctrlPr>
                      </m:num>
                      <m:den>
                        <m:r>
                          <w:rPr>
                            <w:rFonts w:ascii="Cambria Math" w:hAnsi="Cambria Math"/>
                          </w:rPr>
                          <m:t>100</m:t>
                        </m:r>
                        <m:ctrlPr>
                          <w:rPr>
                            <w:rFonts w:ascii="Cambria Math" w:hAnsi="Cambria Math"/>
                            <w:i/>
                          </w:rPr>
                        </m:ctrlPr>
                      </m:den>
                    </m:f>
                    <m:ctrlPr>
                      <w:rPr>
                        <w:rFonts w:ascii="Cambria Math" w:hAnsi="Cambria Math"/>
                        <w:i/>
                      </w:rPr>
                    </m:ctrlPr>
                  </m:den>
                </m:f>
              </m:oMath>
            </m:oMathPara>
          </w:p>
          <w:p>
            <w:pPr>
              <w:pStyle w:val="18"/>
              <w:widowControl w:val="0"/>
              <w:adjustRightInd w:val="0"/>
              <w:snapToGrid w:val="0"/>
              <w:spacing w:before="0" w:beforeAutospacing="0" w:after="0" w:afterAutospacing="0" w:line="360" w:lineRule="auto"/>
              <w:ind w:firstLine="420"/>
              <w:jc w:val="both"/>
              <w:rPr>
                <w:rFonts w:ascii="Times New Roman" w:hAnsi="Times New Roman"/>
              </w:rPr>
            </w:pPr>
            <w:r>
              <w:rPr>
                <w:rFonts w:hint="eastAsia" w:ascii="Times New Roman" w:hAnsi="Times New Roman"/>
              </w:rPr>
              <w:t>式中：</w:t>
            </w:r>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A</m:t>
                  </m:r>
                  <m:ctrlPr>
                    <w:rPr>
                      <w:rFonts w:ascii="Cambria Math" w:hAnsi="Cambria Math"/>
                      <w:i/>
                    </w:rPr>
                  </m:ctrlPr>
                </m:sub>
              </m:sSub>
            </m:oMath>
            <w:r>
              <w:rPr>
                <w:rFonts w:hint="eastAsia" w:ascii="Times New Roman" w:hAnsi="Times New Roman"/>
              </w:rPr>
              <w:t>-核算时段内颗粒物（烟尘）排放量，t；</w:t>
            </w:r>
          </w:p>
          <w:p>
            <w:pPr>
              <w:pStyle w:val="18"/>
              <w:widowControl w:val="0"/>
              <w:adjustRightInd w:val="0"/>
              <w:snapToGrid w:val="0"/>
              <w:spacing w:before="0" w:beforeAutospacing="0" w:after="0" w:afterAutospacing="0" w:line="360" w:lineRule="auto"/>
              <w:ind w:firstLine="420"/>
              <w:jc w:val="both"/>
              <w:rPr>
                <w:rFonts w:ascii="Times New Roman" w:hAnsi="Times New Roman"/>
              </w:rPr>
            </w:pPr>
            <m:oMath>
              <m:r>
                <w:rPr>
                  <w:rFonts w:ascii="Cambria Math" w:hAnsi="Cambria Math"/>
                </w:rPr>
                <m:t>R</m:t>
              </m:r>
            </m:oMath>
            <w:r>
              <w:rPr>
                <w:rFonts w:hint="eastAsia" w:ascii="Times New Roman" w:hAnsi="Times New Roman"/>
              </w:rPr>
              <w:t>-核算时段内锅炉燃料耗量，t；取值6</w:t>
            </w:r>
            <w:r>
              <w:rPr>
                <w:rFonts w:ascii="Times New Roman" w:hAnsi="Times New Roman"/>
              </w:rPr>
              <w:t>475t</w:t>
            </w:r>
          </w:p>
          <w:p>
            <w:pPr>
              <w:pStyle w:val="18"/>
              <w:widowControl w:val="0"/>
              <w:adjustRightInd w:val="0"/>
              <w:snapToGrid w:val="0"/>
              <w:spacing w:before="0" w:beforeAutospacing="0" w:after="0" w:afterAutospacing="0" w:line="360" w:lineRule="auto"/>
              <w:ind w:firstLine="420"/>
              <w:jc w:val="both"/>
              <w:rPr>
                <w:rFonts w:ascii="Times New Roman" w:hAnsi="Times New Roman"/>
              </w:rPr>
            </w:pPr>
            <m:oMath>
              <m:sSub>
                <m:sSubPr>
                  <m:ctrlPr>
                    <w:rPr>
                      <w:rFonts w:ascii="Cambria Math" w:hAnsi="Cambria Math"/>
                      <w:i/>
                    </w:rPr>
                  </m:ctrlPr>
                </m:sSubPr>
                <m:e>
                  <m:r>
                    <w:rPr>
                      <w:rFonts w:ascii="Cambria Math" w:hAnsi="Cambria Math"/>
                    </w:rPr>
                    <m:t>A</m:t>
                  </m:r>
                  <m:ctrlPr>
                    <w:rPr>
                      <w:rFonts w:ascii="Cambria Math" w:hAnsi="Cambria Math"/>
                      <w:i/>
                    </w:rPr>
                  </m:ctrlPr>
                </m:e>
                <m:sub>
                  <m:r>
                    <w:rPr>
                      <w:rFonts w:ascii="Cambria Math" w:hAnsi="Cambria Math"/>
                    </w:rPr>
                    <m:t>ar</m:t>
                  </m:r>
                  <m:ctrlPr>
                    <w:rPr>
                      <w:rFonts w:ascii="Cambria Math" w:hAnsi="Cambria Math"/>
                      <w:i/>
                    </w:rPr>
                  </m:ctrlPr>
                </m:sub>
              </m:sSub>
            </m:oMath>
            <w:r>
              <w:rPr>
                <w:rFonts w:hint="eastAsia" w:ascii="Times New Roman" w:hAnsi="Times New Roman"/>
              </w:rPr>
              <w:t>-收到基灰分的质量分数，%；取值2</w:t>
            </w:r>
            <w:r>
              <w:rPr>
                <w:rFonts w:ascii="Times New Roman" w:hAnsi="Times New Roman"/>
              </w:rPr>
              <w:t>5.4%</w:t>
            </w:r>
          </w:p>
          <w:p>
            <w:pPr>
              <w:pStyle w:val="18"/>
              <w:widowControl w:val="0"/>
              <w:adjustRightInd w:val="0"/>
              <w:snapToGrid w:val="0"/>
              <w:spacing w:before="0" w:beforeAutospacing="0" w:after="0" w:afterAutospacing="0" w:line="360" w:lineRule="auto"/>
              <w:ind w:firstLine="420"/>
              <w:jc w:val="both"/>
              <w:rPr>
                <w:rFonts w:ascii="Times New Roman" w:hAnsi="Times New Roman"/>
              </w:rPr>
            </w:pPr>
            <m:oMath>
              <m:sSub>
                <m:sSubPr>
                  <m:ctrlPr>
                    <w:rPr>
                      <w:rFonts w:ascii="Cambria Math" w:hAnsi="Cambria Math"/>
                      <w:i/>
                    </w:rPr>
                  </m:ctrlPr>
                </m:sSubPr>
                <m:e>
                  <m:r>
                    <w:rPr>
                      <w:rFonts w:hint="eastAsia" w:ascii="Cambria Math" w:hAnsi="Cambria Math"/>
                    </w:rPr>
                    <m:t>d</m:t>
                  </m:r>
                  <m:ctrlPr>
                    <w:rPr>
                      <w:rFonts w:ascii="Cambria Math" w:hAnsi="Cambria Math"/>
                      <w:i/>
                    </w:rPr>
                  </m:ctrlPr>
                </m:e>
                <m:sub>
                  <m:r>
                    <w:rPr>
                      <w:rFonts w:ascii="Cambria Math" w:hAnsi="Cambria Math"/>
                    </w:rPr>
                    <m:t>fh</m:t>
                  </m:r>
                  <m:ctrlPr>
                    <w:rPr>
                      <w:rFonts w:ascii="Cambria Math" w:hAnsi="Cambria Math"/>
                      <w:i/>
                    </w:rPr>
                  </m:ctrlPr>
                </m:sub>
              </m:sSub>
            </m:oMath>
            <w:r>
              <w:rPr>
                <w:rFonts w:hint="eastAsia" w:ascii="Times New Roman" w:hAnsi="Times New Roman"/>
              </w:rPr>
              <w:t>-锅炉烟气带出的飞灰份额，%；取值</w:t>
            </w:r>
            <w:r>
              <w:rPr>
                <w:rFonts w:ascii="Times New Roman" w:hAnsi="Times New Roman"/>
              </w:rPr>
              <w:t>90%</w:t>
            </w:r>
          </w:p>
          <w:p>
            <w:pPr>
              <w:pStyle w:val="18"/>
              <w:widowControl w:val="0"/>
              <w:adjustRightInd w:val="0"/>
              <w:snapToGrid w:val="0"/>
              <w:spacing w:before="0" w:beforeAutospacing="0" w:after="0" w:afterAutospacing="0" w:line="360" w:lineRule="auto"/>
              <w:ind w:firstLine="420"/>
              <w:jc w:val="both"/>
              <w:rPr>
                <w:rFonts w:ascii="Times New Roman" w:hAnsi="Times New Roman"/>
              </w:rPr>
            </w:pPr>
            <m:oMath>
              <m:sSub>
                <m:sSubPr>
                  <m:ctrlPr>
                    <w:rPr>
                      <w:rFonts w:ascii="Cambria Math" w:hAnsi="Cambria Math"/>
                      <w:i/>
                    </w:rPr>
                  </m:ctrlPr>
                </m:sSubPr>
                <m:e>
                  <m:r>
                    <w:rPr>
                      <w:rFonts w:hint="eastAsia" w:ascii="Cambria Math" w:hAnsi="Cambria Math"/>
                    </w:rPr>
                    <m:t>η</m:t>
                  </m:r>
                  <m:ctrlPr>
                    <w:rPr>
                      <w:rFonts w:ascii="Cambria Math" w:hAnsi="Cambria Math"/>
                      <w:i/>
                    </w:rPr>
                  </m:ctrlPr>
                </m:e>
                <m:sub>
                  <m:r>
                    <w:rPr>
                      <w:rFonts w:ascii="Cambria Math" w:hAnsi="Cambria Math"/>
                    </w:rPr>
                    <m:t>c</m:t>
                  </m:r>
                  <m:ctrlPr>
                    <w:rPr>
                      <w:rFonts w:ascii="Cambria Math" w:hAnsi="Cambria Math"/>
                      <w:i/>
                    </w:rPr>
                  </m:ctrlPr>
                </m:sub>
              </m:sSub>
            </m:oMath>
            <w:r>
              <w:rPr>
                <w:rFonts w:hint="eastAsia" w:ascii="Times New Roman" w:hAnsi="Times New Roman"/>
              </w:rPr>
              <w:t>-综合除尘效率，%；取值9</w:t>
            </w:r>
            <w:r>
              <w:rPr>
                <w:rFonts w:ascii="Times New Roman" w:hAnsi="Times New Roman"/>
              </w:rPr>
              <w:t>9.5%</w:t>
            </w:r>
          </w:p>
          <w:p>
            <w:pPr>
              <w:pStyle w:val="18"/>
              <w:widowControl w:val="0"/>
              <w:adjustRightInd w:val="0"/>
              <w:snapToGrid w:val="0"/>
              <w:spacing w:before="0" w:beforeAutospacing="0" w:after="0" w:afterAutospacing="0" w:line="360" w:lineRule="auto"/>
              <w:ind w:firstLine="420"/>
              <w:jc w:val="both"/>
              <w:rPr>
                <w:rFonts w:ascii="Times New Roman" w:hAnsi="Times New Roman"/>
              </w:rPr>
            </w:pPr>
            <m:oMath>
              <m:sSub>
                <m:sSubPr>
                  <m:ctrlPr>
                    <w:rPr>
                      <w:rFonts w:ascii="Cambria Math" w:hAnsi="Cambria Math"/>
                      <w:i/>
                    </w:rPr>
                  </m:ctrlPr>
                </m:sSubPr>
                <m:e>
                  <m:r>
                    <w:rPr>
                      <w:rFonts w:ascii="Cambria Math" w:hAnsi="Cambria Math"/>
                    </w:rPr>
                    <m:t>C</m:t>
                  </m:r>
                  <m:ctrlPr>
                    <w:rPr>
                      <w:rFonts w:ascii="Cambria Math" w:hAnsi="Cambria Math"/>
                      <w:i/>
                    </w:rPr>
                  </m:ctrlPr>
                </m:e>
                <m:sub>
                  <m:r>
                    <w:rPr>
                      <w:rFonts w:hint="eastAsia" w:ascii="Cambria Math" w:hAnsi="Cambria Math"/>
                    </w:rPr>
                    <m:t>f</m:t>
                  </m:r>
                  <m:r>
                    <w:rPr>
                      <w:rFonts w:ascii="Cambria Math" w:hAnsi="Cambria Math"/>
                    </w:rPr>
                    <m:t>h</m:t>
                  </m:r>
                  <m:ctrlPr>
                    <w:rPr>
                      <w:rFonts w:ascii="Cambria Math" w:hAnsi="Cambria Math"/>
                      <w:i/>
                    </w:rPr>
                  </m:ctrlPr>
                </m:sub>
              </m:sSub>
            </m:oMath>
            <w:r>
              <w:rPr>
                <w:rFonts w:hint="eastAsia" w:ascii="Times New Roman" w:hAnsi="Times New Roman"/>
              </w:rPr>
              <w:t>-飞灰中的可燃物含量，%。取值5</w:t>
            </w:r>
            <w:r>
              <w:rPr>
                <w:rFonts w:ascii="Times New Roman" w:hAnsi="Times New Roman"/>
              </w:rPr>
              <w:t>%</w:t>
            </w:r>
          </w:p>
          <w:p>
            <w:pPr>
              <w:pStyle w:val="59"/>
              <w:spacing w:line="360" w:lineRule="auto"/>
              <w:ind w:firstLine="480" w:firstLineChars="200"/>
              <w:jc w:val="both"/>
              <w:rPr>
                <w:rFonts w:ascii="Times New Roman" w:hAnsi="Times New Roman"/>
                <w:sz w:val="24"/>
              </w:rPr>
            </w:pPr>
            <w:r>
              <w:rPr>
                <w:rFonts w:hint="eastAsia" w:ascii="Times New Roman" w:hAnsi="Times New Roman"/>
                <w:sz w:val="24"/>
              </w:rPr>
              <w:t>根据上式，颗粒物热风炉燃烧过程排放量为</w:t>
            </w:r>
            <w:r>
              <w:rPr>
                <w:rFonts w:ascii="Times New Roman" w:hAnsi="Times New Roman"/>
                <w:sz w:val="24"/>
              </w:rPr>
              <w:t>7.79t/a</w:t>
            </w:r>
            <w:r>
              <w:rPr>
                <w:rFonts w:hint="eastAsia" w:ascii="Times New Roman" w:hAnsi="Times New Roman"/>
                <w:sz w:val="24"/>
              </w:rPr>
              <w:t>。由于不改变生产量，物料破碎筛分、成品贮存过程产生的颗粒物排放量不变，15万吨/年饲钙装置的颗粒物产生总量为</w:t>
            </w:r>
            <w:r>
              <w:rPr>
                <w:rFonts w:ascii="Times New Roman" w:hAnsi="Times New Roman"/>
                <w:sz w:val="24"/>
              </w:rPr>
              <w:t>25.01</w:t>
            </w:r>
            <w:r>
              <w:rPr>
                <w:rFonts w:hint="eastAsia" w:ascii="Times New Roman" w:hAnsi="Times New Roman"/>
                <w:sz w:val="24"/>
              </w:rPr>
              <w:t>t</w:t>
            </w:r>
            <w:r>
              <w:rPr>
                <w:rFonts w:ascii="Times New Roman" w:hAnsi="Times New Roman"/>
                <w:sz w:val="24"/>
              </w:rPr>
              <w:t>/a</w:t>
            </w:r>
            <w:r>
              <w:rPr>
                <w:rFonts w:hint="eastAsia" w:ascii="Times New Roman" w:hAnsi="Times New Roman"/>
                <w:sz w:val="24"/>
              </w:rPr>
              <w:t>，技改前，燃煤过程产生的颗粒物排放量为8</w:t>
            </w:r>
            <w:r>
              <w:rPr>
                <w:rFonts w:ascii="Times New Roman" w:hAnsi="Times New Roman"/>
                <w:sz w:val="24"/>
              </w:rPr>
              <w:t>.50t/a</w:t>
            </w:r>
            <w:r>
              <w:rPr>
                <w:rFonts w:hint="eastAsia" w:ascii="Times New Roman" w:hAnsi="Times New Roman"/>
                <w:sz w:val="24"/>
              </w:rPr>
              <w:t>，根据物料平衡，生产过程中颗粒物排放量为</w:t>
            </w:r>
            <w:r>
              <w:rPr>
                <w:rFonts w:ascii="Times New Roman" w:hAnsi="Times New Roman"/>
                <w:sz w:val="24"/>
              </w:rPr>
              <w:t>16.51 t/a</w:t>
            </w:r>
            <w:r>
              <w:rPr>
                <w:rFonts w:hint="eastAsia" w:ascii="Times New Roman" w:hAnsi="Times New Roman"/>
                <w:sz w:val="24"/>
              </w:rPr>
              <w:t>。</w:t>
            </w:r>
          </w:p>
          <w:p>
            <w:pPr>
              <w:pStyle w:val="18"/>
              <w:widowControl w:val="0"/>
              <w:adjustRightInd w:val="0"/>
              <w:snapToGrid w:val="0"/>
              <w:spacing w:before="0" w:beforeAutospacing="0" w:after="0" w:afterAutospacing="0" w:line="360" w:lineRule="auto"/>
              <w:ind w:firstLine="420"/>
              <w:jc w:val="both"/>
              <w:rPr>
                <w:rFonts w:ascii="Times New Roman" w:hAnsi="Times New Roman"/>
                <w:b/>
              </w:rPr>
            </w:pPr>
            <w:r>
              <w:rPr>
                <w:rFonts w:hint="eastAsia" w:ascii="Times New Roman" w:hAnsi="Times New Roman"/>
                <w:b/>
              </w:rPr>
              <w:t>④氟化物：</w:t>
            </w:r>
            <w:r>
              <w:rPr>
                <w:rFonts w:hint="eastAsia" w:ascii="Times New Roman" w:hAnsi="Times New Roman"/>
              </w:rPr>
              <w:t>由于氟化物的溢出与磷酸用量有关，本项目技改后，设备干燥处理能力不改变，因此氟化物的产排情况不变，根据现有装置排污许可证中</w:t>
            </w:r>
            <w:r>
              <w:rPr>
                <w:rFonts w:ascii="Times New Roman" w:hAnsi="Times New Roman"/>
              </w:rPr>
              <w:t>10+15</w:t>
            </w:r>
            <w:r>
              <w:rPr>
                <w:rFonts w:hint="eastAsia" w:ascii="Times New Roman" w:hAnsi="Times New Roman"/>
              </w:rPr>
              <w:t>万吨</w:t>
            </w:r>
            <w:r>
              <w:rPr>
                <w:rFonts w:ascii="Times New Roman" w:hAnsi="Times New Roman"/>
              </w:rPr>
              <w:t>/</w:t>
            </w:r>
            <w:r>
              <w:rPr>
                <w:rFonts w:hint="eastAsia" w:ascii="Times New Roman" w:hAnsi="Times New Roman"/>
              </w:rPr>
              <w:t>年饲钙生产装置干燥废气的排污数据，现有</w:t>
            </w:r>
            <w:r>
              <w:rPr>
                <w:rFonts w:ascii="Times New Roman" w:hAnsi="Times New Roman"/>
              </w:rPr>
              <w:t>10+15</w:t>
            </w:r>
            <w:r>
              <w:rPr>
                <w:rFonts w:hint="eastAsia" w:ascii="Times New Roman" w:hAnsi="Times New Roman"/>
              </w:rPr>
              <w:t>万吨</w:t>
            </w:r>
            <w:r>
              <w:rPr>
                <w:rFonts w:ascii="Times New Roman" w:hAnsi="Times New Roman"/>
              </w:rPr>
              <w:t>/</w:t>
            </w:r>
            <w:r>
              <w:rPr>
                <w:rFonts w:hint="eastAsia" w:ascii="Times New Roman" w:hAnsi="Times New Roman"/>
              </w:rPr>
              <w:t>年饲钙装置干燥废气中氟化物的排放速率分别为：0.0</w:t>
            </w:r>
            <w:r>
              <w:rPr>
                <w:rFonts w:ascii="Times New Roman" w:hAnsi="Times New Roman"/>
              </w:rPr>
              <w:t>903</w:t>
            </w:r>
            <w:r>
              <w:rPr>
                <w:rFonts w:hint="eastAsia" w:ascii="Times New Roman" w:hAnsi="Times New Roman"/>
              </w:rPr>
              <w:t>kg/h。年排放量为</w:t>
            </w:r>
            <w:r>
              <w:rPr>
                <w:rFonts w:ascii="Times New Roman" w:hAnsi="Times New Roman"/>
              </w:rPr>
              <w:t>0.65t/a</w:t>
            </w:r>
            <w:r>
              <w:rPr>
                <w:rFonts w:hint="eastAsia" w:ascii="Times New Roman" w:hAnsi="Times New Roman"/>
              </w:rPr>
              <w:t>。</w:t>
            </w:r>
          </w:p>
          <w:p>
            <w:pPr>
              <w:pStyle w:val="59"/>
              <w:spacing w:line="360" w:lineRule="auto"/>
              <w:ind w:firstLine="442" w:firstLineChars="200"/>
              <w:jc w:val="both"/>
              <w:rPr>
                <w:rFonts w:ascii="Times New Roman" w:hAnsi="Times New Roman"/>
                <w:b/>
                <w:bCs/>
                <w:spacing w:val="-10"/>
                <w:sz w:val="24"/>
                <w:szCs w:val="24"/>
              </w:rPr>
            </w:pPr>
            <w:r>
              <w:rPr>
                <w:rFonts w:hint="eastAsia" w:ascii="Times New Roman" w:hAnsi="Times New Roman"/>
                <w:b/>
                <w:bCs/>
                <w:spacing w:val="-10"/>
                <w:sz w:val="24"/>
                <w:szCs w:val="24"/>
              </w:rPr>
              <w:t>天然气锅炉：</w:t>
            </w:r>
          </w:p>
          <w:p>
            <w:pPr>
              <w:spacing w:line="360" w:lineRule="auto"/>
              <w:ind w:firstLine="470" w:firstLineChars="196"/>
              <w:rPr>
                <w:sz w:val="24"/>
              </w:rPr>
            </w:pPr>
            <w:r>
              <w:rPr>
                <w:rFonts w:hint="eastAsia"/>
                <w:sz w:val="24"/>
              </w:rPr>
              <w:t>根据《排放源统计调查产排污核算方法和系数手册》（公告2021年第24号）中“4430工业锅炉（热力生产和供应行业）产排污系数表-燃气工业锅炉”有关燃气工业锅炉产排污系数表，燃气锅炉污染物产污系数见下表：</w:t>
            </w:r>
          </w:p>
          <w:p>
            <w:pPr>
              <w:adjustRightInd w:val="0"/>
              <w:spacing w:line="360" w:lineRule="auto"/>
              <w:ind w:firstLine="422" w:firstLineChars="200"/>
              <w:jc w:val="center"/>
              <w:outlineLvl w:val="0"/>
              <w:rPr>
                <w:b/>
              </w:rPr>
            </w:pPr>
            <w:bookmarkStart w:id="27" w:name="_Toc117775790"/>
            <w:r>
              <w:rPr>
                <w:rFonts w:hint="eastAsia"/>
                <w:b/>
              </w:rPr>
              <w:t>表</w:t>
            </w:r>
            <w:r>
              <w:rPr>
                <w:b/>
              </w:rPr>
              <w:t>4-3</w:t>
            </w:r>
            <w:r>
              <w:rPr>
                <w:rFonts w:hint="eastAsia"/>
                <w:b/>
              </w:rPr>
              <w:t xml:space="preserve">   燃气锅炉产排污系数表</w:t>
            </w:r>
            <w:bookmarkEnd w:id="27"/>
          </w:p>
          <w:tbl>
            <w:tblPr>
              <w:tblStyle w:val="22"/>
              <w:tblW w:w="78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2943"/>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2505" w:type="dxa"/>
                  <w:tcBorders>
                    <w:tl2br w:val="nil"/>
                    <w:tr2bl w:val="nil"/>
                  </w:tcBorders>
                  <w:vAlign w:val="center"/>
                </w:tcPr>
                <w:p>
                  <w:pPr>
                    <w:adjustRightInd w:val="0"/>
                    <w:snapToGrid w:val="0"/>
                    <w:jc w:val="center"/>
                    <w:rPr>
                      <w:b/>
                      <w:bCs/>
                      <w:szCs w:val="21"/>
                    </w:rPr>
                  </w:pPr>
                  <w:r>
                    <w:rPr>
                      <w:b/>
                      <w:bCs/>
                      <w:szCs w:val="21"/>
                    </w:rPr>
                    <w:t>污染物指标</w:t>
                  </w:r>
                </w:p>
              </w:tc>
              <w:tc>
                <w:tcPr>
                  <w:tcW w:w="2943" w:type="dxa"/>
                  <w:tcBorders>
                    <w:tl2br w:val="nil"/>
                    <w:tr2bl w:val="nil"/>
                  </w:tcBorders>
                  <w:vAlign w:val="center"/>
                </w:tcPr>
                <w:p>
                  <w:pPr>
                    <w:adjustRightInd w:val="0"/>
                    <w:snapToGrid w:val="0"/>
                    <w:jc w:val="center"/>
                    <w:rPr>
                      <w:b/>
                      <w:bCs/>
                      <w:szCs w:val="21"/>
                    </w:rPr>
                  </w:pPr>
                  <w:r>
                    <w:rPr>
                      <w:b/>
                      <w:bCs/>
                      <w:szCs w:val="21"/>
                    </w:rPr>
                    <w:t>单位</w:t>
                  </w:r>
                </w:p>
              </w:tc>
              <w:tc>
                <w:tcPr>
                  <w:tcW w:w="2379" w:type="dxa"/>
                  <w:tcBorders>
                    <w:tl2br w:val="nil"/>
                    <w:tr2bl w:val="nil"/>
                  </w:tcBorders>
                  <w:vAlign w:val="center"/>
                </w:tcPr>
                <w:p>
                  <w:pPr>
                    <w:adjustRightInd w:val="0"/>
                    <w:snapToGrid w:val="0"/>
                    <w:jc w:val="center"/>
                    <w:rPr>
                      <w:b/>
                      <w:bCs/>
                      <w:szCs w:val="21"/>
                    </w:rPr>
                  </w:pPr>
                  <w:r>
                    <w:rPr>
                      <w:rFonts w:hint="eastAsia"/>
                      <w:b/>
                      <w:bCs/>
                      <w:szCs w:val="21"/>
                    </w:rPr>
                    <w:t>产污</w:t>
                  </w:r>
                  <w:r>
                    <w:rPr>
                      <w:b/>
                      <w:bCs/>
                      <w:szCs w:val="21"/>
                    </w:rPr>
                    <w:t>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2505" w:type="dxa"/>
                  <w:tcBorders>
                    <w:tl2br w:val="nil"/>
                    <w:tr2bl w:val="nil"/>
                  </w:tcBorders>
                  <w:vAlign w:val="center"/>
                </w:tcPr>
                <w:p>
                  <w:pPr>
                    <w:adjustRightInd w:val="0"/>
                    <w:snapToGrid w:val="0"/>
                    <w:jc w:val="center"/>
                    <w:rPr>
                      <w:szCs w:val="21"/>
                    </w:rPr>
                  </w:pPr>
                  <w:r>
                    <w:rPr>
                      <w:rFonts w:hint="eastAsia"/>
                      <w:szCs w:val="21"/>
                    </w:rPr>
                    <w:t>烟气量</w:t>
                  </w:r>
                </w:p>
              </w:tc>
              <w:tc>
                <w:tcPr>
                  <w:tcW w:w="2943" w:type="dxa"/>
                  <w:tcBorders>
                    <w:tl2br w:val="nil"/>
                    <w:tr2bl w:val="nil"/>
                  </w:tcBorders>
                  <w:vAlign w:val="center"/>
                </w:tcPr>
                <w:p>
                  <w:pPr>
                    <w:adjustRightInd w:val="0"/>
                    <w:snapToGrid w:val="0"/>
                    <w:jc w:val="center"/>
                    <w:rPr>
                      <w:szCs w:val="21"/>
                    </w:rPr>
                  </w:pPr>
                  <w:r>
                    <w:rPr>
                      <w:rFonts w:hint="eastAsia"/>
                      <w:szCs w:val="21"/>
                    </w:rPr>
                    <w:t>N</w:t>
                  </w:r>
                  <w:r>
                    <w:rPr>
                      <w:szCs w:val="21"/>
                    </w:rPr>
                    <w:t>m³/</w:t>
                  </w:r>
                  <w:r>
                    <w:rPr>
                      <w:rFonts w:hint="eastAsia"/>
                      <w:szCs w:val="21"/>
                    </w:rPr>
                    <w:t>万</w:t>
                  </w:r>
                  <w:r>
                    <w:rPr>
                      <w:szCs w:val="21"/>
                    </w:rPr>
                    <w:t>m³</w:t>
                  </w:r>
                  <w:r>
                    <w:rPr>
                      <w:rFonts w:cs="宋体"/>
                      <w:szCs w:val="21"/>
                    </w:rPr>
                    <w:t>·</w:t>
                  </w:r>
                  <w:r>
                    <w:rPr>
                      <w:rFonts w:hint="eastAsia"/>
                      <w:szCs w:val="21"/>
                    </w:rPr>
                    <w:t>燃料</w:t>
                  </w:r>
                </w:p>
              </w:tc>
              <w:tc>
                <w:tcPr>
                  <w:tcW w:w="2379" w:type="dxa"/>
                  <w:tcBorders>
                    <w:tl2br w:val="nil"/>
                    <w:tr2bl w:val="nil"/>
                  </w:tcBorders>
                  <w:vAlign w:val="center"/>
                </w:tcPr>
                <w:p>
                  <w:pPr>
                    <w:adjustRightInd w:val="0"/>
                    <w:snapToGrid w:val="0"/>
                    <w:jc w:val="center"/>
                    <w:rPr>
                      <w:szCs w:val="21"/>
                    </w:rPr>
                  </w:pPr>
                  <w:r>
                    <w:rPr>
                      <w:szCs w:val="21"/>
                    </w:rPr>
                    <w:t>136259.2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2505" w:type="dxa"/>
                  <w:tcBorders>
                    <w:tl2br w:val="nil"/>
                    <w:tr2bl w:val="nil"/>
                  </w:tcBorders>
                  <w:vAlign w:val="center"/>
                </w:tcPr>
                <w:p>
                  <w:pPr>
                    <w:adjustRightInd w:val="0"/>
                    <w:snapToGrid w:val="0"/>
                    <w:jc w:val="center"/>
                    <w:rPr>
                      <w:szCs w:val="21"/>
                    </w:rPr>
                  </w:pPr>
                  <w:r>
                    <w:rPr>
                      <w:szCs w:val="21"/>
                    </w:rPr>
                    <w:t>SO</w:t>
                  </w:r>
                  <w:r>
                    <w:rPr>
                      <w:szCs w:val="21"/>
                      <w:vertAlign w:val="subscript"/>
                    </w:rPr>
                    <w:t>2</w:t>
                  </w:r>
                </w:p>
              </w:tc>
              <w:tc>
                <w:tcPr>
                  <w:tcW w:w="2943" w:type="dxa"/>
                  <w:tcBorders>
                    <w:tl2br w:val="nil"/>
                    <w:tr2bl w:val="nil"/>
                  </w:tcBorders>
                  <w:vAlign w:val="center"/>
                </w:tcPr>
                <w:p>
                  <w:pPr>
                    <w:adjustRightInd w:val="0"/>
                    <w:snapToGrid w:val="0"/>
                    <w:jc w:val="center"/>
                    <w:rPr>
                      <w:szCs w:val="21"/>
                    </w:rPr>
                  </w:pPr>
                  <w:r>
                    <w:rPr>
                      <w:rFonts w:hint="eastAsia"/>
                      <w:szCs w:val="21"/>
                    </w:rPr>
                    <w:t>kg</w:t>
                  </w:r>
                  <w:r>
                    <w:rPr>
                      <w:szCs w:val="21"/>
                    </w:rPr>
                    <w:t>/</w:t>
                  </w:r>
                  <w:r>
                    <w:rPr>
                      <w:rFonts w:hint="eastAsia"/>
                      <w:szCs w:val="21"/>
                    </w:rPr>
                    <w:t>万</w:t>
                  </w:r>
                  <w:r>
                    <w:rPr>
                      <w:szCs w:val="21"/>
                    </w:rPr>
                    <w:t>m³</w:t>
                  </w:r>
                  <w:r>
                    <w:rPr>
                      <w:rFonts w:cs="宋体"/>
                      <w:szCs w:val="21"/>
                    </w:rPr>
                    <w:t>·</w:t>
                  </w:r>
                  <w:r>
                    <w:rPr>
                      <w:rFonts w:hint="eastAsia"/>
                      <w:szCs w:val="21"/>
                    </w:rPr>
                    <w:t>燃料</w:t>
                  </w:r>
                </w:p>
              </w:tc>
              <w:tc>
                <w:tcPr>
                  <w:tcW w:w="2379" w:type="dxa"/>
                  <w:tcBorders>
                    <w:tl2br w:val="nil"/>
                    <w:tr2bl w:val="nil"/>
                  </w:tcBorders>
                  <w:vAlign w:val="center"/>
                </w:tcPr>
                <w:p>
                  <w:pPr>
                    <w:adjustRightInd w:val="0"/>
                    <w:snapToGrid w:val="0"/>
                    <w:jc w:val="center"/>
                    <w:rPr>
                      <w:rFonts w:cs="宋体"/>
                      <w:szCs w:val="21"/>
                      <w:vertAlign w:val="superscript"/>
                      <w:lang w:eastAsia="ja-JP"/>
                    </w:rPr>
                  </w:pPr>
                  <w:r>
                    <w:rPr>
                      <w:szCs w:val="21"/>
                    </w:rPr>
                    <w:t>0.02S</w:t>
                  </w:r>
                  <w:r>
                    <w:rPr>
                      <w:rFonts w:hint="eastAsia" w:cs="宋体"/>
                      <w:szCs w:val="21"/>
                      <w:vertAlign w:val="superscript"/>
                      <w:lang w:eastAsia="ja-JP"/>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2505" w:type="dxa"/>
                  <w:tcBorders>
                    <w:tl2br w:val="nil"/>
                    <w:tr2bl w:val="nil"/>
                  </w:tcBorders>
                  <w:vAlign w:val="center"/>
                </w:tcPr>
                <w:p>
                  <w:pPr>
                    <w:adjustRightInd w:val="0"/>
                    <w:snapToGrid w:val="0"/>
                    <w:jc w:val="center"/>
                    <w:rPr>
                      <w:szCs w:val="21"/>
                    </w:rPr>
                  </w:pPr>
                  <w:r>
                    <w:rPr>
                      <w:rFonts w:hint="eastAsia"/>
                      <w:szCs w:val="21"/>
                    </w:rPr>
                    <w:t>NO</w:t>
                  </w:r>
                  <w:r>
                    <w:rPr>
                      <w:rFonts w:hint="eastAsia"/>
                      <w:szCs w:val="21"/>
                      <w:vertAlign w:val="subscript"/>
                    </w:rPr>
                    <w:t>X</w:t>
                  </w:r>
                </w:p>
              </w:tc>
              <w:tc>
                <w:tcPr>
                  <w:tcW w:w="2943" w:type="dxa"/>
                  <w:tcBorders>
                    <w:tl2br w:val="nil"/>
                    <w:tr2bl w:val="nil"/>
                  </w:tcBorders>
                  <w:vAlign w:val="center"/>
                </w:tcPr>
                <w:p>
                  <w:pPr>
                    <w:adjustRightInd w:val="0"/>
                    <w:snapToGrid w:val="0"/>
                    <w:jc w:val="center"/>
                    <w:rPr>
                      <w:szCs w:val="21"/>
                    </w:rPr>
                  </w:pPr>
                  <w:r>
                    <w:rPr>
                      <w:rFonts w:hint="eastAsia"/>
                      <w:szCs w:val="21"/>
                    </w:rPr>
                    <w:t>kg</w:t>
                  </w:r>
                  <w:r>
                    <w:rPr>
                      <w:szCs w:val="21"/>
                    </w:rPr>
                    <w:t>/</w:t>
                  </w:r>
                  <w:r>
                    <w:rPr>
                      <w:rFonts w:hint="eastAsia"/>
                      <w:szCs w:val="21"/>
                    </w:rPr>
                    <w:t>万</w:t>
                  </w:r>
                  <w:r>
                    <w:rPr>
                      <w:szCs w:val="21"/>
                    </w:rPr>
                    <w:t>m³</w:t>
                  </w:r>
                  <w:r>
                    <w:rPr>
                      <w:rFonts w:cs="宋体"/>
                      <w:szCs w:val="21"/>
                    </w:rPr>
                    <w:t>·</w:t>
                  </w:r>
                  <w:r>
                    <w:rPr>
                      <w:rFonts w:hint="eastAsia"/>
                      <w:szCs w:val="21"/>
                    </w:rPr>
                    <w:t>燃料</w:t>
                  </w:r>
                </w:p>
              </w:tc>
              <w:tc>
                <w:tcPr>
                  <w:tcW w:w="2379" w:type="dxa"/>
                  <w:tcBorders>
                    <w:tl2br w:val="nil"/>
                    <w:tr2bl w:val="nil"/>
                  </w:tcBorders>
                  <w:vAlign w:val="center"/>
                </w:tcPr>
                <w:p>
                  <w:pPr>
                    <w:adjustRightInd w:val="0"/>
                    <w:snapToGrid w:val="0"/>
                    <w:jc w:val="center"/>
                    <w:rPr>
                      <w:szCs w:val="21"/>
                    </w:rPr>
                  </w:pPr>
                  <w:r>
                    <w:rPr>
                      <w:rFonts w:hint="eastAsia"/>
                      <w:szCs w:val="21"/>
                    </w:rPr>
                    <w:t>15.87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2505" w:type="dxa"/>
                  <w:tcBorders>
                    <w:tl2br w:val="nil"/>
                    <w:tr2bl w:val="nil"/>
                  </w:tcBorders>
                  <w:vAlign w:val="center"/>
                </w:tcPr>
                <w:p>
                  <w:pPr>
                    <w:adjustRightInd w:val="0"/>
                    <w:snapToGrid w:val="0"/>
                    <w:jc w:val="center"/>
                    <w:rPr>
                      <w:szCs w:val="21"/>
                      <w:vertAlign w:val="subscript"/>
                    </w:rPr>
                  </w:pPr>
                  <w:r>
                    <w:rPr>
                      <w:rFonts w:hint="eastAsia"/>
                      <w:szCs w:val="21"/>
                    </w:rPr>
                    <w:t>PM</w:t>
                  </w:r>
                  <w:r>
                    <w:rPr>
                      <w:szCs w:val="21"/>
                      <w:vertAlign w:val="subscript"/>
                    </w:rPr>
                    <w:t>10</w:t>
                  </w:r>
                </w:p>
              </w:tc>
              <w:tc>
                <w:tcPr>
                  <w:tcW w:w="2943" w:type="dxa"/>
                  <w:tcBorders>
                    <w:tl2br w:val="nil"/>
                    <w:tr2bl w:val="nil"/>
                  </w:tcBorders>
                  <w:vAlign w:val="center"/>
                </w:tcPr>
                <w:p>
                  <w:pPr>
                    <w:adjustRightInd w:val="0"/>
                    <w:snapToGrid w:val="0"/>
                    <w:jc w:val="center"/>
                    <w:rPr>
                      <w:szCs w:val="21"/>
                    </w:rPr>
                  </w:pPr>
                  <w:r>
                    <w:rPr>
                      <w:rFonts w:hint="eastAsia"/>
                      <w:szCs w:val="21"/>
                    </w:rPr>
                    <w:t>kg</w:t>
                  </w:r>
                  <w:r>
                    <w:rPr>
                      <w:szCs w:val="21"/>
                    </w:rPr>
                    <w:t>/</w:t>
                  </w:r>
                  <w:r>
                    <w:rPr>
                      <w:rFonts w:hint="eastAsia"/>
                      <w:szCs w:val="21"/>
                    </w:rPr>
                    <w:t>万</w:t>
                  </w:r>
                  <w:r>
                    <w:rPr>
                      <w:szCs w:val="21"/>
                    </w:rPr>
                    <w:t>m³</w:t>
                  </w:r>
                  <w:r>
                    <w:rPr>
                      <w:rFonts w:cs="宋体"/>
                      <w:szCs w:val="21"/>
                    </w:rPr>
                    <w:t>·</w:t>
                  </w:r>
                  <w:r>
                    <w:rPr>
                      <w:rFonts w:hint="eastAsia"/>
                      <w:szCs w:val="21"/>
                    </w:rPr>
                    <w:t>燃料</w:t>
                  </w:r>
                </w:p>
              </w:tc>
              <w:tc>
                <w:tcPr>
                  <w:tcW w:w="2379" w:type="dxa"/>
                  <w:tcBorders>
                    <w:tl2br w:val="nil"/>
                    <w:tr2bl w:val="nil"/>
                  </w:tcBorders>
                  <w:vAlign w:val="center"/>
                </w:tcPr>
                <w:p>
                  <w:pPr>
                    <w:adjustRightInd w:val="0"/>
                    <w:snapToGrid w:val="0"/>
                    <w:jc w:val="center"/>
                    <w:rPr>
                      <w:szCs w:val="21"/>
                    </w:rPr>
                  </w:pPr>
                  <w:r>
                    <w:rPr>
                      <w:szCs w:val="21"/>
                    </w:rPr>
                    <w:t>1.40</w:t>
                  </w:r>
                  <w:r>
                    <w:rPr>
                      <w:rFonts w:hint="eastAsia" w:cs="宋体"/>
                      <w:szCs w:val="21"/>
                      <w:vertAlign w:val="superscript"/>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jc w:val="center"/>
              </w:trPr>
              <w:tc>
                <w:tcPr>
                  <w:tcW w:w="7827" w:type="dxa"/>
                  <w:gridSpan w:val="3"/>
                  <w:tcBorders>
                    <w:tl2br w:val="nil"/>
                    <w:tr2bl w:val="nil"/>
                  </w:tcBorders>
                  <w:vAlign w:val="center"/>
                </w:tcPr>
                <w:p>
                  <w:pPr>
                    <w:adjustRightInd w:val="0"/>
                    <w:snapToGrid w:val="0"/>
                    <w:rPr>
                      <w:szCs w:val="21"/>
                    </w:rPr>
                  </w:pPr>
                  <w:r>
                    <w:rPr>
                      <w:rFonts w:hint="eastAsia"/>
                      <w:szCs w:val="21"/>
                    </w:rPr>
                    <w:t>注</w:t>
                  </w:r>
                  <w:r>
                    <w:rPr>
                      <w:szCs w:val="21"/>
                    </w:rPr>
                    <w:t>：</w:t>
                  </w:r>
                  <w:r>
                    <w:rPr>
                      <w:rFonts w:hint="eastAsia" w:cs="宋体"/>
                      <w:szCs w:val="21"/>
                    </w:rPr>
                    <w:t>①</w:t>
                  </w:r>
                  <w:r>
                    <w:rPr>
                      <w:szCs w:val="21"/>
                    </w:rPr>
                    <w:t>根据《</w:t>
                  </w:r>
                  <w:r>
                    <w:rPr>
                      <w:rFonts w:hint="eastAsia"/>
                      <w:szCs w:val="21"/>
                    </w:rPr>
                    <w:t>天然气</w:t>
                  </w:r>
                  <w:r>
                    <w:rPr>
                      <w:szCs w:val="21"/>
                    </w:rPr>
                    <w:t>》</w:t>
                  </w:r>
                  <w:r>
                    <w:rPr>
                      <w:rFonts w:hint="eastAsia"/>
                      <w:szCs w:val="21"/>
                    </w:rPr>
                    <w:t>（GB17820-2012），</w:t>
                  </w:r>
                  <w:r>
                    <w:rPr>
                      <w:szCs w:val="21"/>
                    </w:rPr>
                    <w:t>天然气中二类</w:t>
                  </w:r>
                  <w:r>
                    <w:rPr>
                      <w:rFonts w:hint="eastAsia"/>
                      <w:szCs w:val="21"/>
                    </w:rPr>
                    <w:t>气的</w:t>
                  </w:r>
                  <w:r>
                    <w:rPr>
                      <w:szCs w:val="21"/>
                    </w:rPr>
                    <w:t>总硫（</w:t>
                  </w:r>
                  <w:r>
                    <w:rPr>
                      <w:rFonts w:hint="eastAsia"/>
                      <w:szCs w:val="21"/>
                    </w:rPr>
                    <w:t>以硫</w:t>
                  </w:r>
                  <w:r>
                    <w:rPr>
                      <w:szCs w:val="21"/>
                    </w:rPr>
                    <w:t>计）</w:t>
                  </w:r>
                  <w:r>
                    <w:rPr>
                      <w:rFonts w:hint="eastAsia"/>
                      <w:szCs w:val="21"/>
                    </w:rPr>
                    <w:t>含量</w:t>
                  </w:r>
                  <w:r>
                    <w:rPr>
                      <w:szCs w:val="21"/>
                    </w:rPr>
                    <w:t>为≤200mg/m³，</w:t>
                  </w:r>
                  <w:r>
                    <w:rPr>
                      <w:rFonts w:hint="eastAsia"/>
                      <w:szCs w:val="21"/>
                    </w:rPr>
                    <w:t>本项目</w:t>
                  </w:r>
                  <w:r>
                    <w:rPr>
                      <w:szCs w:val="21"/>
                    </w:rPr>
                    <w:t>燃料天然气中含硫量（</w:t>
                  </w:r>
                  <w:r>
                    <w:rPr>
                      <w:rFonts w:hint="eastAsia"/>
                      <w:szCs w:val="21"/>
                    </w:rPr>
                    <w:t>S</w:t>
                  </w:r>
                  <w:r>
                    <w:rPr>
                      <w:szCs w:val="21"/>
                    </w:rPr>
                    <w:t>）</w:t>
                  </w:r>
                  <w:r>
                    <w:rPr>
                      <w:rFonts w:hint="eastAsia"/>
                      <w:szCs w:val="21"/>
                    </w:rPr>
                    <w:t>按200</w:t>
                  </w:r>
                  <w:r>
                    <w:rPr>
                      <w:szCs w:val="21"/>
                    </w:rPr>
                    <w:t>mg/m³计算，故</w:t>
                  </w:r>
                  <w:r>
                    <w:rPr>
                      <w:rFonts w:hint="eastAsia"/>
                      <w:szCs w:val="21"/>
                    </w:rPr>
                    <w:t>S=200。</w:t>
                  </w:r>
                </w:p>
                <w:p>
                  <w:pPr>
                    <w:adjustRightInd w:val="0"/>
                    <w:snapToGrid w:val="0"/>
                    <w:rPr>
                      <w:rFonts w:cs="宋体"/>
                      <w:szCs w:val="21"/>
                    </w:rPr>
                  </w:pPr>
                  <w:r>
                    <w:rPr>
                      <w:rFonts w:hint="eastAsia" w:cs="宋体"/>
                      <w:szCs w:val="21"/>
                      <w:lang w:eastAsia="ja-JP"/>
                    </w:rPr>
                    <w:t>②</w:t>
                  </w:r>
                  <w:r>
                    <w:rPr>
                      <w:rFonts w:hint="eastAsia" w:cs="宋体"/>
                      <w:szCs w:val="21"/>
                    </w:rPr>
                    <w:t>根据</w:t>
                  </w:r>
                  <w:r>
                    <w:rPr>
                      <w:rFonts w:cs="宋体"/>
                      <w:szCs w:val="21"/>
                    </w:rPr>
                    <w:t>《</w:t>
                  </w:r>
                  <w:r>
                    <w:rPr>
                      <w:rFonts w:hint="eastAsia" w:cs="宋体"/>
                      <w:szCs w:val="21"/>
                    </w:rPr>
                    <w:t>社会</w:t>
                  </w:r>
                  <w:r>
                    <w:rPr>
                      <w:rFonts w:cs="宋体"/>
                      <w:szCs w:val="21"/>
                    </w:rPr>
                    <w:t>区域类环境影响评价》</w:t>
                  </w:r>
                  <w:r>
                    <w:rPr>
                      <w:rFonts w:hint="eastAsia" w:cs="宋体"/>
                      <w:szCs w:val="21"/>
                    </w:rPr>
                    <w:t>教材</w:t>
                  </w:r>
                  <w:r>
                    <w:rPr>
                      <w:rFonts w:cs="宋体"/>
                      <w:szCs w:val="21"/>
                    </w:rPr>
                    <w:t>（</w:t>
                  </w:r>
                  <w:r>
                    <w:rPr>
                      <w:rFonts w:hint="eastAsia" w:cs="宋体"/>
                      <w:szCs w:val="21"/>
                    </w:rPr>
                    <w:t>吴波主编</w:t>
                  </w:r>
                  <w:r>
                    <w:rPr>
                      <w:rFonts w:cs="宋体"/>
                      <w:szCs w:val="21"/>
                    </w:rPr>
                    <w:t>）</w:t>
                  </w:r>
                  <w:r>
                    <w:rPr>
                      <w:rFonts w:hint="eastAsia" w:cs="宋体"/>
                      <w:szCs w:val="21"/>
                    </w:rPr>
                    <w:t>，</w:t>
                  </w:r>
                  <w:r>
                    <w:rPr>
                      <w:rFonts w:cs="宋体"/>
                      <w:szCs w:val="21"/>
                    </w:rPr>
                    <w:t>天然气的污染物排污因子烟尘（</w:t>
                  </w:r>
                  <w:r>
                    <w:rPr>
                      <w:rFonts w:hint="eastAsia" w:cs="宋体"/>
                      <w:szCs w:val="21"/>
                    </w:rPr>
                    <w:t>PM</w:t>
                  </w:r>
                  <w:r>
                    <w:rPr>
                      <w:rFonts w:cs="宋体"/>
                      <w:szCs w:val="21"/>
                      <w:vertAlign w:val="subscript"/>
                    </w:rPr>
                    <w:t>10</w:t>
                  </w:r>
                  <w:r>
                    <w:rPr>
                      <w:rFonts w:cs="宋体"/>
                      <w:szCs w:val="21"/>
                    </w:rPr>
                    <w:t>）</w:t>
                  </w:r>
                  <w:r>
                    <w:rPr>
                      <w:rFonts w:hint="eastAsia" w:cs="宋体"/>
                      <w:szCs w:val="21"/>
                    </w:rPr>
                    <w:t>产污</w:t>
                  </w:r>
                  <w:r>
                    <w:rPr>
                      <w:rFonts w:cs="宋体"/>
                      <w:szCs w:val="21"/>
                    </w:rPr>
                    <w:t>系数为</w:t>
                  </w:r>
                  <w:r>
                    <w:rPr>
                      <w:rFonts w:hint="eastAsia" w:cs="宋体"/>
                      <w:szCs w:val="21"/>
                    </w:rPr>
                    <w:t>0.14</w:t>
                  </w:r>
                  <w:r>
                    <w:rPr>
                      <w:rFonts w:cs="宋体"/>
                      <w:szCs w:val="21"/>
                    </w:rPr>
                    <w:t>kg/km³，合1.40kg/</w:t>
                  </w:r>
                  <w:r>
                    <w:rPr>
                      <w:rFonts w:hint="eastAsia" w:cs="宋体"/>
                      <w:szCs w:val="21"/>
                    </w:rPr>
                    <w:t>万</w:t>
                  </w:r>
                  <w:r>
                    <w:rPr>
                      <w:rFonts w:cs="宋体"/>
                      <w:szCs w:val="21"/>
                    </w:rPr>
                    <w:t>m³·燃料。</w:t>
                  </w:r>
                </w:p>
              </w:tc>
            </w:tr>
          </w:tbl>
          <w:p>
            <w:pPr>
              <w:pStyle w:val="29"/>
              <w:numPr>
                <w:ilvl w:val="0"/>
                <w:numId w:val="3"/>
              </w:numPr>
              <w:ind w:firstLineChars="0"/>
              <w:rPr>
                <w:rFonts w:cs="宋体"/>
                <w:b/>
                <w:bCs/>
                <w:color w:val="auto"/>
                <w:kern w:val="0"/>
              </w:rPr>
            </w:pPr>
            <w:r>
              <w:rPr>
                <w:rFonts w:hint="eastAsia" w:cs="宋体"/>
                <w:b/>
                <w:bCs/>
                <w:color w:val="auto"/>
                <w:kern w:val="0"/>
              </w:rPr>
              <w:t>影响分析</w:t>
            </w:r>
          </w:p>
          <w:p>
            <w:pPr>
              <w:pStyle w:val="59"/>
              <w:spacing w:line="360" w:lineRule="auto"/>
              <w:ind w:firstLine="440" w:firstLineChars="200"/>
              <w:jc w:val="both"/>
              <w:rPr>
                <w:rFonts w:ascii="Times New Roman" w:hAnsi="Times New Roman"/>
                <w:bCs/>
                <w:spacing w:val="-10"/>
                <w:sz w:val="24"/>
                <w:szCs w:val="24"/>
              </w:rPr>
            </w:pPr>
            <w:r>
              <w:rPr>
                <w:rFonts w:hint="eastAsia" w:ascii="Times New Roman" w:hAnsi="Times New Roman"/>
                <w:bCs/>
                <w:spacing w:val="-10"/>
                <w:sz w:val="24"/>
                <w:szCs w:val="24"/>
              </w:rPr>
              <w:t>由于1</w:t>
            </w:r>
            <w:r>
              <w:rPr>
                <w:rFonts w:ascii="Times New Roman" w:hAnsi="Times New Roman"/>
                <w:bCs/>
                <w:spacing w:val="-10"/>
                <w:sz w:val="24"/>
                <w:szCs w:val="24"/>
              </w:rPr>
              <w:t>0</w:t>
            </w:r>
            <w:r>
              <w:rPr>
                <w:rFonts w:hint="eastAsia" w:ascii="Times New Roman" w:hAnsi="Times New Roman"/>
                <w:bCs/>
                <w:spacing w:val="-10"/>
                <w:sz w:val="24"/>
                <w:szCs w:val="24"/>
              </w:rPr>
              <w:t>万吨/年M</w:t>
            </w:r>
            <w:r>
              <w:rPr>
                <w:rFonts w:ascii="Times New Roman" w:hAnsi="Times New Roman"/>
                <w:bCs/>
                <w:spacing w:val="-10"/>
                <w:sz w:val="24"/>
                <w:szCs w:val="24"/>
              </w:rPr>
              <w:t>CP</w:t>
            </w:r>
            <w:r>
              <w:rPr>
                <w:rFonts w:hint="eastAsia" w:ascii="Times New Roman" w:hAnsi="Times New Roman"/>
                <w:bCs/>
                <w:spacing w:val="-10"/>
                <w:sz w:val="24"/>
                <w:szCs w:val="24"/>
              </w:rPr>
              <w:t>装置和1</w:t>
            </w:r>
            <w:r>
              <w:rPr>
                <w:rFonts w:ascii="Times New Roman" w:hAnsi="Times New Roman"/>
                <w:bCs/>
                <w:spacing w:val="-10"/>
                <w:sz w:val="24"/>
                <w:szCs w:val="24"/>
              </w:rPr>
              <w:t>5</w:t>
            </w:r>
            <w:r>
              <w:rPr>
                <w:rFonts w:hint="eastAsia" w:ascii="Times New Roman" w:hAnsi="Times New Roman"/>
                <w:bCs/>
                <w:spacing w:val="-10"/>
                <w:sz w:val="24"/>
                <w:szCs w:val="24"/>
              </w:rPr>
              <w:t>万吨/年M</w:t>
            </w:r>
            <w:r>
              <w:rPr>
                <w:rFonts w:ascii="Times New Roman" w:hAnsi="Times New Roman"/>
                <w:bCs/>
                <w:spacing w:val="-10"/>
                <w:sz w:val="24"/>
                <w:szCs w:val="24"/>
              </w:rPr>
              <w:t>DCP</w:t>
            </w:r>
            <w:r>
              <w:rPr>
                <w:rFonts w:hint="eastAsia" w:ascii="Times New Roman" w:hAnsi="Times New Roman"/>
                <w:bCs/>
                <w:spacing w:val="-10"/>
                <w:sz w:val="24"/>
                <w:szCs w:val="24"/>
              </w:rPr>
              <w:t>装置的废气合并排放，因此，技改完成后，项目废气排放情况以1</w:t>
            </w:r>
            <w:r>
              <w:rPr>
                <w:rFonts w:ascii="Times New Roman" w:hAnsi="Times New Roman"/>
                <w:bCs/>
                <w:spacing w:val="-10"/>
                <w:sz w:val="24"/>
                <w:szCs w:val="24"/>
              </w:rPr>
              <w:t>0+15</w:t>
            </w:r>
            <w:r>
              <w:rPr>
                <w:rFonts w:hint="eastAsia" w:ascii="Times New Roman" w:hAnsi="Times New Roman"/>
                <w:bCs/>
                <w:spacing w:val="-10"/>
                <w:sz w:val="24"/>
                <w:szCs w:val="24"/>
              </w:rPr>
              <w:t>万吨/年饲钙装置合并排放情况进行分析。</w:t>
            </w:r>
          </w:p>
          <w:p>
            <w:pPr>
              <w:pStyle w:val="59"/>
              <w:spacing w:line="360" w:lineRule="auto"/>
              <w:ind w:firstLine="440" w:firstLineChars="200"/>
              <w:jc w:val="both"/>
              <w:rPr>
                <w:rFonts w:ascii="Times New Roman" w:hAnsi="Times New Roman"/>
                <w:bCs/>
                <w:spacing w:val="-10"/>
                <w:sz w:val="24"/>
                <w:szCs w:val="24"/>
              </w:rPr>
            </w:pPr>
            <w:r>
              <w:rPr>
                <w:rFonts w:hint="eastAsia" w:ascii="Times New Roman" w:hAnsi="Times New Roman"/>
                <w:bCs/>
                <w:spacing w:val="-10"/>
                <w:sz w:val="24"/>
                <w:szCs w:val="24"/>
              </w:rPr>
              <w:t>本项目技改完成后，排气筒主要排放污染物为二氧化硫、氮氧化物、颗粒物、氟化物，项目有组织排气筒各污染物排放达标情况详见表4</w:t>
            </w:r>
            <w:r>
              <w:rPr>
                <w:rFonts w:ascii="Times New Roman" w:hAnsi="Times New Roman"/>
                <w:bCs/>
                <w:spacing w:val="-10"/>
                <w:sz w:val="24"/>
                <w:szCs w:val="24"/>
              </w:rPr>
              <w:t>-5</w:t>
            </w:r>
            <w:r>
              <w:rPr>
                <w:rFonts w:hint="eastAsia" w:ascii="Times New Roman" w:hAnsi="Times New Roman"/>
                <w:bCs/>
                <w:spacing w:val="-10"/>
                <w:sz w:val="24"/>
                <w:szCs w:val="24"/>
              </w:rPr>
              <w:t>。</w:t>
            </w:r>
          </w:p>
          <w:p>
            <w:pPr>
              <w:adjustRightInd w:val="0"/>
              <w:spacing w:line="360" w:lineRule="auto"/>
              <w:ind w:firstLine="422" w:firstLineChars="200"/>
              <w:jc w:val="center"/>
              <w:outlineLvl w:val="0"/>
              <w:rPr>
                <w:b/>
              </w:rPr>
            </w:pPr>
            <w:bookmarkStart w:id="28" w:name="_Toc117775792"/>
            <w:r>
              <w:rPr>
                <w:b/>
              </w:rPr>
              <w:t>表4-5  有组织排气筒排放废气达标分析一览表   单位：mg/m</w:t>
            </w:r>
            <w:r>
              <w:rPr>
                <w:b/>
                <w:vertAlign w:val="superscript"/>
              </w:rPr>
              <w:t>3</w:t>
            </w:r>
            <w:bookmarkEnd w:id="28"/>
          </w:p>
          <w:tbl>
            <w:tblPr>
              <w:tblStyle w:val="23"/>
              <w:tblW w:w="8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025"/>
              <w:gridCol w:w="1129"/>
              <w:gridCol w:w="1098"/>
              <w:gridCol w:w="1155"/>
              <w:gridCol w:w="1002"/>
              <w:gridCol w:w="918"/>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02" w:type="dxa"/>
                  <w:vMerge w:val="restart"/>
                  <w:vAlign w:val="center"/>
                </w:tcPr>
                <w:p>
                  <w:pPr>
                    <w:pStyle w:val="29"/>
                    <w:spacing w:line="240" w:lineRule="auto"/>
                    <w:ind w:firstLine="0" w:firstLineChars="0"/>
                    <w:jc w:val="center"/>
                    <w:rPr>
                      <w:b/>
                      <w:color w:val="auto"/>
                      <w:sz w:val="21"/>
                      <w:szCs w:val="21"/>
                    </w:rPr>
                  </w:pPr>
                  <w:r>
                    <w:rPr>
                      <w:b/>
                      <w:color w:val="auto"/>
                      <w:sz w:val="21"/>
                      <w:szCs w:val="21"/>
                    </w:rPr>
                    <w:t>排气筒</w:t>
                  </w:r>
                </w:p>
              </w:tc>
              <w:tc>
                <w:tcPr>
                  <w:tcW w:w="1025" w:type="dxa"/>
                  <w:vMerge w:val="restart"/>
                  <w:vAlign w:val="center"/>
                </w:tcPr>
                <w:p>
                  <w:pPr>
                    <w:pStyle w:val="29"/>
                    <w:spacing w:line="240" w:lineRule="auto"/>
                    <w:ind w:firstLine="0" w:firstLineChars="0"/>
                    <w:jc w:val="center"/>
                    <w:rPr>
                      <w:b/>
                      <w:color w:val="auto"/>
                      <w:sz w:val="21"/>
                      <w:szCs w:val="21"/>
                    </w:rPr>
                  </w:pPr>
                  <w:r>
                    <w:rPr>
                      <w:rFonts w:hint="eastAsia"/>
                      <w:b/>
                      <w:color w:val="auto"/>
                      <w:sz w:val="21"/>
                      <w:szCs w:val="21"/>
                    </w:rPr>
                    <w:t>燃料</w:t>
                  </w:r>
                </w:p>
              </w:tc>
              <w:tc>
                <w:tcPr>
                  <w:tcW w:w="1129" w:type="dxa"/>
                  <w:vMerge w:val="restart"/>
                  <w:vAlign w:val="center"/>
                </w:tcPr>
                <w:p>
                  <w:pPr>
                    <w:pStyle w:val="29"/>
                    <w:spacing w:line="240" w:lineRule="auto"/>
                    <w:ind w:firstLine="0" w:firstLineChars="0"/>
                    <w:jc w:val="center"/>
                    <w:rPr>
                      <w:b/>
                      <w:color w:val="auto"/>
                      <w:sz w:val="21"/>
                      <w:szCs w:val="21"/>
                    </w:rPr>
                  </w:pPr>
                  <w:r>
                    <w:rPr>
                      <w:b/>
                      <w:color w:val="auto"/>
                      <w:sz w:val="21"/>
                      <w:szCs w:val="21"/>
                    </w:rPr>
                    <w:t>污染物</w:t>
                  </w:r>
                </w:p>
              </w:tc>
              <w:tc>
                <w:tcPr>
                  <w:tcW w:w="1098" w:type="dxa"/>
                  <w:vMerge w:val="restart"/>
                  <w:vAlign w:val="center"/>
                </w:tcPr>
                <w:p>
                  <w:pPr>
                    <w:pStyle w:val="29"/>
                    <w:spacing w:line="240" w:lineRule="auto"/>
                    <w:ind w:firstLine="0" w:firstLineChars="0"/>
                    <w:jc w:val="center"/>
                    <w:rPr>
                      <w:b/>
                      <w:color w:val="auto"/>
                      <w:sz w:val="21"/>
                      <w:szCs w:val="21"/>
                    </w:rPr>
                  </w:pPr>
                  <w:r>
                    <w:rPr>
                      <w:b/>
                      <w:color w:val="auto"/>
                      <w:sz w:val="21"/>
                      <w:szCs w:val="21"/>
                    </w:rPr>
                    <w:t>排放浓度</w:t>
                  </w:r>
                </w:p>
              </w:tc>
              <w:tc>
                <w:tcPr>
                  <w:tcW w:w="1155" w:type="dxa"/>
                  <w:vMerge w:val="restart"/>
                  <w:vAlign w:val="center"/>
                </w:tcPr>
                <w:p>
                  <w:pPr>
                    <w:pStyle w:val="29"/>
                    <w:spacing w:line="240" w:lineRule="auto"/>
                    <w:ind w:firstLine="0" w:firstLineChars="0"/>
                    <w:jc w:val="center"/>
                    <w:rPr>
                      <w:b/>
                      <w:color w:val="auto"/>
                      <w:sz w:val="21"/>
                      <w:szCs w:val="21"/>
                    </w:rPr>
                  </w:pPr>
                  <w:r>
                    <w:rPr>
                      <w:b/>
                      <w:color w:val="auto"/>
                      <w:sz w:val="21"/>
                      <w:szCs w:val="21"/>
                    </w:rPr>
                    <w:t>排放速率</w:t>
                  </w:r>
                </w:p>
              </w:tc>
              <w:tc>
                <w:tcPr>
                  <w:tcW w:w="1920" w:type="dxa"/>
                  <w:gridSpan w:val="2"/>
                  <w:vAlign w:val="center"/>
                </w:tcPr>
                <w:p>
                  <w:pPr>
                    <w:pStyle w:val="29"/>
                    <w:spacing w:line="240" w:lineRule="auto"/>
                    <w:ind w:firstLine="0" w:firstLineChars="0"/>
                    <w:jc w:val="center"/>
                    <w:rPr>
                      <w:b/>
                      <w:color w:val="auto"/>
                      <w:sz w:val="21"/>
                      <w:szCs w:val="21"/>
                    </w:rPr>
                  </w:pPr>
                  <w:r>
                    <w:rPr>
                      <w:b/>
                      <w:color w:val="auto"/>
                      <w:sz w:val="21"/>
                      <w:szCs w:val="21"/>
                    </w:rPr>
                    <w:t>标准值</w:t>
                  </w:r>
                </w:p>
              </w:tc>
              <w:tc>
                <w:tcPr>
                  <w:tcW w:w="811" w:type="dxa"/>
                  <w:vMerge w:val="restart"/>
                  <w:vAlign w:val="center"/>
                </w:tcPr>
                <w:p>
                  <w:pPr>
                    <w:pStyle w:val="29"/>
                    <w:spacing w:line="240" w:lineRule="auto"/>
                    <w:ind w:firstLine="0" w:firstLineChars="0"/>
                    <w:jc w:val="center"/>
                    <w:rPr>
                      <w:b/>
                      <w:color w:val="auto"/>
                      <w:sz w:val="21"/>
                      <w:szCs w:val="21"/>
                    </w:rPr>
                  </w:pPr>
                  <w:r>
                    <w:rPr>
                      <w:b/>
                      <w:color w:val="auto"/>
                      <w:sz w:val="21"/>
                      <w:szCs w:val="21"/>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02" w:type="dxa"/>
                  <w:vMerge w:val="continue"/>
                  <w:vAlign w:val="center"/>
                </w:tcPr>
                <w:p>
                  <w:pPr>
                    <w:pStyle w:val="29"/>
                    <w:spacing w:line="240" w:lineRule="auto"/>
                    <w:ind w:firstLine="0" w:firstLineChars="0"/>
                    <w:jc w:val="center"/>
                    <w:rPr>
                      <w:b/>
                      <w:color w:val="auto"/>
                      <w:sz w:val="21"/>
                      <w:szCs w:val="21"/>
                    </w:rPr>
                  </w:pPr>
                </w:p>
              </w:tc>
              <w:tc>
                <w:tcPr>
                  <w:tcW w:w="1025" w:type="dxa"/>
                  <w:vMerge w:val="continue"/>
                  <w:vAlign w:val="center"/>
                </w:tcPr>
                <w:p>
                  <w:pPr>
                    <w:pStyle w:val="29"/>
                    <w:spacing w:line="240" w:lineRule="auto"/>
                    <w:ind w:firstLine="0" w:firstLineChars="0"/>
                    <w:jc w:val="center"/>
                    <w:rPr>
                      <w:b/>
                      <w:color w:val="auto"/>
                      <w:sz w:val="21"/>
                      <w:szCs w:val="21"/>
                    </w:rPr>
                  </w:pPr>
                </w:p>
              </w:tc>
              <w:tc>
                <w:tcPr>
                  <w:tcW w:w="1129" w:type="dxa"/>
                  <w:vMerge w:val="continue"/>
                  <w:vAlign w:val="center"/>
                </w:tcPr>
                <w:p>
                  <w:pPr>
                    <w:pStyle w:val="29"/>
                    <w:spacing w:line="240" w:lineRule="auto"/>
                    <w:ind w:firstLine="0" w:firstLineChars="0"/>
                    <w:jc w:val="center"/>
                    <w:rPr>
                      <w:b/>
                      <w:color w:val="auto"/>
                      <w:sz w:val="21"/>
                      <w:szCs w:val="21"/>
                    </w:rPr>
                  </w:pPr>
                </w:p>
              </w:tc>
              <w:tc>
                <w:tcPr>
                  <w:tcW w:w="1098" w:type="dxa"/>
                  <w:vMerge w:val="continue"/>
                  <w:vAlign w:val="center"/>
                </w:tcPr>
                <w:p>
                  <w:pPr>
                    <w:pStyle w:val="29"/>
                    <w:spacing w:line="240" w:lineRule="auto"/>
                    <w:ind w:firstLine="0" w:firstLineChars="0"/>
                    <w:jc w:val="center"/>
                    <w:rPr>
                      <w:b/>
                      <w:color w:val="auto"/>
                      <w:sz w:val="21"/>
                      <w:szCs w:val="21"/>
                    </w:rPr>
                  </w:pPr>
                </w:p>
              </w:tc>
              <w:tc>
                <w:tcPr>
                  <w:tcW w:w="1155" w:type="dxa"/>
                  <w:vMerge w:val="continue"/>
                  <w:vAlign w:val="center"/>
                </w:tcPr>
                <w:p>
                  <w:pPr>
                    <w:pStyle w:val="29"/>
                    <w:spacing w:line="240" w:lineRule="auto"/>
                    <w:ind w:firstLine="0" w:firstLineChars="0"/>
                    <w:jc w:val="center"/>
                    <w:rPr>
                      <w:b/>
                      <w:color w:val="auto"/>
                      <w:sz w:val="21"/>
                      <w:szCs w:val="21"/>
                    </w:rPr>
                  </w:pPr>
                </w:p>
              </w:tc>
              <w:tc>
                <w:tcPr>
                  <w:tcW w:w="1002" w:type="dxa"/>
                  <w:vAlign w:val="center"/>
                </w:tcPr>
                <w:p>
                  <w:pPr>
                    <w:pStyle w:val="29"/>
                    <w:spacing w:line="240" w:lineRule="auto"/>
                    <w:ind w:firstLine="0" w:firstLineChars="0"/>
                    <w:jc w:val="center"/>
                    <w:rPr>
                      <w:b/>
                      <w:color w:val="auto"/>
                      <w:sz w:val="21"/>
                      <w:szCs w:val="21"/>
                    </w:rPr>
                  </w:pPr>
                  <w:r>
                    <w:rPr>
                      <w:b/>
                      <w:color w:val="auto"/>
                      <w:sz w:val="21"/>
                      <w:szCs w:val="21"/>
                    </w:rPr>
                    <w:t>排放浓度</w:t>
                  </w:r>
                </w:p>
              </w:tc>
              <w:tc>
                <w:tcPr>
                  <w:tcW w:w="918" w:type="dxa"/>
                  <w:vAlign w:val="center"/>
                </w:tcPr>
                <w:p>
                  <w:pPr>
                    <w:pStyle w:val="29"/>
                    <w:spacing w:line="240" w:lineRule="auto"/>
                    <w:ind w:firstLine="0" w:firstLineChars="0"/>
                    <w:jc w:val="center"/>
                    <w:rPr>
                      <w:b/>
                      <w:color w:val="auto"/>
                      <w:sz w:val="21"/>
                      <w:szCs w:val="21"/>
                    </w:rPr>
                  </w:pPr>
                  <w:r>
                    <w:rPr>
                      <w:b/>
                      <w:color w:val="auto"/>
                      <w:sz w:val="21"/>
                      <w:szCs w:val="21"/>
                    </w:rPr>
                    <w:t>排放速率</w:t>
                  </w:r>
                </w:p>
              </w:tc>
              <w:tc>
                <w:tcPr>
                  <w:tcW w:w="811" w:type="dxa"/>
                  <w:vMerge w:val="continue"/>
                  <w:vAlign w:val="center"/>
                </w:tcPr>
                <w:p>
                  <w:pPr>
                    <w:pStyle w:val="29"/>
                    <w:spacing w:line="240" w:lineRule="auto"/>
                    <w:ind w:firstLine="0" w:firstLineChars="0"/>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02" w:type="dxa"/>
                  <w:vMerge w:val="restart"/>
                  <w:vAlign w:val="center"/>
                </w:tcPr>
                <w:p>
                  <w:pPr>
                    <w:pStyle w:val="29"/>
                    <w:spacing w:line="240" w:lineRule="auto"/>
                    <w:ind w:firstLine="0" w:firstLineChars="0"/>
                    <w:jc w:val="center"/>
                    <w:rPr>
                      <w:color w:val="auto"/>
                      <w:sz w:val="21"/>
                      <w:szCs w:val="21"/>
                    </w:rPr>
                  </w:pPr>
                  <w:r>
                    <w:rPr>
                      <w:rFonts w:hint="eastAsia"/>
                      <w:color w:val="auto"/>
                      <w:sz w:val="21"/>
                      <w:szCs w:val="21"/>
                    </w:rPr>
                    <w:t>10+15万吨/年饲钙装置干燥+含氟尾气排口</w:t>
                  </w:r>
                </w:p>
              </w:tc>
              <w:tc>
                <w:tcPr>
                  <w:tcW w:w="1025" w:type="dxa"/>
                  <w:vMerge w:val="restart"/>
                  <w:vAlign w:val="center"/>
                </w:tcPr>
                <w:p>
                  <w:pPr>
                    <w:pStyle w:val="29"/>
                    <w:spacing w:line="240" w:lineRule="auto"/>
                    <w:ind w:firstLine="0" w:firstLineChars="0"/>
                    <w:jc w:val="center"/>
                    <w:rPr>
                      <w:color w:val="auto"/>
                      <w:sz w:val="21"/>
                      <w:szCs w:val="21"/>
                    </w:rPr>
                  </w:pPr>
                  <w:r>
                    <w:rPr>
                      <w:rFonts w:hint="eastAsia"/>
                      <w:color w:val="auto"/>
                      <w:sz w:val="21"/>
                      <w:szCs w:val="21"/>
                    </w:rPr>
                    <w:t>燃煤</w:t>
                  </w:r>
                </w:p>
              </w:tc>
              <w:tc>
                <w:tcPr>
                  <w:tcW w:w="1129" w:type="dxa"/>
                  <w:vAlign w:val="center"/>
                </w:tcPr>
                <w:p>
                  <w:pPr>
                    <w:pStyle w:val="29"/>
                    <w:spacing w:line="240" w:lineRule="auto"/>
                    <w:ind w:firstLine="0" w:firstLineChars="0"/>
                    <w:jc w:val="center"/>
                    <w:rPr>
                      <w:color w:val="auto"/>
                      <w:sz w:val="21"/>
                      <w:szCs w:val="21"/>
                    </w:rPr>
                  </w:pPr>
                  <w:r>
                    <w:rPr>
                      <w:rFonts w:hint="eastAsia"/>
                      <w:color w:val="auto"/>
                      <w:sz w:val="21"/>
                      <w:szCs w:val="21"/>
                    </w:rPr>
                    <w:t>二氧化硫</w:t>
                  </w:r>
                </w:p>
              </w:tc>
              <w:tc>
                <w:tcPr>
                  <w:tcW w:w="1098" w:type="dxa"/>
                  <w:vAlign w:val="center"/>
                </w:tcPr>
                <w:p>
                  <w:pPr>
                    <w:pStyle w:val="29"/>
                    <w:spacing w:line="240" w:lineRule="auto"/>
                    <w:ind w:firstLine="0" w:firstLineChars="0"/>
                    <w:jc w:val="center"/>
                    <w:rPr>
                      <w:color w:val="auto"/>
                      <w:sz w:val="21"/>
                      <w:szCs w:val="21"/>
                    </w:rPr>
                  </w:pPr>
                  <w:r>
                    <w:rPr>
                      <w:color w:val="auto"/>
                      <w:sz w:val="21"/>
                      <w:szCs w:val="21"/>
                    </w:rPr>
                    <w:t>41.098</w:t>
                  </w:r>
                </w:p>
              </w:tc>
              <w:tc>
                <w:tcPr>
                  <w:tcW w:w="1155" w:type="dxa"/>
                  <w:vAlign w:val="center"/>
                </w:tcPr>
                <w:p>
                  <w:pPr>
                    <w:pStyle w:val="29"/>
                    <w:spacing w:line="240" w:lineRule="auto"/>
                    <w:ind w:firstLine="0" w:firstLineChars="0"/>
                    <w:jc w:val="center"/>
                    <w:rPr>
                      <w:color w:val="auto"/>
                      <w:sz w:val="21"/>
                      <w:szCs w:val="21"/>
                    </w:rPr>
                  </w:pPr>
                  <w:r>
                    <w:rPr>
                      <w:rFonts w:hint="eastAsia"/>
                      <w:color w:val="auto"/>
                      <w:sz w:val="21"/>
                      <w:szCs w:val="21"/>
                    </w:rPr>
                    <w:t>7</w:t>
                  </w:r>
                  <w:r>
                    <w:rPr>
                      <w:color w:val="auto"/>
                      <w:sz w:val="21"/>
                      <w:szCs w:val="21"/>
                    </w:rPr>
                    <w:t>.803</w:t>
                  </w:r>
                </w:p>
              </w:tc>
              <w:tc>
                <w:tcPr>
                  <w:tcW w:w="1002" w:type="dxa"/>
                  <w:vAlign w:val="center"/>
                </w:tcPr>
                <w:p>
                  <w:pPr>
                    <w:pStyle w:val="29"/>
                    <w:spacing w:line="240" w:lineRule="auto"/>
                    <w:ind w:firstLine="0" w:firstLineChars="0"/>
                    <w:jc w:val="center"/>
                    <w:rPr>
                      <w:color w:val="auto"/>
                      <w:sz w:val="21"/>
                      <w:szCs w:val="21"/>
                    </w:rPr>
                  </w:pPr>
                  <w:r>
                    <w:rPr>
                      <w:rFonts w:hint="eastAsia"/>
                      <w:color w:val="auto"/>
                      <w:sz w:val="21"/>
                      <w:szCs w:val="21"/>
                    </w:rPr>
                    <w:t>5</w:t>
                  </w:r>
                  <w:r>
                    <w:rPr>
                      <w:color w:val="auto"/>
                      <w:sz w:val="21"/>
                      <w:szCs w:val="21"/>
                    </w:rPr>
                    <w:t>50</w:t>
                  </w:r>
                </w:p>
              </w:tc>
              <w:tc>
                <w:tcPr>
                  <w:tcW w:w="918" w:type="dxa"/>
                  <w:vAlign w:val="center"/>
                </w:tcPr>
                <w:p>
                  <w:pPr>
                    <w:pStyle w:val="29"/>
                    <w:spacing w:line="240" w:lineRule="auto"/>
                    <w:ind w:firstLine="0" w:firstLineChars="0"/>
                    <w:jc w:val="center"/>
                    <w:rPr>
                      <w:color w:val="auto"/>
                      <w:sz w:val="21"/>
                      <w:szCs w:val="21"/>
                    </w:rPr>
                  </w:pPr>
                  <w:r>
                    <w:rPr>
                      <w:rFonts w:hint="eastAsia"/>
                      <w:color w:val="auto"/>
                      <w:sz w:val="21"/>
                      <w:szCs w:val="21"/>
                    </w:rPr>
                    <w:t>25</w:t>
                  </w:r>
                </w:p>
              </w:tc>
              <w:tc>
                <w:tcPr>
                  <w:tcW w:w="811" w:type="dxa"/>
                  <w:vAlign w:val="center"/>
                </w:tcPr>
                <w:p>
                  <w:pPr>
                    <w:pStyle w:val="29"/>
                    <w:spacing w:line="240" w:lineRule="auto"/>
                    <w:ind w:firstLine="0" w:firstLineChars="0"/>
                    <w:jc w:val="center"/>
                    <w:rPr>
                      <w:color w:val="auto"/>
                      <w:sz w:val="21"/>
                      <w:szCs w:val="21"/>
                    </w:rPr>
                  </w:pPr>
                  <w:r>
                    <w:rPr>
                      <w:rFonts w:hint="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02" w:type="dxa"/>
                  <w:vMerge w:val="continue"/>
                  <w:vAlign w:val="center"/>
                </w:tcPr>
                <w:p>
                  <w:pPr>
                    <w:pStyle w:val="29"/>
                    <w:spacing w:line="240" w:lineRule="auto"/>
                    <w:ind w:firstLine="0" w:firstLineChars="0"/>
                    <w:jc w:val="center"/>
                    <w:rPr>
                      <w:color w:val="auto"/>
                      <w:sz w:val="21"/>
                      <w:szCs w:val="21"/>
                    </w:rPr>
                  </w:pPr>
                </w:p>
              </w:tc>
              <w:tc>
                <w:tcPr>
                  <w:tcW w:w="1025" w:type="dxa"/>
                  <w:vMerge w:val="continue"/>
                  <w:vAlign w:val="center"/>
                </w:tcPr>
                <w:p>
                  <w:pPr>
                    <w:pStyle w:val="29"/>
                    <w:spacing w:line="240" w:lineRule="auto"/>
                    <w:ind w:firstLine="0" w:firstLineChars="0"/>
                    <w:jc w:val="center"/>
                    <w:rPr>
                      <w:color w:val="auto"/>
                      <w:sz w:val="21"/>
                      <w:szCs w:val="21"/>
                    </w:rPr>
                  </w:pPr>
                </w:p>
              </w:tc>
              <w:tc>
                <w:tcPr>
                  <w:tcW w:w="1129" w:type="dxa"/>
                  <w:vAlign w:val="center"/>
                </w:tcPr>
                <w:p>
                  <w:pPr>
                    <w:pStyle w:val="29"/>
                    <w:spacing w:line="240" w:lineRule="auto"/>
                    <w:ind w:firstLine="0" w:firstLineChars="0"/>
                    <w:jc w:val="center"/>
                    <w:rPr>
                      <w:color w:val="auto"/>
                      <w:sz w:val="21"/>
                      <w:szCs w:val="21"/>
                    </w:rPr>
                  </w:pPr>
                  <w:r>
                    <w:rPr>
                      <w:rFonts w:hint="eastAsia"/>
                      <w:bCs/>
                      <w:color w:val="auto"/>
                      <w:sz w:val="21"/>
                      <w:szCs w:val="21"/>
                    </w:rPr>
                    <w:t>颗粒物</w:t>
                  </w:r>
                </w:p>
              </w:tc>
              <w:tc>
                <w:tcPr>
                  <w:tcW w:w="1098" w:type="dxa"/>
                  <w:vAlign w:val="center"/>
                </w:tcPr>
                <w:p>
                  <w:pPr>
                    <w:pStyle w:val="29"/>
                    <w:spacing w:line="240" w:lineRule="auto"/>
                    <w:ind w:firstLine="0" w:firstLineChars="0"/>
                    <w:jc w:val="center"/>
                    <w:rPr>
                      <w:color w:val="auto"/>
                      <w:sz w:val="21"/>
                      <w:szCs w:val="21"/>
                    </w:rPr>
                  </w:pPr>
                  <w:r>
                    <w:rPr>
                      <w:rFonts w:hint="eastAsia"/>
                      <w:color w:val="auto"/>
                      <w:sz w:val="21"/>
                      <w:szCs w:val="21"/>
                    </w:rPr>
                    <w:t>4</w:t>
                  </w:r>
                  <w:r>
                    <w:rPr>
                      <w:color w:val="auto"/>
                      <w:sz w:val="21"/>
                      <w:szCs w:val="21"/>
                    </w:rPr>
                    <w:t>4.391</w:t>
                  </w:r>
                </w:p>
              </w:tc>
              <w:tc>
                <w:tcPr>
                  <w:tcW w:w="1155" w:type="dxa"/>
                  <w:vAlign w:val="center"/>
                </w:tcPr>
                <w:p>
                  <w:pPr>
                    <w:pStyle w:val="29"/>
                    <w:spacing w:line="240" w:lineRule="auto"/>
                    <w:ind w:firstLine="0" w:firstLineChars="0"/>
                    <w:jc w:val="center"/>
                    <w:rPr>
                      <w:color w:val="auto"/>
                      <w:sz w:val="21"/>
                      <w:szCs w:val="21"/>
                    </w:rPr>
                  </w:pPr>
                  <w:r>
                    <w:rPr>
                      <w:rFonts w:hint="eastAsia"/>
                      <w:color w:val="auto"/>
                      <w:sz w:val="21"/>
                      <w:szCs w:val="21"/>
                    </w:rPr>
                    <w:t>8</w:t>
                  </w:r>
                  <w:r>
                    <w:rPr>
                      <w:color w:val="auto"/>
                      <w:sz w:val="21"/>
                      <w:szCs w:val="21"/>
                    </w:rPr>
                    <w:t>.428</w:t>
                  </w:r>
                </w:p>
              </w:tc>
              <w:tc>
                <w:tcPr>
                  <w:tcW w:w="1002" w:type="dxa"/>
                  <w:vAlign w:val="center"/>
                </w:tcPr>
                <w:p>
                  <w:pPr>
                    <w:pStyle w:val="29"/>
                    <w:spacing w:line="240" w:lineRule="auto"/>
                    <w:ind w:firstLine="0" w:firstLineChars="0"/>
                    <w:jc w:val="center"/>
                    <w:rPr>
                      <w:color w:val="auto"/>
                      <w:sz w:val="21"/>
                      <w:szCs w:val="21"/>
                    </w:rPr>
                  </w:pPr>
                  <w:r>
                    <w:rPr>
                      <w:rFonts w:hint="eastAsia"/>
                      <w:color w:val="auto"/>
                      <w:sz w:val="21"/>
                      <w:szCs w:val="21"/>
                    </w:rPr>
                    <w:t>12</w:t>
                  </w:r>
                  <w:r>
                    <w:rPr>
                      <w:color w:val="auto"/>
                      <w:sz w:val="21"/>
                      <w:szCs w:val="21"/>
                    </w:rPr>
                    <w:t>0</w:t>
                  </w:r>
                </w:p>
              </w:tc>
              <w:tc>
                <w:tcPr>
                  <w:tcW w:w="918" w:type="dxa"/>
                  <w:vAlign w:val="center"/>
                </w:tcPr>
                <w:p>
                  <w:pPr>
                    <w:pStyle w:val="29"/>
                    <w:spacing w:line="240" w:lineRule="auto"/>
                    <w:ind w:firstLine="0" w:firstLineChars="0"/>
                    <w:jc w:val="center"/>
                    <w:rPr>
                      <w:color w:val="auto"/>
                      <w:sz w:val="21"/>
                      <w:szCs w:val="21"/>
                    </w:rPr>
                  </w:pPr>
                  <w:r>
                    <w:rPr>
                      <w:rFonts w:hint="eastAsia"/>
                      <w:color w:val="auto"/>
                      <w:sz w:val="21"/>
                      <w:szCs w:val="21"/>
                    </w:rPr>
                    <w:t>39</w:t>
                  </w:r>
                </w:p>
              </w:tc>
              <w:tc>
                <w:tcPr>
                  <w:tcW w:w="811" w:type="dxa"/>
                  <w:vAlign w:val="center"/>
                </w:tcPr>
                <w:p>
                  <w:pPr>
                    <w:pStyle w:val="29"/>
                    <w:spacing w:line="240" w:lineRule="auto"/>
                    <w:ind w:firstLine="0" w:firstLineChars="0"/>
                    <w:jc w:val="center"/>
                    <w:rPr>
                      <w:color w:val="auto"/>
                      <w:sz w:val="21"/>
                      <w:szCs w:val="21"/>
                    </w:rPr>
                  </w:pPr>
                  <w:r>
                    <w:rPr>
                      <w:rFonts w:hint="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02" w:type="dxa"/>
                  <w:vMerge w:val="continue"/>
                  <w:vAlign w:val="center"/>
                </w:tcPr>
                <w:p>
                  <w:pPr>
                    <w:pStyle w:val="29"/>
                    <w:spacing w:line="240" w:lineRule="auto"/>
                    <w:ind w:firstLine="0" w:firstLineChars="0"/>
                    <w:jc w:val="center"/>
                    <w:rPr>
                      <w:color w:val="auto"/>
                      <w:sz w:val="21"/>
                      <w:szCs w:val="21"/>
                    </w:rPr>
                  </w:pPr>
                </w:p>
              </w:tc>
              <w:tc>
                <w:tcPr>
                  <w:tcW w:w="1025" w:type="dxa"/>
                  <w:vMerge w:val="continue"/>
                  <w:vAlign w:val="center"/>
                </w:tcPr>
                <w:p>
                  <w:pPr>
                    <w:pStyle w:val="29"/>
                    <w:spacing w:line="240" w:lineRule="auto"/>
                    <w:ind w:firstLine="0" w:firstLineChars="0"/>
                    <w:jc w:val="center"/>
                    <w:rPr>
                      <w:color w:val="auto"/>
                      <w:sz w:val="21"/>
                      <w:szCs w:val="21"/>
                    </w:rPr>
                  </w:pPr>
                </w:p>
              </w:tc>
              <w:tc>
                <w:tcPr>
                  <w:tcW w:w="1129" w:type="dxa"/>
                  <w:vAlign w:val="center"/>
                </w:tcPr>
                <w:p>
                  <w:pPr>
                    <w:pStyle w:val="29"/>
                    <w:spacing w:line="240" w:lineRule="auto"/>
                    <w:ind w:firstLine="0" w:firstLineChars="0"/>
                    <w:jc w:val="center"/>
                    <w:rPr>
                      <w:bCs/>
                      <w:color w:val="auto"/>
                      <w:sz w:val="21"/>
                      <w:szCs w:val="21"/>
                    </w:rPr>
                  </w:pPr>
                  <w:r>
                    <w:rPr>
                      <w:rFonts w:hint="eastAsia"/>
                      <w:bCs/>
                      <w:color w:val="auto"/>
                      <w:sz w:val="21"/>
                      <w:szCs w:val="21"/>
                    </w:rPr>
                    <w:t>氮氧化物</w:t>
                  </w:r>
                </w:p>
              </w:tc>
              <w:tc>
                <w:tcPr>
                  <w:tcW w:w="1098" w:type="dxa"/>
                  <w:vAlign w:val="center"/>
                </w:tcPr>
                <w:p>
                  <w:pPr>
                    <w:pStyle w:val="29"/>
                    <w:spacing w:line="240" w:lineRule="auto"/>
                    <w:ind w:firstLine="0" w:firstLineChars="0"/>
                    <w:jc w:val="center"/>
                    <w:rPr>
                      <w:color w:val="auto"/>
                      <w:sz w:val="21"/>
                      <w:szCs w:val="21"/>
                    </w:rPr>
                  </w:pPr>
                  <w:r>
                    <w:rPr>
                      <w:rFonts w:hint="eastAsia"/>
                      <w:color w:val="auto"/>
                      <w:sz w:val="21"/>
                      <w:szCs w:val="21"/>
                    </w:rPr>
                    <w:t>2</w:t>
                  </w:r>
                  <w:r>
                    <w:rPr>
                      <w:color w:val="auto"/>
                      <w:sz w:val="21"/>
                      <w:szCs w:val="21"/>
                    </w:rPr>
                    <w:t>7.217</w:t>
                  </w:r>
                </w:p>
              </w:tc>
              <w:tc>
                <w:tcPr>
                  <w:tcW w:w="1155" w:type="dxa"/>
                  <w:vAlign w:val="center"/>
                </w:tcPr>
                <w:p>
                  <w:pPr>
                    <w:pStyle w:val="29"/>
                    <w:spacing w:line="240" w:lineRule="auto"/>
                    <w:ind w:firstLine="0" w:firstLineChars="0"/>
                    <w:jc w:val="center"/>
                    <w:rPr>
                      <w:color w:val="auto"/>
                      <w:sz w:val="21"/>
                      <w:szCs w:val="21"/>
                    </w:rPr>
                  </w:pPr>
                  <w:r>
                    <w:rPr>
                      <w:rFonts w:hint="eastAsia"/>
                      <w:color w:val="auto"/>
                      <w:sz w:val="21"/>
                      <w:szCs w:val="21"/>
                    </w:rPr>
                    <w:t>5</w:t>
                  </w:r>
                  <w:r>
                    <w:rPr>
                      <w:color w:val="auto"/>
                      <w:sz w:val="21"/>
                      <w:szCs w:val="21"/>
                    </w:rPr>
                    <w:t>.167</w:t>
                  </w:r>
                </w:p>
              </w:tc>
              <w:tc>
                <w:tcPr>
                  <w:tcW w:w="1002" w:type="dxa"/>
                  <w:vAlign w:val="center"/>
                </w:tcPr>
                <w:p>
                  <w:pPr>
                    <w:pStyle w:val="29"/>
                    <w:spacing w:line="240" w:lineRule="auto"/>
                    <w:ind w:firstLine="0" w:firstLineChars="0"/>
                    <w:jc w:val="center"/>
                    <w:rPr>
                      <w:color w:val="auto"/>
                      <w:sz w:val="21"/>
                      <w:szCs w:val="21"/>
                    </w:rPr>
                  </w:pPr>
                  <w:r>
                    <w:rPr>
                      <w:color w:val="auto"/>
                      <w:sz w:val="21"/>
                      <w:szCs w:val="21"/>
                    </w:rPr>
                    <w:t>240</w:t>
                  </w:r>
                </w:p>
              </w:tc>
              <w:tc>
                <w:tcPr>
                  <w:tcW w:w="918" w:type="dxa"/>
                  <w:vAlign w:val="center"/>
                </w:tcPr>
                <w:p>
                  <w:pPr>
                    <w:pStyle w:val="29"/>
                    <w:spacing w:line="240" w:lineRule="auto"/>
                    <w:ind w:firstLine="0" w:firstLineChars="0"/>
                    <w:jc w:val="center"/>
                    <w:rPr>
                      <w:color w:val="auto"/>
                      <w:sz w:val="21"/>
                      <w:szCs w:val="21"/>
                    </w:rPr>
                  </w:pPr>
                  <w:r>
                    <w:rPr>
                      <w:color w:val="auto"/>
                      <w:sz w:val="21"/>
                      <w:szCs w:val="21"/>
                    </w:rPr>
                    <w:t>7.5</w:t>
                  </w:r>
                </w:p>
              </w:tc>
              <w:tc>
                <w:tcPr>
                  <w:tcW w:w="811" w:type="dxa"/>
                  <w:vAlign w:val="center"/>
                </w:tcPr>
                <w:p>
                  <w:pPr>
                    <w:pStyle w:val="29"/>
                    <w:spacing w:line="240" w:lineRule="auto"/>
                    <w:ind w:firstLine="0" w:firstLineChars="0"/>
                    <w:jc w:val="center"/>
                    <w:rPr>
                      <w:color w:val="auto"/>
                      <w:sz w:val="21"/>
                      <w:szCs w:val="21"/>
                    </w:rPr>
                  </w:pPr>
                  <w:r>
                    <w:rPr>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02" w:type="dxa"/>
                  <w:vMerge w:val="continue"/>
                  <w:vAlign w:val="center"/>
                </w:tcPr>
                <w:p>
                  <w:pPr>
                    <w:pStyle w:val="29"/>
                    <w:spacing w:line="240" w:lineRule="auto"/>
                    <w:ind w:firstLine="0" w:firstLineChars="0"/>
                    <w:jc w:val="center"/>
                    <w:rPr>
                      <w:color w:val="auto"/>
                      <w:sz w:val="21"/>
                      <w:szCs w:val="21"/>
                    </w:rPr>
                  </w:pPr>
                </w:p>
              </w:tc>
              <w:tc>
                <w:tcPr>
                  <w:tcW w:w="1025" w:type="dxa"/>
                  <w:vMerge w:val="restart"/>
                  <w:vAlign w:val="center"/>
                </w:tcPr>
                <w:p>
                  <w:pPr>
                    <w:pStyle w:val="29"/>
                    <w:spacing w:line="240" w:lineRule="auto"/>
                    <w:ind w:firstLine="0" w:firstLineChars="0"/>
                    <w:jc w:val="center"/>
                    <w:rPr>
                      <w:color w:val="auto"/>
                      <w:sz w:val="21"/>
                      <w:szCs w:val="21"/>
                    </w:rPr>
                  </w:pPr>
                  <w:r>
                    <w:rPr>
                      <w:rFonts w:hint="eastAsia"/>
                      <w:bCs/>
                      <w:color w:val="auto"/>
                      <w:sz w:val="21"/>
                      <w:szCs w:val="21"/>
                    </w:rPr>
                    <w:t>天然气</w:t>
                  </w:r>
                </w:p>
              </w:tc>
              <w:tc>
                <w:tcPr>
                  <w:tcW w:w="1129" w:type="dxa"/>
                  <w:vAlign w:val="center"/>
                </w:tcPr>
                <w:p>
                  <w:pPr>
                    <w:pStyle w:val="29"/>
                    <w:spacing w:line="240" w:lineRule="auto"/>
                    <w:ind w:firstLine="0" w:firstLineChars="0"/>
                    <w:jc w:val="center"/>
                    <w:rPr>
                      <w:color w:val="auto"/>
                      <w:sz w:val="21"/>
                      <w:szCs w:val="21"/>
                    </w:rPr>
                  </w:pPr>
                  <w:r>
                    <w:rPr>
                      <w:rFonts w:hint="eastAsia"/>
                      <w:color w:val="auto"/>
                      <w:sz w:val="21"/>
                      <w:szCs w:val="21"/>
                    </w:rPr>
                    <w:t>二氧化硫</w:t>
                  </w:r>
                </w:p>
              </w:tc>
              <w:tc>
                <w:tcPr>
                  <w:tcW w:w="1098" w:type="dxa"/>
                  <w:vAlign w:val="center"/>
                </w:tcPr>
                <w:p>
                  <w:pPr>
                    <w:pStyle w:val="29"/>
                    <w:spacing w:line="240" w:lineRule="auto"/>
                    <w:ind w:firstLine="0" w:firstLineChars="0"/>
                    <w:jc w:val="center"/>
                    <w:rPr>
                      <w:color w:val="auto"/>
                      <w:sz w:val="21"/>
                      <w:szCs w:val="21"/>
                    </w:rPr>
                  </w:pPr>
                  <w:r>
                    <w:rPr>
                      <w:rFonts w:hint="eastAsia"/>
                      <w:color w:val="auto"/>
                      <w:sz w:val="21"/>
                      <w:szCs w:val="21"/>
                    </w:rPr>
                    <w:t>2</w:t>
                  </w:r>
                  <w:r>
                    <w:rPr>
                      <w:color w:val="auto"/>
                      <w:sz w:val="21"/>
                      <w:szCs w:val="21"/>
                    </w:rPr>
                    <w:t>5.953</w:t>
                  </w:r>
                </w:p>
              </w:tc>
              <w:tc>
                <w:tcPr>
                  <w:tcW w:w="1155" w:type="dxa"/>
                  <w:vAlign w:val="center"/>
                </w:tcPr>
                <w:p>
                  <w:pPr>
                    <w:pStyle w:val="29"/>
                    <w:spacing w:line="240" w:lineRule="auto"/>
                    <w:ind w:firstLine="0" w:firstLineChars="0"/>
                    <w:jc w:val="center"/>
                    <w:rPr>
                      <w:color w:val="auto"/>
                      <w:sz w:val="21"/>
                      <w:szCs w:val="21"/>
                    </w:rPr>
                  </w:pPr>
                  <w:r>
                    <w:rPr>
                      <w:rFonts w:hint="eastAsia"/>
                      <w:color w:val="auto"/>
                      <w:sz w:val="21"/>
                      <w:szCs w:val="21"/>
                    </w:rPr>
                    <w:t>4</w:t>
                  </w:r>
                  <w:r>
                    <w:rPr>
                      <w:color w:val="auto"/>
                      <w:sz w:val="21"/>
                      <w:szCs w:val="21"/>
                    </w:rPr>
                    <w:t>.928</w:t>
                  </w:r>
                </w:p>
              </w:tc>
              <w:tc>
                <w:tcPr>
                  <w:tcW w:w="1002" w:type="dxa"/>
                  <w:vAlign w:val="center"/>
                </w:tcPr>
                <w:p>
                  <w:pPr>
                    <w:pStyle w:val="29"/>
                    <w:spacing w:line="240" w:lineRule="auto"/>
                    <w:ind w:firstLine="0" w:firstLineChars="0"/>
                    <w:jc w:val="center"/>
                    <w:rPr>
                      <w:color w:val="auto"/>
                      <w:sz w:val="21"/>
                      <w:szCs w:val="21"/>
                    </w:rPr>
                  </w:pPr>
                  <w:r>
                    <w:rPr>
                      <w:rFonts w:hint="eastAsia"/>
                      <w:color w:val="auto"/>
                      <w:sz w:val="21"/>
                      <w:szCs w:val="21"/>
                    </w:rPr>
                    <w:t>5</w:t>
                  </w:r>
                  <w:r>
                    <w:rPr>
                      <w:color w:val="auto"/>
                      <w:sz w:val="21"/>
                      <w:szCs w:val="21"/>
                    </w:rPr>
                    <w:t>50</w:t>
                  </w:r>
                </w:p>
              </w:tc>
              <w:tc>
                <w:tcPr>
                  <w:tcW w:w="918" w:type="dxa"/>
                  <w:vAlign w:val="center"/>
                </w:tcPr>
                <w:p>
                  <w:pPr>
                    <w:pStyle w:val="29"/>
                    <w:spacing w:line="240" w:lineRule="auto"/>
                    <w:ind w:firstLine="0" w:firstLineChars="0"/>
                    <w:jc w:val="center"/>
                    <w:rPr>
                      <w:color w:val="auto"/>
                      <w:sz w:val="21"/>
                      <w:szCs w:val="21"/>
                    </w:rPr>
                  </w:pPr>
                  <w:r>
                    <w:rPr>
                      <w:rFonts w:hint="eastAsia"/>
                      <w:color w:val="auto"/>
                      <w:sz w:val="21"/>
                      <w:szCs w:val="21"/>
                    </w:rPr>
                    <w:t>25</w:t>
                  </w:r>
                </w:p>
              </w:tc>
              <w:tc>
                <w:tcPr>
                  <w:tcW w:w="811" w:type="dxa"/>
                  <w:vAlign w:val="center"/>
                </w:tcPr>
                <w:p>
                  <w:pPr>
                    <w:pStyle w:val="29"/>
                    <w:spacing w:line="240" w:lineRule="auto"/>
                    <w:ind w:firstLine="0" w:firstLineChars="0"/>
                    <w:jc w:val="center"/>
                    <w:rPr>
                      <w:color w:val="auto"/>
                      <w:sz w:val="21"/>
                      <w:szCs w:val="21"/>
                    </w:rPr>
                  </w:pPr>
                  <w:r>
                    <w:rPr>
                      <w:rFonts w:hint="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02" w:type="dxa"/>
                  <w:vMerge w:val="continue"/>
                  <w:vAlign w:val="center"/>
                </w:tcPr>
                <w:p>
                  <w:pPr>
                    <w:pStyle w:val="29"/>
                    <w:spacing w:line="240" w:lineRule="auto"/>
                    <w:ind w:firstLine="0" w:firstLineChars="0"/>
                    <w:jc w:val="center"/>
                    <w:rPr>
                      <w:color w:val="auto"/>
                      <w:sz w:val="21"/>
                      <w:szCs w:val="21"/>
                    </w:rPr>
                  </w:pPr>
                </w:p>
              </w:tc>
              <w:tc>
                <w:tcPr>
                  <w:tcW w:w="1025" w:type="dxa"/>
                  <w:vMerge w:val="continue"/>
                  <w:vAlign w:val="center"/>
                </w:tcPr>
                <w:p>
                  <w:pPr>
                    <w:pStyle w:val="29"/>
                    <w:spacing w:line="240" w:lineRule="auto"/>
                    <w:ind w:firstLine="0" w:firstLineChars="0"/>
                    <w:jc w:val="center"/>
                    <w:rPr>
                      <w:bCs/>
                      <w:color w:val="auto"/>
                      <w:sz w:val="21"/>
                      <w:szCs w:val="21"/>
                    </w:rPr>
                  </w:pPr>
                </w:p>
              </w:tc>
              <w:tc>
                <w:tcPr>
                  <w:tcW w:w="1129" w:type="dxa"/>
                  <w:vAlign w:val="center"/>
                </w:tcPr>
                <w:p>
                  <w:pPr>
                    <w:pStyle w:val="29"/>
                    <w:spacing w:line="240" w:lineRule="auto"/>
                    <w:ind w:firstLine="0" w:firstLineChars="0"/>
                    <w:jc w:val="center"/>
                    <w:rPr>
                      <w:color w:val="auto"/>
                      <w:sz w:val="21"/>
                      <w:szCs w:val="21"/>
                    </w:rPr>
                  </w:pPr>
                  <w:r>
                    <w:rPr>
                      <w:rFonts w:hint="eastAsia"/>
                      <w:bCs/>
                      <w:color w:val="auto"/>
                      <w:sz w:val="21"/>
                      <w:szCs w:val="21"/>
                    </w:rPr>
                    <w:t>颗粒物</w:t>
                  </w:r>
                </w:p>
              </w:tc>
              <w:tc>
                <w:tcPr>
                  <w:tcW w:w="1098" w:type="dxa"/>
                  <w:vAlign w:val="center"/>
                </w:tcPr>
                <w:p>
                  <w:pPr>
                    <w:pStyle w:val="29"/>
                    <w:spacing w:line="240" w:lineRule="auto"/>
                    <w:ind w:firstLine="0" w:firstLineChars="0"/>
                    <w:jc w:val="center"/>
                    <w:rPr>
                      <w:color w:val="auto"/>
                      <w:sz w:val="21"/>
                      <w:szCs w:val="21"/>
                    </w:rPr>
                  </w:pPr>
                  <w:r>
                    <w:rPr>
                      <w:rFonts w:hint="eastAsia"/>
                      <w:color w:val="auto"/>
                      <w:sz w:val="21"/>
                      <w:szCs w:val="21"/>
                    </w:rPr>
                    <w:t>3</w:t>
                  </w:r>
                  <w:r>
                    <w:rPr>
                      <w:color w:val="auto"/>
                      <w:sz w:val="21"/>
                      <w:szCs w:val="21"/>
                    </w:rPr>
                    <w:t>0.454</w:t>
                  </w:r>
                </w:p>
              </w:tc>
              <w:tc>
                <w:tcPr>
                  <w:tcW w:w="1155" w:type="dxa"/>
                  <w:vAlign w:val="center"/>
                </w:tcPr>
                <w:p>
                  <w:pPr>
                    <w:pStyle w:val="29"/>
                    <w:spacing w:line="240" w:lineRule="auto"/>
                    <w:ind w:firstLine="0" w:firstLineChars="0"/>
                    <w:jc w:val="center"/>
                    <w:rPr>
                      <w:color w:val="auto"/>
                      <w:sz w:val="21"/>
                      <w:szCs w:val="21"/>
                    </w:rPr>
                  </w:pPr>
                  <w:r>
                    <w:rPr>
                      <w:rFonts w:hint="eastAsia"/>
                      <w:color w:val="auto"/>
                      <w:sz w:val="21"/>
                      <w:szCs w:val="21"/>
                    </w:rPr>
                    <w:t>5</w:t>
                  </w:r>
                  <w:r>
                    <w:rPr>
                      <w:color w:val="auto"/>
                      <w:sz w:val="21"/>
                      <w:szCs w:val="21"/>
                    </w:rPr>
                    <w:t>.782</w:t>
                  </w:r>
                </w:p>
              </w:tc>
              <w:tc>
                <w:tcPr>
                  <w:tcW w:w="1002" w:type="dxa"/>
                  <w:vAlign w:val="center"/>
                </w:tcPr>
                <w:p>
                  <w:pPr>
                    <w:pStyle w:val="29"/>
                    <w:spacing w:line="240" w:lineRule="auto"/>
                    <w:ind w:firstLine="0" w:firstLineChars="0"/>
                    <w:jc w:val="center"/>
                    <w:rPr>
                      <w:color w:val="auto"/>
                      <w:sz w:val="21"/>
                      <w:szCs w:val="21"/>
                    </w:rPr>
                  </w:pPr>
                  <w:r>
                    <w:rPr>
                      <w:rFonts w:hint="eastAsia"/>
                      <w:color w:val="auto"/>
                      <w:sz w:val="21"/>
                      <w:szCs w:val="21"/>
                    </w:rPr>
                    <w:t>12</w:t>
                  </w:r>
                  <w:r>
                    <w:rPr>
                      <w:color w:val="auto"/>
                      <w:sz w:val="21"/>
                      <w:szCs w:val="21"/>
                    </w:rPr>
                    <w:t>0</w:t>
                  </w:r>
                </w:p>
              </w:tc>
              <w:tc>
                <w:tcPr>
                  <w:tcW w:w="918" w:type="dxa"/>
                  <w:vAlign w:val="center"/>
                </w:tcPr>
                <w:p>
                  <w:pPr>
                    <w:pStyle w:val="29"/>
                    <w:spacing w:line="240" w:lineRule="auto"/>
                    <w:ind w:firstLine="0" w:firstLineChars="0"/>
                    <w:jc w:val="center"/>
                    <w:rPr>
                      <w:color w:val="auto"/>
                      <w:sz w:val="21"/>
                      <w:szCs w:val="21"/>
                    </w:rPr>
                  </w:pPr>
                  <w:r>
                    <w:rPr>
                      <w:rFonts w:hint="eastAsia"/>
                      <w:color w:val="auto"/>
                      <w:sz w:val="21"/>
                      <w:szCs w:val="21"/>
                    </w:rPr>
                    <w:t>39</w:t>
                  </w:r>
                </w:p>
              </w:tc>
              <w:tc>
                <w:tcPr>
                  <w:tcW w:w="811" w:type="dxa"/>
                  <w:vAlign w:val="center"/>
                </w:tcPr>
                <w:p>
                  <w:pPr>
                    <w:pStyle w:val="29"/>
                    <w:spacing w:line="240" w:lineRule="auto"/>
                    <w:ind w:firstLine="0" w:firstLineChars="0"/>
                    <w:jc w:val="center"/>
                    <w:rPr>
                      <w:color w:val="auto"/>
                      <w:sz w:val="21"/>
                      <w:szCs w:val="21"/>
                    </w:rPr>
                  </w:pPr>
                  <w:r>
                    <w:rPr>
                      <w:rFonts w:hint="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02" w:type="dxa"/>
                  <w:vMerge w:val="continue"/>
                  <w:vAlign w:val="center"/>
                </w:tcPr>
                <w:p>
                  <w:pPr>
                    <w:pStyle w:val="29"/>
                    <w:spacing w:line="240" w:lineRule="auto"/>
                    <w:ind w:firstLine="0" w:firstLineChars="0"/>
                    <w:jc w:val="center"/>
                    <w:rPr>
                      <w:color w:val="auto"/>
                      <w:sz w:val="21"/>
                      <w:szCs w:val="21"/>
                    </w:rPr>
                  </w:pPr>
                </w:p>
              </w:tc>
              <w:tc>
                <w:tcPr>
                  <w:tcW w:w="1025" w:type="dxa"/>
                  <w:vMerge w:val="continue"/>
                  <w:vAlign w:val="center"/>
                </w:tcPr>
                <w:p>
                  <w:pPr>
                    <w:pStyle w:val="29"/>
                    <w:spacing w:line="240" w:lineRule="auto"/>
                    <w:ind w:firstLine="0" w:firstLineChars="0"/>
                    <w:jc w:val="center"/>
                    <w:rPr>
                      <w:bCs/>
                      <w:color w:val="auto"/>
                      <w:sz w:val="21"/>
                      <w:szCs w:val="21"/>
                    </w:rPr>
                  </w:pPr>
                </w:p>
              </w:tc>
              <w:tc>
                <w:tcPr>
                  <w:tcW w:w="1129" w:type="dxa"/>
                  <w:vAlign w:val="center"/>
                </w:tcPr>
                <w:p>
                  <w:pPr>
                    <w:pStyle w:val="29"/>
                    <w:spacing w:line="240" w:lineRule="auto"/>
                    <w:ind w:firstLine="0" w:firstLineChars="0"/>
                    <w:jc w:val="center"/>
                    <w:rPr>
                      <w:bCs/>
                      <w:color w:val="auto"/>
                      <w:sz w:val="21"/>
                      <w:szCs w:val="21"/>
                    </w:rPr>
                  </w:pPr>
                  <w:r>
                    <w:rPr>
                      <w:rFonts w:hint="eastAsia"/>
                      <w:bCs/>
                      <w:color w:val="auto"/>
                      <w:sz w:val="21"/>
                      <w:szCs w:val="21"/>
                    </w:rPr>
                    <w:t>氮氧化物</w:t>
                  </w:r>
                </w:p>
              </w:tc>
              <w:tc>
                <w:tcPr>
                  <w:tcW w:w="1098" w:type="dxa"/>
                  <w:vAlign w:val="center"/>
                </w:tcPr>
                <w:p>
                  <w:pPr>
                    <w:pStyle w:val="29"/>
                    <w:spacing w:line="240" w:lineRule="auto"/>
                    <w:ind w:firstLine="0" w:firstLineChars="0"/>
                    <w:jc w:val="center"/>
                    <w:rPr>
                      <w:color w:val="auto"/>
                      <w:sz w:val="21"/>
                      <w:szCs w:val="21"/>
                    </w:rPr>
                  </w:pPr>
                  <w:r>
                    <w:rPr>
                      <w:rFonts w:hint="eastAsia"/>
                      <w:color w:val="auto"/>
                      <w:sz w:val="21"/>
                      <w:szCs w:val="21"/>
                    </w:rPr>
                    <w:t>3</w:t>
                  </w:r>
                  <w:r>
                    <w:rPr>
                      <w:color w:val="auto"/>
                      <w:sz w:val="21"/>
                      <w:szCs w:val="21"/>
                    </w:rPr>
                    <w:t>8.212</w:t>
                  </w:r>
                </w:p>
              </w:tc>
              <w:tc>
                <w:tcPr>
                  <w:tcW w:w="1155" w:type="dxa"/>
                  <w:vAlign w:val="center"/>
                </w:tcPr>
                <w:p>
                  <w:pPr>
                    <w:pStyle w:val="29"/>
                    <w:spacing w:line="240" w:lineRule="auto"/>
                    <w:ind w:firstLine="0" w:firstLineChars="0"/>
                    <w:jc w:val="center"/>
                    <w:rPr>
                      <w:color w:val="auto"/>
                      <w:sz w:val="21"/>
                      <w:szCs w:val="21"/>
                    </w:rPr>
                  </w:pPr>
                  <w:r>
                    <w:rPr>
                      <w:rFonts w:hint="eastAsia"/>
                      <w:color w:val="auto"/>
                      <w:sz w:val="21"/>
                      <w:szCs w:val="21"/>
                    </w:rPr>
                    <w:t>7</w:t>
                  </w:r>
                  <w:r>
                    <w:rPr>
                      <w:color w:val="auto"/>
                      <w:sz w:val="21"/>
                      <w:szCs w:val="21"/>
                    </w:rPr>
                    <w:t>.255</w:t>
                  </w:r>
                </w:p>
              </w:tc>
              <w:tc>
                <w:tcPr>
                  <w:tcW w:w="1002" w:type="dxa"/>
                  <w:vAlign w:val="center"/>
                </w:tcPr>
                <w:p>
                  <w:pPr>
                    <w:pStyle w:val="29"/>
                    <w:spacing w:line="240" w:lineRule="auto"/>
                    <w:ind w:firstLine="0" w:firstLineChars="0"/>
                    <w:jc w:val="center"/>
                    <w:rPr>
                      <w:color w:val="auto"/>
                      <w:sz w:val="21"/>
                      <w:szCs w:val="21"/>
                    </w:rPr>
                  </w:pPr>
                  <w:r>
                    <w:rPr>
                      <w:color w:val="auto"/>
                      <w:sz w:val="21"/>
                      <w:szCs w:val="21"/>
                    </w:rPr>
                    <w:t>240</w:t>
                  </w:r>
                </w:p>
              </w:tc>
              <w:tc>
                <w:tcPr>
                  <w:tcW w:w="918" w:type="dxa"/>
                  <w:vAlign w:val="center"/>
                </w:tcPr>
                <w:p>
                  <w:pPr>
                    <w:pStyle w:val="29"/>
                    <w:spacing w:line="240" w:lineRule="auto"/>
                    <w:ind w:firstLine="0" w:firstLineChars="0"/>
                    <w:jc w:val="center"/>
                    <w:rPr>
                      <w:color w:val="auto"/>
                      <w:sz w:val="21"/>
                      <w:szCs w:val="21"/>
                    </w:rPr>
                  </w:pPr>
                  <w:r>
                    <w:rPr>
                      <w:color w:val="auto"/>
                      <w:sz w:val="21"/>
                      <w:szCs w:val="21"/>
                    </w:rPr>
                    <w:t>7.5</w:t>
                  </w:r>
                </w:p>
              </w:tc>
              <w:tc>
                <w:tcPr>
                  <w:tcW w:w="811" w:type="dxa"/>
                  <w:vAlign w:val="center"/>
                </w:tcPr>
                <w:p>
                  <w:pPr>
                    <w:pStyle w:val="29"/>
                    <w:spacing w:line="240" w:lineRule="auto"/>
                    <w:ind w:firstLine="0" w:firstLineChars="0"/>
                    <w:jc w:val="center"/>
                    <w:rPr>
                      <w:color w:val="auto"/>
                      <w:sz w:val="21"/>
                      <w:szCs w:val="21"/>
                    </w:rPr>
                  </w:pPr>
                  <w:r>
                    <w:rPr>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02" w:type="dxa"/>
                  <w:vMerge w:val="continue"/>
                  <w:vAlign w:val="center"/>
                </w:tcPr>
                <w:p>
                  <w:pPr>
                    <w:pStyle w:val="29"/>
                    <w:spacing w:line="240" w:lineRule="auto"/>
                    <w:ind w:firstLine="0" w:firstLineChars="0"/>
                    <w:jc w:val="center"/>
                    <w:rPr>
                      <w:color w:val="auto"/>
                      <w:sz w:val="21"/>
                      <w:szCs w:val="21"/>
                    </w:rPr>
                  </w:pPr>
                </w:p>
              </w:tc>
              <w:tc>
                <w:tcPr>
                  <w:tcW w:w="1025" w:type="dxa"/>
                  <w:vAlign w:val="center"/>
                </w:tcPr>
                <w:p>
                  <w:pPr>
                    <w:pStyle w:val="29"/>
                    <w:spacing w:line="240" w:lineRule="auto"/>
                    <w:ind w:firstLine="0" w:firstLineChars="0"/>
                    <w:jc w:val="center"/>
                    <w:rPr>
                      <w:bCs/>
                      <w:color w:val="auto"/>
                      <w:sz w:val="21"/>
                      <w:szCs w:val="21"/>
                    </w:rPr>
                  </w:pPr>
                  <w:r>
                    <w:rPr>
                      <w:rFonts w:hint="eastAsia"/>
                      <w:bCs/>
                      <w:color w:val="auto"/>
                      <w:sz w:val="21"/>
                      <w:szCs w:val="21"/>
                    </w:rPr>
                    <w:t>/</w:t>
                  </w:r>
                </w:p>
              </w:tc>
              <w:tc>
                <w:tcPr>
                  <w:tcW w:w="1129" w:type="dxa"/>
                  <w:vAlign w:val="center"/>
                </w:tcPr>
                <w:p>
                  <w:pPr>
                    <w:pStyle w:val="29"/>
                    <w:spacing w:line="240" w:lineRule="auto"/>
                    <w:ind w:firstLine="0" w:firstLineChars="0"/>
                    <w:jc w:val="center"/>
                    <w:rPr>
                      <w:color w:val="auto"/>
                      <w:sz w:val="21"/>
                      <w:szCs w:val="21"/>
                    </w:rPr>
                  </w:pPr>
                  <w:r>
                    <w:rPr>
                      <w:rFonts w:hint="eastAsia"/>
                      <w:bCs/>
                      <w:color w:val="auto"/>
                      <w:sz w:val="21"/>
                      <w:szCs w:val="21"/>
                    </w:rPr>
                    <w:t>氟化物</w:t>
                  </w:r>
                </w:p>
              </w:tc>
              <w:tc>
                <w:tcPr>
                  <w:tcW w:w="1098" w:type="dxa"/>
                  <w:vAlign w:val="center"/>
                </w:tcPr>
                <w:p>
                  <w:pPr>
                    <w:pStyle w:val="29"/>
                    <w:spacing w:line="240" w:lineRule="auto"/>
                    <w:ind w:firstLine="0" w:firstLineChars="0"/>
                    <w:jc w:val="center"/>
                    <w:rPr>
                      <w:color w:val="auto"/>
                      <w:sz w:val="21"/>
                      <w:szCs w:val="21"/>
                    </w:rPr>
                  </w:pPr>
                  <w:r>
                    <w:rPr>
                      <w:color w:val="auto"/>
                      <w:sz w:val="21"/>
                      <w:szCs w:val="21"/>
                    </w:rPr>
                    <w:t>0.739</w:t>
                  </w:r>
                </w:p>
              </w:tc>
              <w:tc>
                <w:tcPr>
                  <w:tcW w:w="1155" w:type="dxa"/>
                  <w:vAlign w:val="center"/>
                </w:tcPr>
                <w:p>
                  <w:pPr>
                    <w:pStyle w:val="29"/>
                    <w:spacing w:line="240" w:lineRule="auto"/>
                    <w:ind w:firstLine="0" w:firstLineChars="0"/>
                    <w:jc w:val="center"/>
                    <w:rPr>
                      <w:color w:val="auto"/>
                      <w:sz w:val="21"/>
                      <w:szCs w:val="21"/>
                    </w:rPr>
                  </w:pPr>
                  <w:r>
                    <w:rPr>
                      <w:color w:val="auto"/>
                      <w:sz w:val="21"/>
                      <w:szCs w:val="21"/>
                    </w:rPr>
                    <w:t>0.14</w:t>
                  </w:r>
                </w:p>
              </w:tc>
              <w:tc>
                <w:tcPr>
                  <w:tcW w:w="1002" w:type="dxa"/>
                  <w:vAlign w:val="center"/>
                </w:tcPr>
                <w:p>
                  <w:pPr>
                    <w:pStyle w:val="29"/>
                    <w:spacing w:line="240" w:lineRule="auto"/>
                    <w:ind w:firstLine="0" w:firstLineChars="0"/>
                    <w:jc w:val="center"/>
                    <w:rPr>
                      <w:color w:val="auto"/>
                      <w:sz w:val="21"/>
                      <w:szCs w:val="21"/>
                    </w:rPr>
                  </w:pPr>
                  <w:r>
                    <w:rPr>
                      <w:rFonts w:hint="eastAsia"/>
                      <w:color w:val="auto"/>
                      <w:sz w:val="21"/>
                      <w:szCs w:val="21"/>
                    </w:rPr>
                    <w:t>9</w:t>
                  </w:r>
                </w:p>
              </w:tc>
              <w:tc>
                <w:tcPr>
                  <w:tcW w:w="918" w:type="dxa"/>
                  <w:vAlign w:val="center"/>
                </w:tcPr>
                <w:p>
                  <w:pPr>
                    <w:pStyle w:val="29"/>
                    <w:spacing w:line="240" w:lineRule="auto"/>
                    <w:ind w:firstLine="0" w:firstLineChars="0"/>
                    <w:jc w:val="center"/>
                    <w:rPr>
                      <w:color w:val="auto"/>
                      <w:sz w:val="21"/>
                      <w:szCs w:val="21"/>
                    </w:rPr>
                  </w:pPr>
                  <w:r>
                    <w:rPr>
                      <w:rFonts w:hint="eastAsia"/>
                      <w:color w:val="auto"/>
                      <w:sz w:val="21"/>
                      <w:szCs w:val="21"/>
                    </w:rPr>
                    <w:t>1</w:t>
                  </w:r>
                </w:p>
              </w:tc>
              <w:tc>
                <w:tcPr>
                  <w:tcW w:w="811" w:type="dxa"/>
                  <w:vAlign w:val="center"/>
                </w:tcPr>
                <w:p>
                  <w:pPr>
                    <w:pStyle w:val="29"/>
                    <w:spacing w:line="240" w:lineRule="auto"/>
                    <w:ind w:firstLine="0" w:firstLineChars="0"/>
                    <w:jc w:val="center"/>
                    <w:rPr>
                      <w:color w:val="auto"/>
                      <w:sz w:val="21"/>
                      <w:szCs w:val="21"/>
                    </w:rPr>
                  </w:pPr>
                  <w:r>
                    <w:rPr>
                      <w:rFonts w:hint="eastAsia"/>
                      <w:color w:val="auto"/>
                      <w:sz w:val="21"/>
                      <w:szCs w:val="21"/>
                    </w:rPr>
                    <w:t>达标</w:t>
                  </w:r>
                </w:p>
              </w:tc>
            </w:tr>
          </w:tbl>
          <w:p>
            <w:pPr>
              <w:adjustRightInd w:val="0"/>
              <w:spacing w:line="360" w:lineRule="auto"/>
              <w:ind w:firstLine="422" w:firstLineChars="200"/>
              <w:jc w:val="center"/>
              <w:outlineLvl w:val="0"/>
              <w:rPr>
                <w:b/>
              </w:rPr>
            </w:pPr>
            <w:r>
              <w:rPr>
                <w:rFonts w:hint="eastAsia"/>
                <w:b/>
              </w:rPr>
              <w:t>表4</w:t>
            </w:r>
            <w:r>
              <w:rPr>
                <w:b/>
              </w:rPr>
              <w:t xml:space="preserve">-2  </w:t>
            </w:r>
            <w:r>
              <w:rPr>
                <w:rFonts w:hint="eastAsia"/>
                <w:b/>
              </w:rPr>
              <w:t>10+15万吨/年饲钙装置干燥+含氟尾气排口排放量一览表</w:t>
            </w:r>
          </w:p>
          <w:tbl>
            <w:tblPr>
              <w:tblStyle w:val="23"/>
              <w:tblW w:w="72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1974"/>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943" w:type="dxa"/>
                  <w:vAlign w:val="center"/>
                </w:tcPr>
                <w:p>
                  <w:pPr>
                    <w:pStyle w:val="29"/>
                    <w:spacing w:line="240" w:lineRule="auto"/>
                    <w:ind w:firstLine="0" w:firstLineChars="0"/>
                    <w:jc w:val="center"/>
                    <w:rPr>
                      <w:b/>
                      <w:bCs/>
                      <w:color w:val="auto"/>
                      <w:sz w:val="21"/>
                      <w:szCs w:val="21"/>
                    </w:rPr>
                  </w:pPr>
                  <w:r>
                    <w:rPr>
                      <w:rFonts w:hint="eastAsia"/>
                      <w:b/>
                      <w:bCs/>
                      <w:color w:val="auto"/>
                      <w:sz w:val="21"/>
                      <w:szCs w:val="21"/>
                    </w:rPr>
                    <w:t>排气筒编号</w:t>
                  </w:r>
                </w:p>
              </w:tc>
              <w:tc>
                <w:tcPr>
                  <w:tcW w:w="1974" w:type="dxa"/>
                  <w:vAlign w:val="center"/>
                </w:tcPr>
                <w:p>
                  <w:pPr>
                    <w:pStyle w:val="29"/>
                    <w:spacing w:line="240" w:lineRule="auto"/>
                    <w:ind w:firstLine="0" w:firstLineChars="0"/>
                    <w:jc w:val="center"/>
                    <w:rPr>
                      <w:b/>
                      <w:bCs/>
                      <w:color w:val="auto"/>
                      <w:sz w:val="21"/>
                      <w:szCs w:val="21"/>
                    </w:rPr>
                  </w:pPr>
                  <w:r>
                    <w:rPr>
                      <w:rFonts w:hint="eastAsia"/>
                      <w:b/>
                      <w:bCs/>
                      <w:color w:val="auto"/>
                      <w:sz w:val="21"/>
                      <w:szCs w:val="21"/>
                    </w:rPr>
                    <w:t>污染物</w:t>
                  </w:r>
                </w:p>
              </w:tc>
              <w:tc>
                <w:tcPr>
                  <w:tcW w:w="3300" w:type="dxa"/>
                  <w:vAlign w:val="center"/>
                </w:tcPr>
                <w:p>
                  <w:pPr>
                    <w:pStyle w:val="29"/>
                    <w:spacing w:line="240" w:lineRule="auto"/>
                    <w:ind w:firstLine="0" w:firstLineChars="0"/>
                    <w:jc w:val="center"/>
                    <w:rPr>
                      <w:b/>
                      <w:bCs/>
                      <w:color w:val="auto"/>
                      <w:sz w:val="21"/>
                      <w:szCs w:val="21"/>
                    </w:rPr>
                  </w:pPr>
                  <w:r>
                    <w:rPr>
                      <w:rFonts w:hint="eastAsia"/>
                      <w:b/>
                      <w:bCs/>
                      <w:color w:val="auto"/>
                      <w:sz w:val="21"/>
                      <w:szCs w:val="21"/>
                    </w:rPr>
                    <w:t>核算年排放量（t</w:t>
                  </w:r>
                  <w:r>
                    <w:rPr>
                      <w:b/>
                      <w:bCs/>
                      <w:color w:val="auto"/>
                      <w:sz w:val="21"/>
                      <w:szCs w:val="21"/>
                    </w:rPr>
                    <w:t>/a</w:t>
                  </w:r>
                  <w:r>
                    <w:rPr>
                      <w:rFonts w:hint="eastAsia"/>
                      <w:b/>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943" w:type="dxa"/>
                  <w:vMerge w:val="restart"/>
                  <w:vAlign w:val="center"/>
                </w:tcPr>
                <w:p>
                  <w:pPr>
                    <w:pStyle w:val="29"/>
                    <w:spacing w:line="240" w:lineRule="auto"/>
                    <w:ind w:firstLine="0" w:firstLineChars="0"/>
                    <w:jc w:val="center"/>
                    <w:rPr>
                      <w:color w:val="auto"/>
                      <w:sz w:val="21"/>
                      <w:szCs w:val="21"/>
                    </w:rPr>
                  </w:pPr>
                  <w:r>
                    <w:rPr>
                      <w:rFonts w:hint="eastAsia"/>
                      <w:color w:val="auto"/>
                      <w:sz w:val="21"/>
                      <w:szCs w:val="21"/>
                    </w:rPr>
                    <w:t>D</w:t>
                  </w:r>
                  <w:r>
                    <w:rPr>
                      <w:color w:val="auto"/>
                      <w:sz w:val="21"/>
                      <w:szCs w:val="21"/>
                    </w:rPr>
                    <w:t>A004</w:t>
                  </w:r>
                </w:p>
              </w:tc>
              <w:tc>
                <w:tcPr>
                  <w:tcW w:w="1974" w:type="dxa"/>
                  <w:vAlign w:val="center"/>
                </w:tcPr>
                <w:p>
                  <w:pPr>
                    <w:pStyle w:val="29"/>
                    <w:spacing w:line="240" w:lineRule="auto"/>
                    <w:ind w:firstLine="0" w:firstLineChars="0"/>
                    <w:jc w:val="center"/>
                    <w:rPr>
                      <w:color w:val="auto"/>
                      <w:sz w:val="21"/>
                      <w:szCs w:val="21"/>
                    </w:rPr>
                  </w:pPr>
                  <w:r>
                    <w:rPr>
                      <w:rFonts w:hint="eastAsia"/>
                      <w:color w:val="auto"/>
                      <w:sz w:val="21"/>
                      <w:szCs w:val="21"/>
                    </w:rPr>
                    <w:t>废气量</w:t>
                  </w:r>
                </w:p>
              </w:tc>
              <w:tc>
                <w:tcPr>
                  <w:tcW w:w="3300" w:type="dxa"/>
                  <w:vAlign w:val="center"/>
                </w:tcPr>
                <w:p>
                  <w:pPr>
                    <w:pStyle w:val="29"/>
                    <w:spacing w:line="240" w:lineRule="auto"/>
                    <w:ind w:firstLine="0" w:firstLineChars="0"/>
                    <w:jc w:val="center"/>
                    <w:rPr>
                      <w:color w:val="auto"/>
                      <w:sz w:val="21"/>
                      <w:szCs w:val="21"/>
                    </w:rPr>
                  </w:pPr>
                  <w:r>
                    <w:rPr>
                      <w:color w:val="auto"/>
                      <w:sz w:val="21"/>
                      <w:szCs w:val="21"/>
                    </w:rPr>
                    <w:t>136699.2</w:t>
                  </w:r>
                  <w:r>
                    <w:rPr>
                      <w:rFonts w:hint="eastAsia"/>
                      <w:color w:val="auto"/>
                      <w:sz w:val="21"/>
                      <w:szCs w:val="21"/>
                    </w:rPr>
                    <w:t>万m</w:t>
                  </w:r>
                  <w:r>
                    <w:rPr>
                      <w:color w:val="auto"/>
                      <w:sz w:val="21"/>
                      <w:szCs w:val="21"/>
                      <w:vertAlign w:val="superscript"/>
                    </w:rPr>
                    <w:t>3</w:t>
                  </w:r>
                  <w:r>
                    <w:rPr>
                      <w:color w:val="auto"/>
                      <w:sz w:val="21"/>
                      <w:szCs w:val="21"/>
                    </w:rPr>
                    <w:t>/a</w:t>
                  </w:r>
                  <w:r>
                    <w:rPr>
                      <w:rFonts w:hint="eastAsia"/>
                      <w:color w:val="auto"/>
                      <w:sz w:val="21"/>
                      <w:szCs w:val="21"/>
                    </w:rPr>
                    <w:t>（</w:t>
                  </w:r>
                  <w:r>
                    <w:rPr>
                      <w:color w:val="auto"/>
                      <w:sz w:val="21"/>
                      <w:szCs w:val="21"/>
                    </w:rPr>
                    <w:t>189860m</w:t>
                  </w:r>
                  <w:r>
                    <w:rPr>
                      <w:color w:val="auto"/>
                      <w:sz w:val="21"/>
                      <w:szCs w:val="21"/>
                      <w:vertAlign w:val="superscript"/>
                    </w:rPr>
                    <w:t>3</w:t>
                  </w:r>
                  <w:r>
                    <w:rPr>
                      <w:rFonts w:hint="eastAsia"/>
                      <w:color w:val="auto"/>
                      <w:sz w:val="21"/>
                      <w:szCs w:val="21"/>
                    </w:rPr>
                    <w:t>/</w:t>
                  </w:r>
                  <w:r>
                    <w:rPr>
                      <w:color w:val="auto"/>
                      <w:sz w:val="21"/>
                      <w:szCs w:val="21"/>
                    </w:rPr>
                    <w:t>h</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1943" w:type="dxa"/>
                  <w:vMerge w:val="continue"/>
                  <w:vAlign w:val="center"/>
                </w:tcPr>
                <w:p>
                  <w:pPr>
                    <w:pStyle w:val="29"/>
                    <w:spacing w:line="240" w:lineRule="auto"/>
                    <w:ind w:firstLine="0" w:firstLineChars="0"/>
                    <w:jc w:val="center"/>
                    <w:rPr>
                      <w:color w:val="auto"/>
                      <w:sz w:val="21"/>
                      <w:szCs w:val="21"/>
                    </w:rPr>
                  </w:pPr>
                </w:p>
              </w:tc>
              <w:tc>
                <w:tcPr>
                  <w:tcW w:w="1974" w:type="dxa"/>
                  <w:vAlign w:val="center"/>
                </w:tcPr>
                <w:p>
                  <w:pPr>
                    <w:pStyle w:val="29"/>
                    <w:spacing w:line="240" w:lineRule="auto"/>
                    <w:ind w:firstLine="0" w:firstLineChars="0"/>
                    <w:jc w:val="center"/>
                    <w:rPr>
                      <w:color w:val="auto"/>
                      <w:sz w:val="21"/>
                      <w:szCs w:val="21"/>
                    </w:rPr>
                  </w:pPr>
                  <w:r>
                    <w:rPr>
                      <w:rFonts w:hint="eastAsia"/>
                      <w:color w:val="auto"/>
                      <w:sz w:val="21"/>
                      <w:szCs w:val="21"/>
                    </w:rPr>
                    <w:t>S</w:t>
                  </w:r>
                  <w:r>
                    <w:rPr>
                      <w:color w:val="auto"/>
                      <w:sz w:val="21"/>
                      <w:szCs w:val="21"/>
                    </w:rPr>
                    <w:t>O</w:t>
                  </w:r>
                  <w:r>
                    <w:rPr>
                      <w:color w:val="auto"/>
                      <w:sz w:val="21"/>
                      <w:szCs w:val="21"/>
                      <w:vertAlign w:val="subscript"/>
                    </w:rPr>
                    <w:t>2</w:t>
                  </w:r>
                </w:p>
              </w:tc>
              <w:tc>
                <w:tcPr>
                  <w:tcW w:w="3300" w:type="dxa"/>
                  <w:vAlign w:val="center"/>
                </w:tcPr>
                <w:p>
                  <w:pPr>
                    <w:pStyle w:val="29"/>
                    <w:spacing w:line="240" w:lineRule="auto"/>
                    <w:ind w:firstLine="0" w:firstLineChars="0"/>
                    <w:jc w:val="center"/>
                    <w:rPr>
                      <w:color w:val="auto"/>
                      <w:sz w:val="21"/>
                      <w:szCs w:val="21"/>
                    </w:rPr>
                  </w:pPr>
                  <w:r>
                    <w:rPr>
                      <w:color w:val="auto"/>
                      <w:sz w:val="21"/>
                      <w:szCs w:val="21"/>
                    </w:rPr>
                    <w:t>54.456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943" w:type="dxa"/>
                  <w:vMerge w:val="continue"/>
                  <w:vAlign w:val="center"/>
                </w:tcPr>
                <w:p>
                  <w:pPr>
                    <w:pStyle w:val="29"/>
                    <w:spacing w:line="240" w:lineRule="auto"/>
                    <w:ind w:firstLine="0" w:firstLineChars="0"/>
                    <w:jc w:val="center"/>
                    <w:rPr>
                      <w:color w:val="auto"/>
                      <w:sz w:val="21"/>
                      <w:szCs w:val="21"/>
                    </w:rPr>
                  </w:pPr>
                </w:p>
              </w:tc>
              <w:tc>
                <w:tcPr>
                  <w:tcW w:w="1974" w:type="dxa"/>
                  <w:vAlign w:val="center"/>
                </w:tcPr>
                <w:p>
                  <w:pPr>
                    <w:pStyle w:val="29"/>
                    <w:spacing w:line="240" w:lineRule="auto"/>
                    <w:ind w:firstLine="0" w:firstLineChars="0"/>
                    <w:jc w:val="center"/>
                    <w:rPr>
                      <w:color w:val="auto"/>
                      <w:sz w:val="21"/>
                      <w:szCs w:val="21"/>
                    </w:rPr>
                  </w:pPr>
                  <w:r>
                    <w:rPr>
                      <w:rFonts w:hint="eastAsia"/>
                      <w:color w:val="auto"/>
                      <w:sz w:val="21"/>
                      <w:szCs w:val="21"/>
                    </w:rPr>
                    <w:t>N</w:t>
                  </w:r>
                  <w:r>
                    <w:rPr>
                      <w:color w:val="auto"/>
                      <w:sz w:val="21"/>
                      <w:szCs w:val="21"/>
                    </w:rPr>
                    <w:t>Ox</w:t>
                  </w:r>
                </w:p>
              </w:tc>
              <w:tc>
                <w:tcPr>
                  <w:tcW w:w="3300" w:type="dxa"/>
                  <w:vAlign w:val="center"/>
                </w:tcPr>
                <w:p>
                  <w:pPr>
                    <w:pStyle w:val="29"/>
                    <w:spacing w:line="240" w:lineRule="auto"/>
                    <w:ind w:firstLine="0" w:firstLineChars="0"/>
                    <w:jc w:val="center"/>
                    <w:rPr>
                      <w:color w:val="auto"/>
                      <w:sz w:val="21"/>
                      <w:szCs w:val="21"/>
                    </w:rPr>
                  </w:pPr>
                  <w:r>
                    <w:rPr>
                      <w:color w:val="auto"/>
                      <w:sz w:val="21"/>
                      <w:szCs w:val="21"/>
                    </w:rPr>
                    <w:t>37.574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943" w:type="dxa"/>
                  <w:vMerge w:val="continue"/>
                  <w:vAlign w:val="center"/>
                </w:tcPr>
                <w:p>
                  <w:pPr>
                    <w:pStyle w:val="29"/>
                    <w:spacing w:line="240" w:lineRule="auto"/>
                    <w:ind w:firstLine="0" w:firstLineChars="0"/>
                    <w:jc w:val="center"/>
                    <w:rPr>
                      <w:color w:val="auto"/>
                      <w:sz w:val="21"/>
                      <w:szCs w:val="21"/>
                    </w:rPr>
                  </w:pPr>
                </w:p>
              </w:tc>
              <w:tc>
                <w:tcPr>
                  <w:tcW w:w="1974" w:type="dxa"/>
                  <w:vAlign w:val="center"/>
                </w:tcPr>
                <w:p>
                  <w:pPr>
                    <w:pStyle w:val="29"/>
                    <w:spacing w:line="240" w:lineRule="auto"/>
                    <w:ind w:firstLine="0" w:firstLineChars="0"/>
                    <w:jc w:val="center"/>
                    <w:rPr>
                      <w:color w:val="auto"/>
                      <w:sz w:val="21"/>
                      <w:szCs w:val="21"/>
                    </w:rPr>
                  </w:pPr>
                  <w:r>
                    <w:rPr>
                      <w:rFonts w:hint="eastAsia"/>
                      <w:color w:val="auto"/>
                      <w:sz w:val="21"/>
                      <w:szCs w:val="21"/>
                    </w:rPr>
                    <w:t>颗粒物</w:t>
                  </w:r>
                </w:p>
              </w:tc>
              <w:tc>
                <w:tcPr>
                  <w:tcW w:w="3300" w:type="dxa"/>
                  <w:vAlign w:val="center"/>
                </w:tcPr>
                <w:p>
                  <w:pPr>
                    <w:pStyle w:val="29"/>
                    <w:spacing w:line="240" w:lineRule="auto"/>
                    <w:ind w:firstLine="0" w:firstLineChars="0"/>
                    <w:jc w:val="center"/>
                    <w:rPr>
                      <w:color w:val="auto"/>
                      <w:sz w:val="21"/>
                      <w:szCs w:val="21"/>
                    </w:rPr>
                  </w:pPr>
                  <w:r>
                    <w:rPr>
                      <w:color w:val="auto"/>
                      <w:sz w:val="21"/>
                      <w:szCs w:val="21"/>
                    </w:rPr>
                    <w:t>59.979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943" w:type="dxa"/>
                  <w:vMerge w:val="continue"/>
                  <w:vAlign w:val="center"/>
                </w:tcPr>
                <w:p>
                  <w:pPr>
                    <w:pStyle w:val="29"/>
                    <w:spacing w:line="240" w:lineRule="auto"/>
                    <w:ind w:firstLine="0" w:firstLineChars="0"/>
                    <w:jc w:val="center"/>
                    <w:rPr>
                      <w:color w:val="auto"/>
                      <w:sz w:val="21"/>
                      <w:szCs w:val="21"/>
                    </w:rPr>
                  </w:pPr>
                </w:p>
              </w:tc>
              <w:tc>
                <w:tcPr>
                  <w:tcW w:w="1974" w:type="dxa"/>
                  <w:vAlign w:val="center"/>
                </w:tcPr>
                <w:p>
                  <w:pPr>
                    <w:pStyle w:val="29"/>
                    <w:spacing w:line="240" w:lineRule="auto"/>
                    <w:ind w:firstLine="0" w:firstLineChars="0"/>
                    <w:jc w:val="center"/>
                    <w:rPr>
                      <w:color w:val="auto"/>
                      <w:sz w:val="21"/>
                      <w:szCs w:val="21"/>
                    </w:rPr>
                  </w:pPr>
                  <w:r>
                    <w:rPr>
                      <w:rFonts w:hint="eastAsia"/>
                      <w:color w:val="auto"/>
                      <w:sz w:val="21"/>
                      <w:szCs w:val="21"/>
                    </w:rPr>
                    <w:t>氟化物</w:t>
                  </w:r>
                </w:p>
              </w:tc>
              <w:tc>
                <w:tcPr>
                  <w:tcW w:w="3300" w:type="dxa"/>
                  <w:vAlign w:val="center"/>
                </w:tcPr>
                <w:p>
                  <w:pPr>
                    <w:pStyle w:val="29"/>
                    <w:spacing w:line="240" w:lineRule="auto"/>
                    <w:ind w:firstLine="0" w:firstLineChars="0"/>
                    <w:jc w:val="center"/>
                    <w:rPr>
                      <w:color w:val="auto"/>
                      <w:sz w:val="21"/>
                      <w:szCs w:val="21"/>
                    </w:rPr>
                  </w:pPr>
                  <w:r>
                    <w:rPr>
                      <w:rFonts w:hint="eastAsia"/>
                      <w:color w:val="auto"/>
                      <w:sz w:val="21"/>
                      <w:szCs w:val="21"/>
                    </w:rPr>
                    <w:t>1</w:t>
                  </w:r>
                  <w:r>
                    <w:rPr>
                      <w:color w:val="auto"/>
                      <w:sz w:val="21"/>
                      <w:szCs w:val="21"/>
                    </w:rPr>
                    <w:t>.008</w:t>
                  </w:r>
                </w:p>
              </w:tc>
            </w:tr>
          </w:tbl>
          <w:p>
            <w:pPr>
              <w:pStyle w:val="29"/>
              <w:ind w:firstLine="480"/>
              <w:rPr>
                <w:rFonts w:cs="宋体"/>
                <w:bCs/>
                <w:color w:val="auto"/>
                <w:spacing w:val="-10"/>
                <w:kern w:val="0"/>
                <w:szCs w:val="21"/>
              </w:rPr>
            </w:pPr>
            <w:r>
              <w:rPr>
                <w:color w:val="auto"/>
              </w:rPr>
              <w:t>由上表可知，本项目产生的有组织</w:t>
            </w:r>
            <w:r>
              <w:rPr>
                <w:rFonts w:hint="eastAsia"/>
                <w:color w:val="auto"/>
              </w:rPr>
              <w:t>二氧化硫、颗粒物、氮氧化物、氟化物</w:t>
            </w:r>
            <w:r>
              <w:rPr>
                <w:color w:val="auto"/>
              </w:rPr>
              <w:t>均能达到《大气污染物综合排放标准》（GB16297-1996）标准值，</w:t>
            </w:r>
            <w:r>
              <w:rPr>
                <w:rFonts w:cs="宋体"/>
                <w:bCs/>
                <w:color w:val="auto"/>
                <w:spacing w:val="-10"/>
                <w:kern w:val="0"/>
                <w:szCs w:val="21"/>
              </w:rPr>
              <w:t>因此对周边环境影响较小。</w:t>
            </w:r>
          </w:p>
          <w:p>
            <w:pPr>
              <w:pStyle w:val="29"/>
              <w:numPr>
                <w:ilvl w:val="0"/>
                <w:numId w:val="3"/>
              </w:numPr>
              <w:ind w:firstLineChars="0"/>
              <w:rPr>
                <w:rFonts w:cs="宋体"/>
                <w:b/>
                <w:bCs/>
                <w:color w:val="auto"/>
                <w:kern w:val="0"/>
              </w:rPr>
            </w:pPr>
            <w:r>
              <w:rPr>
                <w:rFonts w:hint="eastAsia" w:cs="宋体"/>
                <w:b/>
                <w:bCs/>
                <w:color w:val="auto"/>
                <w:kern w:val="0"/>
              </w:rPr>
              <w:t>三本账</w:t>
            </w:r>
          </w:p>
          <w:p>
            <w:pPr>
              <w:pStyle w:val="29"/>
              <w:ind w:firstLine="480"/>
              <w:rPr>
                <w:color w:val="auto"/>
              </w:rPr>
            </w:pPr>
            <w:r>
              <w:rPr>
                <w:rFonts w:hint="eastAsia"/>
                <w:color w:val="auto"/>
              </w:rPr>
              <w:t>项目技改前，装置废气污染物排放情况。</w:t>
            </w:r>
          </w:p>
          <w:p>
            <w:pPr>
              <w:pStyle w:val="29"/>
              <w:ind w:firstLine="480"/>
              <w:rPr>
                <w:color w:val="auto"/>
              </w:rPr>
            </w:pPr>
            <w:r>
              <w:rPr>
                <w:rFonts w:hint="eastAsia"/>
                <w:color w:val="auto"/>
              </w:rPr>
              <w:t>技改前，1</w:t>
            </w:r>
            <w:r>
              <w:rPr>
                <w:color w:val="auto"/>
              </w:rPr>
              <w:t>0+15</w:t>
            </w:r>
            <w:r>
              <w:rPr>
                <w:rFonts w:hint="eastAsia"/>
                <w:color w:val="auto"/>
              </w:rPr>
              <w:t>万吨/年饲钙装置干燥+含氟尾气排口的混合废气，排气筒高度4</w:t>
            </w:r>
            <w:r>
              <w:rPr>
                <w:color w:val="auto"/>
              </w:rPr>
              <w:t>0</w:t>
            </w:r>
            <w:r>
              <w:rPr>
                <w:rFonts w:hint="eastAsia"/>
                <w:color w:val="auto"/>
              </w:rPr>
              <w:t>m，内径1</w:t>
            </w:r>
            <w:r>
              <w:rPr>
                <w:color w:val="auto"/>
              </w:rPr>
              <w:t>.8m</w:t>
            </w:r>
            <w:r>
              <w:rPr>
                <w:rFonts w:hint="eastAsia"/>
                <w:color w:val="auto"/>
              </w:rPr>
              <w:t>。排气筒污染物排放情况：废气量：</w:t>
            </w:r>
            <w:r>
              <w:rPr>
                <w:color w:val="auto"/>
              </w:rPr>
              <w:t>189860</w:t>
            </w:r>
            <w:r>
              <w:rPr>
                <w:color w:val="auto"/>
                <w:sz w:val="21"/>
                <w:szCs w:val="21"/>
              </w:rPr>
              <w:t xml:space="preserve"> </w:t>
            </w:r>
            <w:r>
              <w:rPr>
                <w:color w:val="auto"/>
              </w:rPr>
              <w:t>m</w:t>
            </w:r>
            <w:r>
              <w:rPr>
                <w:color w:val="auto"/>
                <w:vertAlign w:val="superscript"/>
              </w:rPr>
              <w:t>3</w:t>
            </w:r>
            <w:r>
              <w:rPr>
                <w:rFonts w:hint="eastAsia"/>
                <w:color w:val="auto"/>
              </w:rPr>
              <w:t>/</w:t>
            </w:r>
            <w:r>
              <w:rPr>
                <w:color w:val="auto"/>
              </w:rPr>
              <w:t>h</w:t>
            </w:r>
            <w:r>
              <w:rPr>
                <w:rFonts w:hint="eastAsia"/>
                <w:color w:val="auto"/>
              </w:rPr>
              <w:t>；二氧化硫：</w:t>
            </w:r>
            <w:r>
              <w:rPr>
                <w:color w:val="auto"/>
              </w:rPr>
              <w:t>56.179t</w:t>
            </w:r>
            <w:r>
              <w:rPr>
                <w:rFonts w:hint="eastAsia"/>
                <w:color w:val="auto"/>
              </w:rPr>
              <w:t>/</w:t>
            </w:r>
            <w:r>
              <w:rPr>
                <w:color w:val="auto"/>
              </w:rPr>
              <w:t>a</w:t>
            </w:r>
            <w:r>
              <w:rPr>
                <w:rFonts w:hint="eastAsia"/>
                <w:color w:val="auto"/>
              </w:rPr>
              <w:t>；氮氧化物：</w:t>
            </w:r>
            <w:r>
              <w:rPr>
                <w:color w:val="auto"/>
              </w:rPr>
              <w:t>37.205t</w:t>
            </w:r>
            <w:r>
              <w:rPr>
                <w:rFonts w:hint="eastAsia"/>
                <w:color w:val="auto"/>
              </w:rPr>
              <w:t>/</w:t>
            </w:r>
            <w:r>
              <w:rPr>
                <w:color w:val="auto"/>
              </w:rPr>
              <w:t>a</w:t>
            </w:r>
            <w:r>
              <w:rPr>
                <w:rFonts w:hint="eastAsia"/>
                <w:color w:val="auto"/>
              </w:rPr>
              <w:t>；颗粒物：</w:t>
            </w:r>
            <w:r>
              <w:rPr>
                <w:color w:val="auto"/>
              </w:rPr>
              <w:t>60.678t</w:t>
            </w:r>
            <w:r>
              <w:rPr>
                <w:rFonts w:hint="eastAsia"/>
                <w:color w:val="auto"/>
              </w:rPr>
              <w:t>/</w:t>
            </w:r>
            <w:r>
              <w:rPr>
                <w:color w:val="auto"/>
              </w:rPr>
              <w:t>a</w:t>
            </w:r>
            <w:r>
              <w:rPr>
                <w:rFonts w:hint="eastAsia"/>
                <w:color w:val="auto"/>
              </w:rPr>
              <w:t>；氟化物：</w:t>
            </w:r>
            <w:r>
              <w:rPr>
                <w:color w:val="auto"/>
              </w:rPr>
              <w:t>1.008t</w:t>
            </w:r>
            <w:r>
              <w:rPr>
                <w:rFonts w:hint="eastAsia"/>
                <w:color w:val="auto"/>
              </w:rPr>
              <w:t>/</w:t>
            </w:r>
            <w:r>
              <w:rPr>
                <w:color w:val="auto"/>
              </w:rPr>
              <w:t>a</w:t>
            </w:r>
            <w:r>
              <w:rPr>
                <w:rFonts w:hint="eastAsia"/>
                <w:color w:val="auto"/>
              </w:rPr>
              <w:t>。</w:t>
            </w:r>
          </w:p>
          <w:p>
            <w:pPr>
              <w:pStyle w:val="29"/>
              <w:ind w:firstLine="480"/>
              <w:rPr>
                <w:rFonts w:cs="宋体"/>
                <w:bCs/>
                <w:color w:val="auto"/>
                <w:spacing w:val="-10"/>
                <w:kern w:val="0"/>
                <w:szCs w:val="21"/>
              </w:rPr>
            </w:pPr>
            <w:r>
              <w:rPr>
                <w:rFonts w:hint="eastAsia"/>
                <w:color w:val="auto"/>
              </w:rPr>
              <w:t>项目技改前后废气排放情况详见表</w:t>
            </w:r>
            <w:r>
              <w:rPr>
                <w:color w:val="auto"/>
              </w:rPr>
              <w:t>4-6</w:t>
            </w:r>
            <w:r>
              <w:rPr>
                <w:rFonts w:cs="宋体"/>
                <w:bCs/>
                <w:color w:val="auto"/>
                <w:spacing w:val="-10"/>
                <w:kern w:val="0"/>
                <w:szCs w:val="21"/>
              </w:rPr>
              <w:t>。</w:t>
            </w:r>
          </w:p>
          <w:p>
            <w:pPr>
              <w:adjustRightInd w:val="0"/>
              <w:spacing w:line="360" w:lineRule="auto"/>
              <w:ind w:firstLine="422" w:firstLineChars="200"/>
              <w:jc w:val="center"/>
              <w:outlineLvl w:val="0"/>
              <w:rPr>
                <w:b/>
              </w:rPr>
            </w:pPr>
            <w:r>
              <w:rPr>
                <w:rFonts w:hint="eastAsia"/>
                <w:b/>
              </w:rPr>
              <w:t>表4</w:t>
            </w:r>
            <w:r>
              <w:rPr>
                <w:b/>
              </w:rPr>
              <w:t xml:space="preserve">-6   </w:t>
            </w:r>
            <w:r>
              <w:rPr>
                <w:rFonts w:hint="eastAsia"/>
                <w:b/>
              </w:rPr>
              <w:t xml:space="preserve">技改前后三本账 </w:t>
            </w:r>
            <w:r>
              <w:rPr>
                <w:b/>
              </w:rPr>
              <w:t xml:space="preserve">  </w:t>
            </w:r>
            <w:r>
              <w:rPr>
                <w:rFonts w:hint="eastAsia"/>
                <w:b/>
              </w:rPr>
              <w:t>单位：t</w:t>
            </w:r>
            <w:r>
              <w:rPr>
                <w:b/>
              </w:rPr>
              <w:t>/a</w:t>
            </w:r>
          </w:p>
          <w:tbl>
            <w:tblPr>
              <w:tblStyle w:val="23"/>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2085"/>
              <w:gridCol w:w="2085"/>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5" w:type="dxa"/>
                  <w:vAlign w:val="center"/>
                </w:tcPr>
                <w:p>
                  <w:pPr>
                    <w:pStyle w:val="29"/>
                    <w:spacing w:line="240" w:lineRule="auto"/>
                    <w:ind w:firstLine="0" w:firstLineChars="0"/>
                    <w:jc w:val="center"/>
                    <w:rPr>
                      <w:b/>
                      <w:bCs/>
                      <w:color w:val="auto"/>
                      <w:sz w:val="21"/>
                      <w:szCs w:val="21"/>
                    </w:rPr>
                  </w:pPr>
                  <w:r>
                    <w:rPr>
                      <w:rFonts w:hint="eastAsia"/>
                      <w:b/>
                      <w:bCs/>
                      <w:color w:val="auto"/>
                      <w:sz w:val="21"/>
                      <w:szCs w:val="21"/>
                    </w:rPr>
                    <w:t>污染物</w:t>
                  </w:r>
                </w:p>
              </w:tc>
              <w:tc>
                <w:tcPr>
                  <w:tcW w:w="2085" w:type="dxa"/>
                  <w:vAlign w:val="center"/>
                </w:tcPr>
                <w:p>
                  <w:pPr>
                    <w:pStyle w:val="29"/>
                    <w:spacing w:line="240" w:lineRule="auto"/>
                    <w:ind w:firstLine="0" w:firstLineChars="0"/>
                    <w:jc w:val="center"/>
                    <w:rPr>
                      <w:b/>
                      <w:bCs/>
                      <w:color w:val="auto"/>
                      <w:sz w:val="21"/>
                      <w:szCs w:val="21"/>
                    </w:rPr>
                  </w:pPr>
                  <w:r>
                    <w:rPr>
                      <w:rFonts w:hint="eastAsia"/>
                      <w:b/>
                      <w:bCs/>
                      <w:color w:val="auto"/>
                      <w:sz w:val="21"/>
                      <w:szCs w:val="21"/>
                    </w:rPr>
                    <w:t>技改前</w:t>
                  </w:r>
                </w:p>
              </w:tc>
              <w:tc>
                <w:tcPr>
                  <w:tcW w:w="2085" w:type="dxa"/>
                  <w:vAlign w:val="center"/>
                </w:tcPr>
                <w:p>
                  <w:pPr>
                    <w:pStyle w:val="29"/>
                    <w:spacing w:line="240" w:lineRule="auto"/>
                    <w:ind w:firstLine="0" w:firstLineChars="0"/>
                    <w:jc w:val="center"/>
                    <w:rPr>
                      <w:b/>
                      <w:bCs/>
                      <w:color w:val="auto"/>
                      <w:sz w:val="21"/>
                      <w:szCs w:val="21"/>
                    </w:rPr>
                  </w:pPr>
                  <w:r>
                    <w:rPr>
                      <w:rFonts w:hint="eastAsia"/>
                      <w:b/>
                      <w:bCs/>
                      <w:color w:val="auto"/>
                      <w:sz w:val="21"/>
                      <w:szCs w:val="21"/>
                    </w:rPr>
                    <w:t>技改后</w:t>
                  </w:r>
                </w:p>
              </w:tc>
              <w:tc>
                <w:tcPr>
                  <w:tcW w:w="2085" w:type="dxa"/>
                  <w:vAlign w:val="center"/>
                </w:tcPr>
                <w:p>
                  <w:pPr>
                    <w:pStyle w:val="29"/>
                    <w:spacing w:line="240" w:lineRule="auto"/>
                    <w:ind w:firstLine="0" w:firstLineChars="0"/>
                    <w:jc w:val="center"/>
                    <w:rPr>
                      <w:b/>
                      <w:bCs/>
                      <w:color w:val="auto"/>
                      <w:sz w:val="21"/>
                      <w:szCs w:val="21"/>
                    </w:rPr>
                  </w:pPr>
                  <w:r>
                    <w:rPr>
                      <w:rFonts w:hint="eastAsia"/>
                      <w:b/>
                      <w:bCs/>
                      <w:color w:val="auto"/>
                      <w:sz w:val="21"/>
                      <w:szCs w:val="21"/>
                    </w:rPr>
                    <w:t>削减量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5" w:type="dxa"/>
                  <w:vAlign w:val="center"/>
                </w:tcPr>
                <w:p>
                  <w:pPr>
                    <w:pStyle w:val="29"/>
                    <w:spacing w:line="240" w:lineRule="auto"/>
                    <w:ind w:firstLine="0" w:firstLineChars="0"/>
                    <w:jc w:val="center"/>
                    <w:rPr>
                      <w:color w:val="auto"/>
                      <w:sz w:val="21"/>
                      <w:szCs w:val="21"/>
                    </w:rPr>
                  </w:pPr>
                  <w:r>
                    <w:rPr>
                      <w:rFonts w:hint="eastAsia"/>
                      <w:color w:val="auto"/>
                      <w:sz w:val="21"/>
                      <w:szCs w:val="21"/>
                    </w:rPr>
                    <w:t>S</w:t>
                  </w:r>
                  <w:r>
                    <w:rPr>
                      <w:color w:val="auto"/>
                      <w:sz w:val="21"/>
                      <w:szCs w:val="21"/>
                    </w:rPr>
                    <w:t>O</w:t>
                  </w:r>
                  <w:r>
                    <w:rPr>
                      <w:color w:val="auto"/>
                      <w:sz w:val="21"/>
                      <w:szCs w:val="21"/>
                      <w:vertAlign w:val="subscript"/>
                    </w:rPr>
                    <w:t>2</w:t>
                  </w:r>
                </w:p>
              </w:tc>
              <w:tc>
                <w:tcPr>
                  <w:tcW w:w="2085" w:type="dxa"/>
                  <w:vAlign w:val="center"/>
                </w:tcPr>
                <w:p>
                  <w:pPr>
                    <w:pStyle w:val="29"/>
                    <w:spacing w:line="240" w:lineRule="auto"/>
                    <w:ind w:firstLine="0" w:firstLineChars="0"/>
                    <w:jc w:val="center"/>
                    <w:rPr>
                      <w:color w:val="auto"/>
                      <w:sz w:val="21"/>
                      <w:szCs w:val="21"/>
                    </w:rPr>
                  </w:pPr>
                  <w:r>
                    <w:rPr>
                      <w:rFonts w:hint="eastAsia"/>
                      <w:color w:val="auto"/>
                      <w:sz w:val="21"/>
                      <w:szCs w:val="21"/>
                    </w:rPr>
                    <w:t>5</w:t>
                  </w:r>
                  <w:r>
                    <w:rPr>
                      <w:color w:val="auto"/>
                      <w:sz w:val="21"/>
                      <w:szCs w:val="21"/>
                    </w:rPr>
                    <w:t>6.179</w:t>
                  </w:r>
                </w:p>
              </w:tc>
              <w:tc>
                <w:tcPr>
                  <w:tcW w:w="2085" w:type="dxa"/>
                  <w:vAlign w:val="center"/>
                </w:tcPr>
                <w:p>
                  <w:pPr>
                    <w:pStyle w:val="29"/>
                    <w:spacing w:line="240" w:lineRule="auto"/>
                    <w:ind w:firstLine="0" w:firstLineChars="0"/>
                    <w:jc w:val="center"/>
                    <w:rPr>
                      <w:color w:val="auto"/>
                      <w:sz w:val="21"/>
                      <w:szCs w:val="21"/>
                    </w:rPr>
                  </w:pPr>
                  <w:r>
                    <w:rPr>
                      <w:rFonts w:hint="eastAsia"/>
                      <w:color w:val="auto"/>
                      <w:sz w:val="21"/>
                      <w:szCs w:val="21"/>
                    </w:rPr>
                    <w:t>5</w:t>
                  </w:r>
                  <w:r>
                    <w:rPr>
                      <w:color w:val="auto"/>
                      <w:sz w:val="21"/>
                      <w:szCs w:val="21"/>
                    </w:rPr>
                    <w:t>4.456</w:t>
                  </w:r>
                </w:p>
              </w:tc>
              <w:tc>
                <w:tcPr>
                  <w:tcW w:w="2085" w:type="dxa"/>
                  <w:vAlign w:val="center"/>
                </w:tcPr>
                <w:p>
                  <w:pPr>
                    <w:pStyle w:val="29"/>
                    <w:spacing w:line="240" w:lineRule="auto"/>
                    <w:ind w:firstLine="0" w:firstLineChars="0"/>
                    <w:jc w:val="center"/>
                    <w:rPr>
                      <w:color w:val="auto"/>
                      <w:sz w:val="21"/>
                      <w:szCs w:val="21"/>
                    </w:rPr>
                  </w:pPr>
                  <w:r>
                    <w:rPr>
                      <w:rFonts w:hint="eastAsia"/>
                      <w:color w:val="auto"/>
                      <w:sz w:val="21"/>
                      <w:szCs w:val="21"/>
                    </w:rPr>
                    <w:t>-</w:t>
                  </w:r>
                  <w:r>
                    <w:rPr>
                      <w:color w:val="auto"/>
                      <w:sz w:val="21"/>
                      <w:szCs w:val="21"/>
                    </w:rPr>
                    <w:t>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5" w:type="dxa"/>
                  <w:vAlign w:val="center"/>
                </w:tcPr>
                <w:p>
                  <w:pPr>
                    <w:pStyle w:val="29"/>
                    <w:spacing w:line="240" w:lineRule="auto"/>
                    <w:ind w:firstLine="0" w:firstLineChars="0"/>
                    <w:jc w:val="center"/>
                    <w:rPr>
                      <w:color w:val="auto"/>
                      <w:sz w:val="21"/>
                      <w:szCs w:val="21"/>
                    </w:rPr>
                  </w:pPr>
                  <w:r>
                    <w:rPr>
                      <w:rFonts w:hint="eastAsia"/>
                      <w:color w:val="auto"/>
                      <w:sz w:val="21"/>
                      <w:szCs w:val="21"/>
                    </w:rPr>
                    <w:t>N</w:t>
                  </w:r>
                  <w:r>
                    <w:rPr>
                      <w:color w:val="auto"/>
                      <w:sz w:val="21"/>
                      <w:szCs w:val="21"/>
                    </w:rPr>
                    <w:t>O</w:t>
                  </w:r>
                  <w:r>
                    <w:rPr>
                      <w:rFonts w:hint="eastAsia"/>
                      <w:color w:val="auto"/>
                      <w:sz w:val="21"/>
                      <w:szCs w:val="21"/>
                    </w:rPr>
                    <w:t>x</w:t>
                  </w:r>
                </w:p>
              </w:tc>
              <w:tc>
                <w:tcPr>
                  <w:tcW w:w="2085" w:type="dxa"/>
                  <w:vAlign w:val="center"/>
                </w:tcPr>
                <w:p>
                  <w:pPr>
                    <w:pStyle w:val="29"/>
                    <w:spacing w:line="240" w:lineRule="auto"/>
                    <w:ind w:firstLine="0" w:firstLineChars="0"/>
                    <w:jc w:val="center"/>
                    <w:rPr>
                      <w:color w:val="auto"/>
                      <w:sz w:val="21"/>
                      <w:szCs w:val="21"/>
                    </w:rPr>
                  </w:pPr>
                  <w:r>
                    <w:rPr>
                      <w:rFonts w:hint="eastAsia"/>
                      <w:color w:val="auto"/>
                      <w:sz w:val="21"/>
                      <w:szCs w:val="21"/>
                    </w:rPr>
                    <w:t>3</w:t>
                  </w:r>
                  <w:r>
                    <w:rPr>
                      <w:color w:val="auto"/>
                      <w:sz w:val="21"/>
                      <w:szCs w:val="21"/>
                    </w:rPr>
                    <w:t>7.205</w:t>
                  </w:r>
                </w:p>
              </w:tc>
              <w:tc>
                <w:tcPr>
                  <w:tcW w:w="2085" w:type="dxa"/>
                  <w:vAlign w:val="center"/>
                </w:tcPr>
                <w:p>
                  <w:pPr>
                    <w:pStyle w:val="29"/>
                    <w:spacing w:line="240" w:lineRule="auto"/>
                    <w:ind w:firstLine="0" w:firstLineChars="0"/>
                    <w:jc w:val="center"/>
                    <w:rPr>
                      <w:color w:val="auto"/>
                      <w:sz w:val="21"/>
                      <w:szCs w:val="21"/>
                    </w:rPr>
                  </w:pPr>
                  <w:r>
                    <w:rPr>
                      <w:rFonts w:hint="eastAsia"/>
                      <w:color w:val="auto"/>
                      <w:sz w:val="21"/>
                      <w:szCs w:val="21"/>
                    </w:rPr>
                    <w:t>3</w:t>
                  </w:r>
                  <w:r>
                    <w:rPr>
                      <w:color w:val="auto"/>
                      <w:sz w:val="21"/>
                      <w:szCs w:val="21"/>
                    </w:rPr>
                    <w:t>7.574</w:t>
                  </w:r>
                </w:p>
              </w:tc>
              <w:tc>
                <w:tcPr>
                  <w:tcW w:w="2085" w:type="dxa"/>
                  <w:vAlign w:val="center"/>
                </w:tcPr>
                <w:p>
                  <w:pPr>
                    <w:pStyle w:val="29"/>
                    <w:spacing w:line="240" w:lineRule="auto"/>
                    <w:ind w:firstLine="0" w:firstLineChars="0"/>
                    <w:jc w:val="center"/>
                    <w:rPr>
                      <w:color w:val="auto"/>
                      <w:sz w:val="21"/>
                      <w:szCs w:val="21"/>
                    </w:rPr>
                  </w:pPr>
                  <w:r>
                    <w:rPr>
                      <w:rFonts w:hint="eastAsia"/>
                      <w:color w:val="auto"/>
                      <w:sz w:val="21"/>
                      <w:szCs w:val="21"/>
                    </w:rPr>
                    <w:t>+</w:t>
                  </w:r>
                  <w:r>
                    <w:rPr>
                      <w:color w:val="auto"/>
                      <w:sz w:val="21"/>
                      <w:szCs w:val="21"/>
                    </w:rPr>
                    <w:t>0.369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085" w:type="dxa"/>
                  <w:vAlign w:val="center"/>
                </w:tcPr>
                <w:p>
                  <w:pPr>
                    <w:pStyle w:val="29"/>
                    <w:spacing w:line="240" w:lineRule="auto"/>
                    <w:ind w:firstLine="0" w:firstLineChars="0"/>
                    <w:jc w:val="center"/>
                    <w:rPr>
                      <w:color w:val="auto"/>
                      <w:sz w:val="21"/>
                      <w:szCs w:val="21"/>
                    </w:rPr>
                  </w:pPr>
                  <w:r>
                    <w:rPr>
                      <w:rFonts w:hint="eastAsia"/>
                      <w:color w:val="auto"/>
                      <w:sz w:val="21"/>
                      <w:szCs w:val="21"/>
                    </w:rPr>
                    <w:t>颗粒物</w:t>
                  </w:r>
                </w:p>
              </w:tc>
              <w:tc>
                <w:tcPr>
                  <w:tcW w:w="2085" w:type="dxa"/>
                  <w:vAlign w:val="center"/>
                </w:tcPr>
                <w:p>
                  <w:pPr>
                    <w:pStyle w:val="29"/>
                    <w:spacing w:line="240" w:lineRule="auto"/>
                    <w:ind w:firstLine="0" w:firstLineChars="0"/>
                    <w:jc w:val="center"/>
                    <w:rPr>
                      <w:color w:val="auto"/>
                      <w:sz w:val="21"/>
                      <w:szCs w:val="21"/>
                    </w:rPr>
                  </w:pPr>
                  <w:r>
                    <w:rPr>
                      <w:rFonts w:hint="eastAsia"/>
                      <w:color w:val="auto"/>
                      <w:sz w:val="21"/>
                      <w:szCs w:val="21"/>
                    </w:rPr>
                    <w:t>6</w:t>
                  </w:r>
                  <w:r>
                    <w:rPr>
                      <w:color w:val="auto"/>
                      <w:sz w:val="21"/>
                      <w:szCs w:val="21"/>
                    </w:rPr>
                    <w:t>0.678</w:t>
                  </w:r>
                </w:p>
              </w:tc>
              <w:tc>
                <w:tcPr>
                  <w:tcW w:w="2085" w:type="dxa"/>
                  <w:vAlign w:val="center"/>
                </w:tcPr>
                <w:p>
                  <w:pPr>
                    <w:pStyle w:val="29"/>
                    <w:spacing w:line="240" w:lineRule="auto"/>
                    <w:ind w:firstLine="0" w:firstLineChars="0"/>
                    <w:jc w:val="center"/>
                    <w:rPr>
                      <w:color w:val="auto"/>
                      <w:sz w:val="21"/>
                      <w:szCs w:val="21"/>
                    </w:rPr>
                  </w:pPr>
                  <w:r>
                    <w:rPr>
                      <w:rFonts w:hint="eastAsia"/>
                      <w:color w:val="auto"/>
                      <w:sz w:val="21"/>
                      <w:szCs w:val="21"/>
                    </w:rPr>
                    <w:t>5</w:t>
                  </w:r>
                  <w:r>
                    <w:rPr>
                      <w:color w:val="auto"/>
                      <w:sz w:val="21"/>
                      <w:szCs w:val="21"/>
                    </w:rPr>
                    <w:t>9.979</w:t>
                  </w:r>
                </w:p>
              </w:tc>
              <w:tc>
                <w:tcPr>
                  <w:tcW w:w="2085" w:type="dxa"/>
                  <w:vAlign w:val="center"/>
                </w:tcPr>
                <w:p>
                  <w:pPr>
                    <w:pStyle w:val="29"/>
                    <w:spacing w:line="240" w:lineRule="auto"/>
                    <w:ind w:firstLine="0" w:firstLineChars="0"/>
                    <w:jc w:val="center"/>
                    <w:rPr>
                      <w:color w:val="auto"/>
                      <w:sz w:val="21"/>
                      <w:szCs w:val="21"/>
                    </w:rPr>
                  </w:pPr>
                  <w:r>
                    <w:rPr>
                      <w:rFonts w:hint="eastAsia"/>
                      <w:color w:val="auto"/>
                      <w:sz w:val="21"/>
                      <w:szCs w:val="21"/>
                    </w:rPr>
                    <w:t>-</w:t>
                  </w:r>
                  <w:r>
                    <w:rPr>
                      <w:color w:val="auto"/>
                      <w:sz w:val="21"/>
                      <w:szCs w:val="21"/>
                    </w:rPr>
                    <w:t>0.699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085" w:type="dxa"/>
                  <w:vAlign w:val="center"/>
                </w:tcPr>
                <w:p>
                  <w:pPr>
                    <w:pStyle w:val="29"/>
                    <w:spacing w:line="240" w:lineRule="auto"/>
                    <w:ind w:firstLine="0" w:firstLineChars="0"/>
                    <w:jc w:val="center"/>
                    <w:rPr>
                      <w:color w:val="auto"/>
                      <w:sz w:val="21"/>
                      <w:szCs w:val="21"/>
                    </w:rPr>
                  </w:pPr>
                  <w:r>
                    <w:rPr>
                      <w:rFonts w:hint="eastAsia"/>
                      <w:color w:val="auto"/>
                      <w:sz w:val="21"/>
                      <w:szCs w:val="21"/>
                    </w:rPr>
                    <w:t>氟化物</w:t>
                  </w:r>
                </w:p>
              </w:tc>
              <w:tc>
                <w:tcPr>
                  <w:tcW w:w="2085" w:type="dxa"/>
                  <w:vAlign w:val="center"/>
                </w:tcPr>
                <w:p>
                  <w:pPr>
                    <w:pStyle w:val="29"/>
                    <w:spacing w:line="240" w:lineRule="auto"/>
                    <w:ind w:firstLine="0" w:firstLineChars="0"/>
                    <w:jc w:val="center"/>
                    <w:rPr>
                      <w:color w:val="auto"/>
                      <w:sz w:val="21"/>
                      <w:szCs w:val="21"/>
                    </w:rPr>
                  </w:pPr>
                  <w:r>
                    <w:rPr>
                      <w:rFonts w:hint="eastAsia"/>
                      <w:color w:val="auto"/>
                      <w:sz w:val="21"/>
                      <w:szCs w:val="21"/>
                    </w:rPr>
                    <w:t>1.008</w:t>
                  </w:r>
                </w:p>
              </w:tc>
              <w:tc>
                <w:tcPr>
                  <w:tcW w:w="2085" w:type="dxa"/>
                  <w:vAlign w:val="center"/>
                </w:tcPr>
                <w:p>
                  <w:pPr>
                    <w:pStyle w:val="29"/>
                    <w:spacing w:line="240" w:lineRule="auto"/>
                    <w:ind w:firstLine="0" w:firstLineChars="0"/>
                    <w:jc w:val="center"/>
                    <w:rPr>
                      <w:color w:val="auto"/>
                      <w:sz w:val="21"/>
                      <w:szCs w:val="21"/>
                    </w:rPr>
                  </w:pPr>
                  <w:r>
                    <w:rPr>
                      <w:rFonts w:hint="eastAsia"/>
                      <w:color w:val="auto"/>
                      <w:sz w:val="21"/>
                      <w:szCs w:val="21"/>
                    </w:rPr>
                    <w:t>1.008</w:t>
                  </w:r>
                </w:p>
              </w:tc>
              <w:tc>
                <w:tcPr>
                  <w:tcW w:w="2085" w:type="dxa"/>
                  <w:vAlign w:val="center"/>
                </w:tcPr>
                <w:p>
                  <w:pPr>
                    <w:pStyle w:val="29"/>
                    <w:spacing w:line="240" w:lineRule="auto"/>
                    <w:ind w:firstLine="0" w:firstLineChars="0"/>
                    <w:jc w:val="center"/>
                    <w:rPr>
                      <w:color w:val="auto"/>
                      <w:sz w:val="21"/>
                      <w:szCs w:val="21"/>
                    </w:rPr>
                  </w:pPr>
                  <w:r>
                    <w:rPr>
                      <w:rFonts w:hint="eastAsia"/>
                      <w:color w:val="auto"/>
                      <w:sz w:val="21"/>
                      <w:szCs w:val="21"/>
                    </w:rPr>
                    <w:t>0</w:t>
                  </w:r>
                </w:p>
              </w:tc>
            </w:tr>
          </w:tbl>
          <w:p>
            <w:pPr>
              <w:pStyle w:val="29"/>
              <w:numPr>
                <w:ilvl w:val="0"/>
                <w:numId w:val="3"/>
              </w:numPr>
              <w:ind w:firstLineChars="0"/>
              <w:rPr>
                <w:rFonts w:cs="宋体"/>
                <w:b/>
                <w:bCs/>
                <w:color w:val="auto"/>
                <w:kern w:val="0"/>
              </w:rPr>
            </w:pPr>
            <w:r>
              <w:rPr>
                <w:rFonts w:hint="eastAsia" w:cs="宋体"/>
                <w:b/>
                <w:bCs/>
                <w:color w:val="auto"/>
                <w:kern w:val="0"/>
              </w:rPr>
              <w:t>监测计划</w:t>
            </w:r>
          </w:p>
          <w:p>
            <w:pPr>
              <w:pStyle w:val="29"/>
              <w:ind w:firstLine="480"/>
              <w:rPr>
                <w:color w:val="auto"/>
              </w:rPr>
            </w:pPr>
            <w:r>
              <w:rPr>
                <w:rFonts w:hint="eastAsia"/>
                <w:color w:val="auto"/>
              </w:rPr>
              <w:t>项目营运期间，须定期监测各类污染物排放情况，以确保各类污染物达标，并掌握厂区周围环境质量水平和污染变化趋势。本项目在公司厂区内现有装置区内进行改建，运营期环境监测计划可以依托全厂进行监测。</w:t>
            </w:r>
          </w:p>
          <w:p>
            <w:pPr>
              <w:pStyle w:val="29"/>
              <w:ind w:firstLine="480"/>
              <w:rPr>
                <w:color w:val="auto"/>
              </w:rPr>
            </w:pPr>
            <w:r>
              <w:rPr>
                <w:rFonts w:hint="eastAsia"/>
                <w:color w:val="auto"/>
              </w:rPr>
              <w:t>根据《排污单位自行监测技术指南-总纲》（H</w:t>
            </w:r>
            <w:r>
              <w:rPr>
                <w:color w:val="auto"/>
              </w:rPr>
              <w:t>J819-2017</w:t>
            </w:r>
            <w:r>
              <w:rPr>
                <w:rFonts w:hint="eastAsia"/>
                <w:color w:val="auto"/>
              </w:rPr>
              <w:t>）的要求，</w:t>
            </w:r>
            <w:r>
              <w:rPr>
                <w:color w:val="auto"/>
              </w:rPr>
              <w:t>本项目大气环境监测计划详见表4-7</w:t>
            </w:r>
            <w:r>
              <w:rPr>
                <w:rFonts w:hint="eastAsia"/>
                <w:color w:val="auto"/>
              </w:rPr>
              <w:t>。</w:t>
            </w:r>
          </w:p>
          <w:p>
            <w:pPr>
              <w:adjustRightInd w:val="0"/>
              <w:spacing w:line="360" w:lineRule="auto"/>
              <w:ind w:firstLine="422" w:firstLineChars="200"/>
              <w:jc w:val="center"/>
              <w:outlineLvl w:val="0"/>
              <w:rPr>
                <w:b/>
              </w:rPr>
            </w:pPr>
            <w:bookmarkStart w:id="29" w:name="_Toc117775793"/>
            <w:r>
              <w:rPr>
                <w:rFonts w:hint="eastAsia"/>
                <w:b/>
              </w:rPr>
              <w:t>表4</w:t>
            </w:r>
            <w:r>
              <w:rPr>
                <w:b/>
              </w:rPr>
              <w:t>-7</w:t>
            </w:r>
            <w:r>
              <w:rPr>
                <w:rFonts w:hint="eastAsia"/>
                <w:b/>
              </w:rPr>
              <w:t xml:space="preserve">   环境监测计划一览表</w:t>
            </w:r>
            <w:bookmarkEnd w:id="29"/>
          </w:p>
          <w:tbl>
            <w:tblPr>
              <w:tblStyle w:val="23"/>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778"/>
              <w:gridCol w:w="1662"/>
              <w:gridCol w:w="1664"/>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469" w:type="dxa"/>
                  <w:vAlign w:val="center"/>
                </w:tcPr>
                <w:p>
                  <w:pPr>
                    <w:jc w:val="center"/>
                    <w:rPr>
                      <w:rFonts w:cs="宋体"/>
                      <w:b/>
                      <w:spacing w:val="-10"/>
                      <w:kern w:val="0"/>
                      <w:szCs w:val="21"/>
                    </w:rPr>
                  </w:pPr>
                  <w:r>
                    <w:rPr>
                      <w:rFonts w:hint="eastAsia" w:cs="宋体"/>
                      <w:b/>
                      <w:spacing w:val="-10"/>
                      <w:kern w:val="0"/>
                      <w:szCs w:val="21"/>
                    </w:rPr>
                    <w:t>类别</w:t>
                  </w:r>
                </w:p>
              </w:tc>
              <w:tc>
                <w:tcPr>
                  <w:tcW w:w="1778" w:type="dxa"/>
                  <w:vAlign w:val="center"/>
                </w:tcPr>
                <w:p>
                  <w:pPr>
                    <w:jc w:val="center"/>
                    <w:rPr>
                      <w:rFonts w:cs="宋体"/>
                      <w:b/>
                      <w:spacing w:val="-10"/>
                      <w:kern w:val="0"/>
                      <w:szCs w:val="21"/>
                    </w:rPr>
                  </w:pPr>
                  <w:r>
                    <w:rPr>
                      <w:rFonts w:hint="eastAsia" w:cs="宋体"/>
                      <w:b/>
                      <w:spacing w:val="-10"/>
                      <w:kern w:val="0"/>
                      <w:szCs w:val="21"/>
                    </w:rPr>
                    <w:t>监测点位</w:t>
                  </w:r>
                </w:p>
              </w:tc>
              <w:tc>
                <w:tcPr>
                  <w:tcW w:w="1662" w:type="dxa"/>
                  <w:vAlign w:val="center"/>
                </w:tcPr>
                <w:p>
                  <w:pPr>
                    <w:jc w:val="center"/>
                    <w:rPr>
                      <w:rFonts w:cs="宋体"/>
                      <w:b/>
                      <w:spacing w:val="-10"/>
                      <w:kern w:val="0"/>
                      <w:szCs w:val="21"/>
                    </w:rPr>
                  </w:pPr>
                  <w:r>
                    <w:rPr>
                      <w:rFonts w:hint="eastAsia" w:cs="宋体"/>
                      <w:b/>
                      <w:spacing w:val="-10"/>
                      <w:kern w:val="0"/>
                      <w:szCs w:val="21"/>
                    </w:rPr>
                    <w:t>监测项目</w:t>
                  </w:r>
                </w:p>
              </w:tc>
              <w:tc>
                <w:tcPr>
                  <w:tcW w:w="1664" w:type="dxa"/>
                  <w:vAlign w:val="center"/>
                </w:tcPr>
                <w:p>
                  <w:pPr>
                    <w:jc w:val="center"/>
                    <w:rPr>
                      <w:rFonts w:cs="宋体"/>
                      <w:b/>
                      <w:spacing w:val="-10"/>
                      <w:kern w:val="0"/>
                      <w:szCs w:val="21"/>
                    </w:rPr>
                  </w:pPr>
                  <w:r>
                    <w:rPr>
                      <w:rFonts w:hint="eastAsia" w:cs="宋体"/>
                      <w:b/>
                      <w:spacing w:val="-10"/>
                      <w:kern w:val="0"/>
                      <w:szCs w:val="21"/>
                    </w:rPr>
                    <w:t>自行监测频率</w:t>
                  </w:r>
                </w:p>
              </w:tc>
              <w:tc>
                <w:tcPr>
                  <w:tcW w:w="2767" w:type="dxa"/>
                  <w:vAlign w:val="center"/>
                </w:tcPr>
                <w:p>
                  <w:pPr>
                    <w:jc w:val="center"/>
                    <w:rPr>
                      <w:rFonts w:cs="宋体"/>
                      <w:b/>
                      <w:spacing w:val="-10"/>
                      <w:kern w:val="0"/>
                      <w:szCs w:val="21"/>
                    </w:rPr>
                  </w:pPr>
                  <w:r>
                    <w:rPr>
                      <w:rFonts w:hint="eastAsia" w:cs="宋体"/>
                      <w:b/>
                      <w:spacing w:val="-10"/>
                      <w:kern w:val="0"/>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469" w:type="dxa"/>
                  <w:vMerge w:val="restart"/>
                  <w:vAlign w:val="center"/>
                </w:tcPr>
                <w:p>
                  <w:pPr>
                    <w:jc w:val="center"/>
                    <w:rPr>
                      <w:rFonts w:cs="宋体"/>
                      <w:bCs/>
                      <w:spacing w:val="-10"/>
                      <w:kern w:val="0"/>
                      <w:szCs w:val="21"/>
                    </w:rPr>
                  </w:pPr>
                  <w:r>
                    <w:rPr>
                      <w:rFonts w:hint="eastAsia" w:cs="宋体"/>
                      <w:bCs/>
                      <w:spacing w:val="-10"/>
                      <w:kern w:val="0"/>
                      <w:szCs w:val="21"/>
                    </w:rPr>
                    <w:t>废气</w:t>
                  </w:r>
                </w:p>
              </w:tc>
              <w:tc>
                <w:tcPr>
                  <w:tcW w:w="1778" w:type="dxa"/>
                  <w:vMerge w:val="restart"/>
                  <w:vAlign w:val="center"/>
                </w:tcPr>
                <w:p>
                  <w:pPr>
                    <w:jc w:val="center"/>
                    <w:rPr>
                      <w:szCs w:val="21"/>
                    </w:rPr>
                  </w:pPr>
                  <w:r>
                    <w:rPr>
                      <w:szCs w:val="21"/>
                    </w:rPr>
                    <w:t>15</w:t>
                  </w:r>
                  <w:r>
                    <w:rPr>
                      <w:rFonts w:hint="eastAsia"/>
                      <w:szCs w:val="21"/>
                    </w:rPr>
                    <w:t>万吨/年饲钙装置干燥+含氟尾气排口</w:t>
                  </w:r>
                </w:p>
              </w:tc>
              <w:tc>
                <w:tcPr>
                  <w:tcW w:w="1662" w:type="dxa"/>
                  <w:tcBorders>
                    <w:bottom w:val="single" w:color="auto" w:sz="6" w:space="0"/>
                  </w:tcBorders>
                  <w:vAlign w:val="center"/>
                </w:tcPr>
                <w:p>
                  <w:pPr>
                    <w:jc w:val="center"/>
                    <w:rPr>
                      <w:rFonts w:cs="宋体"/>
                      <w:bCs/>
                      <w:spacing w:val="-10"/>
                      <w:kern w:val="0"/>
                      <w:szCs w:val="21"/>
                    </w:rPr>
                  </w:pPr>
                  <w:r>
                    <w:rPr>
                      <w:rFonts w:hint="eastAsia" w:cs="宋体"/>
                      <w:bCs/>
                      <w:spacing w:val="-10"/>
                      <w:kern w:val="0"/>
                      <w:szCs w:val="21"/>
                    </w:rPr>
                    <w:t>颗粒物</w:t>
                  </w:r>
                </w:p>
              </w:tc>
              <w:tc>
                <w:tcPr>
                  <w:tcW w:w="1664" w:type="dxa"/>
                  <w:vMerge w:val="restart"/>
                  <w:vAlign w:val="center"/>
                </w:tcPr>
                <w:p>
                  <w:pPr>
                    <w:jc w:val="center"/>
                    <w:rPr>
                      <w:rFonts w:cs="宋体"/>
                      <w:bCs/>
                      <w:spacing w:val="-10"/>
                      <w:kern w:val="0"/>
                      <w:szCs w:val="21"/>
                    </w:rPr>
                  </w:pPr>
                  <w:r>
                    <w:rPr>
                      <w:rFonts w:hint="eastAsia" w:cs="宋体"/>
                      <w:bCs/>
                      <w:spacing w:val="-10"/>
                      <w:kern w:val="0"/>
                      <w:szCs w:val="21"/>
                    </w:rPr>
                    <w:t>2次/年</w:t>
                  </w:r>
                </w:p>
              </w:tc>
              <w:tc>
                <w:tcPr>
                  <w:tcW w:w="2767" w:type="dxa"/>
                  <w:vMerge w:val="restart"/>
                  <w:vAlign w:val="center"/>
                </w:tcPr>
                <w:p>
                  <w:pPr>
                    <w:jc w:val="center"/>
                    <w:rPr>
                      <w:szCs w:val="21"/>
                    </w:rPr>
                  </w:pPr>
                  <w:r>
                    <w:rPr>
                      <w:rFonts w:hint="eastAsia"/>
                      <w:bCs/>
                      <w:szCs w:val="21"/>
                    </w:rPr>
                    <w:t>《大气污染物综合排放标准》（G</w:t>
                  </w:r>
                  <w:r>
                    <w:rPr>
                      <w:bCs/>
                      <w:szCs w:val="21"/>
                    </w:rPr>
                    <w:t>B16297-1996</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469" w:type="dxa"/>
                  <w:vMerge w:val="continue"/>
                  <w:vAlign w:val="center"/>
                </w:tcPr>
                <w:p>
                  <w:pPr>
                    <w:jc w:val="center"/>
                    <w:rPr>
                      <w:rFonts w:cs="宋体"/>
                      <w:bCs/>
                      <w:spacing w:val="-10"/>
                      <w:kern w:val="0"/>
                      <w:szCs w:val="21"/>
                    </w:rPr>
                  </w:pPr>
                </w:p>
              </w:tc>
              <w:tc>
                <w:tcPr>
                  <w:tcW w:w="1778" w:type="dxa"/>
                  <w:vMerge w:val="continue"/>
                  <w:vAlign w:val="center"/>
                </w:tcPr>
                <w:p>
                  <w:pPr>
                    <w:jc w:val="center"/>
                    <w:rPr>
                      <w:rFonts w:cs="宋体"/>
                      <w:szCs w:val="21"/>
                    </w:rPr>
                  </w:pPr>
                </w:p>
              </w:tc>
              <w:tc>
                <w:tcPr>
                  <w:tcW w:w="1662" w:type="dxa"/>
                  <w:tcBorders>
                    <w:top w:val="single" w:color="auto" w:sz="6" w:space="0"/>
                  </w:tcBorders>
                  <w:vAlign w:val="center"/>
                </w:tcPr>
                <w:p>
                  <w:pPr>
                    <w:jc w:val="center"/>
                    <w:rPr>
                      <w:rFonts w:cs="宋体"/>
                      <w:bCs/>
                      <w:spacing w:val="-10"/>
                      <w:kern w:val="0"/>
                      <w:szCs w:val="21"/>
                    </w:rPr>
                  </w:pPr>
                  <w:r>
                    <w:rPr>
                      <w:rFonts w:hint="eastAsia" w:cs="宋体"/>
                      <w:bCs/>
                      <w:spacing w:val="-10"/>
                      <w:kern w:val="0"/>
                      <w:szCs w:val="21"/>
                    </w:rPr>
                    <w:t>二氧化硫</w:t>
                  </w:r>
                </w:p>
              </w:tc>
              <w:tc>
                <w:tcPr>
                  <w:tcW w:w="1664" w:type="dxa"/>
                  <w:vMerge w:val="continue"/>
                  <w:vAlign w:val="center"/>
                </w:tcPr>
                <w:p>
                  <w:pPr>
                    <w:jc w:val="center"/>
                    <w:rPr>
                      <w:szCs w:val="21"/>
                    </w:rPr>
                  </w:pPr>
                </w:p>
              </w:tc>
              <w:tc>
                <w:tcPr>
                  <w:tcW w:w="2767"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469" w:type="dxa"/>
                  <w:vMerge w:val="continue"/>
                  <w:vAlign w:val="center"/>
                </w:tcPr>
                <w:p>
                  <w:pPr>
                    <w:jc w:val="center"/>
                    <w:rPr>
                      <w:rFonts w:cs="宋体"/>
                      <w:bCs/>
                      <w:spacing w:val="-10"/>
                      <w:kern w:val="0"/>
                      <w:szCs w:val="21"/>
                    </w:rPr>
                  </w:pPr>
                </w:p>
              </w:tc>
              <w:tc>
                <w:tcPr>
                  <w:tcW w:w="1778" w:type="dxa"/>
                  <w:vMerge w:val="continue"/>
                  <w:vAlign w:val="center"/>
                </w:tcPr>
                <w:p>
                  <w:pPr>
                    <w:jc w:val="center"/>
                    <w:rPr>
                      <w:szCs w:val="21"/>
                    </w:rPr>
                  </w:pPr>
                </w:p>
              </w:tc>
              <w:tc>
                <w:tcPr>
                  <w:tcW w:w="1662" w:type="dxa"/>
                  <w:vAlign w:val="center"/>
                </w:tcPr>
                <w:p>
                  <w:pPr>
                    <w:jc w:val="center"/>
                    <w:rPr>
                      <w:rFonts w:cs="宋体"/>
                      <w:bCs/>
                      <w:spacing w:val="-10"/>
                      <w:kern w:val="0"/>
                      <w:szCs w:val="21"/>
                    </w:rPr>
                  </w:pPr>
                  <w:r>
                    <w:rPr>
                      <w:rFonts w:hint="eastAsia" w:cs="宋体"/>
                      <w:bCs/>
                      <w:spacing w:val="-10"/>
                      <w:kern w:val="0"/>
                      <w:szCs w:val="21"/>
                    </w:rPr>
                    <w:t>氮氧化物</w:t>
                  </w:r>
                </w:p>
              </w:tc>
              <w:tc>
                <w:tcPr>
                  <w:tcW w:w="1664" w:type="dxa"/>
                  <w:vMerge w:val="continue"/>
                  <w:vAlign w:val="center"/>
                </w:tcPr>
                <w:p>
                  <w:pPr>
                    <w:jc w:val="center"/>
                    <w:rPr>
                      <w:rFonts w:cs="宋体"/>
                      <w:bCs/>
                      <w:spacing w:val="-10"/>
                      <w:szCs w:val="21"/>
                    </w:rPr>
                  </w:pPr>
                </w:p>
              </w:tc>
              <w:tc>
                <w:tcPr>
                  <w:tcW w:w="2767"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469" w:type="dxa"/>
                  <w:vMerge w:val="continue"/>
                  <w:vAlign w:val="center"/>
                </w:tcPr>
                <w:p>
                  <w:pPr>
                    <w:jc w:val="center"/>
                    <w:rPr>
                      <w:rFonts w:cs="宋体"/>
                      <w:bCs/>
                      <w:spacing w:val="-10"/>
                      <w:kern w:val="0"/>
                      <w:szCs w:val="21"/>
                    </w:rPr>
                  </w:pPr>
                </w:p>
              </w:tc>
              <w:tc>
                <w:tcPr>
                  <w:tcW w:w="1778" w:type="dxa"/>
                  <w:vMerge w:val="continue"/>
                  <w:vAlign w:val="center"/>
                </w:tcPr>
                <w:p>
                  <w:pPr>
                    <w:jc w:val="center"/>
                    <w:rPr>
                      <w:rFonts w:cs="宋体"/>
                      <w:szCs w:val="21"/>
                    </w:rPr>
                  </w:pPr>
                </w:p>
              </w:tc>
              <w:tc>
                <w:tcPr>
                  <w:tcW w:w="1662" w:type="dxa"/>
                  <w:vAlign w:val="center"/>
                </w:tcPr>
                <w:p>
                  <w:pPr>
                    <w:jc w:val="center"/>
                    <w:rPr>
                      <w:rFonts w:cs="宋体"/>
                      <w:bCs/>
                      <w:spacing w:val="-10"/>
                      <w:kern w:val="0"/>
                      <w:szCs w:val="21"/>
                    </w:rPr>
                  </w:pPr>
                  <w:r>
                    <w:rPr>
                      <w:rFonts w:hint="eastAsia" w:cs="宋体"/>
                      <w:bCs/>
                      <w:spacing w:val="-10"/>
                      <w:kern w:val="0"/>
                      <w:szCs w:val="21"/>
                    </w:rPr>
                    <w:t>氟化物</w:t>
                  </w:r>
                </w:p>
              </w:tc>
              <w:tc>
                <w:tcPr>
                  <w:tcW w:w="1664" w:type="dxa"/>
                  <w:vMerge w:val="continue"/>
                  <w:vAlign w:val="center"/>
                </w:tcPr>
                <w:p>
                  <w:pPr>
                    <w:jc w:val="center"/>
                    <w:rPr>
                      <w:rFonts w:cs="宋体"/>
                      <w:bCs/>
                      <w:spacing w:val="-10"/>
                      <w:kern w:val="0"/>
                      <w:szCs w:val="21"/>
                    </w:rPr>
                  </w:pPr>
                </w:p>
              </w:tc>
              <w:tc>
                <w:tcPr>
                  <w:tcW w:w="2767" w:type="dxa"/>
                  <w:vMerge w:val="continue"/>
                  <w:vAlign w:val="center"/>
                </w:tcPr>
                <w:p>
                  <w:pPr>
                    <w:jc w:val="center"/>
                    <w:rPr>
                      <w:szCs w:val="21"/>
                    </w:rPr>
                  </w:pPr>
                </w:p>
              </w:tc>
            </w:tr>
          </w:tbl>
          <w:p>
            <w:pPr>
              <w:pStyle w:val="29"/>
              <w:numPr>
                <w:ilvl w:val="0"/>
                <w:numId w:val="3"/>
              </w:numPr>
              <w:ind w:firstLineChars="0"/>
              <w:rPr>
                <w:rFonts w:cs="宋体"/>
                <w:b/>
                <w:bCs/>
                <w:color w:val="auto"/>
                <w:kern w:val="0"/>
              </w:rPr>
            </w:pPr>
            <w:r>
              <w:rPr>
                <w:rFonts w:hint="eastAsia" w:cs="宋体"/>
                <w:b/>
                <w:bCs/>
                <w:color w:val="auto"/>
                <w:kern w:val="0"/>
              </w:rPr>
              <w:t>非正常情况排放</w:t>
            </w:r>
          </w:p>
          <w:p>
            <w:pPr>
              <w:adjustRightInd w:val="0"/>
              <w:snapToGrid w:val="0"/>
              <w:spacing w:line="360" w:lineRule="auto"/>
              <w:ind w:firstLine="480" w:firstLineChars="200"/>
              <w:rPr>
                <w:kern w:val="0"/>
                <w:sz w:val="24"/>
              </w:rPr>
            </w:pPr>
            <w:r>
              <w:rPr>
                <w:rFonts w:hint="eastAsia"/>
                <w:sz w:val="24"/>
                <w:szCs w:val="20"/>
              </w:rPr>
              <w:t>本次评价主要考虑设备的废气非正常排放，公司厂区内生产装置均制定了详细的操作规范，用以避免事故情况下的非正常排放。</w:t>
            </w:r>
          </w:p>
          <w:p>
            <w:pPr>
              <w:adjustRightInd w:val="0"/>
              <w:snapToGrid w:val="0"/>
              <w:spacing w:line="360" w:lineRule="auto"/>
              <w:ind w:firstLine="480" w:firstLineChars="200"/>
              <w:rPr>
                <w:kern w:val="0"/>
                <w:sz w:val="24"/>
              </w:rPr>
            </w:pPr>
            <w:r>
              <w:rPr>
                <w:rFonts w:hint="eastAsia"/>
                <w:sz w:val="24"/>
                <w:szCs w:val="20"/>
              </w:rPr>
              <w:t>（</w:t>
            </w:r>
            <w:r>
              <w:rPr>
                <w:sz w:val="24"/>
                <w:szCs w:val="20"/>
              </w:rPr>
              <w:t>1</w:t>
            </w:r>
            <w:r>
              <w:rPr>
                <w:rFonts w:hint="eastAsia"/>
                <w:sz w:val="24"/>
                <w:szCs w:val="20"/>
              </w:rPr>
              <w:t>）开、停车操作规范。装置开车前需先开启环保设施，待循环正常后，再开车。停车时，先关闭生产设施，待装置不再产生污染物（废气、废水）后，再关闭环保设施。因此开停车一般不会产生非正常排放。</w:t>
            </w:r>
          </w:p>
          <w:p>
            <w:pPr>
              <w:adjustRightInd w:val="0"/>
              <w:snapToGrid w:val="0"/>
              <w:spacing w:line="360" w:lineRule="auto"/>
              <w:ind w:firstLine="480" w:firstLineChars="200"/>
              <w:rPr>
                <w:sz w:val="24"/>
                <w:szCs w:val="20"/>
              </w:rPr>
            </w:pPr>
            <w:r>
              <w:rPr>
                <w:rFonts w:hint="eastAsia"/>
                <w:sz w:val="24"/>
                <w:szCs w:val="20"/>
              </w:rPr>
              <w:t>（</w:t>
            </w:r>
            <w:r>
              <w:rPr>
                <w:sz w:val="24"/>
                <w:szCs w:val="20"/>
              </w:rPr>
              <w:t>2</w:t>
            </w:r>
            <w:r>
              <w:rPr>
                <w:rFonts w:hint="eastAsia"/>
                <w:sz w:val="24"/>
                <w:szCs w:val="20"/>
              </w:rPr>
              <w:t>）失电情况下，物料均封闭在设备内，风机等也都停止，因此废气污染物不会逸出。</w:t>
            </w:r>
          </w:p>
          <w:p>
            <w:pPr>
              <w:adjustRightInd w:val="0"/>
              <w:snapToGrid w:val="0"/>
              <w:spacing w:line="360" w:lineRule="auto"/>
              <w:ind w:firstLine="480" w:firstLineChars="200"/>
              <w:rPr>
                <w:sz w:val="24"/>
                <w:szCs w:val="20"/>
              </w:rPr>
            </w:pPr>
            <w:r>
              <w:rPr>
                <w:rFonts w:hint="eastAsia"/>
                <w:sz w:val="24"/>
                <w:szCs w:val="20"/>
              </w:rPr>
              <w:t>（3）热风炉燃烧方式转换过程中，热风炉由燃天然气转换成烧煤的过程，需要提前在热风炉内添加燃煤进行预热，待热值达到需求后关闭燃气；燃煤转换成燃天然气则直接进行转换，无需预热。转换的频次预计2</w:t>
            </w:r>
            <w:r>
              <w:rPr>
                <w:sz w:val="24"/>
                <w:szCs w:val="20"/>
              </w:rPr>
              <w:t>~3</w:t>
            </w:r>
            <w:r>
              <w:rPr>
                <w:rFonts w:hint="eastAsia"/>
                <w:sz w:val="24"/>
                <w:szCs w:val="20"/>
              </w:rPr>
              <w:t>次/年。装置开车前需先开启环保设施，待循环正常后，才开车，因此在燃烧方式转换的过程中，一般不会产生非正常排放。</w:t>
            </w:r>
          </w:p>
          <w:p>
            <w:pPr>
              <w:adjustRightInd w:val="0"/>
              <w:snapToGrid w:val="0"/>
              <w:spacing w:line="360" w:lineRule="auto"/>
              <w:ind w:firstLine="480" w:firstLineChars="200"/>
              <w:rPr>
                <w:sz w:val="24"/>
                <w:szCs w:val="20"/>
              </w:rPr>
            </w:pPr>
            <w:r>
              <w:rPr>
                <w:rFonts w:hint="eastAsia"/>
                <w:sz w:val="24"/>
                <w:szCs w:val="20"/>
              </w:rPr>
              <w:t>技改项目新增设备的废气非正常排放主要考虑的还是废气污染源环保设施运行不正常情况下效率降低后的非正常排放。</w:t>
            </w:r>
          </w:p>
          <w:p>
            <w:pPr>
              <w:adjustRightInd w:val="0"/>
              <w:snapToGrid w:val="0"/>
              <w:spacing w:line="360" w:lineRule="auto"/>
              <w:ind w:firstLine="480" w:firstLineChars="200"/>
              <w:rPr>
                <w:sz w:val="24"/>
                <w:szCs w:val="20"/>
              </w:rPr>
            </w:pPr>
            <w:r>
              <w:rPr>
                <w:rFonts w:hint="eastAsia"/>
                <w:sz w:val="24"/>
                <w:szCs w:val="20"/>
              </w:rPr>
              <w:t>本次评价，废气非正常排放考虑新增设备造粒及干燥废气处理设施运行不正常，现有设备环保设施正常运行而导致的废气非正常排放。由于废气处理设施对</w:t>
            </w:r>
            <w:r>
              <w:rPr>
                <w:sz w:val="24"/>
                <w:szCs w:val="20"/>
              </w:rPr>
              <w:t>NOx</w:t>
            </w:r>
            <w:r>
              <w:rPr>
                <w:rFonts w:hint="eastAsia"/>
                <w:sz w:val="24"/>
                <w:szCs w:val="20"/>
              </w:rPr>
              <w:t>的去除效率均为</w:t>
            </w:r>
            <w:r>
              <w:rPr>
                <w:sz w:val="24"/>
                <w:szCs w:val="20"/>
              </w:rPr>
              <w:t>0</w:t>
            </w:r>
            <w:r>
              <w:rPr>
                <w:rFonts w:hint="eastAsia"/>
                <w:sz w:val="24"/>
                <w:szCs w:val="20"/>
              </w:rPr>
              <w:t>，因此非正常排放考虑废气污染物二氧化硫、颗粒物、氟化物。</w:t>
            </w:r>
          </w:p>
          <w:p>
            <w:pPr>
              <w:pStyle w:val="29"/>
              <w:ind w:firstLineChars="0"/>
              <w:rPr>
                <w:color w:val="auto"/>
              </w:rPr>
            </w:pPr>
            <w:r>
              <w:rPr>
                <w:rFonts w:hint="eastAsia"/>
                <w:color w:val="auto"/>
                <w:szCs w:val="20"/>
              </w:rPr>
              <w:t>项目废气非正常排放情况设定为：废气处理设施对颗粒物、氟化物的去除效率下降到</w:t>
            </w:r>
            <w:r>
              <w:rPr>
                <w:color w:val="auto"/>
                <w:szCs w:val="20"/>
              </w:rPr>
              <w:t>50%</w:t>
            </w:r>
            <w:r>
              <w:rPr>
                <w:rFonts w:hint="eastAsia"/>
                <w:color w:val="auto"/>
                <w:szCs w:val="20"/>
              </w:rPr>
              <w:t>，对二氧化硫的去除效率下降至</w:t>
            </w:r>
            <w:r>
              <w:rPr>
                <w:color w:val="auto"/>
                <w:szCs w:val="20"/>
              </w:rPr>
              <w:t>30%</w:t>
            </w:r>
            <w:r>
              <w:rPr>
                <w:rFonts w:hint="eastAsia"/>
                <w:color w:val="auto"/>
                <w:szCs w:val="20"/>
              </w:rPr>
              <w:t>。非正常持续时间为</w:t>
            </w:r>
            <w:r>
              <w:rPr>
                <w:color w:val="auto"/>
                <w:szCs w:val="20"/>
              </w:rPr>
              <w:t>1</w:t>
            </w:r>
            <w:r>
              <w:rPr>
                <w:rFonts w:hint="eastAsia"/>
                <w:color w:val="auto"/>
                <w:szCs w:val="20"/>
              </w:rPr>
              <w:t>小时，年发生频率</w:t>
            </w:r>
            <w:r>
              <w:rPr>
                <w:color w:val="auto"/>
                <w:szCs w:val="20"/>
              </w:rPr>
              <w:t>1</w:t>
            </w:r>
            <w:r>
              <w:rPr>
                <w:rFonts w:hint="eastAsia"/>
                <w:color w:val="auto"/>
                <w:szCs w:val="20"/>
              </w:rPr>
              <w:t>次</w:t>
            </w:r>
            <w:r>
              <w:rPr>
                <w:color w:val="auto"/>
                <w:szCs w:val="20"/>
              </w:rPr>
              <w:t>/</w:t>
            </w:r>
            <w:r>
              <w:rPr>
                <w:rFonts w:hint="eastAsia"/>
                <w:color w:val="auto"/>
                <w:szCs w:val="20"/>
              </w:rPr>
              <w:t>年，根据各燃料使用时长，环保设施异常情况主要考虑燃煤时段，</w:t>
            </w:r>
            <w:r>
              <w:rPr>
                <w:color w:val="auto"/>
              </w:rPr>
              <w:t>非正常情况分析表见下表：</w:t>
            </w:r>
          </w:p>
          <w:p>
            <w:pPr>
              <w:adjustRightInd w:val="0"/>
              <w:spacing w:line="360" w:lineRule="auto"/>
              <w:ind w:firstLine="422" w:firstLineChars="200"/>
              <w:jc w:val="center"/>
              <w:outlineLvl w:val="0"/>
              <w:rPr>
                <w:b/>
              </w:rPr>
            </w:pPr>
            <w:bookmarkStart w:id="30" w:name="_Toc117775794"/>
            <w:r>
              <w:rPr>
                <w:b/>
              </w:rPr>
              <w:t>表4-8  非正常情况有组织废气分析一览表</w:t>
            </w:r>
            <w:bookmarkEnd w:id="30"/>
          </w:p>
          <w:tbl>
            <w:tblPr>
              <w:tblStyle w:val="22"/>
              <w:tblW w:w="816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6"/>
              <w:gridCol w:w="808"/>
              <w:gridCol w:w="604"/>
              <w:gridCol w:w="707"/>
              <w:gridCol w:w="1197"/>
              <w:gridCol w:w="1132"/>
              <w:gridCol w:w="1197"/>
              <w:gridCol w:w="1135"/>
              <w:gridCol w:w="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jc w:val="center"/>
              </w:trPr>
              <w:tc>
                <w:tcPr>
                  <w:tcW w:w="736" w:type="dxa"/>
                  <w:vMerge w:val="restart"/>
                  <w:shd w:val="clear" w:color="auto" w:fill="auto"/>
                  <w:vAlign w:val="center"/>
                </w:tcPr>
                <w:p>
                  <w:pPr>
                    <w:widowControl/>
                    <w:jc w:val="center"/>
                    <w:rPr>
                      <w:rFonts w:cs="宋体"/>
                      <w:kern w:val="0"/>
                      <w:szCs w:val="21"/>
                    </w:rPr>
                  </w:pPr>
                  <w:r>
                    <w:rPr>
                      <w:rFonts w:hint="eastAsia" w:cs="宋体"/>
                      <w:kern w:val="0"/>
                      <w:szCs w:val="21"/>
                    </w:rPr>
                    <w:t>非正常情况</w:t>
                  </w:r>
                </w:p>
              </w:tc>
              <w:tc>
                <w:tcPr>
                  <w:tcW w:w="808" w:type="dxa"/>
                  <w:vMerge w:val="restart"/>
                  <w:shd w:val="clear" w:color="auto" w:fill="auto"/>
                  <w:vAlign w:val="center"/>
                </w:tcPr>
                <w:p>
                  <w:pPr>
                    <w:widowControl/>
                    <w:jc w:val="center"/>
                    <w:rPr>
                      <w:rFonts w:cs="宋体"/>
                      <w:kern w:val="0"/>
                      <w:szCs w:val="21"/>
                    </w:rPr>
                  </w:pPr>
                  <w:r>
                    <w:rPr>
                      <w:rFonts w:hint="eastAsia" w:cs="宋体"/>
                      <w:kern w:val="0"/>
                      <w:szCs w:val="21"/>
                    </w:rPr>
                    <w:t>排放源</w:t>
                  </w:r>
                </w:p>
              </w:tc>
              <w:tc>
                <w:tcPr>
                  <w:tcW w:w="604" w:type="dxa"/>
                  <w:vMerge w:val="restart"/>
                  <w:shd w:val="clear" w:color="auto" w:fill="auto"/>
                  <w:vAlign w:val="center"/>
                </w:tcPr>
                <w:p>
                  <w:pPr>
                    <w:widowControl/>
                    <w:jc w:val="center"/>
                    <w:rPr>
                      <w:rFonts w:cs="宋体"/>
                      <w:kern w:val="0"/>
                      <w:szCs w:val="21"/>
                    </w:rPr>
                  </w:pPr>
                  <w:r>
                    <w:rPr>
                      <w:rFonts w:hint="eastAsia" w:cs="宋体"/>
                      <w:kern w:val="0"/>
                      <w:szCs w:val="21"/>
                    </w:rPr>
                    <w:t>污染物</w:t>
                  </w:r>
                </w:p>
              </w:tc>
              <w:tc>
                <w:tcPr>
                  <w:tcW w:w="707" w:type="dxa"/>
                  <w:vMerge w:val="restart"/>
                  <w:shd w:val="clear" w:color="auto" w:fill="auto"/>
                  <w:vAlign w:val="center"/>
                </w:tcPr>
                <w:p>
                  <w:pPr>
                    <w:widowControl/>
                    <w:jc w:val="center"/>
                    <w:rPr>
                      <w:rFonts w:cs="宋体"/>
                      <w:kern w:val="0"/>
                      <w:szCs w:val="21"/>
                    </w:rPr>
                  </w:pPr>
                  <w:r>
                    <w:rPr>
                      <w:rFonts w:hint="eastAsia" w:cs="宋体"/>
                      <w:kern w:val="0"/>
                      <w:szCs w:val="21"/>
                    </w:rPr>
                    <w:t>频次、持续时间</w:t>
                  </w:r>
                </w:p>
              </w:tc>
              <w:tc>
                <w:tcPr>
                  <w:tcW w:w="1197" w:type="dxa"/>
                  <w:vMerge w:val="restart"/>
                  <w:shd w:val="clear" w:color="auto" w:fill="auto"/>
                  <w:vAlign w:val="center"/>
                </w:tcPr>
                <w:p>
                  <w:pPr>
                    <w:widowControl/>
                    <w:jc w:val="center"/>
                    <w:rPr>
                      <w:rFonts w:cs="宋体"/>
                      <w:kern w:val="0"/>
                      <w:szCs w:val="21"/>
                    </w:rPr>
                  </w:pPr>
                  <w:r>
                    <w:rPr>
                      <w:rFonts w:hint="eastAsia" w:cs="宋体"/>
                      <w:kern w:val="0"/>
                      <w:szCs w:val="21"/>
                    </w:rPr>
                    <w:t>排放浓度（m</w:t>
                  </w:r>
                  <w:r>
                    <w:rPr>
                      <w:rFonts w:cs="宋体"/>
                      <w:kern w:val="0"/>
                      <w:szCs w:val="21"/>
                    </w:rPr>
                    <w:t>g/m</w:t>
                  </w:r>
                  <w:r>
                    <w:rPr>
                      <w:rFonts w:cs="宋体"/>
                      <w:kern w:val="0"/>
                      <w:szCs w:val="21"/>
                      <w:vertAlign w:val="superscript"/>
                    </w:rPr>
                    <w:t>3</w:t>
                  </w:r>
                  <w:r>
                    <w:rPr>
                      <w:rFonts w:hint="eastAsia" w:cs="宋体"/>
                      <w:kern w:val="0"/>
                      <w:szCs w:val="21"/>
                    </w:rPr>
                    <w:t>）</w:t>
                  </w:r>
                </w:p>
              </w:tc>
              <w:tc>
                <w:tcPr>
                  <w:tcW w:w="1132" w:type="dxa"/>
                  <w:vMerge w:val="restart"/>
                  <w:shd w:val="clear" w:color="auto" w:fill="auto"/>
                  <w:vAlign w:val="center"/>
                </w:tcPr>
                <w:p>
                  <w:pPr>
                    <w:widowControl/>
                    <w:jc w:val="center"/>
                    <w:rPr>
                      <w:rFonts w:cs="宋体"/>
                      <w:kern w:val="0"/>
                      <w:szCs w:val="21"/>
                    </w:rPr>
                  </w:pPr>
                  <w:r>
                    <w:rPr>
                      <w:rFonts w:hint="eastAsia" w:cs="宋体"/>
                      <w:kern w:val="0"/>
                      <w:szCs w:val="21"/>
                    </w:rPr>
                    <w:t>排放速率（k</w:t>
                  </w:r>
                  <w:r>
                    <w:rPr>
                      <w:rFonts w:cs="宋体"/>
                      <w:kern w:val="0"/>
                      <w:szCs w:val="21"/>
                    </w:rPr>
                    <w:t>g/h</w:t>
                  </w:r>
                  <w:r>
                    <w:rPr>
                      <w:rFonts w:hint="eastAsia" w:cs="宋体"/>
                      <w:kern w:val="0"/>
                      <w:szCs w:val="21"/>
                    </w:rPr>
                    <w:t>）</w:t>
                  </w:r>
                </w:p>
              </w:tc>
              <w:tc>
                <w:tcPr>
                  <w:tcW w:w="2332" w:type="dxa"/>
                  <w:gridSpan w:val="2"/>
                  <w:vAlign w:val="center"/>
                </w:tcPr>
                <w:p>
                  <w:pPr>
                    <w:widowControl/>
                    <w:jc w:val="center"/>
                    <w:rPr>
                      <w:rFonts w:cs="宋体"/>
                      <w:kern w:val="0"/>
                      <w:szCs w:val="21"/>
                    </w:rPr>
                  </w:pPr>
                  <w:r>
                    <w:rPr>
                      <w:rFonts w:hint="eastAsia" w:cs="宋体"/>
                      <w:kern w:val="0"/>
                      <w:szCs w:val="21"/>
                    </w:rPr>
                    <w:t>标准值</w:t>
                  </w:r>
                </w:p>
              </w:tc>
              <w:tc>
                <w:tcPr>
                  <w:tcW w:w="648" w:type="dxa"/>
                  <w:vMerge w:val="restart"/>
                  <w:vAlign w:val="center"/>
                </w:tcPr>
                <w:p>
                  <w:pPr>
                    <w:widowControl/>
                    <w:jc w:val="center"/>
                    <w:rPr>
                      <w:rFonts w:cs="宋体"/>
                      <w:kern w:val="0"/>
                      <w:szCs w:val="21"/>
                    </w:rPr>
                  </w:pPr>
                  <w:r>
                    <w:rPr>
                      <w:rFonts w:hint="eastAsia" w:cs="宋体"/>
                      <w:kern w:val="0"/>
                      <w:szCs w:val="21"/>
                    </w:rPr>
                    <w:t>达标情况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3" w:hRule="atLeast"/>
                <w:jc w:val="center"/>
              </w:trPr>
              <w:tc>
                <w:tcPr>
                  <w:tcW w:w="736" w:type="dxa"/>
                  <w:vMerge w:val="continue"/>
                  <w:shd w:val="clear" w:color="auto" w:fill="auto"/>
                  <w:vAlign w:val="center"/>
                </w:tcPr>
                <w:p>
                  <w:pPr>
                    <w:widowControl/>
                    <w:jc w:val="center"/>
                    <w:rPr>
                      <w:rFonts w:cs="宋体"/>
                      <w:kern w:val="0"/>
                      <w:szCs w:val="21"/>
                    </w:rPr>
                  </w:pPr>
                </w:p>
              </w:tc>
              <w:tc>
                <w:tcPr>
                  <w:tcW w:w="808" w:type="dxa"/>
                  <w:vMerge w:val="continue"/>
                  <w:shd w:val="clear" w:color="auto" w:fill="auto"/>
                  <w:vAlign w:val="center"/>
                </w:tcPr>
                <w:p>
                  <w:pPr>
                    <w:widowControl/>
                    <w:jc w:val="center"/>
                    <w:rPr>
                      <w:rFonts w:cs="宋体"/>
                      <w:kern w:val="0"/>
                      <w:szCs w:val="21"/>
                    </w:rPr>
                  </w:pPr>
                </w:p>
              </w:tc>
              <w:tc>
                <w:tcPr>
                  <w:tcW w:w="604" w:type="dxa"/>
                  <w:vMerge w:val="continue"/>
                  <w:shd w:val="clear" w:color="auto" w:fill="auto"/>
                  <w:vAlign w:val="center"/>
                </w:tcPr>
                <w:p>
                  <w:pPr>
                    <w:widowControl/>
                    <w:jc w:val="center"/>
                    <w:rPr>
                      <w:rFonts w:cs="宋体"/>
                      <w:kern w:val="0"/>
                      <w:szCs w:val="21"/>
                    </w:rPr>
                  </w:pPr>
                </w:p>
              </w:tc>
              <w:tc>
                <w:tcPr>
                  <w:tcW w:w="707" w:type="dxa"/>
                  <w:vMerge w:val="continue"/>
                  <w:shd w:val="clear" w:color="auto" w:fill="auto"/>
                  <w:vAlign w:val="center"/>
                </w:tcPr>
                <w:p>
                  <w:pPr>
                    <w:widowControl/>
                    <w:jc w:val="center"/>
                    <w:rPr>
                      <w:rFonts w:cs="宋体"/>
                      <w:kern w:val="0"/>
                      <w:szCs w:val="21"/>
                    </w:rPr>
                  </w:pPr>
                </w:p>
              </w:tc>
              <w:tc>
                <w:tcPr>
                  <w:tcW w:w="1197" w:type="dxa"/>
                  <w:vMerge w:val="continue"/>
                  <w:shd w:val="clear" w:color="auto" w:fill="auto"/>
                  <w:vAlign w:val="center"/>
                </w:tcPr>
                <w:p>
                  <w:pPr>
                    <w:widowControl/>
                    <w:jc w:val="center"/>
                    <w:rPr>
                      <w:rFonts w:cs="宋体"/>
                      <w:kern w:val="0"/>
                      <w:szCs w:val="21"/>
                    </w:rPr>
                  </w:pPr>
                </w:p>
              </w:tc>
              <w:tc>
                <w:tcPr>
                  <w:tcW w:w="1132" w:type="dxa"/>
                  <w:vMerge w:val="continue"/>
                  <w:shd w:val="clear" w:color="auto" w:fill="auto"/>
                  <w:vAlign w:val="center"/>
                </w:tcPr>
                <w:p>
                  <w:pPr>
                    <w:widowControl/>
                    <w:jc w:val="center"/>
                    <w:rPr>
                      <w:rFonts w:cs="宋体"/>
                      <w:kern w:val="0"/>
                      <w:szCs w:val="21"/>
                    </w:rPr>
                  </w:pPr>
                </w:p>
              </w:tc>
              <w:tc>
                <w:tcPr>
                  <w:tcW w:w="1197" w:type="dxa"/>
                  <w:vAlign w:val="center"/>
                </w:tcPr>
                <w:p>
                  <w:pPr>
                    <w:widowControl/>
                    <w:jc w:val="center"/>
                    <w:rPr>
                      <w:rFonts w:cs="宋体"/>
                      <w:kern w:val="0"/>
                      <w:szCs w:val="21"/>
                    </w:rPr>
                  </w:pPr>
                  <w:r>
                    <w:rPr>
                      <w:rFonts w:hint="eastAsia" w:cs="宋体"/>
                      <w:kern w:val="0"/>
                      <w:szCs w:val="21"/>
                    </w:rPr>
                    <w:t>排放浓度（m</w:t>
                  </w:r>
                  <w:r>
                    <w:rPr>
                      <w:rFonts w:cs="宋体"/>
                      <w:kern w:val="0"/>
                      <w:szCs w:val="21"/>
                    </w:rPr>
                    <w:t>g/m</w:t>
                  </w:r>
                  <w:r>
                    <w:rPr>
                      <w:rFonts w:cs="宋体"/>
                      <w:kern w:val="0"/>
                      <w:szCs w:val="21"/>
                      <w:vertAlign w:val="superscript"/>
                    </w:rPr>
                    <w:t>3</w:t>
                  </w:r>
                  <w:r>
                    <w:rPr>
                      <w:rFonts w:hint="eastAsia" w:cs="宋体"/>
                      <w:kern w:val="0"/>
                      <w:szCs w:val="21"/>
                    </w:rPr>
                    <w:t>）</w:t>
                  </w:r>
                </w:p>
              </w:tc>
              <w:tc>
                <w:tcPr>
                  <w:tcW w:w="1135" w:type="dxa"/>
                  <w:vAlign w:val="center"/>
                </w:tcPr>
                <w:p>
                  <w:pPr>
                    <w:widowControl/>
                    <w:jc w:val="center"/>
                    <w:rPr>
                      <w:rFonts w:cs="宋体"/>
                      <w:kern w:val="0"/>
                      <w:szCs w:val="21"/>
                    </w:rPr>
                  </w:pPr>
                  <w:r>
                    <w:rPr>
                      <w:rFonts w:hint="eastAsia" w:cs="宋体"/>
                      <w:kern w:val="0"/>
                      <w:szCs w:val="21"/>
                    </w:rPr>
                    <w:t>排放速率（k</w:t>
                  </w:r>
                  <w:r>
                    <w:rPr>
                      <w:rFonts w:cs="宋体"/>
                      <w:kern w:val="0"/>
                      <w:szCs w:val="21"/>
                    </w:rPr>
                    <w:t>g/h</w:t>
                  </w:r>
                  <w:r>
                    <w:rPr>
                      <w:rFonts w:hint="eastAsia" w:cs="宋体"/>
                      <w:kern w:val="0"/>
                      <w:szCs w:val="21"/>
                    </w:rPr>
                    <w:t>）</w:t>
                  </w:r>
                </w:p>
              </w:tc>
              <w:tc>
                <w:tcPr>
                  <w:tcW w:w="648" w:type="dxa"/>
                  <w:vMerge w:val="continue"/>
                  <w:vAlign w:val="center"/>
                </w:tcPr>
                <w:p>
                  <w:pPr>
                    <w:widowControl/>
                    <w:jc w:val="center"/>
                    <w:rPr>
                      <w:rFonts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jc w:val="center"/>
              </w:trPr>
              <w:tc>
                <w:tcPr>
                  <w:tcW w:w="736" w:type="dxa"/>
                  <w:vMerge w:val="restart"/>
                  <w:shd w:val="clear" w:color="auto" w:fill="auto"/>
                  <w:vAlign w:val="center"/>
                </w:tcPr>
                <w:p>
                  <w:pPr>
                    <w:widowControl/>
                    <w:jc w:val="center"/>
                    <w:rPr>
                      <w:rFonts w:cs="宋体"/>
                      <w:kern w:val="0"/>
                      <w:szCs w:val="21"/>
                    </w:rPr>
                  </w:pPr>
                  <w:r>
                    <w:rPr>
                      <w:rFonts w:hint="eastAsia" w:cs="宋体"/>
                      <w:kern w:val="0"/>
                      <w:szCs w:val="21"/>
                    </w:rPr>
                    <w:t>废气处理系统异常</w:t>
                  </w:r>
                </w:p>
              </w:tc>
              <w:tc>
                <w:tcPr>
                  <w:tcW w:w="808" w:type="dxa"/>
                  <w:vMerge w:val="restart"/>
                  <w:shd w:val="clear" w:color="auto" w:fill="auto"/>
                  <w:vAlign w:val="center"/>
                </w:tcPr>
                <w:p>
                  <w:pPr>
                    <w:widowControl/>
                    <w:jc w:val="center"/>
                    <w:rPr>
                      <w:kern w:val="0"/>
                      <w:szCs w:val="21"/>
                    </w:rPr>
                  </w:pPr>
                  <w:r>
                    <w:rPr>
                      <w:kern w:val="0"/>
                      <w:szCs w:val="21"/>
                    </w:rPr>
                    <w:t>10+15万吨/年饲钙装置干燥+含氟尾气排口</w:t>
                  </w:r>
                </w:p>
              </w:tc>
              <w:tc>
                <w:tcPr>
                  <w:tcW w:w="604" w:type="dxa"/>
                  <w:shd w:val="clear" w:color="auto" w:fill="auto"/>
                  <w:vAlign w:val="center"/>
                </w:tcPr>
                <w:p>
                  <w:pPr>
                    <w:widowControl/>
                    <w:jc w:val="center"/>
                    <w:rPr>
                      <w:rFonts w:cs="宋体"/>
                      <w:kern w:val="0"/>
                      <w:szCs w:val="21"/>
                    </w:rPr>
                  </w:pPr>
                  <w:r>
                    <w:rPr>
                      <w:rFonts w:hint="eastAsia" w:cs="宋体"/>
                      <w:kern w:val="0"/>
                      <w:szCs w:val="21"/>
                    </w:rPr>
                    <w:t>颗粒物</w:t>
                  </w:r>
                </w:p>
              </w:tc>
              <w:tc>
                <w:tcPr>
                  <w:tcW w:w="707" w:type="dxa"/>
                  <w:vMerge w:val="restart"/>
                  <w:shd w:val="clear" w:color="auto" w:fill="auto"/>
                  <w:vAlign w:val="center"/>
                </w:tcPr>
                <w:p>
                  <w:pPr>
                    <w:widowControl/>
                    <w:jc w:val="center"/>
                    <w:rPr>
                      <w:kern w:val="0"/>
                      <w:szCs w:val="21"/>
                    </w:rPr>
                  </w:pPr>
                  <w:r>
                    <w:rPr>
                      <w:kern w:val="0"/>
                      <w:szCs w:val="21"/>
                    </w:rPr>
                    <w:t>1次/年</w:t>
                  </w:r>
                  <w:r>
                    <w:rPr>
                      <w:rFonts w:hint="eastAsia"/>
                      <w:kern w:val="0"/>
                      <w:szCs w:val="21"/>
                    </w:rPr>
                    <w:t>、1</w:t>
                  </w:r>
                  <w:r>
                    <w:rPr>
                      <w:kern w:val="0"/>
                      <w:szCs w:val="21"/>
                    </w:rPr>
                    <w:t>h</w:t>
                  </w:r>
                </w:p>
              </w:tc>
              <w:tc>
                <w:tcPr>
                  <w:tcW w:w="1197" w:type="dxa"/>
                  <w:shd w:val="clear" w:color="auto" w:fill="auto"/>
                  <w:vAlign w:val="center"/>
                </w:tcPr>
                <w:p>
                  <w:pPr>
                    <w:widowControl/>
                    <w:jc w:val="center"/>
                    <w:rPr>
                      <w:kern w:val="0"/>
                      <w:szCs w:val="21"/>
                    </w:rPr>
                  </w:pPr>
                  <w:r>
                    <w:rPr>
                      <w:szCs w:val="21"/>
                    </w:rPr>
                    <w:t>4439.130</w:t>
                  </w:r>
                </w:p>
              </w:tc>
              <w:tc>
                <w:tcPr>
                  <w:tcW w:w="1132" w:type="dxa"/>
                  <w:shd w:val="clear" w:color="auto" w:fill="auto"/>
                  <w:vAlign w:val="center"/>
                </w:tcPr>
                <w:p>
                  <w:pPr>
                    <w:widowControl/>
                    <w:jc w:val="center"/>
                    <w:rPr>
                      <w:kern w:val="0"/>
                      <w:szCs w:val="21"/>
                    </w:rPr>
                  </w:pPr>
                  <w:r>
                    <w:rPr>
                      <w:szCs w:val="21"/>
                    </w:rPr>
                    <w:t>842.813</w:t>
                  </w:r>
                </w:p>
              </w:tc>
              <w:tc>
                <w:tcPr>
                  <w:tcW w:w="1197" w:type="dxa"/>
                  <w:vAlign w:val="center"/>
                </w:tcPr>
                <w:p>
                  <w:pPr>
                    <w:widowControl/>
                    <w:jc w:val="center"/>
                    <w:rPr>
                      <w:szCs w:val="21"/>
                    </w:rPr>
                  </w:pPr>
                  <w:r>
                    <w:rPr>
                      <w:rFonts w:hint="eastAsia"/>
                      <w:szCs w:val="21"/>
                    </w:rPr>
                    <w:t>12</w:t>
                  </w:r>
                  <w:r>
                    <w:rPr>
                      <w:szCs w:val="21"/>
                    </w:rPr>
                    <w:t>0</w:t>
                  </w:r>
                </w:p>
              </w:tc>
              <w:tc>
                <w:tcPr>
                  <w:tcW w:w="1135" w:type="dxa"/>
                  <w:vAlign w:val="center"/>
                </w:tcPr>
                <w:p>
                  <w:pPr>
                    <w:widowControl/>
                    <w:jc w:val="center"/>
                    <w:rPr>
                      <w:szCs w:val="21"/>
                    </w:rPr>
                  </w:pPr>
                  <w:r>
                    <w:rPr>
                      <w:rFonts w:hint="eastAsia"/>
                      <w:szCs w:val="21"/>
                    </w:rPr>
                    <w:t>39</w:t>
                  </w:r>
                </w:p>
              </w:tc>
              <w:tc>
                <w:tcPr>
                  <w:tcW w:w="648" w:type="dxa"/>
                  <w:vAlign w:val="center"/>
                </w:tcPr>
                <w:p>
                  <w:pPr>
                    <w:widowControl/>
                    <w:jc w:val="center"/>
                    <w:rPr>
                      <w:szCs w:val="21"/>
                    </w:rPr>
                  </w:pPr>
                  <w:r>
                    <w:rPr>
                      <w:rFonts w:hint="eastAsia"/>
                      <w:szCs w:val="21"/>
                    </w:rPr>
                    <w:t>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jc w:val="center"/>
              </w:trPr>
              <w:tc>
                <w:tcPr>
                  <w:tcW w:w="736" w:type="dxa"/>
                  <w:vMerge w:val="continue"/>
                  <w:vAlign w:val="center"/>
                </w:tcPr>
                <w:p>
                  <w:pPr>
                    <w:widowControl/>
                    <w:jc w:val="center"/>
                    <w:rPr>
                      <w:rFonts w:cs="宋体"/>
                      <w:kern w:val="0"/>
                      <w:szCs w:val="21"/>
                    </w:rPr>
                  </w:pPr>
                </w:p>
              </w:tc>
              <w:tc>
                <w:tcPr>
                  <w:tcW w:w="808" w:type="dxa"/>
                  <w:vMerge w:val="continue"/>
                  <w:vAlign w:val="center"/>
                </w:tcPr>
                <w:p>
                  <w:pPr>
                    <w:widowControl/>
                    <w:jc w:val="center"/>
                    <w:rPr>
                      <w:kern w:val="0"/>
                      <w:szCs w:val="21"/>
                    </w:rPr>
                  </w:pPr>
                </w:p>
              </w:tc>
              <w:tc>
                <w:tcPr>
                  <w:tcW w:w="604" w:type="dxa"/>
                  <w:shd w:val="clear" w:color="auto" w:fill="auto"/>
                  <w:vAlign w:val="center"/>
                </w:tcPr>
                <w:p>
                  <w:pPr>
                    <w:widowControl/>
                    <w:jc w:val="center"/>
                    <w:rPr>
                      <w:rFonts w:cs="宋体"/>
                      <w:kern w:val="0"/>
                      <w:szCs w:val="21"/>
                    </w:rPr>
                  </w:pPr>
                  <w:r>
                    <w:rPr>
                      <w:rFonts w:hint="eastAsia" w:cs="宋体"/>
                      <w:kern w:val="0"/>
                      <w:szCs w:val="21"/>
                    </w:rPr>
                    <w:t>氟化物</w:t>
                  </w:r>
                </w:p>
              </w:tc>
              <w:tc>
                <w:tcPr>
                  <w:tcW w:w="707" w:type="dxa"/>
                  <w:vMerge w:val="continue"/>
                  <w:vAlign w:val="center"/>
                </w:tcPr>
                <w:p>
                  <w:pPr>
                    <w:widowControl/>
                    <w:jc w:val="center"/>
                    <w:rPr>
                      <w:kern w:val="0"/>
                      <w:szCs w:val="21"/>
                    </w:rPr>
                  </w:pPr>
                </w:p>
              </w:tc>
              <w:tc>
                <w:tcPr>
                  <w:tcW w:w="1197" w:type="dxa"/>
                  <w:shd w:val="clear" w:color="auto" w:fill="auto"/>
                  <w:vAlign w:val="center"/>
                </w:tcPr>
                <w:p>
                  <w:pPr>
                    <w:widowControl/>
                    <w:jc w:val="center"/>
                    <w:rPr>
                      <w:kern w:val="0"/>
                      <w:szCs w:val="21"/>
                    </w:rPr>
                  </w:pPr>
                  <w:r>
                    <w:rPr>
                      <w:szCs w:val="21"/>
                    </w:rPr>
                    <w:t>3.694</w:t>
                  </w:r>
                </w:p>
              </w:tc>
              <w:tc>
                <w:tcPr>
                  <w:tcW w:w="1132" w:type="dxa"/>
                  <w:shd w:val="clear" w:color="auto" w:fill="auto"/>
                  <w:vAlign w:val="center"/>
                </w:tcPr>
                <w:p>
                  <w:pPr>
                    <w:widowControl/>
                    <w:jc w:val="center"/>
                    <w:rPr>
                      <w:kern w:val="0"/>
                      <w:szCs w:val="21"/>
                    </w:rPr>
                  </w:pPr>
                  <w:r>
                    <w:rPr>
                      <w:szCs w:val="21"/>
                    </w:rPr>
                    <w:t>0.701</w:t>
                  </w:r>
                </w:p>
              </w:tc>
              <w:tc>
                <w:tcPr>
                  <w:tcW w:w="1197" w:type="dxa"/>
                  <w:vAlign w:val="center"/>
                </w:tcPr>
                <w:p>
                  <w:pPr>
                    <w:widowControl/>
                    <w:jc w:val="center"/>
                    <w:rPr>
                      <w:szCs w:val="21"/>
                    </w:rPr>
                  </w:pPr>
                  <w:r>
                    <w:rPr>
                      <w:rFonts w:hint="eastAsia"/>
                      <w:szCs w:val="21"/>
                    </w:rPr>
                    <w:t>9</w:t>
                  </w:r>
                </w:p>
              </w:tc>
              <w:tc>
                <w:tcPr>
                  <w:tcW w:w="1135" w:type="dxa"/>
                  <w:vAlign w:val="center"/>
                </w:tcPr>
                <w:p>
                  <w:pPr>
                    <w:widowControl/>
                    <w:jc w:val="center"/>
                    <w:rPr>
                      <w:szCs w:val="21"/>
                    </w:rPr>
                  </w:pPr>
                  <w:r>
                    <w:rPr>
                      <w:rFonts w:hint="eastAsia"/>
                      <w:szCs w:val="21"/>
                    </w:rPr>
                    <w:t>1</w:t>
                  </w:r>
                </w:p>
              </w:tc>
              <w:tc>
                <w:tcPr>
                  <w:tcW w:w="648" w:type="dxa"/>
                  <w:vAlign w:val="center"/>
                </w:tcPr>
                <w:p>
                  <w:pPr>
                    <w:widowControl/>
                    <w:jc w:val="center"/>
                    <w:rPr>
                      <w:szCs w:val="21"/>
                    </w:rPr>
                  </w:pPr>
                  <w:r>
                    <w:rPr>
                      <w:rFonts w:hint="eastAsia"/>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jc w:val="center"/>
              </w:trPr>
              <w:tc>
                <w:tcPr>
                  <w:tcW w:w="736" w:type="dxa"/>
                  <w:vMerge w:val="continue"/>
                  <w:vAlign w:val="center"/>
                </w:tcPr>
                <w:p>
                  <w:pPr>
                    <w:widowControl/>
                    <w:jc w:val="center"/>
                    <w:rPr>
                      <w:rFonts w:cs="宋体"/>
                      <w:kern w:val="0"/>
                      <w:szCs w:val="21"/>
                    </w:rPr>
                  </w:pPr>
                </w:p>
              </w:tc>
              <w:tc>
                <w:tcPr>
                  <w:tcW w:w="808" w:type="dxa"/>
                  <w:vMerge w:val="continue"/>
                  <w:vAlign w:val="center"/>
                </w:tcPr>
                <w:p>
                  <w:pPr>
                    <w:widowControl/>
                    <w:jc w:val="center"/>
                    <w:rPr>
                      <w:kern w:val="0"/>
                      <w:szCs w:val="21"/>
                    </w:rPr>
                  </w:pPr>
                </w:p>
              </w:tc>
              <w:tc>
                <w:tcPr>
                  <w:tcW w:w="604" w:type="dxa"/>
                  <w:shd w:val="clear" w:color="auto" w:fill="auto"/>
                  <w:vAlign w:val="center"/>
                </w:tcPr>
                <w:p>
                  <w:pPr>
                    <w:widowControl/>
                    <w:jc w:val="center"/>
                    <w:rPr>
                      <w:rFonts w:cs="宋体"/>
                      <w:kern w:val="0"/>
                      <w:szCs w:val="21"/>
                    </w:rPr>
                  </w:pPr>
                  <w:r>
                    <w:rPr>
                      <w:rFonts w:hint="eastAsia" w:cs="宋体"/>
                      <w:kern w:val="0"/>
                      <w:szCs w:val="21"/>
                    </w:rPr>
                    <w:t>氮氧化物</w:t>
                  </w:r>
                </w:p>
              </w:tc>
              <w:tc>
                <w:tcPr>
                  <w:tcW w:w="707" w:type="dxa"/>
                  <w:vMerge w:val="continue"/>
                  <w:vAlign w:val="center"/>
                </w:tcPr>
                <w:p>
                  <w:pPr>
                    <w:widowControl/>
                    <w:jc w:val="center"/>
                    <w:rPr>
                      <w:kern w:val="0"/>
                      <w:szCs w:val="21"/>
                    </w:rPr>
                  </w:pPr>
                </w:p>
              </w:tc>
              <w:tc>
                <w:tcPr>
                  <w:tcW w:w="1197" w:type="dxa"/>
                  <w:shd w:val="clear" w:color="auto" w:fill="auto"/>
                  <w:vAlign w:val="center"/>
                </w:tcPr>
                <w:p>
                  <w:pPr>
                    <w:widowControl/>
                    <w:jc w:val="center"/>
                    <w:rPr>
                      <w:kern w:val="0"/>
                      <w:szCs w:val="21"/>
                    </w:rPr>
                  </w:pPr>
                  <w:r>
                    <w:rPr>
                      <w:szCs w:val="21"/>
                    </w:rPr>
                    <w:t>19.545</w:t>
                  </w:r>
                </w:p>
              </w:tc>
              <w:tc>
                <w:tcPr>
                  <w:tcW w:w="1132" w:type="dxa"/>
                  <w:shd w:val="clear" w:color="auto" w:fill="auto"/>
                  <w:vAlign w:val="center"/>
                </w:tcPr>
                <w:p>
                  <w:pPr>
                    <w:widowControl/>
                    <w:jc w:val="center"/>
                    <w:rPr>
                      <w:kern w:val="0"/>
                      <w:szCs w:val="21"/>
                    </w:rPr>
                  </w:pPr>
                  <w:r>
                    <w:rPr>
                      <w:szCs w:val="21"/>
                    </w:rPr>
                    <w:t>3.711</w:t>
                  </w:r>
                </w:p>
              </w:tc>
              <w:tc>
                <w:tcPr>
                  <w:tcW w:w="1197" w:type="dxa"/>
                  <w:vAlign w:val="center"/>
                </w:tcPr>
                <w:p>
                  <w:pPr>
                    <w:widowControl/>
                    <w:jc w:val="center"/>
                    <w:rPr>
                      <w:szCs w:val="21"/>
                    </w:rPr>
                  </w:pPr>
                  <w:r>
                    <w:rPr>
                      <w:rFonts w:hint="eastAsia"/>
                      <w:szCs w:val="21"/>
                    </w:rPr>
                    <w:t>2</w:t>
                  </w:r>
                  <w:r>
                    <w:rPr>
                      <w:szCs w:val="21"/>
                    </w:rPr>
                    <w:t>40</w:t>
                  </w:r>
                </w:p>
              </w:tc>
              <w:tc>
                <w:tcPr>
                  <w:tcW w:w="1135" w:type="dxa"/>
                  <w:vAlign w:val="center"/>
                </w:tcPr>
                <w:p>
                  <w:pPr>
                    <w:widowControl/>
                    <w:jc w:val="center"/>
                    <w:rPr>
                      <w:szCs w:val="21"/>
                    </w:rPr>
                  </w:pPr>
                  <w:r>
                    <w:rPr>
                      <w:rFonts w:hint="eastAsia"/>
                      <w:szCs w:val="21"/>
                    </w:rPr>
                    <w:t>7</w:t>
                  </w:r>
                  <w:r>
                    <w:rPr>
                      <w:szCs w:val="21"/>
                    </w:rPr>
                    <w:t>.5</w:t>
                  </w:r>
                </w:p>
              </w:tc>
              <w:tc>
                <w:tcPr>
                  <w:tcW w:w="648" w:type="dxa"/>
                  <w:vAlign w:val="center"/>
                </w:tcPr>
                <w:p>
                  <w:pPr>
                    <w:widowControl/>
                    <w:jc w:val="center"/>
                    <w:rPr>
                      <w:szCs w:val="21"/>
                    </w:rPr>
                  </w:pPr>
                  <w:r>
                    <w:rPr>
                      <w:rFonts w:hint="eastAsia"/>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jc w:val="center"/>
              </w:trPr>
              <w:tc>
                <w:tcPr>
                  <w:tcW w:w="736" w:type="dxa"/>
                  <w:vMerge w:val="continue"/>
                  <w:vAlign w:val="center"/>
                </w:tcPr>
                <w:p>
                  <w:pPr>
                    <w:widowControl/>
                    <w:jc w:val="center"/>
                    <w:rPr>
                      <w:rFonts w:cs="宋体"/>
                      <w:kern w:val="0"/>
                      <w:szCs w:val="21"/>
                    </w:rPr>
                  </w:pPr>
                </w:p>
              </w:tc>
              <w:tc>
                <w:tcPr>
                  <w:tcW w:w="808" w:type="dxa"/>
                  <w:vMerge w:val="continue"/>
                  <w:vAlign w:val="center"/>
                </w:tcPr>
                <w:p>
                  <w:pPr>
                    <w:widowControl/>
                    <w:jc w:val="center"/>
                    <w:rPr>
                      <w:kern w:val="0"/>
                      <w:szCs w:val="21"/>
                    </w:rPr>
                  </w:pPr>
                </w:p>
              </w:tc>
              <w:tc>
                <w:tcPr>
                  <w:tcW w:w="604" w:type="dxa"/>
                  <w:shd w:val="clear" w:color="auto" w:fill="auto"/>
                  <w:vAlign w:val="center"/>
                </w:tcPr>
                <w:p>
                  <w:pPr>
                    <w:widowControl/>
                    <w:jc w:val="center"/>
                    <w:rPr>
                      <w:rFonts w:cs="宋体"/>
                      <w:kern w:val="0"/>
                      <w:szCs w:val="21"/>
                    </w:rPr>
                  </w:pPr>
                  <w:r>
                    <w:rPr>
                      <w:rFonts w:hint="eastAsia" w:cs="宋体"/>
                      <w:kern w:val="0"/>
                      <w:szCs w:val="21"/>
                    </w:rPr>
                    <w:t>二氧化硫</w:t>
                  </w:r>
                </w:p>
              </w:tc>
              <w:tc>
                <w:tcPr>
                  <w:tcW w:w="707" w:type="dxa"/>
                  <w:vMerge w:val="continue"/>
                  <w:vAlign w:val="center"/>
                </w:tcPr>
                <w:p>
                  <w:pPr>
                    <w:widowControl/>
                    <w:jc w:val="center"/>
                    <w:rPr>
                      <w:kern w:val="0"/>
                      <w:szCs w:val="21"/>
                    </w:rPr>
                  </w:pPr>
                </w:p>
              </w:tc>
              <w:tc>
                <w:tcPr>
                  <w:tcW w:w="1197" w:type="dxa"/>
                  <w:shd w:val="clear" w:color="auto" w:fill="auto"/>
                  <w:vAlign w:val="center"/>
                </w:tcPr>
                <w:p>
                  <w:pPr>
                    <w:widowControl/>
                    <w:jc w:val="center"/>
                    <w:rPr>
                      <w:kern w:val="0"/>
                      <w:szCs w:val="21"/>
                    </w:rPr>
                  </w:pPr>
                  <w:r>
                    <w:rPr>
                      <w:szCs w:val="21"/>
                    </w:rPr>
                    <w:t>82.197</w:t>
                  </w:r>
                </w:p>
              </w:tc>
              <w:tc>
                <w:tcPr>
                  <w:tcW w:w="1132" w:type="dxa"/>
                  <w:shd w:val="clear" w:color="auto" w:fill="auto"/>
                  <w:vAlign w:val="center"/>
                </w:tcPr>
                <w:p>
                  <w:pPr>
                    <w:widowControl/>
                    <w:jc w:val="center"/>
                    <w:rPr>
                      <w:kern w:val="0"/>
                      <w:szCs w:val="21"/>
                    </w:rPr>
                  </w:pPr>
                  <w:r>
                    <w:rPr>
                      <w:szCs w:val="21"/>
                    </w:rPr>
                    <w:t>15.606</w:t>
                  </w:r>
                </w:p>
              </w:tc>
              <w:tc>
                <w:tcPr>
                  <w:tcW w:w="1197" w:type="dxa"/>
                  <w:vAlign w:val="center"/>
                </w:tcPr>
                <w:p>
                  <w:pPr>
                    <w:widowControl/>
                    <w:jc w:val="center"/>
                    <w:rPr>
                      <w:szCs w:val="21"/>
                    </w:rPr>
                  </w:pPr>
                  <w:r>
                    <w:rPr>
                      <w:rFonts w:hint="eastAsia"/>
                      <w:szCs w:val="21"/>
                    </w:rPr>
                    <w:t>5</w:t>
                  </w:r>
                  <w:r>
                    <w:rPr>
                      <w:szCs w:val="21"/>
                    </w:rPr>
                    <w:t>50</w:t>
                  </w:r>
                </w:p>
              </w:tc>
              <w:tc>
                <w:tcPr>
                  <w:tcW w:w="1135" w:type="dxa"/>
                  <w:vAlign w:val="center"/>
                </w:tcPr>
                <w:p>
                  <w:pPr>
                    <w:widowControl/>
                    <w:jc w:val="center"/>
                    <w:rPr>
                      <w:szCs w:val="21"/>
                    </w:rPr>
                  </w:pPr>
                  <w:r>
                    <w:rPr>
                      <w:rFonts w:hint="eastAsia"/>
                      <w:szCs w:val="21"/>
                    </w:rPr>
                    <w:t>25</w:t>
                  </w:r>
                </w:p>
              </w:tc>
              <w:tc>
                <w:tcPr>
                  <w:tcW w:w="648" w:type="dxa"/>
                  <w:vAlign w:val="center"/>
                </w:tcPr>
                <w:p>
                  <w:pPr>
                    <w:widowControl/>
                    <w:jc w:val="center"/>
                    <w:rPr>
                      <w:szCs w:val="21"/>
                    </w:rPr>
                  </w:pPr>
                  <w:r>
                    <w:rPr>
                      <w:rFonts w:hint="eastAsia"/>
                      <w:szCs w:val="21"/>
                    </w:rPr>
                    <w:t>达标</w:t>
                  </w:r>
                </w:p>
              </w:tc>
            </w:tr>
          </w:tbl>
          <w:p>
            <w:pPr>
              <w:pStyle w:val="29"/>
              <w:ind w:firstLineChars="0"/>
              <w:rPr>
                <w:color w:val="auto"/>
              </w:rPr>
            </w:pPr>
            <w:r>
              <w:rPr>
                <w:rFonts w:hint="eastAsia"/>
                <w:color w:val="auto"/>
              </w:rPr>
              <w:t>由上表可知，非正常情况下，颗粒物排放浓度超过</w:t>
            </w:r>
            <w:r>
              <w:rPr>
                <w:color w:val="auto"/>
              </w:rPr>
              <w:t>《大气污染物综合排放标准》（GB16297-1996）</w:t>
            </w:r>
            <w:r>
              <w:rPr>
                <w:rFonts w:hint="eastAsia"/>
                <w:color w:val="auto"/>
              </w:rPr>
              <w:t>中的标准限值。二氧化硫、氮氧化物、氟化物</w:t>
            </w:r>
            <w:r>
              <w:rPr>
                <w:color w:val="auto"/>
              </w:rPr>
              <w:t>能达到《大气污染物综合排放标准》（GB16297-1996）标准值</w:t>
            </w:r>
            <w:r>
              <w:rPr>
                <w:rFonts w:hint="eastAsia"/>
                <w:color w:val="auto"/>
              </w:rPr>
              <w:t>。</w:t>
            </w:r>
          </w:p>
          <w:p>
            <w:pPr>
              <w:pStyle w:val="59"/>
              <w:spacing w:line="360" w:lineRule="auto"/>
              <w:ind w:firstLine="442" w:firstLineChars="200"/>
              <w:jc w:val="both"/>
              <w:rPr>
                <w:rFonts w:ascii="Times New Roman" w:hAnsi="Times New Roman"/>
                <w:b/>
                <w:bCs/>
                <w:spacing w:val="-10"/>
                <w:sz w:val="24"/>
                <w:szCs w:val="24"/>
              </w:rPr>
            </w:pPr>
            <w:r>
              <w:rPr>
                <w:rFonts w:hint="eastAsia" w:ascii="Times New Roman" w:hAnsi="Times New Roman"/>
                <w:b/>
                <w:bCs/>
                <w:spacing w:val="-10"/>
                <w:sz w:val="24"/>
                <w:szCs w:val="24"/>
              </w:rPr>
              <w:t>2、水环境影响分析</w:t>
            </w:r>
          </w:p>
          <w:p>
            <w:pPr>
              <w:pStyle w:val="59"/>
              <w:spacing w:line="360" w:lineRule="auto"/>
              <w:ind w:firstLine="480" w:firstLineChars="200"/>
              <w:jc w:val="both"/>
              <w:rPr>
                <w:rFonts w:ascii="Times New Roman" w:hAnsi="Times New Roman"/>
                <w:sz w:val="24"/>
                <w:szCs w:val="24"/>
              </w:rPr>
            </w:pPr>
            <w:r>
              <w:rPr>
                <w:rFonts w:hint="eastAsia" w:ascii="Times New Roman" w:hAnsi="Times New Roman"/>
                <w:kern w:val="2"/>
                <w:sz w:val="24"/>
                <w:szCs w:val="20"/>
              </w:rPr>
              <w:t>改建工程建设后不改变现有装置废水产排情况，无新增生产废水产生。本项目技改不新增劳动定员，</w:t>
            </w:r>
            <w:r>
              <w:rPr>
                <w:rFonts w:hint="eastAsia" w:ascii="Times New Roman" w:hAnsi="Times New Roman"/>
                <w:sz w:val="24"/>
                <w:szCs w:val="24"/>
              </w:rPr>
              <w:t>生活污水</w:t>
            </w:r>
            <w:r>
              <w:rPr>
                <w:rFonts w:hint="eastAsia" w:ascii="Times New Roman" w:hAnsi="Times New Roman"/>
                <w:kern w:val="2"/>
                <w:sz w:val="24"/>
                <w:szCs w:val="24"/>
              </w:rPr>
              <w:t>排入自建的</w:t>
            </w:r>
            <w:r>
              <w:rPr>
                <w:rFonts w:hint="eastAsia" w:ascii="Times New Roman" w:hAnsi="Times New Roman"/>
                <w:sz w:val="24"/>
                <w:szCs w:val="24"/>
              </w:rPr>
              <w:t>污水处理站处理后回用。</w:t>
            </w:r>
          </w:p>
          <w:p>
            <w:pPr>
              <w:pStyle w:val="59"/>
              <w:spacing w:line="360" w:lineRule="auto"/>
              <w:ind w:firstLine="480" w:firstLineChars="200"/>
              <w:jc w:val="both"/>
              <w:rPr>
                <w:rFonts w:ascii="Times New Roman" w:hAnsi="Times New Roman"/>
                <w:sz w:val="24"/>
                <w:szCs w:val="24"/>
              </w:rPr>
            </w:pPr>
            <w:r>
              <w:rPr>
                <w:rFonts w:hint="eastAsia" w:ascii="Times New Roman" w:hAnsi="Times New Roman"/>
                <w:sz w:val="24"/>
                <w:szCs w:val="24"/>
              </w:rPr>
              <w:t>综上，项目废水均能妥善处置，对环境影响较小。</w:t>
            </w:r>
          </w:p>
          <w:p>
            <w:pPr>
              <w:pStyle w:val="59"/>
              <w:spacing w:line="360" w:lineRule="auto"/>
              <w:ind w:firstLine="442" w:firstLineChars="200"/>
              <w:jc w:val="both"/>
              <w:rPr>
                <w:rFonts w:ascii="Times New Roman" w:hAnsi="Times New Roman"/>
                <w:b/>
                <w:bCs/>
                <w:spacing w:val="-10"/>
                <w:sz w:val="24"/>
                <w:szCs w:val="24"/>
              </w:rPr>
            </w:pPr>
            <w:r>
              <w:rPr>
                <w:rFonts w:hint="eastAsia" w:ascii="Times New Roman" w:hAnsi="Times New Roman"/>
                <w:b/>
                <w:bCs/>
                <w:spacing w:val="-10"/>
                <w:sz w:val="24"/>
                <w:szCs w:val="24"/>
              </w:rPr>
              <w:t>3、声环境影响分析</w:t>
            </w:r>
          </w:p>
          <w:p>
            <w:pPr>
              <w:pStyle w:val="59"/>
              <w:spacing w:line="360" w:lineRule="auto"/>
              <w:ind w:firstLine="480" w:firstLineChars="200"/>
              <w:jc w:val="both"/>
              <w:rPr>
                <w:rFonts w:ascii="Times New Roman" w:hAnsi="Times New Roman"/>
                <w:sz w:val="24"/>
              </w:rPr>
            </w:pPr>
            <w:r>
              <w:rPr>
                <w:rFonts w:hint="eastAsia" w:ascii="Times New Roman" w:hAnsi="Times New Roman"/>
                <w:sz w:val="24"/>
              </w:rPr>
              <w:t>本次技改内容为：</w:t>
            </w:r>
            <w:r>
              <w:rPr>
                <w:rFonts w:ascii="Times New Roman" w:hAnsi="Times New Roman"/>
                <w:sz w:val="24"/>
              </w:rPr>
              <w:t>15</w:t>
            </w:r>
            <w:r>
              <w:rPr>
                <w:rFonts w:hint="eastAsia" w:ascii="Times New Roman" w:hAnsi="Times New Roman"/>
                <w:sz w:val="24"/>
              </w:rPr>
              <w:t>万吨</w:t>
            </w:r>
            <w:r>
              <w:rPr>
                <w:rFonts w:ascii="Times New Roman" w:hAnsi="Times New Roman"/>
                <w:sz w:val="24"/>
              </w:rPr>
              <w:t>/</w:t>
            </w:r>
            <w:r>
              <w:rPr>
                <w:rFonts w:hint="eastAsia" w:ascii="Times New Roman" w:hAnsi="Times New Roman"/>
                <w:sz w:val="24"/>
              </w:rPr>
              <w:t>年饲钙装置热风炉技改，仅对现有热风炉顶部增设一套天然气燃烧装置及控制系统，并配置天然气管道。</w:t>
            </w:r>
          </w:p>
          <w:p>
            <w:pPr>
              <w:pStyle w:val="59"/>
              <w:spacing w:line="360" w:lineRule="auto"/>
              <w:ind w:firstLine="480" w:firstLineChars="200"/>
              <w:jc w:val="both"/>
              <w:rPr>
                <w:rFonts w:ascii="Times New Roman" w:hAnsi="Times New Roman"/>
                <w:sz w:val="24"/>
              </w:rPr>
            </w:pPr>
            <w:r>
              <w:rPr>
                <w:rFonts w:hint="eastAsia" w:ascii="Times New Roman" w:hAnsi="Times New Roman"/>
                <w:sz w:val="24"/>
              </w:rPr>
              <w:t>因此，本次技改无新增噪声源。</w:t>
            </w:r>
          </w:p>
          <w:p>
            <w:pPr>
              <w:pStyle w:val="59"/>
              <w:spacing w:line="360" w:lineRule="auto"/>
              <w:ind w:firstLine="442" w:firstLineChars="200"/>
              <w:jc w:val="both"/>
              <w:rPr>
                <w:rFonts w:ascii="Times New Roman" w:hAnsi="Times New Roman"/>
                <w:b/>
                <w:bCs/>
                <w:spacing w:val="-10"/>
                <w:sz w:val="24"/>
                <w:szCs w:val="24"/>
              </w:rPr>
            </w:pPr>
            <w:r>
              <w:rPr>
                <w:rFonts w:hint="eastAsia" w:ascii="Times New Roman" w:hAnsi="Times New Roman"/>
                <w:b/>
                <w:bCs/>
                <w:spacing w:val="-10"/>
                <w:sz w:val="24"/>
                <w:szCs w:val="24"/>
              </w:rPr>
              <w:t>4、固体废物环境影响分析</w:t>
            </w:r>
          </w:p>
          <w:p>
            <w:pPr>
              <w:adjustRightInd w:val="0"/>
              <w:snapToGrid w:val="0"/>
              <w:spacing w:line="360" w:lineRule="auto"/>
              <w:ind w:firstLine="480" w:firstLineChars="200"/>
              <w:rPr>
                <w:sz w:val="24"/>
                <w:szCs w:val="20"/>
              </w:rPr>
            </w:pPr>
            <w:r>
              <w:rPr>
                <w:rFonts w:hint="eastAsia"/>
                <w:sz w:val="24"/>
                <w:szCs w:val="20"/>
              </w:rPr>
              <w:t>本项目不新增生活垃圾，技改完成后，全年使用天然气6</w:t>
            </w:r>
            <w:r>
              <w:rPr>
                <w:sz w:val="24"/>
                <w:szCs w:val="20"/>
              </w:rPr>
              <w:t>00h</w:t>
            </w:r>
            <w:r>
              <w:rPr>
                <w:rFonts w:hint="eastAsia"/>
                <w:sz w:val="24"/>
                <w:szCs w:val="20"/>
              </w:rPr>
              <w:t>作为燃料，可以削减燃煤的使用量，从而减少炉渣产生。</w:t>
            </w:r>
          </w:p>
          <w:p>
            <w:pPr>
              <w:adjustRightInd w:val="0"/>
              <w:snapToGrid w:val="0"/>
              <w:spacing w:line="360" w:lineRule="auto"/>
              <w:ind w:firstLine="480" w:firstLineChars="200"/>
              <w:rPr>
                <w:sz w:val="24"/>
                <w:szCs w:val="20"/>
              </w:rPr>
            </w:pPr>
            <w:r>
              <w:rPr>
                <w:rFonts w:hint="eastAsia"/>
                <w:sz w:val="24"/>
                <w:szCs w:val="20"/>
              </w:rPr>
              <w:t>技改前热风炉炉渣产生量为</w:t>
            </w:r>
            <w:r>
              <w:rPr>
                <w:sz w:val="24"/>
                <w:szCs w:val="20"/>
              </w:rPr>
              <w:t>2335t/a</w:t>
            </w:r>
            <w:r>
              <w:rPr>
                <w:rFonts w:hint="eastAsia"/>
                <w:sz w:val="24"/>
                <w:szCs w:val="20"/>
              </w:rPr>
              <w:t>，外售作为建材，1</w:t>
            </w:r>
            <w:r>
              <w:rPr>
                <w:sz w:val="24"/>
                <w:szCs w:val="20"/>
              </w:rPr>
              <w:t>00%</w:t>
            </w:r>
            <w:r>
              <w:rPr>
                <w:rFonts w:hint="eastAsia"/>
                <w:sz w:val="24"/>
                <w:szCs w:val="20"/>
              </w:rPr>
              <w:t>处置，不外排；技改完成后炉渣产生量为2</w:t>
            </w:r>
            <w:r>
              <w:rPr>
                <w:sz w:val="24"/>
                <w:szCs w:val="20"/>
              </w:rPr>
              <w:t>140t</w:t>
            </w:r>
            <w:r>
              <w:rPr>
                <w:rFonts w:hint="eastAsia"/>
                <w:sz w:val="24"/>
                <w:szCs w:val="20"/>
              </w:rPr>
              <w:t>/a，每年减少炉渣</w:t>
            </w:r>
            <w:r>
              <w:rPr>
                <w:sz w:val="24"/>
                <w:szCs w:val="20"/>
              </w:rPr>
              <w:t>195t/a</w:t>
            </w:r>
            <w:r>
              <w:rPr>
                <w:rFonts w:hint="eastAsia"/>
                <w:sz w:val="24"/>
                <w:szCs w:val="20"/>
              </w:rPr>
              <w:t>，炉渣依托现有</w:t>
            </w:r>
            <w:r>
              <w:rPr>
                <w:rFonts w:hint="eastAsia"/>
                <w:sz w:val="24"/>
              </w:rPr>
              <w:t>锅炉房旁炉渣堆场暂存，定期外售给晋宁智越成工贸有限公司作为建材使用。</w:t>
            </w:r>
          </w:p>
          <w:p>
            <w:pPr>
              <w:pStyle w:val="29"/>
              <w:ind w:firstLine="480"/>
              <w:rPr>
                <w:color w:val="auto"/>
              </w:rPr>
            </w:pPr>
            <w:r>
              <w:rPr>
                <w:rFonts w:hint="eastAsia"/>
                <w:color w:val="auto"/>
              </w:rPr>
              <w:t>根据《固体废物鉴别标准通则》（G</w:t>
            </w:r>
            <w:r>
              <w:rPr>
                <w:color w:val="auto"/>
              </w:rPr>
              <w:t>B34330-2017</w:t>
            </w:r>
            <w:r>
              <w:rPr>
                <w:rFonts w:hint="eastAsia"/>
                <w:color w:val="auto"/>
              </w:rPr>
              <w:t>），项目固废属性判定情况见表4</w:t>
            </w:r>
            <w:r>
              <w:rPr>
                <w:color w:val="auto"/>
              </w:rPr>
              <w:t>-8</w:t>
            </w:r>
            <w:r>
              <w:rPr>
                <w:rFonts w:hint="eastAsia"/>
                <w:color w:val="auto"/>
              </w:rPr>
              <w:t>。</w:t>
            </w:r>
          </w:p>
          <w:p>
            <w:pPr>
              <w:adjustRightInd w:val="0"/>
              <w:spacing w:line="360" w:lineRule="auto"/>
              <w:ind w:firstLine="422" w:firstLineChars="200"/>
              <w:jc w:val="center"/>
              <w:outlineLvl w:val="0"/>
              <w:rPr>
                <w:b/>
              </w:rPr>
            </w:pPr>
            <w:bookmarkStart w:id="31" w:name="_Toc117775795"/>
            <w:r>
              <w:rPr>
                <w:rFonts w:hint="eastAsia"/>
                <w:b/>
              </w:rPr>
              <w:t>表4</w:t>
            </w:r>
            <w:r>
              <w:rPr>
                <w:b/>
              </w:rPr>
              <w:t>-8</w:t>
            </w:r>
            <w:r>
              <w:rPr>
                <w:rFonts w:hint="eastAsia"/>
                <w:b/>
              </w:rPr>
              <w:t xml:space="preserve"> </w:t>
            </w:r>
            <w:r>
              <w:rPr>
                <w:b/>
              </w:rPr>
              <w:t xml:space="preserve"> </w:t>
            </w:r>
            <w:r>
              <w:rPr>
                <w:rFonts w:hint="eastAsia"/>
                <w:b/>
              </w:rPr>
              <w:t>技改项目固废属性判定表</w:t>
            </w:r>
            <w:bookmarkEnd w:id="31"/>
          </w:p>
          <w:tbl>
            <w:tblPr>
              <w:tblStyle w:val="23"/>
              <w:tblW w:w="8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30"/>
              <w:gridCol w:w="1149"/>
              <w:gridCol w:w="842"/>
              <w:gridCol w:w="1123"/>
              <w:gridCol w:w="1123"/>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630" w:type="dxa"/>
                  <w:vAlign w:val="center"/>
                </w:tcPr>
                <w:p>
                  <w:pPr>
                    <w:pStyle w:val="29"/>
                    <w:spacing w:line="240" w:lineRule="auto"/>
                    <w:ind w:firstLine="0" w:firstLineChars="0"/>
                    <w:jc w:val="center"/>
                    <w:rPr>
                      <w:b/>
                      <w:bCs/>
                      <w:color w:val="auto"/>
                      <w:sz w:val="21"/>
                      <w:szCs w:val="21"/>
                    </w:rPr>
                  </w:pPr>
                  <w:r>
                    <w:rPr>
                      <w:rFonts w:hint="eastAsia"/>
                      <w:b/>
                      <w:bCs/>
                      <w:color w:val="auto"/>
                      <w:sz w:val="21"/>
                      <w:szCs w:val="21"/>
                    </w:rPr>
                    <w:t>序号</w:t>
                  </w:r>
                </w:p>
              </w:tc>
              <w:tc>
                <w:tcPr>
                  <w:tcW w:w="630" w:type="dxa"/>
                  <w:vAlign w:val="center"/>
                </w:tcPr>
                <w:p>
                  <w:pPr>
                    <w:pStyle w:val="29"/>
                    <w:spacing w:line="240" w:lineRule="auto"/>
                    <w:ind w:firstLine="0" w:firstLineChars="0"/>
                    <w:jc w:val="center"/>
                    <w:rPr>
                      <w:b/>
                      <w:bCs/>
                      <w:color w:val="auto"/>
                      <w:sz w:val="21"/>
                      <w:szCs w:val="21"/>
                    </w:rPr>
                  </w:pPr>
                  <w:r>
                    <w:rPr>
                      <w:rFonts w:hint="eastAsia"/>
                      <w:b/>
                      <w:bCs/>
                      <w:color w:val="auto"/>
                      <w:sz w:val="21"/>
                      <w:szCs w:val="21"/>
                    </w:rPr>
                    <w:t>名称</w:t>
                  </w:r>
                </w:p>
              </w:tc>
              <w:tc>
                <w:tcPr>
                  <w:tcW w:w="1149" w:type="dxa"/>
                  <w:vAlign w:val="center"/>
                </w:tcPr>
                <w:p>
                  <w:pPr>
                    <w:pStyle w:val="29"/>
                    <w:spacing w:line="240" w:lineRule="auto"/>
                    <w:ind w:firstLine="0" w:firstLineChars="0"/>
                    <w:jc w:val="center"/>
                    <w:rPr>
                      <w:b/>
                      <w:bCs/>
                      <w:color w:val="auto"/>
                      <w:sz w:val="21"/>
                      <w:szCs w:val="21"/>
                    </w:rPr>
                  </w:pPr>
                  <w:r>
                    <w:rPr>
                      <w:rFonts w:hint="eastAsia"/>
                      <w:b/>
                      <w:bCs/>
                      <w:color w:val="auto"/>
                      <w:sz w:val="21"/>
                      <w:szCs w:val="21"/>
                    </w:rPr>
                    <w:t>产生工序</w:t>
                  </w:r>
                </w:p>
              </w:tc>
              <w:tc>
                <w:tcPr>
                  <w:tcW w:w="842" w:type="dxa"/>
                  <w:vAlign w:val="center"/>
                </w:tcPr>
                <w:p>
                  <w:pPr>
                    <w:pStyle w:val="29"/>
                    <w:spacing w:line="240" w:lineRule="auto"/>
                    <w:ind w:firstLine="0" w:firstLineChars="0"/>
                    <w:jc w:val="center"/>
                    <w:rPr>
                      <w:b/>
                      <w:bCs/>
                      <w:color w:val="auto"/>
                      <w:sz w:val="21"/>
                      <w:szCs w:val="21"/>
                    </w:rPr>
                  </w:pPr>
                  <w:r>
                    <w:rPr>
                      <w:rFonts w:hint="eastAsia"/>
                      <w:b/>
                      <w:bCs/>
                      <w:color w:val="auto"/>
                      <w:sz w:val="21"/>
                      <w:szCs w:val="21"/>
                    </w:rPr>
                    <w:t>形态</w:t>
                  </w:r>
                </w:p>
              </w:tc>
              <w:tc>
                <w:tcPr>
                  <w:tcW w:w="1123" w:type="dxa"/>
                  <w:vAlign w:val="center"/>
                </w:tcPr>
                <w:p>
                  <w:pPr>
                    <w:pStyle w:val="29"/>
                    <w:spacing w:line="240" w:lineRule="auto"/>
                    <w:ind w:firstLine="0" w:firstLineChars="0"/>
                    <w:jc w:val="center"/>
                    <w:rPr>
                      <w:b/>
                      <w:bCs/>
                      <w:color w:val="auto"/>
                      <w:sz w:val="21"/>
                      <w:szCs w:val="21"/>
                    </w:rPr>
                  </w:pPr>
                  <w:r>
                    <w:rPr>
                      <w:rFonts w:hint="eastAsia"/>
                      <w:b/>
                      <w:bCs/>
                      <w:color w:val="auto"/>
                      <w:sz w:val="21"/>
                      <w:szCs w:val="21"/>
                    </w:rPr>
                    <w:t>主要成分</w:t>
                  </w:r>
                </w:p>
              </w:tc>
              <w:tc>
                <w:tcPr>
                  <w:tcW w:w="1123" w:type="dxa"/>
                  <w:vAlign w:val="center"/>
                </w:tcPr>
                <w:p>
                  <w:pPr>
                    <w:pStyle w:val="29"/>
                    <w:spacing w:line="240" w:lineRule="auto"/>
                    <w:ind w:firstLine="0" w:firstLineChars="0"/>
                    <w:jc w:val="center"/>
                    <w:rPr>
                      <w:b/>
                      <w:bCs/>
                      <w:color w:val="auto"/>
                      <w:sz w:val="21"/>
                      <w:szCs w:val="21"/>
                    </w:rPr>
                  </w:pPr>
                  <w:r>
                    <w:rPr>
                      <w:rFonts w:hint="eastAsia"/>
                      <w:b/>
                      <w:bCs/>
                      <w:color w:val="auto"/>
                      <w:sz w:val="21"/>
                      <w:szCs w:val="21"/>
                    </w:rPr>
                    <w:t>是否属于固废</w:t>
                  </w:r>
                </w:p>
              </w:tc>
              <w:tc>
                <w:tcPr>
                  <w:tcW w:w="2730" w:type="dxa"/>
                  <w:vAlign w:val="center"/>
                </w:tcPr>
                <w:p>
                  <w:pPr>
                    <w:pStyle w:val="29"/>
                    <w:spacing w:line="240" w:lineRule="auto"/>
                    <w:ind w:firstLine="0" w:firstLineChars="0"/>
                    <w:jc w:val="center"/>
                    <w:rPr>
                      <w:b/>
                      <w:bCs/>
                      <w:color w:val="auto"/>
                      <w:sz w:val="21"/>
                      <w:szCs w:val="21"/>
                    </w:rPr>
                  </w:pPr>
                  <w:r>
                    <w:rPr>
                      <w:rFonts w:hint="eastAsia"/>
                      <w:b/>
                      <w:bCs/>
                      <w:color w:val="auto"/>
                      <w:sz w:val="21"/>
                      <w:szCs w:val="21"/>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630" w:type="dxa"/>
                  <w:vAlign w:val="center"/>
                </w:tcPr>
                <w:p>
                  <w:pPr>
                    <w:pStyle w:val="29"/>
                    <w:spacing w:line="240" w:lineRule="auto"/>
                    <w:ind w:firstLine="0" w:firstLineChars="0"/>
                    <w:jc w:val="center"/>
                    <w:rPr>
                      <w:color w:val="auto"/>
                      <w:sz w:val="21"/>
                      <w:szCs w:val="21"/>
                    </w:rPr>
                  </w:pPr>
                  <w:r>
                    <w:rPr>
                      <w:rFonts w:hint="eastAsia"/>
                      <w:color w:val="auto"/>
                      <w:sz w:val="21"/>
                      <w:szCs w:val="21"/>
                    </w:rPr>
                    <w:t>1</w:t>
                  </w:r>
                </w:p>
              </w:tc>
              <w:tc>
                <w:tcPr>
                  <w:tcW w:w="630" w:type="dxa"/>
                  <w:vAlign w:val="center"/>
                </w:tcPr>
                <w:p>
                  <w:pPr>
                    <w:pStyle w:val="29"/>
                    <w:spacing w:line="240" w:lineRule="auto"/>
                    <w:ind w:firstLine="0" w:firstLineChars="0"/>
                    <w:jc w:val="center"/>
                    <w:rPr>
                      <w:color w:val="auto"/>
                      <w:sz w:val="21"/>
                      <w:szCs w:val="21"/>
                    </w:rPr>
                  </w:pPr>
                  <w:r>
                    <w:rPr>
                      <w:rFonts w:hint="eastAsia"/>
                      <w:color w:val="auto"/>
                      <w:sz w:val="21"/>
                      <w:szCs w:val="21"/>
                    </w:rPr>
                    <w:t>炉渣</w:t>
                  </w:r>
                </w:p>
              </w:tc>
              <w:tc>
                <w:tcPr>
                  <w:tcW w:w="1149" w:type="dxa"/>
                  <w:vAlign w:val="center"/>
                </w:tcPr>
                <w:p>
                  <w:pPr>
                    <w:pStyle w:val="29"/>
                    <w:spacing w:line="240" w:lineRule="auto"/>
                    <w:ind w:firstLine="0" w:firstLineChars="0"/>
                    <w:jc w:val="center"/>
                    <w:rPr>
                      <w:color w:val="auto"/>
                      <w:sz w:val="21"/>
                      <w:szCs w:val="21"/>
                    </w:rPr>
                  </w:pPr>
                  <w:r>
                    <w:rPr>
                      <w:rFonts w:hint="eastAsia"/>
                      <w:color w:val="auto"/>
                      <w:sz w:val="21"/>
                      <w:szCs w:val="21"/>
                    </w:rPr>
                    <w:t>热风炉燃烧</w:t>
                  </w:r>
                </w:p>
              </w:tc>
              <w:tc>
                <w:tcPr>
                  <w:tcW w:w="842" w:type="dxa"/>
                  <w:vAlign w:val="center"/>
                </w:tcPr>
                <w:p>
                  <w:pPr>
                    <w:pStyle w:val="29"/>
                    <w:spacing w:line="240" w:lineRule="auto"/>
                    <w:ind w:firstLine="0" w:firstLineChars="0"/>
                    <w:jc w:val="center"/>
                    <w:rPr>
                      <w:color w:val="auto"/>
                      <w:sz w:val="21"/>
                      <w:szCs w:val="21"/>
                    </w:rPr>
                  </w:pPr>
                  <w:r>
                    <w:rPr>
                      <w:rFonts w:hint="eastAsia"/>
                      <w:color w:val="auto"/>
                      <w:sz w:val="21"/>
                      <w:szCs w:val="21"/>
                    </w:rPr>
                    <w:t>固废</w:t>
                  </w:r>
                </w:p>
              </w:tc>
              <w:tc>
                <w:tcPr>
                  <w:tcW w:w="1123" w:type="dxa"/>
                  <w:vAlign w:val="center"/>
                </w:tcPr>
                <w:p>
                  <w:pPr>
                    <w:pStyle w:val="29"/>
                    <w:spacing w:line="240" w:lineRule="auto"/>
                    <w:ind w:firstLine="0" w:firstLineChars="0"/>
                    <w:jc w:val="center"/>
                    <w:rPr>
                      <w:color w:val="auto"/>
                      <w:sz w:val="21"/>
                      <w:szCs w:val="21"/>
                    </w:rPr>
                  </w:pPr>
                  <w:r>
                    <w:rPr>
                      <w:rFonts w:hint="eastAsia"/>
                      <w:color w:val="auto"/>
                      <w:sz w:val="21"/>
                      <w:szCs w:val="21"/>
                    </w:rPr>
                    <w:t>灰渣</w:t>
                  </w:r>
                </w:p>
              </w:tc>
              <w:tc>
                <w:tcPr>
                  <w:tcW w:w="1123" w:type="dxa"/>
                  <w:vAlign w:val="center"/>
                </w:tcPr>
                <w:p>
                  <w:pPr>
                    <w:pStyle w:val="29"/>
                    <w:spacing w:line="240" w:lineRule="auto"/>
                    <w:ind w:firstLine="0" w:firstLineChars="0"/>
                    <w:jc w:val="center"/>
                    <w:rPr>
                      <w:color w:val="auto"/>
                      <w:sz w:val="21"/>
                      <w:szCs w:val="21"/>
                    </w:rPr>
                  </w:pPr>
                  <w:r>
                    <w:rPr>
                      <w:rFonts w:hint="eastAsia"/>
                      <w:color w:val="auto"/>
                      <w:sz w:val="21"/>
                      <w:szCs w:val="21"/>
                    </w:rPr>
                    <w:t>是</w:t>
                  </w:r>
                </w:p>
              </w:tc>
              <w:tc>
                <w:tcPr>
                  <w:tcW w:w="2730" w:type="dxa"/>
                  <w:vAlign w:val="center"/>
                </w:tcPr>
                <w:p>
                  <w:pPr>
                    <w:pStyle w:val="29"/>
                    <w:spacing w:line="240" w:lineRule="auto"/>
                    <w:ind w:firstLine="0" w:firstLineChars="0"/>
                    <w:jc w:val="center"/>
                    <w:rPr>
                      <w:color w:val="auto"/>
                      <w:sz w:val="21"/>
                      <w:szCs w:val="21"/>
                    </w:rPr>
                  </w:pPr>
                  <w:r>
                    <w:rPr>
                      <w:rFonts w:hint="eastAsia"/>
                      <w:color w:val="auto"/>
                      <w:sz w:val="21"/>
                      <w:szCs w:val="21"/>
                    </w:rPr>
                    <w:t>《固体废物鉴别标准通则》（G</w:t>
                  </w:r>
                  <w:r>
                    <w:rPr>
                      <w:color w:val="auto"/>
                      <w:sz w:val="21"/>
                      <w:szCs w:val="21"/>
                    </w:rPr>
                    <w:t>B34330-2017</w:t>
                  </w:r>
                  <w:r>
                    <w:rPr>
                      <w:rFonts w:hint="eastAsia"/>
                      <w:color w:val="auto"/>
                      <w:sz w:val="21"/>
                      <w:szCs w:val="21"/>
                    </w:rPr>
                    <w:t>）</w:t>
                  </w:r>
                </w:p>
              </w:tc>
            </w:tr>
          </w:tbl>
          <w:p>
            <w:pPr>
              <w:pStyle w:val="59"/>
              <w:spacing w:line="360" w:lineRule="auto"/>
              <w:ind w:firstLine="442" w:firstLineChars="200"/>
              <w:jc w:val="both"/>
              <w:rPr>
                <w:rFonts w:ascii="Times New Roman" w:hAnsi="Times New Roman"/>
                <w:b/>
                <w:bCs/>
                <w:spacing w:val="-10"/>
                <w:sz w:val="24"/>
                <w:szCs w:val="24"/>
              </w:rPr>
            </w:pPr>
            <w:r>
              <w:rPr>
                <w:rFonts w:hint="eastAsia" w:ascii="Times New Roman" w:hAnsi="Times New Roman"/>
                <w:b/>
                <w:bCs/>
                <w:spacing w:val="-10"/>
                <w:sz w:val="24"/>
                <w:szCs w:val="24"/>
              </w:rPr>
              <w:t>5、地下水、土壤环境影响评价</w:t>
            </w:r>
          </w:p>
          <w:p>
            <w:pPr>
              <w:spacing w:line="360" w:lineRule="auto"/>
              <w:ind w:firstLine="480" w:firstLineChars="200"/>
              <w:rPr>
                <w:sz w:val="24"/>
              </w:rPr>
            </w:pPr>
            <w:r>
              <w:rPr>
                <w:rFonts w:hint="eastAsia"/>
                <w:sz w:val="24"/>
              </w:rPr>
              <w:t>根据《环境影响评价技术导则 地下水环境》（</w:t>
            </w:r>
            <w:r>
              <w:rPr>
                <w:sz w:val="24"/>
              </w:rPr>
              <w:t>HJ 610-2016</w:t>
            </w:r>
            <w:r>
              <w:rPr>
                <w:rFonts w:hint="eastAsia"/>
                <w:sz w:val="24"/>
              </w:rPr>
              <w:t>），地下水环境评价工作等级的划分是由项目类别及地下水环境敏感程度确定，根据《环境影响评价技术导则地下水环境》（</w:t>
            </w:r>
            <w:r>
              <w:rPr>
                <w:sz w:val="24"/>
              </w:rPr>
              <w:t>HJ 610-2016</w:t>
            </w:r>
            <w:r>
              <w:rPr>
                <w:rFonts w:hint="eastAsia"/>
                <w:sz w:val="24"/>
              </w:rPr>
              <w:t>）附录</w:t>
            </w:r>
            <w:r>
              <w:rPr>
                <w:sz w:val="24"/>
              </w:rPr>
              <w:t xml:space="preserve"> A</w:t>
            </w:r>
            <w:r>
              <w:rPr>
                <w:rFonts w:hint="eastAsia"/>
                <w:sz w:val="24"/>
              </w:rPr>
              <w:t>，本项目属“U142热力生产和供应工程”，属于地下水环境影响评价项目的Ⅳ类建设项目，根据《环境影响评价技术导则地下水环境》（</w:t>
            </w:r>
            <w:r>
              <w:rPr>
                <w:sz w:val="24"/>
              </w:rPr>
              <w:t>HJ 610-2016</w:t>
            </w:r>
            <w:r>
              <w:rPr>
                <w:rFonts w:hint="eastAsia"/>
                <w:sz w:val="24"/>
              </w:rPr>
              <w:t>），Ⅳ类建设项目不开展地下水环境影响评价，故项目不开展地下水环境影响评价。</w:t>
            </w:r>
          </w:p>
          <w:p>
            <w:pPr>
              <w:pStyle w:val="29"/>
              <w:ind w:firstLine="480"/>
              <w:rPr>
                <w:color w:val="auto"/>
              </w:rPr>
            </w:pPr>
            <w:r>
              <w:rPr>
                <w:rFonts w:hint="eastAsia"/>
                <w:color w:val="auto"/>
              </w:rPr>
              <w:t>根据《环境影响评价技术导则 土壤环境》（H</w:t>
            </w:r>
            <w:r>
              <w:rPr>
                <w:color w:val="auto"/>
              </w:rPr>
              <w:t>J964-2018</w:t>
            </w:r>
            <w:r>
              <w:rPr>
                <w:rFonts w:hint="eastAsia"/>
                <w:color w:val="auto"/>
              </w:rPr>
              <w:t>）附录土壤环境影响</w:t>
            </w:r>
            <w:r>
              <w:rPr>
                <w:rFonts w:hint="eastAsia"/>
                <w:color w:val="auto"/>
                <w:kern w:val="0"/>
              </w:rPr>
              <w:t>项目类别。项目行业中的“电力热力燃气及水生产和供应业”中的其他类别，土壤环境影响评价范围为Ⅳ类，不需开展土壤环境影响评价。</w:t>
            </w:r>
          </w:p>
          <w:p>
            <w:pPr>
              <w:pStyle w:val="59"/>
              <w:spacing w:line="360" w:lineRule="auto"/>
              <w:ind w:firstLine="442" w:firstLineChars="200"/>
              <w:jc w:val="both"/>
              <w:rPr>
                <w:rFonts w:ascii="Times New Roman" w:hAnsi="Times New Roman"/>
                <w:b/>
                <w:bCs/>
                <w:spacing w:val="-10"/>
                <w:sz w:val="24"/>
                <w:szCs w:val="24"/>
              </w:rPr>
            </w:pPr>
            <w:r>
              <w:rPr>
                <w:rFonts w:hint="eastAsia" w:ascii="Times New Roman" w:hAnsi="Times New Roman"/>
                <w:b/>
                <w:bCs/>
                <w:spacing w:val="-10"/>
                <w:sz w:val="24"/>
                <w:szCs w:val="24"/>
              </w:rPr>
              <w:t>6、生态环境</w:t>
            </w:r>
          </w:p>
          <w:p>
            <w:pPr>
              <w:spacing w:line="360" w:lineRule="auto"/>
              <w:ind w:firstLine="480" w:firstLineChars="200"/>
              <w:rPr>
                <w:sz w:val="24"/>
              </w:rPr>
            </w:pPr>
            <w:r>
              <w:rPr>
                <w:rFonts w:hint="eastAsia"/>
                <w:sz w:val="24"/>
              </w:rPr>
              <w:t>本项目位于工业园区标准厂房内，根据《环境影响评价技术导则 生态影响》（HJ19-2022），位于已批准规划环评的产业园区内且符合规划环评要求、不涉及生态敏感区的污染影响类建设项目，可不设评价等级。</w:t>
            </w:r>
          </w:p>
          <w:p>
            <w:pPr>
              <w:spacing w:line="360" w:lineRule="auto"/>
              <w:ind w:firstLine="480" w:firstLineChars="200"/>
              <w:rPr>
                <w:sz w:val="24"/>
              </w:rPr>
            </w:pPr>
            <w:r>
              <w:rPr>
                <w:rFonts w:hint="eastAsia"/>
                <w:sz w:val="24"/>
              </w:rPr>
              <w:t>根据现场踏勘，项目所在地标准厂房已建成并通过环保验收，项目周围自然生态系统已经演化成人工生态系统，所在位置基本被建筑物覆盖。</w:t>
            </w:r>
          </w:p>
          <w:p>
            <w:pPr>
              <w:pStyle w:val="59"/>
              <w:spacing w:line="360" w:lineRule="auto"/>
              <w:ind w:firstLine="442" w:firstLineChars="200"/>
              <w:jc w:val="both"/>
              <w:rPr>
                <w:rFonts w:ascii="Times New Roman" w:hAnsi="Times New Roman"/>
                <w:b/>
                <w:bCs/>
                <w:spacing w:val="-10"/>
                <w:sz w:val="24"/>
                <w:szCs w:val="24"/>
              </w:rPr>
            </w:pPr>
            <w:r>
              <w:rPr>
                <w:rFonts w:hint="eastAsia" w:ascii="Times New Roman" w:hAnsi="Times New Roman"/>
                <w:b/>
                <w:bCs/>
                <w:spacing w:val="-10"/>
                <w:sz w:val="24"/>
                <w:szCs w:val="24"/>
              </w:rPr>
              <w:t>7、环境风险影响分析</w:t>
            </w:r>
          </w:p>
          <w:p>
            <w:pPr>
              <w:spacing w:line="360" w:lineRule="auto"/>
              <w:ind w:firstLine="480" w:firstLineChars="200"/>
              <w:rPr>
                <w:sz w:val="24"/>
              </w:rPr>
            </w:pPr>
            <w:r>
              <w:rPr>
                <w:rFonts w:hint="eastAsia"/>
                <w:sz w:val="24"/>
              </w:rPr>
              <w:t>（1）环境风险评价目的和评价内容</w:t>
            </w:r>
          </w:p>
          <w:p>
            <w:pPr>
              <w:spacing w:line="360" w:lineRule="auto"/>
              <w:ind w:firstLine="480" w:firstLineChars="200"/>
              <w:rPr>
                <w:sz w:val="24"/>
              </w:rPr>
            </w:pPr>
            <w:r>
              <w:rPr>
                <w:rFonts w:hint="eastAsia"/>
                <w:sz w:val="24"/>
              </w:rPr>
              <w:t>环境风险评价目的是分析和预测建设项目存在的潜在危险、有害因素，项目建设期和运营期可能发生的突发性事件或事故（一般不包括人为破坏及自然灾害），引起有毒有害和易燃易爆等物质泄漏，所造成的人身安全与环境影响和损害程度，提出合理可行的防范、应急与减缓措施，以使建设项目事故率、损失和环境影响程度达到可接受水平。</w:t>
            </w:r>
          </w:p>
          <w:p>
            <w:pPr>
              <w:spacing w:line="360" w:lineRule="auto"/>
              <w:ind w:firstLine="480" w:firstLineChars="200"/>
              <w:rPr>
                <w:sz w:val="24"/>
              </w:rPr>
            </w:pPr>
            <w:r>
              <w:rPr>
                <w:rFonts w:hint="eastAsia"/>
                <w:sz w:val="24"/>
              </w:rPr>
              <w:t>根据《建设项目环境风险评价技术导则》（HJ/T169-2018），本次风险评价的主要内容是：通过分析项目涉及主要物质的危险性，识别主要危险单元、进 行环境风险潜势初判，找出风险事故原因及其对环境产生的影响，最后提出风险防范措施和应急预案。</w:t>
            </w:r>
          </w:p>
          <w:p>
            <w:pPr>
              <w:spacing w:line="360" w:lineRule="auto"/>
              <w:ind w:firstLine="480" w:firstLineChars="200"/>
              <w:rPr>
                <w:sz w:val="24"/>
              </w:rPr>
            </w:pPr>
            <w:r>
              <w:rPr>
                <w:rFonts w:hint="eastAsia"/>
                <w:sz w:val="24"/>
              </w:rPr>
              <w:t>（2）环境风险评价等级</w:t>
            </w:r>
          </w:p>
          <w:p>
            <w:pPr>
              <w:spacing w:line="360" w:lineRule="auto"/>
              <w:ind w:firstLine="480" w:firstLineChars="200"/>
              <w:rPr>
                <w:sz w:val="24"/>
              </w:rPr>
            </w:pPr>
            <w:r>
              <w:rPr>
                <w:rFonts w:hint="eastAsia"/>
                <w:sz w:val="24"/>
              </w:rPr>
              <w:t>根据《建设项目环境风险评价技术导则》（HJ/T169-2018）附录B“表B</w:t>
            </w:r>
            <w:r>
              <w:rPr>
                <w:sz w:val="24"/>
              </w:rPr>
              <w:t>.1</w:t>
            </w:r>
            <w:r>
              <w:rPr>
                <w:rFonts w:hint="eastAsia"/>
                <w:sz w:val="24"/>
              </w:rPr>
              <w:t>突发环境事件风险物质及临界量”，本项目涉及的危险物质为天然气（主要成分为甲烷）。本项目危险单位为输气管线和调压柜内的天然气，项目管线总厂区为9</w:t>
            </w:r>
            <w:r>
              <w:rPr>
                <w:sz w:val="24"/>
              </w:rPr>
              <w:t>6m</w:t>
            </w:r>
            <w:r>
              <w:rPr>
                <w:rFonts w:hint="eastAsia"/>
                <w:sz w:val="24"/>
              </w:rPr>
              <w:t>，压埋地燃气管道选用PE管；架空管道选用无缝钢管，调压柜内调压仓容量为调压腔容量0.57方。天然气输送压力为5</w:t>
            </w:r>
            <w:r>
              <w:rPr>
                <w:sz w:val="24"/>
              </w:rPr>
              <w:t>0-80kPa</w:t>
            </w:r>
            <w:r>
              <w:rPr>
                <w:rFonts w:hint="eastAsia"/>
                <w:sz w:val="24"/>
              </w:rPr>
              <w:t>。在此状态下，输送的天然气密度为：</w:t>
            </w:r>
            <w:r>
              <w:rPr>
                <w:sz w:val="24"/>
              </w:rPr>
              <w:t>0.7kg</w:t>
            </w:r>
            <w:r>
              <w:rPr>
                <w:rFonts w:hint="eastAsia"/>
                <w:sz w:val="24"/>
              </w:rPr>
              <w:t>/m</w:t>
            </w:r>
            <w:r>
              <w:rPr>
                <w:sz w:val="24"/>
                <w:vertAlign w:val="superscript"/>
              </w:rPr>
              <w:t>3</w:t>
            </w:r>
            <w:r>
              <w:rPr>
                <w:rFonts w:hint="eastAsia"/>
                <w:sz w:val="24"/>
              </w:rPr>
              <w:t>，本项目Q值确定见表</w:t>
            </w:r>
            <w:r>
              <w:rPr>
                <w:sz w:val="24"/>
              </w:rPr>
              <w:t>4-9</w:t>
            </w:r>
            <w:r>
              <w:rPr>
                <w:rFonts w:hint="eastAsia"/>
                <w:sz w:val="24"/>
              </w:rPr>
              <w:t>。</w:t>
            </w:r>
          </w:p>
          <w:p>
            <w:pPr>
              <w:adjustRightInd w:val="0"/>
              <w:spacing w:line="360" w:lineRule="auto"/>
              <w:ind w:firstLine="422" w:firstLineChars="200"/>
              <w:jc w:val="center"/>
              <w:outlineLvl w:val="0"/>
              <w:rPr>
                <w:b/>
              </w:rPr>
            </w:pPr>
            <w:bookmarkStart w:id="32" w:name="_Toc117775796"/>
            <w:r>
              <w:rPr>
                <w:rFonts w:hint="eastAsia"/>
                <w:b/>
              </w:rPr>
              <w:t>表4-</w:t>
            </w:r>
            <w:r>
              <w:rPr>
                <w:b/>
              </w:rPr>
              <w:t>9</w:t>
            </w:r>
            <w:r>
              <w:rPr>
                <w:rFonts w:hint="eastAsia"/>
                <w:b/>
              </w:rPr>
              <w:t xml:space="preserve">    本项目危险物质Q值确定表</w:t>
            </w:r>
            <w:bookmarkEnd w:id="32"/>
          </w:p>
          <w:tbl>
            <w:tblPr>
              <w:tblStyle w:val="22"/>
              <w:tblW w:w="82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665"/>
              <w:gridCol w:w="1100"/>
              <w:gridCol w:w="2900"/>
              <w:gridCol w:w="988"/>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644" w:type="dxa"/>
                  <w:vAlign w:val="center"/>
                </w:tcPr>
                <w:p>
                  <w:pPr>
                    <w:jc w:val="center"/>
                    <w:rPr>
                      <w:b/>
                      <w:szCs w:val="21"/>
                    </w:rPr>
                  </w:pPr>
                  <w:r>
                    <w:rPr>
                      <w:rFonts w:hint="eastAsia"/>
                      <w:b/>
                    </w:rPr>
                    <w:t>序号</w:t>
                  </w:r>
                </w:p>
              </w:tc>
              <w:tc>
                <w:tcPr>
                  <w:tcW w:w="1665" w:type="dxa"/>
                  <w:vAlign w:val="center"/>
                </w:tcPr>
                <w:p>
                  <w:pPr>
                    <w:jc w:val="center"/>
                    <w:rPr>
                      <w:b/>
                    </w:rPr>
                  </w:pPr>
                  <w:r>
                    <w:rPr>
                      <w:rFonts w:hint="eastAsia"/>
                      <w:b/>
                    </w:rPr>
                    <w:t>危险物质</w:t>
                  </w:r>
                </w:p>
              </w:tc>
              <w:tc>
                <w:tcPr>
                  <w:tcW w:w="1100" w:type="dxa"/>
                  <w:vAlign w:val="center"/>
                </w:tcPr>
                <w:p>
                  <w:pPr>
                    <w:jc w:val="center"/>
                    <w:rPr>
                      <w:b/>
                    </w:rPr>
                  </w:pPr>
                  <w:r>
                    <w:rPr>
                      <w:rFonts w:hint="eastAsia"/>
                      <w:b/>
                    </w:rPr>
                    <w:t>CAS号</w:t>
                  </w:r>
                </w:p>
              </w:tc>
              <w:tc>
                <w:tcPr>
                  <w:tcW w:w="2900" w:type="dxa"/>
                  <w:vAlign w:val="center"/>
                </w:tcPr>
                <w:p>
                  <w:pPr>
                    <w:jc w:val="center"/>
                    <w:rPr>
                      <w:b/>
                    </w:rPr>
                  </w:pPr>
                  <w:r>
                    <w:rPr>
                      <w:rFonts w:hint="eastAsia"/>
                      <w:b/>
                    </w:rPr>
                    <w:t>本项目厂界内最大存在总量/t</w:t>
                  </w:r>
                </w:p>
              </w:tc>
              <w:tc>
                <w:tcPr>
                  <w:tcW w:w="988" w:type="dxa"/>
                  <w:vAlign w:val="center"/>
                </w:tcPr>
                <w:p>
                  <w:pPr>
                    <w:jc w:val="center"/>
                    <w:rPr>
                      <w:b/>
                    </w:rPr>
                  </w:pPr>
                  <w:r>
                    <w:rPr>
                      <w:rFonts w:hint="eastAsia"/>
                      <w:b/>
                    </w:rPr>
                    <w:t>临界量/t</w:t>
                  </w:r>
                </w:p>
              </w:tc>
              <w:tc>
                <w:tcPr>
                  <w:tcW w:w="906" w:type="dxa"/>
                  <w:vAlign w:val="center"/>
                </w:tcPr>
                <w:p>
                  <w:pPr>
                    <w:jc w:val="center"/>
                    <w:rPr>
                      <w:b/>
                    </w:rPr>
                  </w:pPr>
                  <w:r>
                    <w:rPr>
                      <w:rFonts w:hint="eastAsia"/>
                      <w:b/>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644" w:type="dxa"/>
                  <w:vAlign w:val="center"/>
                </w:tcPr>
                <w:p>
                  <w:pPr>
                    <w:jc w:val="center"/>
                  </w:pPr>
                  <w:r>
                    <w:rPr>
                      <w:rFonts w:hint="eastAsia"/>
                    </w:rPr>
                    <w:t>1</w:t>
                  </w:r>
                </w:p>
              </w:tc>
              <w:tc>
                <w:tcPr>
                  <w:tcW w:w="1665" w:type="dxa"/>
                  <w:vAlign w:val="center"/>
                </w:tcPr>
                <w:p>
                  <w:pPr>
                    <w:jc w:val="center"/>
                    <w:rPr>
                      <w:bCs/>
                    </w:rPr>
                  </w:pPr>
                  <w:r>
                    <w:rPr>
                      <w:rFonts w:hint="eastAsia"/>
                      <w:bCs/>
                    </w:rPr>
                    <w:t>甲烷</w:t>
                  </w:r>
                </w:p>
              </w:tc>
              <w:tc>
                <w:tcPr>
                  <w:tcW w:w="1100" w:type="dxa"/>
                  <w:vAlign w:val="center"/>
                </w:tcPr>
                <w:p>
                  <w:pPr>
                    <w:jc w:val="center"/>
                  </w:pPr>
                  <w:r>
                    <w:t>74-82-8</w:t>
                  </w:r>
                </w:p>
              </w:tc>
              <w:tc>
                <w:tcPr>
                  <w:tcW w:w="2900" w:type="dxa"/>
                  <w:vAlign w:val="center"/>
                </w:tcPr>
                <w:p>
                  <w:pPr>
                    <w:jc w:val="center"/>
                  </w:pPr>
                  <w:r>
                    <w:rPr>
                      <w:rFonts w:hint="eastAsia"/>
                    </w:rPr>
                    <w:t>0.401</w:t>
                  </w:r>
                  <w:r>
                    <w:t>7</w:t>
                  </w:r>
                </w:p>
              </w:tc>
              <w:tc>
                <w:tcPr>
                  <w:tcW w:w="988" w:type="dxa"/>
                  <w:vAlign w:val="center"/>
                </w:tcPr>
                <w:p>
                  <w:pPr>
                    <w:jc w:val="center"/>
                  </w:pPr>
                  <w:r>
                    <w:t>10</w:t>
                  </w:r>
                </w:p>
              </w:tc>
              <w:tc>
                <w:tcPr>
                  <w:tcW w:w="906" w:type="dxa"/>
                  <w:vAlign w:val="center"/>
                </w:tcPr>
                <w:p>
                  <w:pPr>
                    <w:jc w:val="center"/>
                  </w:pPr>
                  <w:r>
                    <w:rPr>
                      <w:rFonts w:hint="eastAsia"/>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7297" w:type="dxa"/>
                  <w:gridSpan w:val="5"/>
                  <w:vAlign w:val="center"/>
                </w:tcPr>
                <w:p>
                  <w:pPr>
                    <w:jc w:val="center"/>
                  </w:pPr>
                  <w:r>
                    <w:rPr>
                      <w:rFonts w:hint="eastAsia"/>
                    </w:rPr>
                    <w:t>项目Q值Σ</w:t>
                  </w:r>
                </w:p>
              </w:tc>
              <w:tc>
                <w:tcPr>
                  <w:tcW w:w="906" w:type="dxa"/>
                  <w:vAlign w:val="center"/>
                </w:tcPr>
                <w:p>
                  <w:pPr>
                    <w:jc w:val="center"/>
                  </w:pPr>
                  <w:r>
                    <w:rPr>
                      <w:rFonts w:hint="eastAsia"/>
                    </w:rPr>
                    <w:t>0.04</w:t>
                  </w:r>
                </w:p>
              </w:tc>
            </w:tr>
          </w:tbl>
          <w:p>
            <w:pPr>
              <w:spacing w:line="360" w:lineRule="auto"/>
              <w:ind w:firstLine="480" w:firstLineChars="200"/>
              <w:rPr>
                <w:sz w:val="24"/>
              </w:rPr>
            </w:pPr>
            <w:r>
              <w:rPr>
                <w:rFonts w:hint="eastAsia"/>
                <w:sz w:val="24"/>
              </w:rPr>
              <w:t>根据《建设项目环境风险评价技术导则》（HJ 169-2018）的规定，当存在多种危险物质是，可按下式计算物质总量与临界量比值（Q）：</w:t>
            </w:r>
          </w:p>
          <w:p>
            <w:pPr>
              <w:spacing w:line="360" w:lineRule="auto"/>
              <w:ind w:firstLine="480" w:firstLineChars="200"/>
              <w:jc w:val="center"/>
              <w:rPr>
                <w:sz w:val="24"/>
              </w:rPr>
            </w:pPr>
            <w:r>
              <w:rPr>
                <w:rFonts w:hint="eastAsia"/>
                <w:sz w:val="24"/>
              </w:rPr>
              <w:drawing>
                <wp:inline distT="0" distB="0" distL="0" distR="0">
                  <wp:extent cx="1275080" cy="439420"/>
                  <wp:effectExtent l="0" t="0" r="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75080" cy="439420"/>
                          </a:xfrm>
                          <a:prstGeom prst="rect">
                            <a:avLst/>
                          </a:prstGeom>
                          <a:noFill/>
                          <a:ln>
                            <a:noFill/>
                          </a:ln>
                        </pic:spPr>
                      </pic:pic>
                    </a:graphicData>
                  </a:graphic>
                </wp:inline>
              </w:drawing>
            </w:r>
          </w:p>
          <w:p>
            <w:pPr>
              <w:spacing w:line="360" w:lineRule="auto"/>
              <w:ind w:firstLine="480" w:firstLineChars="200"/>
              <w:rPr>
                <w:sz w:val="24"/>
              </w:rPr>
            </w:pPr>
            <w:r>
              <w:rPr>
                <w:rFonts w:hint="eastAsia"/>
                <w:sz w:val="24"/>
              </w:rPr>
              <w:t>式中：</w:t>
            </w:r>
          </w:p>
          <w:p>
            <w:pPr>
              <w:spacing w:line="360" w:lineRule="auto"/>
              <w:ind w:firstLine="480" w:firstLineChars="200"/>
              <w:rPr>
                <w:sz w:val="24"/>
              </w:rPr>
            </w:pPr>
            <w:r>
              <w:rPr>
                <w:rFonts w:hint="eastAsia"/>
                <w:sz w:val="24"/>
              </w:rPr>
              <w:t>q1、q2……qn ——每种危险物质的最大存在总量，t；</w:t>
            </w:r>
          </w:p>
          <w:p>
            <w:pPr>
              <w:spacing w:line="360" w:lineRule="auto"/>
              <w:ind w:firstLine="480" w:firstLineChars="200"/>
              <w:rPr>
                <w:sz w:val="24"/>
              </w:rPr>
            </w:pPr>
            <w:r>
              <w:rPr>
                <w:rFonts w:hint="eastAsia"/>
                <w:sz w:val="24"/>
              </w:rPr>
              <w:t>Q1、Q2……Qn——每种危险物质的临界量，t。</w:t>
            </w:r>
          </w:p>
          <w:p>
            <w:pPr>
              <w:spacing w:line="360" w:lineRule="auto"/>
              <w:ind w:firstLine="480" w:firstLineChars="200"/>
              <w:rPr>
                <w:sz w:val="24"/>
              </w:rPr>
            </w:pPr>
            <w:r>
              <w:rPr>
                <w:rFonts w:hint="eastAsia"/>
                <w:sz w:val="24"/>
              </w:rPr>
              <w:t>经计算，拟建项目的危险物质总量与临界量比值Q=0.04&lt;1。</w:t>
            </w:r>
          </w:p>
          <w:p>
            <w:pPr>
              <w:spacing w:line="360" w:lineRule="auto"/>
              <w:ind w:firstLine="480" w:firstLineChars="200"/>
              <w:rPr>
                <w:sz w:val="24"/>
              </w:rPr>
            </w:pPr>
            <w:r>
              <w:rPr>
                <w:rFonts w:hint="eastAsia"/>
                <w:sz w:val="24"/>
              </w:rPr>
              <w:t>依据 HJ169-2018《建设项目环境风 险评价技术导则》中环境风险评价工作等级判定办法，项目危险物质的储存量与其临界量比值（Q）小于 1，项目环境风险潜势为 I，只进行简单分析。</w:t>
            </w:r>
          </w:p>
          <w:p>
            <w:pPr>
              <w:spacing w:line="360" w:lineRule="auto"/>
              <w:ind w:firstLine="480" w:firstLineChars="200"/>
              <w:rPr>
                <w:sz w:val="24"/>
              </w:rPr>
            </w:pPr>
            <w:r>
              <w:rPr>
                <w:rFonts w:hint="eastAsia"/>
                <w:sz w:val="24"/>
              </w:rPr>
              <w:t>（3）物质危险性识别</w:t>
            </w:r>
          </w:p>
          <w:p>
            <w:pPr>
              <w:spacing w:line="360" w:lineRule="auto"/>
              <w:ind w:firstLine="480" w:firstLineChars="200"/>
              <w:rPr>
                <w:sz w:val="24"/>
              </w:rPr>
            </w:pPr>
            <w:r>
              <w:rPr>
                <w:rFonts w:hint="eastAsia"/>
                <w:sz w:val="24"/>
              </w:rPr>
              <w:t>根据《危险化学品目录》（2018），本项目涉及的危险化学品主要包括甲烷。其危险特性属于易燃，与空气混合能形成爆炸性混合物，遇热源和明火有燃烧爆炸的危险。在《危险化学品目录》（2018）中的编号见表4-</w:t>
            </w:r>
            <w:r>
              <w:rPr>
                <w:sz w:val="24"/>
              </w:rPr>
              <w:t>10</w:t>
            </w:r>
            <w:r>
              <w:rPr>
                <w:rFonts w:hint="eastAsia"/>
                <w:sz w:val="24"/>
              </w:rPr>
              <w:t>。</w:t>
            </w:r>
          </w:p>
          <w:p>
            <w:pPr>
              <w:adjustRightInd w:val="0"/>
              <w:spacing w:line="360" w:lineRule="auto"/>
              <w:ind w:firstLine="422" w:firstLineChars="200"/>
              <w:jc w:val="center"/>
              <w:outlineLvl w:val="0"/>
              <w:rPr>
                <w:b/>
              </w:rPr>
            </w:pPr>
            <w:bookmarkStart w:id="33" w:name="_Toc117775797"/>
            <w:r>
              <w:rPr>
                <w:rFonts w:hint="eastAsia"/>
                <w:b/>
              </w:rPr>
              <w:t>表4-</w:t>
            </w:r>
            <w:r>
              <w:rPr>
                <w:b/>
              </w:rPr>
              <w:t>10</w:t>
            </w:r>
            <w:r>
              <w:rPr>
                <w:rFonts w:hint="eastAsia"/>
                <w:b/>
              </w:rPr>
              <w:t xml:space="preserve">  甲烷理化性质及危险特性</w:t>
            </w:r>
            <w:bookmarkEnd w:id="33"/>
          </w:p>
          <w:tbl>
            <w:tblPr>
              <w:tblStyle w:val="22"/>
              <w:tblW w:w="8251" w:type="dxa"/>
              <w:tblInd w:w="0" w:type="dxa"/>
              <w:tblLayout w:type="fixed"/>
              <w:tblCellMar>
                <w:top w:w="0" w:type="dxa"/>
                <w:left w:w="108" w:type="dxa"/>
                <w:bottom w:w="0" w:type="dxa"/>
                <w:right w:w="108" w:type="dxa"/>
              </w:tblCellMar>
            </w:tblPr>
            <w:tblGrid>
              <w:gridCol w:w="690"/>
              <w:gridCol w:w="1622"/>
              <w:gridCol w:w="571"/>
              <w:gridCol w:w="608"/>
              <w:gridCol w:w="208"/>
              <w:gridCol w:w="824"/>
              <w:gridCol w:w="536"/>
              <w:gridCol w:w="496"/>
              <w:gridCol w:w="183"/>
              <w:gridCol w:w="1144"/>
              <w:gridCol w:w="1369"/>
            </w:tblGrid>
            <w:tr>
              <w:tblPrEx>
                <w:tblLayout w:type="fixed"/>
                <w:tblCellMar>
                  <w:top w:w="0" w:type="dxa"/>
                  <w:left w:w="108" w:type="dxa"/>
                  <w:bottom w:w="0" w:type="dxa"/>
                  <w:right w:w="108" w:type="dxa"/>
                </w:tblCellMar>
              </w:tblPrEx>
              <w:trPr>
                <w:trHeight w:val="20" w:hRule="atLeast"/>
              </w:trPr>
              <w:tc>
                <w:tcPr>
                  <w:tcW w:w="690" w:type="dxa"/>
                  <w:vMerge w:val="restar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标识</w:t>
                  </w:r>
                </w:p>
              </w:tc>
              <w:tc>
                <w:tcPr>
                  <w:tcW w:w="4369" w:type="dxa"/>
                  <w:gridSpan w:val="6"/>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中文名：甲烷</w:t>
                  </w:r>
                </w:p>
              </w:tc>
              <w:tc>
                <w:tcPr>
                  <w:tcW w:w="3192" w:type="dxa"/>
                  <w:gridSpan w:val="4"/>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危险化学品目录序号：1188</w:t>
                  </w:r>
                </w:p>
              </w:tc>
            </w:tr>
            <w:tr>
              <w:tblPrEx>
                <w:tblLayout w:type="fixed"/>
                <w:tblCellMar>
                  <w:top w:w="0" w:type="dxa"/>
                  <w:left w:w="108" w:type="dxa"/>
                  <w:bottom w:w="0" w:type="dxa"/>
                  <w:right w:w="108" w:type="dxa"/>
                </w:tblCellMar>
              </w:tblPrEx>
              <w:trPr>
                <w:trHeight w:val="20"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4369" w:type="dxa"/>
                  <w:gridSpan w:val="6"/>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英文名：methane</w:t>
                  </w:r>
                </w:p>
              </w:tc>
              <w:tc>
                <w:tcPr>
                  <w:tcW w:w="3192" w:type="dxa"/>
                  <w:gridSpan w:val="4"/>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UN编号：1971</w:t>
                  </w:r>
                </w:p>
              </w:tc>
            </w:tr>
            <w:tr>
              <w:tblPrEx>
                <w:tblLayout w:type="fixed"/>
                <w:tblCellMar>
                  <w:top w:w="0" w:type="dxa"/>
                  <w:left w:w="108" w:type="dxa"/>
                  <w:bottom w:w="0" w:type="dxa"/>
                  <w:right w:w="108" w:type="dxa"/>
                </w:tblCellMar>
              </w:tblPrEx>
              <w:trPr>
                <w:trHeight w:val="20"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93" w:type="dxa"/>
                  <w:gridSpan w:val="2"/>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分子式：CH</w:t>
                  </w:r>
                  <w:r>
                    <w:rPr>
                      <w:rFonts w:hint="eastAsia"/>
                      <w:szCs w:val="21"/>
                      <w:vertAlign w:val="subscript"/>
                    </w:rPr>
                    <w:t>4</w:t>
                  </w:r>
                </w:p>
              </w:tc>
              <w:tc>
                <w:tcPr>
                  <w:tcW w:w="2176" w:type="dxa"/>
                  <w:gridSpan w:val="4"/>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分子量：16.04</w:t>
                  </w:r>
                </w:p>
              </w:tc>
              <w:tc>
                <w:tcPr>
                  <w:tcW w:w="3192" w:type="dxa"/>
                  <w:gridSpan w:val="4"/>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CAS号：74-82-8</w:t>
                  </w:r>
                </w:p>
              </w:tc>
            </w:tr>
            <w:tr>
              <w:tblPrEx>
                <w:tblLayout w:type="fixed"/>
                <w:tblCellMar>
                  <w:top w:w="0" w:type="dxa"/>
                  <w:left w:w="108" w:type="dxa"/>
                  <w:bottom w:w="0" w:type="dxa"/>
                  <w:right w:w="108" w:type="dxa"/>
                </w:tblCellMar>
              </w:tblPrEx>
              <w:trPr>
                <w:trHeight w:val="20" w:hRule="atLeast"/>
              </w:trPr>
              <w:tc>
                <w:tcPr>
                  <w:tcW w:w="690" w:type="dxa"/>
                  <w:vMerge w:val="restar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理化</w:t>
                  </w:r>
                </w:p>
                <w:p>
                  <w:pPr>
                    <w:rPr>
                      <w:szCs w:val="21"/>
                    </w:rPr>
                  </w:pPr>
                  <w:r>
                    <w:rPr>
                      <w:rFonts w:hint="eastAsia"/>
                      <w:szCs w:val="21"/>
                    </w:rPr>
                    <w:t>性质</w:t>
                  </w:r>
                </w:p>
              </w:tc>
              <w:tc>
                <w:tcPr>
                  <w:tcW w:w="1622"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外观与性状</w:t>
                  </w:r>
                </w:p>
              </w:tc>
              <w:tc>
                <w:tcPr>
                  <w:tcW w:w="5939" w:type="dxa"/>
                  <w:gridSpan w:val="9"/>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无色无臭气体</w:t>
                  </w:r>
                </w:p>
              </w:tc>
            </w:tr>
            <w:tr>
              <w:tblPrEx>
                <w:tblLayout w:type="fixed"/>
                <w:tblCellMar>
                  <w:top w:w="0" w:type="dxa"/>
                  <w:left w:w="108" w:type="dxa"/>
                  <w:bottom w:w="0" w:type="dxa"/>
                  <w:right w:w="108" w:type="dxa"/>
                </w:tblCellMar>
              </w:tblPrEx>
              <w:trPr>
                <w:trHeight w:val="20"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622"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熔点(℃)</w:t>
                  </w:r>
                </w:p>
              </w:tc>
              <w:tc>
                <w:tcPr>
                  <w:tcW w:w="1387" w:type="dxa"/>
                  <w:gridSpan w:val="3"/>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-183</w:t>
                  </w:r>
                </w:p>
              </w:tc>
              <w:tc>
                <w:tcPr>
                  <w:tcW w:w="2039" w:type="dxa"/>
                  <w:gridSpan w:val="4"/>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密度（g/cm3）</w:t>
                  </w:r>
                </w:p>
              </w:tc>
              <w:tc>
                <w:tcPr>
                  <w:tcW w:w="2513" w:type="dxa"/>
                  <w:gridSpan w:val="2"/>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0.716</w:t>
                  </w:r>
                </w:p>
              </w:tc>
            </w:tr>
            <w:tr>
              <w:tblPrEx>
                <w:tblLayout w:type="fixed"/>
                <w:tblCellMar>
                  <w:top w:w="0" w:type="dxa"/>
                  <w:left w:w="108" w:type="dxa"/>
                  <w:bottom w:w="0" w:type="dxa"/>
                  <w:right w:w="108" w:type="dxa"/>
                </w:tblCellMar>
              </w:tblPrEx>
              <w:trPr>
                <w:trHeight w:val="20"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622"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沸点(℃)</w:t>
                  </w:r>
                </w:p>
              </w:tc>
              <w:tc>
                <w:tcPr>
                  <w:tcW w:w="1387" w:type="dxa"/>
                  <w:gridSpan w:val="3"/>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-161</w:t>
                  </w:r>
                </w:p>
              </w:tc>
              <w:tc>
                <w:tcPr>
                  <w:tcW w:w="2039" w:type="dxa"/>
                  <w:gridSpan w:val="4"/>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饱和蒸气压（kPa）</w:t>
                  </w:r>
                </w:p>
              </w:tc>
              <w:tc>
                <w:tcPr>
                  <w:tcW w:w="2513" w:type="dxa"/>
                  <w:gridSpan w:val="2"/>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53.32/-168.8℃</w:t>
                  </w:r>
                </w:p>
              </w:tc>
            </w:tr>
            <w:tr>
              <w:tblPrEx>
                <w:tblLayout w:type="fixed"/>
                <w:tblCellMar>
                  <w:top w:w="0" w:type="dxa"/>
                  <w:left w:w="108" w:type="dxa"/>
                  <w:bottom w:w="0" w:type="dxa"/>
                  <w:right w:w="108" w:type="dxa"/>
                </w:tblCellMar>
              </w:tblPrEx>
              <w:trPr>
                <w:trHeight w:val="20"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622"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溶解隆</w:t>
                  </w:r>
                </w:p>
              </w:tc>
              <w:tc>
                <w:tcPr>
                  <w:tcW w:w="5939" w:type="dxa"/>
                  <w:gridSpan w:val="9"/>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微溶于水，溶于乙醇、乙醚等有机溶剂</w:t>
                  </w:r>
                </w:p>
              </w:tc>
            </w:tr>
            <w:tr>
              <w:tblPrEx>
                <w:tblLayout w:type="fixed"/>
                <w:tblCellMar>
                  <w:top w:w="0" w:type="dxa"/>
                  <w:left w:w="108" w:type="dxa"/>
                  <w:bottom w:w="0" w:type="dxa"/>
                  <w:right w:w="108" w:type="dxa"/>
                </w:tblCellMar>
              </w:tblPrEx>
              <w:trPr>
                <w:trHeight w:val="20" w:hRule="atLeast"/>
              </w:trPr>
              <w:tc>
                <w:tcPr>
                  <w:tcW w:w="690" w:type="dxa"/>
                  <w:vMerge w:val="restar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毒性及健康危害</w:t>
                  </w:r>
                </w:p>
              </w:tc>
              <w:tc>
                <w:tcPr>
                  <w:tcW w:w="1622"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侵入途径</w:t>
                  </w:r>
                </w:p>
              </w:tc>
              <w:tc>
                <w:tcPr>
                  <w:tcW w:w="5939" w:type="dxa"/>
                  <w:gridSpan w:val="9"/>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吸入、皮肤接触</w:t>
                  </w:r>
                </w:p>
              </w:tc>
            </w:tr>
            <w:tr>
              <w:tblPrEx>
                <w:tblLayout w:type="fixed"/>
                <w:tblCellMar>
                  <w:top w:w="0" w:type="dxa"/>
                  <w:left w:w="108" w:type="dxa"/>
                  <w:bottom w:w="0" w:type="dxa"/>
                  <w:right w:w="108" w:type="dxa"/>
                </w:tblCellMar>
              </w:tblPrEx>
              <w:trPr>
                <w:trHeight w:val="20"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622"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毒性</w:t>
                  </w:r>
                </w:p>
              </w:tc>
              <w:tc>
                <w:tcPr>
                  <w:tcW w:w="5939" w:type="dxa"/>
                  <w:gridSpan w:val="9"/>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无资料</w:t>
                  </w:r>
                </w:p>
              </w:tc>
            </w:tr>
            <w:tr>
              <w:tblPrEx>
                <w:tblLayout w:type="fixed"/>
                <w:tblCellMar>
                  <w:top w:w="0" w:type="dxa"/>
                  <w:left w:w="108" w:type="dxa"/>
                  <w:bottom w:w="0" w:type="dxa"/>
                  <w:right w:w="108" w:type="dxa"/>
                </w:tblCellMar>
              </w:tblPrEx>
              <w:trPr>
                <w:trHeight w:val="20"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622"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健康危害</w:t>
                  </w:r>
                </w:p>
              </w:tc>
              <w:tc>
                <w:tcPr>
                  <w:tcW w:w="5939" w:type="dxa"/>
                  <w:gridSpan w:val="9"/>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甲烷对人基本无毒，但浓度过高时，使空气中氧含量明显降低，使人窒息。当空气中甲烷达25%~30%时，可引起头痛、头晕、乏力、注意力不集中、呼吸和心跳加速、共济失调。若不及时脱离，可致窒息死亡。皮肤接触液化本品，可致冻伤。</w:t>
                  </w:r>
                </w:p>
              </w:tc>
            </w:tr>
            <w:tr>
              <w:tblPrEx>
                <w:tblLayout w:type="fixed"/>
                <w:tblCellMar>
                  <w:top w:w="0" w:type="dxa"/>
                  <w:left w:w="108" w:type="dxa"/>
                  <w:bottom w:w="0" w:type="dxa"/>
                  <w:right w:w="108" w:type="dxa"/>
                </w:tblCellMar>
              </w:tblPrEx>
              <w:trPr>
                <w:trHeight w:val="20" w:hRule="atLeast"/>
              </w:trPr>
              <w:tc>
                <w:tcPr>
                  <w:tcW w:w="690" w:type="dxa"/>
                  <w:vMerge w:val="restar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燃烧爆炸危险性</w:t>
                  </w:r>
                </w:p>
              </w:tc>
              <w:tc>
                <w:tcPr>
                  <w:tcW w:w="1622"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燃烧性</w:t>
                  </w:r>
                </w:p>
              </w:tc>
              <w:tc>
                <w:tcPr>
                  <w:tcW w:w="1179" w:type="dxa"/>
                  <w:gridSpan w:val="2"/>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可燃</w:t>
                  </w:r>
                </w:p>
              </w:tc>
              <w:tc>
                <w:tcPr>
                  <w:tcW w:w="2064" w:type="dxa"/>
                  <w:gridSpan w:val="4"/>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燃烧分解物</w:t>
                  </w:r>
                </w:p>
              </w:tc>
              <w:tc>
                <w:tcPr>
                  <w:tcW w:w="2696" w:type="dxa"/>
                  <w:gridSpan w:val="3"/>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一氧化碳、二氧化碳</w:t>
                  </w:r>
                </w:p>
              </w:tc>
            </w:tr>
            <w:tr>
              <w:tblPrEx>
                <w:tblLayout w:type="fixed"/>
                <w:tblCellMar>
                  <w:top w:w="0" w:type="dxa"/>
                  <w:left w:w="108" w:type="dxa"/>
                  <w:bottom w:w="0" w:type="dxa"/>
                  <w:right w:w="108" w:type="dxa"/>
                </w:tblCellMar>
              </w:tblPrEx>
              <w:trPr>
                <w:trHeight w:val="20"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622"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闪点(℃)</w:t>
                  </w:r>
                </w:p>
              </w:tc>
              <w:tc>
                <w:tcPr>
                  <w:tcW w:w="1179" w:type="dxa"/>
                  <w:gridSpan w:val="2"/>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-188</w:t>
                  </w:r>
                </w:p>
              </w:tc>
              <w:tc>
                <w:tcPr>
                  <w:tcW w:w="2064" w:type="dxa"/>
                  <w:gridSpan w:val="4"/>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爆炸上限（g/m3）</w:t>
                  </w:r>
                </w:p>
              </w:tc>
              <w:tc>
                <w:tcPr>
                  <w:tcW w:w="2696" w:type="dxa"/>
                  <w:gridSpan w:val="3"/>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15</w:t>
                  </w:r>
                </w:p>
              </w:tc>
            </w:tr>
            <w:tr>
              <w:tblPrEx>
                <w:tblLayout w:type="fixed"/>
                <w:tblCellMar>
                  <w:top w:w="0" w:type="dxa"/>
                  <w:left w:w="108" w:type="dxa"/>
                  <w:bottom w:w="0" w:type="dxa"/>
                  <w:right w:w="108" w:type="dxa"/>
                </w:tblCellMar>
              </w:tblPrEx>
              <w:trPr>
                <w:trHeight w:val="20"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622"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自燃温度(℃)</w:t>
                  </w:r>
                </w:p>
              </w:tc>
              <w:tc>
                <w:tcPr>
                  <w:tcW w:w="1179" w:type="dxa"/>
                  <w:gridSpan w:val="2"/>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538</w:t>
                  </w:r>
                </w:p>
              </w:tc>
              <w:tc>
                <w:tcPr>
                  <w:tcW w:w="2064" w:type="dxa"/>
                  <w:gridSpan w:val="4"/>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爆炸下限（g/m3）</w:t>
                  </w:r>
                </w:p>
              </w:tc>
              <w:tc>
                <w:tcPr>
                  <w:tcW w:w="2696" w:type="dxa"/>
                  <w:gridSpan w:val="3"/>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5.3</w:t>
                  </w:r>
                </w:p>
              </w:tc>
            </w:tr>
            <w:tr>
              <w:tblPrEx>
                <w:tblLayout w:type="fixed"/>
                <w:tblCellMar>
                  <w:top w:w="0" w:type="dxa"/>
                  <w:left w:w="108" w:type="dxa"/>
                  <w:bottom w:w="0" w:type="dxa"/>
                  <w:right w:w="108" w:type="dxa"/>
                </w:tblCellMar>
              </w:tblPrEx>
              <w:trPr>
                <w:trHeight w:val="20"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622"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危险特性</w:t>
                  </w:r>
                </w:p>
              </w:tc>
              <w:tc>
                <w:tcPr>
                  <w:tcW w:w="5939" w:type="dxa"/>
                  <w:gridSpan w:val="9"/>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易燃。与空气混合能形成爆炸性混合物，遇热源和明火有燃烧爆炸的危险</w:t>
                  </w:r>
                </w:p>
              </w:tc>
            </w:tr>
            <w:tr>
              <w:tblPrEx>
                <w:tblLayout w:type="fixed"/>
                <w:tblCellMar>
                  <w:top w:w="0" w:type="dxa"/>
                  <w:left w:w="108" w:type="dxa"/>
                  <w:bottom w:w="0" w:type="dxa"/>
                  <w:right w:w="108" w:type="dxa"/>
                </w:tblCellMar>
              </w:tblPrEx>
              <w:trPr>
                <w:trHeight w:val="20"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622"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建规火险分级</w:t>
                  </w:r>
                </w:p>
              </w:tc>
              <w:tc>
                <w:tcPr>
                  <w:tcW w:w="1179" w:type="dxa"/>
                  <w:gridSpan w:val="2"/>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四类</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稳定性</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稳定</w:t>
                  </w:r>
                </w:p>
              </w:tc>
              <w:tc>
                <w:tcPr>
                  <w:tcW w:w="1327" w:type="dxa"/>
                  <w:gridSpan w:val="2"/>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聚合危害</w:t>
                  </w:r>
                </w:p>
              </w:tc>
              <w:tc>
                <w:tcPr>
                  <w:tcW w:w="1369"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不聚合</w:t>
                  </w:r>
                </w:p>
              </w:tc>
            </w:tr>
            <w:tr>
              <w:tblPrEx>
                <w:tblLayout w:type="fixed"/>
                <w:tblCellMar>
                  <w:top w:w="0" w:type="dxa"/>
                  <w:left w:w="108" w:type="dxa"/>
                  <w:bottom w:w="0" w:type="dxa"/>
                  <w:right w:w="108" w:type="dxa"/>
                </w:tblCellMar>
              </w:tblPrEx>
              <w:trPr>
                <w:trHeight w:val="20"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622"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禁忌物</w:t>
                  </w:r>
                </w:p>
              </w:tc>
              <w:tc>
                <w:tcPr>
                  <w:tcW w:w="5939" w:type="dxa"/>
                  <w:gridSpan w:val="9"/>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强氧化剂、卤素、强酸、强碱等</w:t>
                  </w:r>
                </w:p>
              </w:tc>
            </w:tr>
            <w:tr>
              <w:tblPrEx>
                <w:tblLayout w:type="fixed"/>
                <w:tblCellMar>
                  <w:top w:w="0" w:type="dxa"/>
                  <w:left w:w="108" w:type="dxa"/>
                  <w:bottom w:w="0" w:type="dxa"/>
                  <w:right w:w="108" w:type="dxa"/>
                </w:tblCellMar>
              </w:tblPrEx>
              <w:trPr>
                <w:trHeight w:val="20"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622"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灭火方法</w:t>
                  </w:r>
                </w:p>
              </w:tc>
              <w:tc>
                <w:tcPr>
                  <w:tcW w:w="5939" w:type="dxa"/>
                  <w:gridSpan w:val="9"/>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切断气源。若不能切断气源，则不允许熄灭泄漏处的火焰。喷水冷却容器，可能的话将容器从火场移至空旷处。</w:t>
                  </w:r>
                </w:p>
              </w:tc>
            </w:tr>
            <w:tr>
              <w:tblPrEx>
                <w:tblLayout w:type="fixed"/>
                <w:tblCellMar>
                  <w:top w:w="0" w:type="dxa"/>
                  <w:left w:w="108" w:type="dxa"/>
                  <w:bottom w:w="0" w:type="dxa"/>
                  <w:right w:w="108" w:type="dxa"/>
                </w:tblCellMar>
              </w:tblPrEx>
              <w:trPr>
                <w:trHeight w:val="20" w:hRule="atLeast"/>
              </w:trPr>
              <w:tc>
                <w:tcPr>
                  <w:tcW w:w="69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急救措施</w:t>
                  </w:r>
                </w:p>
              </w:tc>
              <w:tc>
                <w:tcPr>
                  <w:tcW w:w="7561" w:type="dxa"/>
                  <w:gridSpan w:val="10"/>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吸入：新鲜空气，休息。必要时进行人工呼吸，给予医疗护理。皮肤接触：冻伤时，用大量水冲洗，不要脱去衣服，给予医疗护理。眼睛接触：先用大量水冲洗几分钟（如可能易行，摘除隐形眼镜），然后就医。食入：漱口，禁止催吐。立即就医。</w:t>
                  </w:r>
                </w:p>
              </w:tc>
            </w:tr>
            <w:tr>
              <w:tblPrEx>
                <w:tblLayout w:type="fixed"/>
                <w:tblCellMar>
                  <w:top w:w="0" w:type="dxa"/>
                  <w:left w:w="108" w:type="dxa"/>
                  <w:bottom w:w="0" w:type="dxa"/>
                  <w:right w:w="108" w:type="dxa"/>
                </w:tblCellMar>
              </w:tblPrEx>
              <w:trPr>
                <w:trHeight w:val="20" w:hRule="atLeast"/>
              </w:trPr>
              <w:tc>
                <w:tcPr>
                  <w:tcW w:w="69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泄漏处置</w:t>
                  </w:r>
                </w:p>
              </w:tc>
              <w:tc>
                <w:tcPr>
                  <w:tcW w:w="7561" w:type="dxa"/>
                  <w:gridSpan w:val="10"/>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隔离泄漏污染区，限制出入。建议应急处理人员戴自给正压式呼吸器，穿防酸碱工作服。不要直接接触泄漏物。小量泄漏：尽可能将泄漏液体收集在可密闭的容器中。用沙土、活性炭或其它惰性材料吸收，并转移至安全场所。禁止冲入下水道。大量泄漏：构筑围堤或挖坑收容。封闭排水管道。用泡沫覆盖，抵制蒸发。用防爆泵转移到槽车或专用收集器内，回收或运至废物处理场所处置。</w:t>
                  </w:r>
                </w:p>
              </w:tc>
            </w:tr>
            <w:tr>
              <w:tblPrEx>
                <w:tblLayout w:type="fixed"/>
                <w:tblCellMar>
                  <w:top w:w="0" w:type="dxa"/>
                  <w:left w:w="108" w:type="dxa"/>
                  <w:bottom w:w="0" w:type="dxa"/>
                  <w:right w:w="108" w:type="dxa"/>
                </w:tblCellMar>
              </w:tblPrEx>
              <w:trPr>
                <w:trHeight w:val="20" w:hRule="atLeast"/>
              </w:trPr>
              <w:tc>
                <w:tcPr>
                  <w:tcW w:w="69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储运</w:t>
                  </w:r>
                </w:p>
              </w:tc>
              <w:tc>
                <w:tcPr>
                  <w:tcW w:w="7561" w:type="dxa"/>
                  <w:gridSpan w:val="10"/>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易燃压缩气体。储存于阴凉、干燥、通风良好的不烯库房。仓温不宜超过30℃。远离火种、热源。防止阳光直射。应与氧气、压缩空气、卤素（氟、氯、溴）、氧化剂等分开存放。储存间内的照明、通风等设施应采用防爆型。禁止使用易产生火花的机械设备和工具。槽车运送时要灌装适量，不可超压超量运输。搬运时轻装轰动缷，防止钢瓶及附件破损。</w:t>
                  </w:r>
                </w:p>
              </w:tc>
            </w:tr>
          </w:tbl>
          <w:p>
            <w:pPr>
              <w:spacing w:line="360" w:lineRule="auto"/>
              <w:ind w:firstLine="480" w:firstLineChars="200"/>
              <w:rPr>
                <w:sz w:val="24"/>
              </w:rPr>
            </w:pPr>
            <w:r>
              <w:rPr>
                <w:rFonts w:hint="eastAsia"/>
                <w:sz w:val="24"/>
              </w:rPr>
              <w:t>（4）环境风险分析</w:t>
            </w:r>
          </w:p>
          <w:p>
            <w:pPr>
              <w:spacing w:line="360" w:lineRule="auto"/>
              <w:ind w:firstLine="480" w:firstLineChars="200"/>
              <w:rPr>
                <w:sz w:val="24"/>
              </w:rPr>
            </w:pPr>
            <w:r>
              <w:rPr>
                <w:rFonts w:hint="eastAsia"/>
                <w:sz w:val="24"/>
              </w:rPr>
              <w:t>本项目涉及的风险物质甲烷，在使用过程中，天然气泄漏对周围环境的影响和发生火灾爆炸产生的次生环境影响，如天然气发生火灾爆炸时不完全燃烧产生的CO气体在短时间浓度值增高。</w:t>
            </w:r>
          </w:p>
          <w:p>
            <w:pPr>
              <w:spacing w:line="360" w:lineRule="auto"/>
              <w:ind w:firstLine="480" w:firstLineChars="200"/>
              <w:rPr>
                <w:sz w:val="24"/>
              </w:rPr>
            </w:pPr>
            <w:r>
              <w:rPr>
                <w:rFonts w:hint="eastAsia"/>
                <w:sz w:val="24"/>
              </w:rPr>
              <w:t>①泄露影响</w:t>
            </w:r>
          </w:p>
          <w:p>
            <w:pPr>
              <w:spacing w:line="360" w:lineRule="auto"/>
              <w:ind w:firstLine="480" w:firstLineChars="200"/>
              <w:rPr>
                <w:sz w:val="24"/>
              </w:rPr>
            </w:pPr>
            <w:r>
              <w:rPr>
                <w:rFonts w:hint="eastAsia"/>
                <w:sz w:val="24"/>
              </w:rPr>
              <w:t>甲烷对人基本无毒，但浓度过高时，使空气中氧含量明显降低，使人窒息。当空气中甲烷达25%~30%时，可引起头痛、头晕、乏力、注意力不集中、呼吸和心跳加速、共济失调。若不及时远离，可致窒息死亡。皮肤接触液化的甲烷，可致冻伤。</w:t>
            </w:r>
          </w:p>
          <w:p>
            <w:pPr>
              <w:spacing w:line="360" w:lineRule="auto"/>
              <w:ind w:firstLine="480" w:firstLineChars="200"/>
              <w:rPr>
                <w:sz w:val="24"/>
              </w:rPr>
            </w:pPr>
            <w:r>
              <w:rPr>
                <w:rFonts w:hint="eastAsia"/>
                <w:sz w:val="24"/>
              </w:rPr>
              <w:t>项目所用天然气在线量小，管线连接锅炉房处有气体泄漏报警及自动关闭装置，发生泄漏后可及时关闭天然气的输送并报警提示，发生泄漏的可能性很小，对外环境造成影响不大。</w:t>
            </w:r>
          </w:p>
          <w:p>
            <w:pPr>
              <w:pStyle w:val="29"/>
              <w:ind w:firstLine="480"/>
              <w:rPr>
                <w:color w:val="auto"/>
              </w:rPr>
            </w:pPr>
            <w:r>
              <w:rPr>
                <w:rFonts w:hint="eastAsia"/>
                <w:color w:val="auto"/>
              </w:rPr>
              <w:t>②天然气泄露，遇明火发生燃烧，未完全燃烧产生的危险物质C</w:t>
            </w:r>
            <w:r>
              <w:rPr>
                <w:color w:val="auto"/>
              </w:rPr>
              <w:t>O</w:t>
            </w:r>
            <w:r>
              <w:rPr>
                <w:rFonts w:hint="eastAsia"/>
                <w:color w:val="auto"/>
              </w:rPr>
              <w:t>释放至大气中</w:t>
            </w:r>
          </w:p>
          <w:p>
            <w:pPr>
              <w:pStyle w:val="29"/>
              <w:ind w:firstLine="480"/>
              <w:rPr>
                <w:color w:val="auto"/>
              </w:rPr>
            </w:pPr>
            <w:r>
              <w:rPr>
                <w:color w:val="auto"/>
              </w:rPr>
              <w:t>在天然气泄漏事故发生后，遇火源发生爆炸、火灾，将伴生CO</w:t>
            </w:r>
            <w:r>
              <w:rPr>
                <w:color w:val="auto"/>
                <w:vertAlign w:val="subscript"/>
              </w:rPr>
              <w:t>2</w:t>
            </w:r>
            <w:r>
              <w:rPr>
                <w:color w:val="auto"/>
              </w:rPr>
              <w:t>、CO等污染物产生。未完全燃烧产生的危险物质CO释放至大气中</w:t>
            </w:r>
            <w:r>
              <w:rPr>
                <w:rFonts w:hint="eastAsia"/>
                <w:color w:val="auto"/>
              </w:rPr>
              <w:t>，</w:t>
            </w:r>
            <w:r>
              <w:rPr>
                <w:color w:val="auto"/>
              </w:rPr>
              <w:t>对区域的大气环境会造成不利影响</w:t>
            </w:r>
            <w:r>
              <w:rPr>
                <w:rFonts w:hint="eastAsia"/>
                <w:color w:val="auto"/>
              </w:rPr>
              <w:t>。当人吸入CO后，CO在血中会与血红蛋白结合而造成组织缺氧。CO轻度中毒者会出现头痛、头晕、耳鸣、心悸、恶心等症状。CO中毒患者会导致深度昏迷。</w:t>
            </w:r>
          </w:p>
          <w:p>
            <w:pPr>
              <w:pStyle w:val="29"/>
              <w:ind w:firstLine="480"/>
              <w:rPr>
                <w:color w:val="auto"/>
              </w:rPr>
            </w:pPr>
            <w:r>
              <w:rPr>
                <w:color w:val="auto"/>
              </w:rPr>
              <w:t>天然气泄露，遇明火发生燃烧，未完全燃烧产生的危险物质CO</w:t>
            </w:r>
            <w:r>
              <w:rPr>
                <w:rFonts w:hint="eastAsia"/>
                <w:color w:val="auto"/>
              </w:rPr>
              <w:t>，CO在燃烧点附近的区域形成浓度较高的区域，但是随着扩散，外围的浓度会逐渐降低。项目建设地址位于工业园区范围内，项目管线沿线居民点距离较远。但是，在天然气管线发生泄漏后遇明火发生火灾和爆炸事故后，应</w:t>
            </w:r>
            <w:r>
              <w:rPr>
                <w:color w:val="auto"/>
              </w:rPr>
              <w:t>立即启动应急预案，严格控制事故，</w:t>
            </w:r>
            <w:r>
              <w:rPr>
                <w:rFonts w:hint="eastAsia"/>
                <w:color w:val="auto"/>
              </w:rPr>
              <w:t>及时通知周边居民疏散，</w:t>
            </w:r>
            <w:r>
              <w:rPr>
                <w:color w:val="auto"/>
              </w:rPr>
              <w:t>在做好对事故的风险防范和应急措施条件下，其影响是可以控制的。</w:t>
            </w:r>
          </w:p>
          <w:p>
            <w:pPr>
              <w:spacing w:line="360" w:lineRule="auto"/>
              <w:ind w:firstLine="480" w:firstLineChars="200"/>
              <w:rPr>
                <w:sz w:val="24"/>
              </w:rPr>
            </w:pPr>
            <w:r>
              <w:rPr>
                <w:rFonts w:hint="eastAsia"/>
                <w:sz w:val="24"/>
              </w:rPr>
              <w:t>（5）环境风险防范措施及应急要求</w:t>
            </w:r>
          </w:p>
          <w:p>
            <w:pPr>
              <w:pStyle w:val="50"/>
              <w:adjustRightInd w:val="0"/>
              <w:spacing w:line="360" w:lineRule="auto"/>
              <w:ind w:firstLine="482" w:firstLineChars="200"/>
              <w:rPr>
                <w:b/>
                <w:sz w:val="24"/>
              </w:rPr>
            </w:pPr>
            <w:r>
              <w:rPr>
                <w:rFonts w:hint="eastAsia" w:cs="Times New Roman"/>
                <w:b/>
                <w:bCs w:val="0"/>
                <w:sz w:val="24"/>
              </w:rPr>
              <w:t>①工程措施</w:t>
            </w:r>
          </w:p>
          <w:p>
            <w:pPr>
              <w:pStyle w:val="90"/>
              <w:numPr>
                <w:ilvl w:val="3"/>
                <w:numId w:val="4"/>
              </w:numPr>
              <w:spacing w:line="360" w:lineRule="auto"/>
              <w:ind w:left="0" w:firstLine="480"/>
              <w:rPr>
                <w:sz w:val="24"/>
              </w:rPr>
            </w:pPr>
            <w:r>
              <w:rPr>
                <w:sz w:val="24"/>
              </w:rPr>
              <w:t>应该严格按照《输气管道工程设计规范》选择管道的壁厚及材料，</w:t>
            </w:r>
            <w:r>
              <w:rPr>
                <w:rFonts w:hint="eastAsia"/>
                <w:sz w:val="24"/>
              </w:rPr>
              <w:t>对管道进行防腐，并安装</w:t>
            </w:r>
            <w:r>
              <w:rPr>
                <w:sz w:val="24"/>
              </w:rPr>
              <w:t>阴极保护系统；在公路等穿越点设置的标志、标识应清楚、明确，并保证其设置能从不同方向、不同角度均可看清；</w:t>
            </w:r>
          </w:p>
          <w:p>
            <w:pPr>
              <w:pStyle w:val="90"/>
              <w:numPr>
                <w:ilvl w:val="3"/>
                <w:numId w:val="4"/>
              </w:numPr>
              <w:spacing w:line="360" w:lineRule="auto"/>
              <w:ind w:left="0" w:firstLine="480"/>
              <w:rPr>
                <w:sz w:val="24"/>
              </w:rPr>
            </w:pPr>
            <w:r>
              <w:rPr>
                <w:sz w:val="24"/>
              </w:rPr>
              <w:t>进行压力试验，排除更多的存在于焊缝和母材的缺陷；</w:t>
            </w:r>
          </w:p>
          <w:p>
            <w:pPr>
              <w:pStyle w:val="90"/>
              <w:numPr>
                <w:ilvl w:val="3"/>
                <w:numId w:val="4"/>
              </w:numPr>
              <w:spacing w:line="360" w:lineRule="auto"/>
              <w:ind w:left="0" w:firstLine="480"/>
              <w:rPr>
                <w:sz w:val="24"/>
              </w:rPr>
            </w:pPr>
            <w:r>
              <w:rPr>
                <w:sz w:val="24"/>
              </w:rPr>
              <w:t>定期清管，以减轻管道内腐蚀。</w:t>
            </w:r>
          </w:p>
          <w:p>
            <w:pPr>
              <w:pStyle w:val="90"/>
              <w:numPr>
                <w:ilvl w:val="3"/>
                <w:numId w:val="4"/>
              </w:numPr>
              <w:spacing w:line="360" w:lineRule="auto"/>
              <w:ind w:left="0" w:firstLine="480"/>
              <w:rPr>
                <w:sz w:val="24"/>
              </w:rPr>
            </w:pPr>
            <w:r>
              <w:rPr>
                <w:sz w:val="24"/>
              </w:rPr>
              <w:t>定期测量管道壁厚，对管壁严重减薄管段，及时更换，避免发生爆管事故</w:t>
            </w:r>
            <w:r>
              <w:rPr>
                <w:rFonts w:hint="eastAsia"/>
                <w:sz w:val="24"/>
              </w:rPr>
              <w:t>。</w:t>
            </w:r>
          </w:p>
          <w:p>
            <w:pPr>
              <w:pStyle w:val="90"/>
              <w:numPr>
                <w:ilvl w:val="3"/>
                <w:numId w:val="4"/>
              </w:numPr>
              <w:spacing w:line="360" w:lineRule="auto"/>
              <w:ind w:left="0" w:firstLine="480"/>
              <w:rPr>
                <w:sz w:val="24"/>
              </w:rPr>
            </w:pPr>
            <w:r>
              <w:rPr>
                <w:sz w:val="24"/>
              </w:rPr>
              <w:t>定期检查管道安全保护系统(如截断阀等)，使管道在超压时能够得到安全处理，将危害影响范围减小到最低程度。</w:t>
            </w:r>
          </w:p>
          <w:p>
            <w:pPr>
              <w:pStyle w:val="90"/>
              <w:numPr>
                <w:ilvl w:val="3"/>
                <w:numId w:val="4"/>
              </w:numPr>
              <w:spacing w:line="360" w:lineRule="auto"/>
              <w:ind w:left="0" w:firstLine="480"/>
              <w:rPr>
                <w:sz w:val="24"/>
              </w:rPr>
            </w:pPr>
            <w:r>
              <w:rPr>
                <w:sz w:val="24"/>
              </w:rPr>
              <w:t>管道采用阴极保护来防止管道腐蚀，埋地段和地上交界处设绝缘法兰。在正常操作运行中基本不需要维护。地上管架管道设有防腐设施。</w:t>
            </w:r>
          </w:p>
          <w:p>
            <w:pPr>
              <w:pStyle w:val="90"/>
              <w:numPr>
                <w:ilvl w:val="3"/>
                <w:numId w:val="4"/>
              </w:numPr>
              <w:spacing w:line="360" w:lineRule="auto"/>
              <w:ind w:left="0" w:firstLine="480"/>
              <w:rPr>
                <w:sz w:val="24"/>
              </w:rPr>
            </w:pPr>
            <w:r>
              <w:rPr>
                <w:sz w:val="24"/>
              </w:rPr>
              <w:t>严格控制天然气的气质；</w:t>
            </w:r>
          </w:p>
          <w:p>
            <w:pPr>
              <w:pStyle w:val="90"/>
              <w:numPr>
                <w:ilvl w:val="3"/>
                <w:numId w:val="4"/>
              </w:numPr>
              <w:spacing w:line="360" w:lineRule="auto"/>
              <w:ind w:left="0" w:firstLine="480"/>
              <w:rPr>
                <w:sz w:val="24"/>
              </w:rPr>
            </w:pPr>
            <w:r>
              <w:rPr>
                <w:sz w:val="24"/>
              </w:rPr>
              <w:t>定期检查管道安全保护系统(如截断阀、安全阀、放空系统等)，使管道在超压时能够得到安全处理；</w:t>
            </w:r>
          </w:p>
          <w:p>
            <w:pPr>
              <w:pStyle w:val="90"/>
              <w:numPr>
                <w:ilvl w:val="3"/>
                <w:numId w:val="4"/>
              </w:numPr>
              <w:spacing w:line="360" w:lineRule="auto"/>
              <w:ind w:left="0" w:firstLine="480"/>
              <w:rPr>
                <w:sz w:val="24"/>
              </w:rPr>
            </w:pPr>
            <w:r>
              <w:rPr>
                <w:sz w:val="24"/>
              </w:rPr>
              <w:t>架空管道配置良好的防雷及放静电设施</w:t>
            </w:r>
            <w:r>
              <w:rPr>
                <w:rFonts w:hint="eastAsia"/>
                <w:sz w:val="24"/>
              </w:rPr>
              <w:t>；</w:t>
            </w:r>
          </w:p>
          <w:p>
            <w:pPr>
              <w:pStyle w:val="90"/>
              <w:numPr>
                <w:ilvl w:val="3"/>
                <w:numId w:val="4"/>
              </w:numPr>
              <w:spacing w:line="360" w:lineRule="auto"/>
              <w:ind w:left="0" w:firstLine="480"/>
              <w:rPr>
                <w:sz w:val="24"/>
              </w:rPr>
            </w:pPr>
            <w:r>
              <w:rPr>
                <w:sz w:val="24"/>
              </w:rPr>
              <w:t>安装火灾设备检测仪表、消防自控设施；</w:t>
            </w:r>
          </w:p>
          <w:p>
            <w:pPr>
              <w:pStyle w:val="90"/>
              <w:numPr>
                <w:ilvl w:val="3"/>
                <w:numId w:val="4"/>
              </w:numPr>
              <w:spacing w:line="360" w:lineRule="auto"/>
              <w:ind w:left="0" w:firstLine="480"/>
              <w:rPr>
                <w:sz w:val="24"/>
              </w:rPr>
            </w:pPr>
            <w:r>
              <w:rPr>
                <w:sz w:val="24"/>
              </w:rPr>
              <w:t>在可能发生天然气泄漏或积聚的场所设置可燃气体报警装置；</w:t>
            </w:r>
          </w:p>
          <w:p>
            <w:pPr>
              <w:pStyle w:val="90"/>
              <w:numPr>
                <w:ilvl w:val="3"/>
                <w:numId w:val="4"/>
              </w:numPr>
              <w:spacing w:line="360" w:lineRule="auto"/>
              <w:ind w:left="0" w:firstLine="480"/>
              <w:rPr>
                <w:sz w:val="24"/>
              </w:rPr>
            </w:pPr>
            <w:r>
              <w:rPr>
                <w:sz w:val="24"/>
              </w:rPr>
              <w:t>设立紧急关断系统。在管线两端设置紧急切断阀，对一些明显故障实施直接切断，也可通过控制系统进行远程关断；</w:t>
            </w:r>
          </w:p>
          <w:p>
            <w:pPr>
              <w:pStyle w:val="90"/>
              <w:numPr>
                <w:ilvl w:val="0"/>
                <w:numId w:val="4"/>
              </w:numPr>
              <w:spacing w:line="360" w:lineRule="auto"/>
              <w:ind w:left="0" w:firstLine="480"/>
              <w:rPr>
                <w:sz w:val="24"/>
              </w:rPr>
            </w:pPr>
            <w:r>
              <w:rPr>
                <w:rFonts w:hint="eastAsia"/>
                <w:sz w:val="24"/>
              </w:rPr>
              <w:t>天然气管道按照规范进行涂色等主要工程措施。</w:t>
            </w:r>
          </w:p>
          <w:p>
            <w:pPr>
              <w:spacing w:line="360" w:lineRule="auto"/>
              <w:ind w:firstLine="480" w:firstLineChars="200"/>
              <w:rPr>
                <w:sz w:val="24"/>
              </w:rPr>
            </w:pPr>
            <w:r>
              <w:rPr>
                <w:rFonts w:hint="eastAsia"/>
                <w:sz w:val="24"/>
              </w:rPr>
              <w:t>②管理措施</w:t>
            </w:r>
          </w:p>
          <w:p>
            <w:pPr>
              <w:pStyle w:val="90"/>
              <w:numPr>
                <w:ilvl w:val="0"/>
                <w:numId w:val="4"/>
              </w:numPr>
              <w:spacing w:line="360" w:lineRule="auto"/>
              <w:ind w:left="0" w:firstLine="480"/>
              <w:rPr>
                <w:sz w:val="24"/>
              </w:rPr>
            </w:pPr>
            <w:r>
              <w:rPr>
                <w:sz w:val="24"/>
              </w:rPr>
              <w:t>建立施工质量保证体系，严格执行焊接操作规程，焊接完成后应按照规范和设计要求进行无损检验，提高施工检验人员的水平，加强检验手段；</w:t>
            </w:r>
          </w:p>
          <w:p>
            <w:pPr>
              <w:pStyle w:val="90"/>
              <w:numPr>
                <w:ilvl w:val="0"/>
                <w:numId w:val="4"/>
              </w:numPr>
              <w:spacing w:line="360" w:lineRule="auto"/>
              <w:ind w:left="0" w:firstLine="480"/>
              <w:rPr>
                <w:sz w:val="24"/>
              </w:rPr>
            </w:pPr>
            <w:r>
              <w:rPr>
                <w:sz w:val="24"/>
              </w:rPr>
              <w:t>制定严格的规章制度，发现缺陷及时正确修补并做好记录；</w:t>
            </w:r>
          </w:p>
          <w:p>
            <w:pPr>
              <w:pStyle w:val="90"/>
              <w:numPr>
                <w:ilvl w:val="0"/>
                <w:numId w:val="4"/>
              </w:numPr>
              <w:spacing w:line="360" w:lineRule="auto"/>
              <w:ind w:left="0" w:firstLine="480"/>
              <w:rPr>
                <w:sz w:val="24"/>
              </w:rPr>
            </w:pPr>
            <w:r>
              <w:rPr>
                <w:sz w:val="24"/>
              </w:rPr>
              <w:t>选择有丰富经验的单位进行施工，并有优秀的第三方对其施工质量进行强有力的监督，减少施工误操作。</w:t>
            </w:r>
          </w:p>
          <w:p>
            <w:pPr>
              <w:pStyle w:val="90"/>
              <w:numPr>
                <w:ilvl w:val="0"/>
                <w:numId w:val="4"/>
              </w:numPr>
              <w:spacing w:line="360" w:lineRule="auto"/>
              <w:ind w:left="0" w:firstLine="480"/>
              <w:rPr>
                <w:sz w:val="24"/>
              </w:rPr>
            </w:pPr>
            <w:r>
              <w:rPr>
                <w:sz w:val="24"/>
              </w:rPr>
              <w:t>加大巡线频率，提高巡线的有效性，发现对管道安全有影响的行为，应及时制止、采取相应措施并向上级报告。</w:t>
            </w:r>
          </w:p>
          <w:p>
            <w:pPr>
              <w:pStyle w:val="90"/>
              <w:numPr>
                <w:ilvl w:val="0"/>
                <w:numId w:val="4"/>
              </w:numPr>
              <w:spacing w:line="360" w:lineRule="auto"/>
              <w:ind w:left="0" w:firstLine="480"/>
              <w:rPr>
                <w:sz w:val="24"/>
              </w:rPr>
            </w:pPr>
            <w:r>
              <w:rPr>
                <w:sz w:val="24"/>
              </w:rPr>
              <w:t>操作人员定期应进行安全培训，提高职工的安全意识，识别事故发生前的异常状态，并采取相应的措施。</w:t>
            </w:r>
          </w:p>
          <w:p>
            <w:pPr>
              <w:pStyle w:val="90"/>
              <w:numPr>
                <w:ilvl w:val="0"/>
                <w:numId w:val="4"/>
              </w:numPr>
              <w:spacing w:line="360" w:lineRule="auto"/>
              <w:ind w:left="0" w:firstLine="480"/>
              <w:rPr>
                <w:sz w:val="24"/>
              </w:rPr>
            </w:pPr>
            <w:r>
              <w:rPr>
                <w:sz w:val="24"/>
              </w:rPr>
              <w:t>制定事故应急预案，配备适当的管道抢修、灭火及人员抢救设备。</w:t>
            </w:r>
          </w:p>
          <w:p>
            <w:pPr>
              <w:pStyle w:val="90"/>
              <w:numPr>
                <w:ilvl w:val="0"/>
                <w:numId w:val="4"/>
              </w:numPr>
              <w:spacing w:line="360" w:lineRule="auto"/>
              <w:ind w:left="0" w:firstLine="480"/>
              <w:rPr>
                <w:sz w:val="24"/>
              </w:rPr>
            </w:pPr>
            <w:r>
              <w:rPr>
                <w:sz w:val="24"/>
              </w:rPr>
              <w:t>加大巡线频率，提高巡线的有效性，发现对管道安全有影响的行为，应及时制止、采取相应措施并向上级报告。</w:t>
            </w:r>
          </w:p>
          <w:p>
            <w:pPr>
              <w:pStyle w:val="90"/>
              <w:numPr>
                <w:ilvl w:val="0"/>
                <w:numId w:val="4"/>
              </w:numPr>
              <w:spacing w:line="360" w:lineRule="auto"/>
              <w:ind w:left="0" w:firstLine="480"/>
              <w:rPr>
                <w:sz w:val="24"/>
              </w:rPr>
            </w:pPr>
            <w:r>
              <w:rPr>
                <w:sz w:val="24"/>
              </w:rPr>
              <w:t>在施工过程中，加强管理，确保涂层施工质量；</w:t>
            </w:r>
          </w:p>
          <w:p>
            <w:pPr>
              <w:pStyle w:val="90"/>
              <w:numPr>
                <w:ilvl w:val="0"/>
                <w:numId w:val="4"/>
              </w:numPr>
              <w:spacing w:line="360" w:lineRule="auto"/>
              <w:ind w:left="0" w:firstLine="480"/>
              <w:rPr>
                <w:sz w:val="24"/>
              </w:rPr>
            </w:pPr>
            <w:r>
              <w:rPr>
                <w:sz w:val="24"/>
              </w:rPr>
              <w:t>建立施工质量保证体系，提高施工检验人员的水平，加强检验手段；</w:t>
            </w:r>
          </w:p>
          <w:p>
            <w:pPr>
              <w:pStyle w:val="90"/>
              <w:numPr>
                <w:ilvl w:val="0"/>
                <w:numId w:val="4"/>
              </w:numPr>
              <w:spacing w:line="360" w:lineRule="auto"/>
              <w:ind w:left="0" w:firstLine="480"/>
              <w:rPr>
                <w:sz w:val="24"/>
              </w:rPr>
            </w:pPr>
            <w:r>
              <w:rPr>
                <w:sz w:val="24"/>
              </w:rPr>
              <w:t>定严格的规章制度，发现缺陷及时正确修补并做好记录。</w:t>
            </w:r>
          </w:p>
          <w:p>
            <w:pPr>
              <w:pStyle w:val="90"/>
              <w:numPr>
                <w:ilvl w:val="0"/>
                <w:numId w:val="4"/>
              </w:numPr>
              <w:spacing w:line="360" w:lineRule="auto"/>
              <w:ind w:left="0" w:firstLine="480"/>
              <w:rPr>
                <w:sz w:val="24"/>
              </w:rPr>
            </w:pPr>
            <w:r>
              <w:rPr>
                <w:sz w:val="24"/>
              </w:rPr>
              <w:t>选择有丰富经验的单位进行施工，并对其施工质量进行强有力的监督，减少施工缺陷。</w:t>
            </w:r>
          </w:p>
          <w:p>
            <w:pPr>
              <w:pStyle w:val="90"/>
              <w:numPr>
                <w:ilvl w:val="0"/>
                <w:numId w:val="4"/>
              </w:numPr>
              <w:spacing w:line="360" w:lineRule="auto"/>
              <w:ind w:left="0" w:firstLine="480"/>
              <w:rPr>
                <w:sz w:val="24"/>
              </w:rPr>
            </w:pPr>
            <w:r>
              <w:rPr>
                <w:sz w:val="24"/>
              </w:rPr>
              <w:t>强化施工人员的质量安全意识，提高施工人员的技术水平，是保证施工质量，减少施工质量事故的有效途径。</w:t>
            </w:r>
          </w:p>
          <w:p>
            <w:pPr>
              <w:pStyle w:val="90"/>
              <w:numPr>
                <w:ilvl w:val="0"/>
                <w:numId w:val="4"/>
              </w:numPr>
              <w:spacing w:line="360" w:lineRule="auto"/>
              <w:ind w:left="0" w:firstLine="480"/>
              <w:rPr>
                <w:sz w:val="24"/>
              </w:rPr>
            </w:pPr>
            <w:r>
              <w:rPr>
                <w:sz w:val="24"/>
              </w:rPr>
              <w:t>定期检查管道安全保护系统（如截断阀、安全阀、放空系统等）。</w:t>
            </w:r>
          </w:p>
          <w:p>
            <w:pPr>
              <w:spacing w:line="360" w:lineRule="auto"/>
              <w:ind w:firstLine="480" w:firstLineChars="200"/>
              <w:rPr>
                <w:sz w:val="24"/>
              </w:rPr>
            </w:pPr>
            <w:r>
              <w:rPr>
                <w:rFonts w:hint="eastAsia"/>
                <w:sz w:val="24"/>
              </w:rPr>
              <w:t>（6）应急要求</w:t>
            </w:r>
          </w:p>
          <w:p>
            <w:pPr>
              <w:spacing w:line="360" w:lineRule="auto"/>
              <w:ind w:firstLine="480" w:firstLineChars="200"/>
              <w:rPr>
                <w:sz w:val="24"/>
              </w:rPr>
            </w:pPr>
            <w:r>
              <w:rPr>
                <w:rFonts w:hint="eastAsia"/>
                <w:sz w:val="24"/>
              </w:rPr>
              <w:t>针对本项目可能发生的突事故，为了将风险率降低到最小，建设单位应严格按照《企业突发环境事件风险分级方法》(HJ941-2018)、《企业突发环境事件应急预案编制指南》和《企业突发环风险评估指南（试行）》开展应急预案的编制工作，并报生态环境局晋宁分局备案。</w:t>
            </w:r>
          </w:p>
          <w:p>
            <w:pPr>
              <w:spacing w:line="360" w:lineRule="auto"/>
              <w:ind w:firstLine="480" w:firstLineChars="200"/>
              <w:rPr>
                <w:sz w:val="24"/>
              </w:rPr>
            </w:pPr>
            <w:r>
              <w:rPr>
                <w:rFonts w:hint="eastAsia"/>
                <w:sz w:val="24"/>
              </w:rPr>
              <w:t>（7）结论</w:t>
            </w:r>
          </w:p>
          <w:p>
            <w:pPr>
              <w:spacing w:line="360" w:lineRule="auto"/>
              <w:ind w:firstLine="480" w:firstLineChars="200"/>
              <w:rPr>
                <w:sz w:val="24"/>
              </w:rPr>
            </w:pPr>
            <w:r>
              <w:rPr>
                <w:rFonts w:hint="eastAsia"/>
                <w:sz w:val="24"/>
              </w:rPr>
              <w:t>本项目涉及的主要危险物质为天然气，可能存在风险的单元为天然气管线。通过采取可靠的安全防范措施，及规范的设计和严格正确的操作，能有效的防止泄漏、火灾、爆炸等事故的发生，一旦发生事故，依靠装置内的安全防护设施和事故应急措施也能及时控制事故，防止事故的蔓延，减少事故带来的人员伤亡、财产损失和环境影响，项目风险水平可以接受。</w:t>
            </w:r>
          </w:p>
          <w:p>
            <w:pPr>
              <w:spacing w:line="360" w:lineRule="auto"/>
              <w:ind w:firstLine="480" w:firstLineChars="200"/>
              <w:rPr>
                <w:sz w:val="24"/>
              </w:rPr>
            </w:pPr>
            <w:r>
              <w:rPr>
                <w:rFonts w:hint="eastAsia"/>
                <w:sz w:val="24"/>
              </w:rPr>
              <w:t>本项目发生事故的机率较低，项目选址及管线安装位置从环境风险角度考虑是可以接受的。</w:t>
            </w:r>
          </w:p>
          <w:p>
            <w:pPr>
              <w:spacing w:line="360" w:lineRule="auto"/>
              <w:ind w:firstLine="480" w:firstLineChars="200"/>
              <w:rPr>
                <w:sz w:val="24"/>
              </w:rPr>
            </w:pPr>
          </w:p>
        </w:tc>
      </w:tr>
    </w:tbl>
    <w:p>
      <w:pPr>
        <w:pStyle w:val="29"/>
        <w:ind w:firstLine="480"/>
        <w:rPr>
          <w:color w:val="auto"/>
          <w:kern w:val="0"/>
          <w:sz w:val="18"/>
          <w:szCs w:val="20"/>
        </w:rPr>
      </w:pPr>
      <w:r>
        <w:rPr>
          <w:color w:val="auto"/>
        </w:rPr>
        <w:br w:type="page"/>
      </w:r>
    </w:p>
    <w:p>
      <w:pPr>
        <w:pStyle w:val="18"/>
        <w:jc w:val="center"/>
        <w:outlineLvl w:val="0"/>
        <w:rPr>
          <w:rFonts w:ascii="Times New Roman" w:hAnsi="Times New Roman"/>
          <w:sz w:val="30"/>
          <w:szCs w:val="30"/>
        </w:rPr>
      </w:pPr>
      <w:bookmarkStart w:id="34" w:name="_Toc117775798"/>
      <w:r>
        <w:rPr>
          <w:rFonts w:hint="eastAsia" w:ascii="Times New Roman" w:hAnsi="Times New Roman"/>
          <w:sz w:val="30"/>
          <w:szCs w:val="30"/>
        </w:rPr>
        <w:t>五、环境保护措施监督检查清单</w:t>
      </w:r>
      <w:bookmarkEnd w:id="34"/>
    </w:p>
    <w:tbl>
      <w:tblPr>
        <w:tblStyle w:val="22"/>
        <w:tblW w:w="88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755"/>
        <w:gridCol w:w="1755"/>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78" w:type="dxa"/>
            <w:tcBorders>
              <w:top w:val="single" w:color="auto" w:sz="8" w:space="0"/>
              <w:left w:val="single" w:color="auto" w:sz="8" w:space="0"/>
              <w:bottom w:val="single" w:color="auto" w:sz="4" w:space="0"/>
              <w:right w:val="single" w:color="auto" w:sz="4" w:space="0"/>
            </w:tcBorders>
          </w:tcPr>
          <w:p>
            <w:pPr>
              <w:adjustRightInd w:val="0"/>
              <w:snapToGrid w:val="0"/>
              <w:ind w:firstLine="840"/>
              <w:rPr>
                <w:szCs w:val="21"/>
              </w:rPr>
            </w:pPr>
            <w:r>
              <w:rPr>
                <w:rFonts w:hint="eastAsia"/>
              </w:rPr>
              <w:t>内容</w:t>
            </w:r>
          </w:p>
          <w:p>
            <w:pPr>
              <w:adjustRightInd w:val="0"/>
              <w:snapToGrid w:val="0"/>
            </w:pPr>
            <w:r>
              <w:rPr>
                <w:rFonts w:hint="eastAsia"/>
              </w:rPr>
              <w:t>要素</w:t>
            </w:r>
          </w:p>
        </w:tc>
        <w:tc>
          <w:tcPr>
            <w:tcW w:w="1755" w:type="dxa"/>
            <w:tcBorders>
              <w:top w:val="single" w:color="auto" w:sz="8" w:space="0"/>
              <w:left w:val="single" w:color="auto" w:sz="4" w:space="0"/>
              <w:bottom w:val="single" w:color="auto" w:sz="4" w:space="0"/>
              <w:right w:val="single" w:color="auto" w:sz="4" w:space="0"/>
            </w:tcBorders>
            <w:vAlign w:val="center"/>
          </w:tcPr>
          <w:p>
            <w:pPr>
              <w:adjustRightInd w:val="0"/>
              <w:snapToGrid w:val="0"/>
              <w:jc w:val="center"/>
            </w:pPr>
            <w:r>
              <w:rPr>
                <w:rFonts w:hint="eastAsia"/>
              </w:rPr>
              <w:t>排放口(编号、</w:t>
            </w:r>
          </w:p>
          <w:p>
            <w:pPr>
              <w:adjustRightInd w:val="0"/>
              <w:snapToGrid w:val="0"/>
              <w:jc w:val="center"/>
            </w:pPr>
            <w:r>
              <w:rPr>
                <w:rFonts w:hint="eastAsia"/>
              </w:rPr>
              <w:t>名称)/污染源</w:t>
            </w:r>
          </w:p>
        </w:tc>
        <w:tc>
          <w:tcPr>
            <w:tcW w:w="1755" w:type="dxa"/>
            <w:tcBorders>
              <w:top w:val="single" w:color="auto" w:sz="8" w:space="0"/>
              <w:left w:val="single" w:color="auto" w:sz="4" w:space="0"/>
              <w:bottom w:val="single" w:color="auto" w:sz="4" w:space="0"/>
              <w:right w:val="single" w:color="auto" w:sz="4" w:space="0"/>
            </w:tcBorders>
            <w:vAlign w:val="center"/>
          </w:tcPr>
          <w:p>
            <w:pPr>
              <w:adjustRightInd w:val="0"/>
              <w:snapToGrid w:val="0"/>
              <w:jc w:val="center"/>
            </w:pPr>
            <w:r>
              <w:rPr>
                <w:rFonts w:hint="eastAsia"/>
              </w:rPr>
              <w:t>污染物项目</w:t>
            </w:r>
          </w:p>
        </w:tc>
        <w:tc>
          <w:tcPr>
            <w:tcW w:w="1755" w:type="dxa"/>
            <w:tcBorders>
              <w:top w:val="single" w:color="auto" w:sz="8" w:space="0"/>
              <w:left w:val="single" w:color="auto" w:sz="4" w:space="0"/>
              <w:bottom w:val="single" w:color="auto" w:sz="4" w:space="0"/>
              <w:right w:val="single" w:color="auto" w:sz="4" w:space="0"/>
            </w:tcBorders>
            <w:vAlign w:val="center"/>
          </w:tcPr>
          <w:p>
            <w:pPr>
              <w:adjustRightInd w:val="0"/>
              <w:snapToGrid w:val="0"/>
              <w:jc w:val="center"/>
            </w:pPr>
            <w:r>
              <w:rPr>
                <w:rFonts w:hint="eastAsia"/>
              </w:rPr>
              <w:t>环境保护措施</w:t>
            </w:r>
          </w:p>
        </w:tc>
        <w:tc>
          <w:tcPr>
            <w:tcW w:w="1757" w:type="dxa"/>
            <w:tcBorders>
              <w:top w:val="single" w:color="auto" w:sz="8" w:space="0"/>
              <w:left w:val="single" w:color="auto" w:sz="4" w:space="0"/>
              <w:bottom w:val="single" w:color="auto" w:sz="4" w:space="0"/>
              <w:right w:val="single" w:color="auto" w:sz="8" w:space="0"/>
            </w:tcBorders>
            <w:vAlign w:val="center"/>
          </w:tcPr>
          <w:p>
            <w:pPr>
              <w:adjustRightInd w:val="0"/>
              <w:snapToGrid w:val="0"/>
              <w:jc w:val="center"/>
            </w:pPr>
            <w:r>
              <w:rPr>
                <w:rFonts w:hint="eastAsia"/>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78" w:type="dxa"/>
            <w:vMerge w:val="restart"/>
            <w:tcBorders>
              <w:top w:val="single" w:color="auto" w:sz="4" w:space="0"/>
              <w:left w:val="single" w:color="auto" w:sz="8" w:space="0"/>
              <w:bottom w:val="single" w:color="auto" w:sz="4" w:space="0"/>
              <w:right w:val="single" w:color="auto" w:sz="4" w:space="0"/>
            </w:tcBorders>
            <w:vAlign w:val="center"/>
          </w:tcPr>
          <w:p>
            <w:pPr>
              <w:adjustRightInd w:val="0"/>
              <w:snapToGrid w:val="0"/>
              <w:jc w:val="center"/>
            </w:pPr>
            <w:r>
              <w:rPr>
                <w:rFonts w:hint="eastAsia"/>
              </w:rPr>
              <w:t>大气环境</w:t>
            </w:r>
          </w:p>
        </w:tc>
        <w:tc>
          <w:tcPr>
            <w:tcW w:w="1755" w:type="dxa"/>
            <w:vMerge w:val="restart"/>
            <w:tcBorders>
              <w:top w:val="single" w:color="auto" w:sz="4" w:space="0"/>
              <w:left w:val="single" w:color="auto" w:sz="4" w:space="0"/>
              <w:right w:val="single" w:color="auto" w:sz="4" w:space="0"/>
            </w:tcBorders>
            <w:vAlign w:val="center"/>
          </w:tcPr>
          <w:p>
            <w:pPr>
              <w:adjustRightInd w:val="0"/>
              <w:snapToGrid w:val="0"/>
              <w:jc w:val="center"/>
            </w:pPr>
            <w:r>
              <w:rPr>
                <w:szCs w:val="21"/>
              </w:rPr>
              <w:t>15</w:t>
            </w:r>
            <w:r>
              <w:rPr>
                <w:rFonts w:hint="eastAsia"/>
                <w:szCs w:val="21"/>
              </w:rPr>
              <w:t>万吨/年饲钙装置干燥+含氟尾气排口</w:t>
            </w:r>
          </w:p>
        </w:tc>
        <w:tc>
          <w:tcPr>
            <w:tcW w:w="17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二氧化硫</w:t>
            </w:r>
          </w:p>
        </w:tc>
        <w:tc>
          <w:tcPr>
            <w:tcW w:w="1755" w:type="dxa"/>
            <w:vMerge w:val="restart"/>
            <w:tcBorders>
              <w:top w:val="single" w:color="auto" w:sz="4" w:space="0"/>
              <w:left w:val="single" w:color="auto" w:sz="4" w:space="0"/>
              <w:right w:val="single" w:color="auto" w:sz="4" w:space="0"/>
            </w:tcBorders>
            <w:vAlign w:val="center"/>
          </w:tcPr>
          <w:p>
            <w:pPr>
              <w:adjustRightInd w:val="0"/>
              <w:snapToGrid w:val="0"/>
              <w:jc w:val="center"/>
            </w:pPr>
            <w:r>
              <w:rPr>
                <w:rFonts w:hint="eastAsia"/>
              </w:rPr>
              <w:t>旋风除尘器+喷雾干燥尾气洗涤塔+</w:t>
            </w:r>
            <w:r>
              <w:t>40m</w:t>
            </w:r>
            <w:r>
              <w:rPr>
                <w:rFonts w:hint="eastAsia"/>
              </w:rPr>
              <w:t>排气筒</w:t>
            </w:r>
          </w:p>
        </w:tc>
        <w:tc>
          <w:tcPr>
            <w:tcW w:w="1757" w:type="dxa"/>
            <w:vMerge w:val="restart"/>
            <w:tcBorders>
              <w:top w:val="single" w:color="auto" w:sz="4" w:space="0"/>
              <w:left w:val="single" w:color="auto" w:sz="4" w:space="0"/>
              <w:right w:val="single" w:color="auto" w:sz="8" w:space="0"/>
            </w:tcBorders>
            <w:vAlign w:val="center"/>
          </w:tcPr>
          <w:p>
            <w:pPr>
              <w:adjustRightInd w:val="0"/>
              <w:snapToGrid w:val="0"/>
              <w:jc w:val="center"/>
            </w:pPr>
            <w:r>
              <w:rPr>
                <w:rFonts w:hint="eastAsia"/>
                <w:bCs/>
                <w:szCs w:val="21"/>
              </w:rPr>
              <w:t>《大气污染物综合排放标准》（G</w:t>
            </w:r>
            <w:r>
              <w:rPr>
                <w:bCs/>
                <w:szCs w:val="21"/>
              </w:rPr>
              <w:t>B16297-1996</w:t>
            </w:r>
            <w:r>
              <w:rPr>
                <w:rFonts w:hint="eastAsia"/>
                <w:bCs/>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78"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szCs w:val="21"/>
              </w:rPr>
            </w:pPr>
          </w:p>
        </w:tc>
        <w:tc>
          <w:tcPr>
            <w:tcW w:w="1755" w:type="dxa"/>
            <w:vMerge w:val="continue"/>
            <w:tcBorders>
              <w:left w:val="single" w:color="auto" w:sz="4" w:space="0"/>
              <w:right w:val="single" w:color="auto" w:sz="4" w:space="0"/>
            </w:tcBorders>
            <w:vAlign w:val="center"/>
          </w:tcPr>
          <w:p>
            <w:pPr>
              <w:adjustRightInd w:val="0"/>
              <w:snapToGrid w:val="0"/>
              <w:jc w:val="center"/>
            </w:pPr>
          </w:p>
        </w:tc>
        <w:tc>
          <w:tcPr>
            <w:tcW w:w="17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颗粒物</w:t>
            </w:r>
          </w:p>
        </w:tc>
        <w:tc>
          <w:tcPr>
            <w:tcW w:w="1755" w:type="dxa"/>
            <w:vMerge w:val="continue"/>
            <w:tcBorders>
              <w:left w:val="single" w:color="auto" w:sz="4" w:space="0"/>
              <w:right w:val="single" w:color="auto" w:sz="4" w:space="0"/>
            </w:tcBorders>
            <w:vAlign w:val="center"/>
          </w:tcPr>
          <w:p>
            <w:pPr>
              <w:adjustRightInd w:val="0"/>
              <w:snapToGrid w:val="0"/>
              <w:jc w:val="center"/>
            </w:pPr>
          </w:p>
        </w:tc>
        <w:tc>
          <w:tcPr>
            <w:tcW w:w="1757" w:type="dxa"/>
            <w:vMerge w:val="continue"/>
            <w:tcBorders>
              <w:left w:val="single" w:color="auto" w:sz="4" w:space="0"/>
              <w:right w:val="single" w:color="auto" w:sz="8" w:space="0"/>
            </w:tcBorders>
            <w:vAlign w:val="center"/>
          </w:tcPr>
          <w:p>
            <w:pPr>
              <w:adjustRightInd w:val="0"/>
              <w:snapToGrid w:val="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78"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szCs w:val="21"/>
              </w:rPr>
            </w:pPr>
          </w:p>
        </w:tc>
        <w:tc>
          <w:tcPr>
            <w:tcW w:w="1755" w:type="dxa"/>
            <w:vMerge w:val="continue"/>
            <w:tcBorders>
              <w:left w:val="single" w:color="auto" w:sz="4" w:space="0"/>
              <w:right w:val="single" w:color="auto" w:sz="4" w:space="0"/>
            </w:tcBorders>
            <w:vAlign w:val="center"/>
          </w:tcPr>
          <w:p>
            <w:pPr>
              <w:adjustRightInd w:val="0"/>
              <w:snapToGrid w:val="0"/>
              <w:jc w:val="center"/>
            </w:pPr>
          </w:p>
        </w:tc>
        <w:tc>
          <w:tcPr>
            <w:tcW w:w="17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氮氧化物</w:t>
            </w:r>
          </w:p>
        </w:tc>
        <w:tc>
          <w:tcPr>
            <w:tcW w:w="1755" w:type="dxa"/>
            <w:vMerge w:val="continue"/>
            <w:tcBorders>
              <w:left w:val="single" w:color="auto" w:sz="4" w:space="0"/>
              <w:right w:val="single" w:color="auto" w:sz="4" w:space="0"/>
            </w:tcBorders>
            <w:vAlign w:val="center"/>
          </w:tcPr>
          <w:p>
            <w:pPr>
              <w:adjustRightInd w:val="0"/>
              <w:snapToGrid w:val="0"/>
              <w:jc w:val="center"/>
            </w:pPr>
          </w:p>
        </w:tc>
        <w:tc>
          <w:tcPr>
            <w:tcW w:w="1757" w:type="dxa"/>
            <w:vMerge w:val="continue"/>
            <w:tcBorders>
              <w:left w:val="single" w:color="auto" w:sz="4" w:space="0"/>
              <w:right w:val="single" w:color="auto" w:sz="8" w:space="0"/>
            </w:tcBorders>
            <w:vAlign w:val="center"/>
          </w:tcPr>
          <w:p>
            <w:pPr>
              <w:adjustRightInd w:val="0"/>
              <w:snapToGrid w:val="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78"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szCs w:val="21"/>
              </w:rPr>
            </w:pPr>
          </w:p>
        </w:tc>
        <w:tc>
          <w:tcPr>
            <w:tcW w:w="1755" w:type="dxa"/>
            <w:vMerge w:val="continue"/>
            <w:tcBorders>
              <w:left w:val="single" w:color="auto" w:sz="4" w:space="0"/>
              <w:bottom w:val="single" w:color="auto" w:sz="4" w:space="0"/>
              <w:right w:val="single" w:color="auto" w:sz="4" w:space="0"/>
            </w:tcBorders>
            <w:vAlign w:val="center"/>
          </w:tcPr>
          <w:p>
            <w:pPr>
              <w:adjustRightInd w:val="0"/>
              <w:snapToGrid w:val="0"/>
              <w:jc w:val="center"/>
            </w:pPr>
          </w:p>
        </w:tc>
        <w:tc>
          <w:tcPr>
            <w:tcW w:w="17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氟化物</w:t>
            </w:r>
          </w:p>
        </w:tc>
        <w:tc>
          <w:tcPr>
            <w:tcW w:w="1755" w:type="dxa"/>
            <w:vMerge w:val="continue"/>
            <w:tcBorders>
              <w:left w:val="single" w:color="auto" w:sz="4" w:space="0"/>
              <w:bottom w:val="single" w:color="auto" w:sz="4" w:space="0"/>
              <w:right w:val="single" w:color="auto" w:sz="4" w:space="0"/>
            </w:tcBorders>
            <w:vAlign w:val="center"/>
          </w:tcPr>
          <w:p>
            <w:pPr>
              <w:adjustRightInd w:val="0"/>
              <w:snapToGrid w:val="0"/>
              <w:jc w:val="center"/>
            </w:pPr>
          </w:p>
        </w:tc>
        <w:tc>
          <w:tcPr>
            <w:tcW w:w="1757" w:type="dxa"/>
            <w:vMerge w:val="continue"/>
            <w:tcBorders>
              <w:left w:val="single" w:color="auto" w:sz="4" w:space="0"/>
              <w:bottom w:val="single" w:color="auto" w:sz="4" w:space="0"/>
              <w:right w:val="single" w:color="auto" w:sz="8" w:space="0"/>
            </w:tcBorders>
            <w:vAlign w:val="center"/>
          </w:tcPr>
          <w:p>
            <w:pPr>
              <w:adjustRightInd w:val="0"/>
              <w:snapToGrid w:val="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78"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pPr>
            <w:r>
              <w:rPr>
                <w:rFonts w:hint="eastAsia"/>
              </w:rPr>
              <w:t>地表水环境</w:t>
            </w:r>
          </w:p>
        </w:tc>
        <w:tc>
          <w:tcPr>
            <w:tcW w:w="17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无</w:t>
            </w:r>
          </w:p>
        </w:tc>
        <w:tc>
          <w:tcPr>
            <w:tcW w:w="17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w:t>
            </w:r>
          </w:p>
        </w:tc>
        <w:tc>
          <w:tcPr>
            <w:tcW w:w="17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w:t>
            </w:r>
          </w:p>
        </w:tc>
        <w:tc>
          <w:tcPr>
            <w:tcW w:w="1757"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78"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pPr>
            <w:r>
              <w:rPr>
                <w:rFonts w:hint="eastAsia"/>
              </w:rPr>
              <w:t>声环境</w:t>
            </w:r>
          </w:p>
        </w:tc>
        <w:tc>
          <w:tcPr>
            <w:tcW w:w="17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无</w:t>
            </w:r>
          </w:p>
        </w:tc>
        <w:tc>
          <w:tcPr>
            <w:tcW w:w="17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w:t>
            </w:r>
          </w:p>
        </w:tc>
        <w:tc>
          <w:tcPr>
            <w:tcW w:w="17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w:t>
            </w:r>
          </w:p>
        </w:tc>
        <w:tc>
          <w:tcPr>
            <w:tcW w:w="1757"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78"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pPr>
            <w:r>
              <w:rPr>
                <w:rFonts w:hint="eastAsia"/>
              </w:rPr>
              <w:t>电磁辐射</w:t>
            </w:r>
          </w:p>
        </w:tc>
        <w:tc>
          <w:tcPr>
            <w:tcW w:w="17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无</w:t>
            </w:r>
          </w:p>
        </w:tc>
        <w:tc>
          <w:tcPr>
            <w:tcW w:w="17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w:t>
            </w:r>
          </w:p>
        </w:tc>
        <w:tc>
          <w:tcPr>
            <w:tcW w:w="17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w:t>
            </w:r>
          </w:p>
        </w:tc>
        <w:tc>
          <w:tcPr>
            <w:tcW w:w="1757"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778"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pPr>
            <w:r>
              <w:rPr>
                <w:rFonts w:hint="eastAsia"/>
              </w:rPr>
              <w:t>固体废物</w:t>
            </w:r>
          </w:p>
        </w:tc>
        <w:tc>
          <w:tcPr>
            <w:tcW w:w="7022" w:type="dxa"/>
            <w:gridSpan w:val="4"/>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szCs w:val="21"/>
              </w:rPr>
            </w:pPr>
            <w:r>
              <w:rPr>
                <w:rFonts w:hint="eastAsia"/>
                <w:szCs w:val="21"/>
              </w:rPr>
              <w:t>本项目不新增生活垃圾，技改完成后炉渣产生量为2</w:t>
            </w:r>
            <w:r>
              <w:rPr>
                <w:szCs w:val="21"/>
              </w:rPr>
              <w:t>140t</w:t>
            </w:r>
            <w:r>
              <w:rPr>
                <w:rFonts w:hint="eastAsia"/>
                <w:szCs w:val="21"/>
              </w:rPr>
              <w:t>/a，外售作为建材，1</w:t>
            </w:r>
            <w:r>
              <w:rPr>
                <w:szCs w:val="21"/>
              </w:rPr>
              <w:t>00%</w:t>
            </w:r>
            <w:r>
              <w:rPr>
                <w:rFonts w:hint="eastAsia"/>
                <w:szCs w:val="21"/>
              </w:rPr>
              <w:t>处置，不外排。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778"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pPr>
            <w:r>
              <w:rPr>
                <w:rFonts w:hint="eastAsia"/>
              </w:rPr>
              <w:t>土壤及地下水</w:t>
            </w:r>
          </w:p>
          <w:p>
            <w:pPr>
              <w:adjustRightInd w:val="0"/>
              <w:snapToGrid w:val="0"/>
              <w:jc w:val="center"/>
            </w:pPr>
            <w:r>
              <w:rPr>
                <w:rFonts w:hint="eastAsia"/>
              </w:rPr>
              <w:t>污染防治措施</w:t>
            </w:r>
          </w:p>
        </w:tc>
        <w:tc>
          <w:tcPr>
            <w:tcW w:w="7022" w:type="dxa"/>
            <w:gridSpan w:val="4"/>
            <w:tcBorders>
              <w:top w:val="single" w:color="auto" w:sz="4" w:space="0"/>
              <w:left w:val="single" w:color="auto" w:sz="4" w:space="0"/>
              <w:bottom w:val="single" w:color="auto" w:sz="4" w:space="0"/>
              <w:right w:val="single" w:color="auto" w:sz="8" w:space="0"/>
            </w:tcBorders>
            <w:vAlign w:val="center"/>
          </w:tcPr>
          <w:p>
            <w:pPr>
              <w:adjustRightInd w:val="0"/>
              <w:snapToGrid w:val="0"/>
              <w:jc w:val="cente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778"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pPr>
            <w:r>
              <w:rPr>
                <w:rFonts w:hint="eastAsia"/>
              </w:rPr>
              <w:t>生态保护措施</w:t>
            </w:r>
          </w:p>
        </w:tc>
        <w:tc>
          <w:tcPr>
            <w:tcW w:w="7022" w:type="dxa"/>
            <w:gridSpan w:val="4"/>
            <w:tcBorders>
              <w:top w:val="single" w:color="auto" w:sz="4" w:space="0"/>
              <w:left w:val="single" w:color="auto" w:sz="4" w:space="0"/>
              <w:bottom w:val="single" w:color="auto" w:sz="4" w:space="0"/>
              <w:right w:val="single" w:color="auto" w:sz="8" w:space="0"/>
            </w:tcBorders>
            <w:vAlign w:val="center"/>
          </w:tcPr>
          <w:p>
            <w:pPr>
              <w:adjustRightInd w:val="0"/>
              <w:snapToGrid w:val="0"/>
              <w:jc w:val="cente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778"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spacing w:val="-8"/>
              </w:rPr>
            </w:pPr>
            <w:r>
              <w:rPr>
                <w:rFonts w:hint="eastAsia"/>
                <w:spacing w:val="-8"/>
              </w:rPr>
              <w:t>环境风险</w:t>
            </w:r>
          </w:p>
          <w:p>
            <w:pPr>
              <w:adjustRightInd w:val="0"/>
              <w:snapToGrid w:val="0"/>
              <w:jc w:val="center"/>
              <w:rPr>
                <w:spacing w:val="-8"/>
              </w:rPr>
            </w:pPr>
            <w:r>
              <w:rPr>
                <w:rFonts w:hint="eastAsia"/>
                <w:spacing w:val="-8"/>
              </w:rPr>
              <w:t>防范措施</w:t>
            </w:r>
          </w:p>
        </w:tc>
        <w:tc>
          <w:tcPr>
            <w:tcW w:w="7022" w:type="dxa"/>
            <w:gridSpan w:val="4"/>
            <w:tcBorders>
              <w:top w:val="single" w:color="auto" w:sz="4" w:space="0"/>
              <w:left w:val="single" w:color="auto" w:sz="4" w:space="0"/>
              <w:bottom w:val="single" w:color="auto" w:sz="4" w:space="0"/>
              <w:right w:val="single" w:color="auto" w:sz="8" w:space="0"/>
            </w:tcBorders>
            <w:vAlign w:val="center"/>
          </w:tcPr>
          <w:p>
            <w:pPr>
              <w:pStyle w:val="50"/>
              <w:adjustRightInd w:val="0"/>
              <w:ind w:firstLine="0"/>
              <w:rPr>
                <w:b/>
                <w:szCs w:val="21"/>
              </w:rPr>
            </w:pPr>
            <w:r>
              <w:rPr>
                <w:rFonts w:hint="eastAsia" w:cs="Times New Roman"/>
                <w:b/>
                <w:bCs w:val="0"/>
                <w:szCs w:val="21"/>
              </w:rPr>
              <w:t>①工程措施</w:t>
            </w:r>
          </w:p>
          <w:p>
            <w:pPr>
              <w:pStyle w:val="90"/>
              <w:numPr>
                <w:ilvl w:val="3"/>
                <w:numId w:val="4"/>
              </w:numPr>
              <w:ind w:left="0" w:firstLine="420"/>
              <w:rPr>
                <w:szCs w:val="21"/>
              </w:rPr>
            </w:pPr>
            <w:r>
              <w:rPr>
                <w:szCs w:val="21"/>
              </w:rPr>
              <w:t>应该严格按照《输气管道工程设计规范》选择管道的壁厚及材料，</w:t>
            </w:r>
            <w:r>
              <w:rPr>
                <w:rFonts w:hint="eastAsia"/>
                <w:szCs w:val="21"/>
              </w:rPr>
              <w:t>对管道进行防腐，并安装</w:t>
            </w:r>
            <w:r>
              <w:rPr>
                <w:szCs w:val="21"/>
              </w:rPr>
              <w:t>阴极保护系统；在公路等穿越点设置的标志、标识应清楚、明确，并保证其设置能从不同方向、不同角度均可看清；</w:t>
            </w:r>
          </w:p>
          <w:p>
            <w:pPr>
              <w:pStyle w:val="90"/>
              <w:numPr>
                <w:ilvl w:val="3"/>
                <w:numId w:val="4"/>
              </w:numPr>
              <w:ind w:left="0" w:firstLine="420"/>
              <w:rPr>
                <w:szCs w:val="21"/>
              </w:rPr>
            </w:pPr>
            <w:r>
              <w:rPr>
                <w:szCs w:val="21"/>
              </w:rPr>
              <w:t>进行压力试验，排除更多的存在于焊缝和母材的缺陷；</w:t>
            </w:r>
          </w:p>
          <w:p>
            <w:pPr>
              <w:pStyle w:val="90"/>
              <w:numPr>
                <w:ilvl w:val="3"/>
                <w:numId w:val="4"/>
              </w:numPr>
              <w:ind w:left="0" w:firstLine="420"/>
              <w:rPr>
                <w:szCs w:val="21"/>
              </w:rPr>
            </w:pPr>
            <w:r>
              <w:rPr>
                <w:szCs w:val="21"/>
              </w:rPr>
              <w:t>定期清管，以减轻管道内腐蚀。</w:t>
            </w:r>
          </w:p>
          <w:p>
            <w:pPr>
              <w:pStyle w:val="90"/>
              <w:numPr>
                <w:ilvl w:val="3"/>
                <w:numId w:val="4"/>
              </w:numPr>
              <w:ind w:left="0" w:firstLine="420"/>
              <w:rPr>
                <w:szCs w:val="21"/>
              </w:rPr>
            </w:pPr>
            <w:r>
              <w:rPr>
                <w:szCs w:val="21"/>
              </w:rPr>
              <w:t>定期测量管道壁厚，对管壁严重减薄管段，及时更换，避免发生爆管事故</w:t>
            </w:r>
            <w:r>
              <w:rPr>
                <w:rFonts w:hint="eastAsia"/>
                <w:szCs w:val="21"/>
              </w:rPr>
              <w:t>。</w:t>
            </w:r>
          </w:p>
          <w:p>
            <w:pPr>
              <w:pStyle w:val="90"/>
              <w:numPr>
                <w:ilvl w:val="3"/>
                <w:numId w:val="4"/>
              </w:numPr>
              <w:ind w:left="0" w:firstLine="420"/>
              <w:rPr>
                <w:szCs w:val="21"/>
              </w:rPr>
            </w:pPr>
            <w:r>
              <w:rPr>
                <w:szCs w:val="21"/>
              </w:rPr>
              <w:t>定期检查管道安全保护系统(如截断阀等)，使管道在超压时能够得到安全处理，将危害影响范围减小到最低程度。</w:t>
            </w:r>
          </w:p>
          <w:p>
            <w:pPr>
              <w:pStyle w:val="90"/>
              <w:numPr>
                <w:ilvl w:val="3"/>
                <w:numId w:val="4"/>
              </w:numPr>
              <w:ind w:left="0" w:firstLine="420"/>
              <w:rPr>
                <w:szCs w:val="21"/>
              </w:rPr>
            </w:pPr>
            <w:r>
              <w:rPr>
                <w:szCs w:val="21"/>
              </w:rPr>
              <w:t>管道采用阴极保护来防止管道腐蚀，埋地段和地上交界处设绝缘法兰。在正常操作运行中基本不需要维护。地上管架管道设有防腐设施。</w:t>
            </w:r>
          </w:p>
          <w:p>
            <w:pPr>
              <w:pStyle w:val="90"/>
              <w:numPr>
                <w:ilvl w:val="3"/>
                <w:numId w:val="4"/>
              </w:numPr>
              <w:ind w:left="0" w:firstLine="420"/>
              <w:rPr>
                <w:szCs w:val="21"/>
              </w:rPr>
            </w:pPr>
            <w:r>
              <w:rPr>
                <w:szCs w:val="21"/>
              </w:rPr>
              <w:t>严格控制天然气的气质；</w:t>
            </w:r>
          </w:p>
          <w:p>
            <w:pPr>
              <w:pStyle w:val="90"/>
              <w:numPr>
                <w:ilvl w:val="3"/>
                <w:numId w:val="4"/>
              </w:numPr>
              <w:ind w:left="0" w:firstLine="420"/>
              <w:rPr>
                <w:szCs w:val="21"/>
              </w:rPr>
            </w:pPr>
            <w:r>
              <w:rPr>
                <w:szCs w:val="21"/>
              </w:rPr>
              <w:t>定期检查管道安全保护系统(如截断阀、安全阀、放空系统等)，使管道在超压时能够得到安全处理；</w:t>
            </w:r>
          </w:p>
          <w:p>
            <w:pPr>
              <w:pStyle w:val="90"/>
              <w:numPr>
                <w:ilvl w:val="3"/>
                <w:numId w:val="4"/>
              </w:numPr>
              <w:ind w:left="0" w:firstLine="420"/>
              <w:rPr>
                <w:szCs w:val="21"/>
              </w:rPr>
            </w:pPr>
            <w:r>
              <w:rPr>
                <w:szCs w:val="21"/>
              </w:rPr>
              <w:t>架空管道配置良好的防雷及放静电设施</w:t>
            </w:r>
            <w:r>
              <w:rPr>
                <w:rFonts w:hint="eastAsia"/>
                <w:szCs w:val="21"/>
              </w:rPr>
              <w:t>；</w:t>
            </w:r>
          </w:p>
          <w:p>
            <w:pPr>
              <w:pStyle w:val="90"/>
              <w:numPr>
                <w:ilvl w:val="3"/>
                <w:numId w:val="4"/>
              </w:numPr>
              <w:ind w:left="0" w:firstLine="420"/>
              <w:rPr>
                <w:szCs w:val="21"/>
              </w:rPr>
            </w:pPr>
            <w:r>
              <w:rPr>
                <w:szCs w:val="21"/>
              </w:rPr>
              <w:t>安装火灾设备检测仪表、消防自控设施；</w:t>
            </w:r>
          </w:p>
          <w:p>
            <w:pPr>
              <w:pStyle w:val="90"/>
              <w:numPr>
                <w:ilvl w:val="3"/>
                <w:numId w:val="4"/>
              </w:numPr>
              <w:ind w:left="0" w:firstLine="420"/>
              <w:rPr>
                <w:szCs w:val="21"/>
              </w:rPr>
            </w:pPr>
            <w:r>
              <w:rPr>
                <w:szCs w:val="21"/>
              </w:rPr>
              <w:t>在可能发生天然气泄漏或积聚的场所设置可燃气体报警装置；</w:t>
            </w:r>
          </w:p>
          <w:p>
            <w:pPr>
              <w:pStyle w:val="90"/>
              <w:numPr>
                <w:ilvl w:val="3"/>
                <w:numId w:val="4"/>
              </w:numPr>
              <w:ind w:left="0" w:firstLine="420"/>
              <w:rPr>
                <w:szCs w:val="21"/>
              </w:rPr>
            </w:pPr>
            <w:r>
              <w:rPr>
                <w:szCs w:val="21"/>
              </w:rPr>
              <w:t>设立紧急关断系统。在管线两端设置紧急切断阀，对一些明显故障实施直接切断，也可通过控制系统进行远程关断；</w:t>
            </w:r>
          </w:p>
          <w:p>
            <w:pPr>
              <w:pStyle w:val="90"/>
              <w:numPr>
                <w:ilvl w:val="0"/>
                <w:numId w:val="4"/>
              </w:numPr>
              <w:ind w:left="0" w:firstLine="420" w:firstLineChars="0"/>
              <w:rPr>
                <w:szCs w:val="21"/>
              </w:rPr>
            </w:pPr>
            <w:r>
              <w:rPr>
                <w:rFonts w:hint="eastAsia"/>
                <w:szCs w:val="21"/>
              </w:rPr>
              <w:t>天然气管道按照规范进行涂色等主要工程措施。</w:t>
            </w:r>
          </w:p>
          <w:p>
            <w:pPr>
              <w:pStyle w:val="50"/>
              <w:adjustRightInd w:val="0"/>
              <w:ind w:firstLine="0"/>
              <w:rPr>
                <w:rFonts w:cs="Times New Roman"/>
                <w:b/>
                <w:bCs w:val="0"/>
                <w:szCs w:val="21"/>
              </w:rPr>
            </w:pPr>
            <w:r>
              <w:rPr>
                <w:rFonts w:hint="eastAsia" w:cs="Times New Roman"/>
                <w:b/>
                <w:bCs w:val="0"/>
                <w:szCs w:val="21"/>
              </w:rPr>
              <w:t>②管理措施</w:t>
            </w:r>
          </w:p>
          <w:p>
            <w:pPr>
              <w:pStyle w:val="90"/>
              <w:numPr>
                <w:ilvl w:val="0"/>
                <w:numId w:val="4"/>
              </w:numPr>
              <w:ind w:left="0" w:firstLine="420"/>
              <w:rPr>
                <w:szCs w:val="21"/>
              </w:rPr>
            </w:pPr>
            <w:r>
              <w:rPr>
                <w:szCs w:val="21"/>
              </w:rPr>
              <w:t>建立施工质量保证体系，严格执行焊接操作规程，焊接完成后应按照规范和设计要求进行无损检验，提高施工检验人员的水平，加强检验手段；</w:t>
            </w:r>
          </w:p>
          <w:p>
            <w:pPr>
              <w:pStyle w:val="90"/>
              <w:numPr>
                <w:ilvl w:val="0"/>
                <w:numId w:val="4"/>
              </w:numPr>
              <w:ind w:left="0" w:firstLine="420"/>
              <w:rPr>
                <w:szCs w:val="21"/>
              </w:rPr>
            </w:pPr>
            <w:r>
              <w:rPr>
                <w:szCs w:val="21"/>
              </w:rPr>
              <w:t>制定严格的规章制度，发现缺陷及时正确修补并做好记录；</w:t>
            </w:r>
          </w:p>
          <w:p>
            <w:pPr>
              <w:pStyle w:val="90"/>
              <w:numPr>
                <w:ilvl w:val="0"/>
                <w:numId w:val="4"/>
              </w:numPr>
              <w:ind w:left="0" w:firstLine="420"/>
              <w:rPr>
                <w:szCs w:val="21"/>
              </w:rPr>
            </w:pPr>
            <w:r>
              <w:rPr>
                <w:szCs w:val="21"/>
              </w:rPr>
              <w:t>选择有丰富经验的单位进行施工，并有优秀的第三方对其施工质量进行强有力的监督，减少施工误操作。</w:t>
            </w:r>
          </w:p>
          <w:p>
            <w:pPr>
              <w:pStyle w:val="90"/>
              <w:numPr>
                <w:ilvl w:val="0"/>
                <w:numId w:val="4"/>
              </w:numPr>
              <w:ind w:left="0" w:firstLine="420"/>
              <w:rPr>
                <w:szCs w:val="21"/>
              </w:rPr>
            </w:pPr>
            <w:r>
              <w:rPr>
                <w:szCs w:val="21"/>
              </w:rPr>
              <w:t>加大巡线频率，提高巡线的有效性，发现对管道安全有影响的行为，应及时制止、采取相应措施并向上级报告。</w:t>
            </w:r>
          </w:p>
          <w:p>
            <w:pPr>
              <w:pStyle w:val="90"/>
              <w:numPr>
                <w:ilvl w:val="0"/>
                <w:numId w:val="4"/>
              </w:numPr>
              <w:ind w:left="0" w:firstLine="420"/>
              <w:rPr>
                <w:szCs w:val="21"/>
              </w:rPr>
            </w:pPr>
            <w:r>
              <w:rPr>
                <w:szCs w:val="21"/>
              </w:rPr>
              <w:t>操作人员定期应进行安全培训，提高职工的安全意识，识别事故发生前的异常状态，并采取相应的措施。</w:t>
            </w:r>
          </w:p>
          <w:p>
            <w:pPr>
              <w:pStyle w:val="90"/>
              <w:numPr>
                <w:ilvl w:val="0"/>
                <w:numId w:val="4"/>
              </w:numPr>
              <w:ind w:left="0" w:firstLine="420"/>
              <w:rPr>
                <w:szCs w:val="21"/>
              </w:rPr>
            </w:pPr>
            <w:r>
              <w:rPr>
                <w:szCs w:val="21"/>
              </w:rPr>
              <w:t>制定事故应急预案，配备适当的管道抢修、灭火及人员抢救设备。</w:t>
            </w:r>
          </w:p>
          <w:p>
            <w:pPr>
              <w:pStyle w:val="90"/>
              <w:numPr>
                <w:ilvl w:val="0"/>
                <w:numId w:val="4"/>
              </w:numPr>
              <w:ind w:left="0" w:firstLine="420"/>
              <w:rPr>
                <w:szCs w:val="21"/>
              </w:rPr>
            </w:pPr>
            <w:r>
              <w:rPr>
                <w:szCs w:val="21"/>
              </w:rPr>
              <w:t>加大巡线频率，提高巡线的有效性，发现对管道安全有影响的行为，应及时制止、采取相应措施并向上级报告。</w:t>
            </w:r>
          </w:p>
          <w:p>
            <w:pPr>
              <w:pStyle w:val="90"/>
              <w:numPr>
                <w:ilvl w:val="0"/>
                <w:numId w:val="4"/>
              </w:numPr>
              <w:ind w:left="0" w:firstLine="420"/>
              <w:rPr>
                <w:szCs w:val="21"/>
              </w:rPr>
            </w:pPr>
            <w:r>
              <w:rPr>
                <w:szCs w:val="21"/>
              </w:rPr>
              <w:t>在施工过程中，加强管理，确保涂层施工质量；</w:t>
            </w:r>
          </w:p>
          <w:p>
            <w:pPr>
              <w:pStyle w:val="90"/>
              <w:numPr>
                <w:ilvl w:val="0"/>
                <w:numId w:val="4"/>
              </w:numPr>
              <w:ind w:left="0" w:firstLine="420"/>
              <w:rPr>
                <w:szCs w:val="21"/>
              </w:rPr>
            </w:pPr>
            <w:r>
              <w:rPr>
                <w:szCs w:val="21"/>
              </w:rPr>
              <w:t>建立施工质量保证体系，提高施工检验人员的水平，加强检验手段；</w:t>
            </w:r>
          </w:p>
          <w:p>
            <w:pPr>
              <w:pStyle w:val="90"/>
              <w:numPr>
                <w:ilvl w:val="0"/>
                <w:numId w:val="4"/>
              </w:numPr>
              <w:ind w:left="0" w:firstLine="420"/>
              <w:rPr>
                <w:szCs w:val="21"/>
              </w:rPr>
            </w:pPr>
            <w:r>
              <w:rPr>
                <w:szCs w:val="21"/>
              </w:rPr>
              <w:t>定严格的规章制度，发现缺陷及时正确修补并做好记录。</w:t>
            </w:r>
          </w:p>
          <w:p>
            <w:pPr>
              <w:pStyle w:val="90"/>
              <w:numPr>
                <w:ilvl w:val="0"/>
                <w:numId w:val="4"/>
              </w:numPr>
              <w:ind w:left="0" w:firstLine="420"/>
              <w:rPr>
                <w:szCs w:val="21"/>
              </w:rPr>
            </w:pPr>
            <w:r>
              <w:rPr>
                <w:szCs w:val="21"/>
              </w:rPr>
              <w:t>选择有丰富经验的单位进行施工，并对其施工质量进行强有力的监督，减少施工缺陷。</w:t>
            </w:r>
          </w:p>
          <w:p>
            <w:pPr>
              <w:pStyle w:val="90"/>
              <w:numPr>
                <w:ilvl w:val="0"/>
                <w:numId w:val="4"/>
              </w:numPr>
              <w:ind w:left="0" w:firstLine="420"/>
              <w:rPr>
                <w:szCs w:val="21"/>
              </w:rPr>
            </w:pPr>
            <w:r>
              <w:rPr>
                <w:szCs w:val="21"/>
              </w:rPr>
              <w:t>强化施工人员的质量安全意识，提高施工人员的技术水平，是保证施工质量，减少施工质量事故的有效途径。</w:t>
            </w:r>
          </w:p>
          <w:p>
            <w:pPr>
              <w:pStyle w:val="90"/>
              <w:numPr>
                <w:ilvl w:val="0"/>
                <w:numId w:val="4"/>
              </w:numPr>
              <w:ind w:left="0" w:firstLine="420"/>
              <w:rPr>
                <w:szCs w:val="21"/>
              </w:rPr>
            </w:pPr>
            <w:r>
              <w:rPr>
                <w:szCs w:val="21"/>
              </w:rPr>
              <w:t>定期检查管道安全保护系统（如截断阀、安全阀、放空系统等）。</w:t>
            </w:r>
          </w:p>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778" w:type="dxa"/>
            <w:tcBorders>
              <w:top w:val="single" w:color="auto" w:sz="4" w:space="0"/>
              <w:left w:val="single" w:color="auto" w:sz="8" w:space="0"/>
              <w:bottom w:val="single" w:color="auto" w:sz="8" w:space="0"/>
              <w:right w:val="single" w:color="auto" w:sz="4" w:space="0"/>
            </w:tcBorders>
            <w:vAlign w:val="center"/>
          </w:tcPr>
          <w:p>
            <w:pPr>
              <w:adjustRightInd w:val="0"/>
              <w:snapToGrid w:val="0"/>
              <w:jc w:val="center"/>
              <w:rPr>
                <w:spacing w:val="-8"/>
              </w:rPr>
            </w:pPr>
            <w:r>
              <w:rPr>
                <w:rFonts w:hint="eastAsia"/>
                <w:spacing w:val="-8"/>
              </w:rPr>
              <w:t>其他环境</w:t>
            </w:r>
          </w:p>
          <w:p>
            <w:pPr>
              <w:adjustRightInd w:val="0"/>
              <w:snapToGrid w:val="0"/>
              <w:jc w:val="center"/>
              <w:rPr>
                <w:spacing w:val="-8"/>
              </w:rPr>
            </w:pPr>
            <w:r>
              <w:rPr>
                <w:rFonts w:hint="eastAsia"/>
                <w:spacing w:val="-8"/>
              </w:rPr>
              <w:t>管理要求</w:t>
            </w:r>
          </w:p>
        </w:tc>
        <w:tc>
          <w:tcPr>
            <w:tcW w:w="7022" w:type="dxa"/>
            <w:gridSpan w:val="4"/>
            <w:tcBorders>
              <w:top w:val="single" w:color="auto" w:sz="4" w:space="0"/>
              <w:left w:val="single" w:color="auto" w:sz="4" w:space="0"/>
              <w:bottom w:val="single" w:color="auto" w:sz="8" w:space="0"/>
              <w:right w:val="single" w:color="auto" w:sz="8" w:space="0"/>
            </w:tcBorders>
            <w:vAlign w:val="center"/>
          </w:tcPr>
          <w:p>
            <w:pPr>
              <w:ind w:firstLine="480"/>
              <w:jc w:val="left"/>
              <w:rPr>
                <w:rFonts w:cs="宋体"/>
              </w:rPr>
            </w:pPr>
            <w:r>
              <w:rPr>
                <w:rFonts w:hint="eastAsia" w:cs="宋体"/>
              </w:rPr>
              <w:t>①项目的环保设施必须和主体工程同时设计、同时施工、同时投产。</w:t>
            </w:r>
          </w:p>
          <w:p>
            <w:pPr>
              <w:ind w:firstLine="480"/>
              <w:jc w:val="left"/>
              <w:rPr>
                <w:rFonts w:cs="宋体"/>
              </w:rPr>
            </w:pPr>
            <w:r>
              <w:rPr>
                <w:rFonts w:hint="eastAsia" w:cs="宋体"/>
              </w:rPr>
              <w:t>②项目在建设和营运中应认真执行</w:t>
            </w:r>
            <w:r>
              <w:rPr>
                <w:rFonts w:hint="eastAsia"/>
              </w:rPr>
              <w:t>国家</w:t>
            </w:r>
            <w:r>
              <w:rPr>
                <w:rFonts w:hint="eastAsia" w:cs="宋体"/>
              </w:rPr>
              <w:t>、地方环境保护的有关规定和要求。按照当地环保部门的要求及时反映发生的环保问题，随时接受各级环保部门的检查监督；</w:t>
            </w:r>
          </w:p>
          <w:p>
            <w:pPr>
              <w:ind w:firstLine="480"/>
              <w:jc w:val="left"/>
            </w:pPr>
            <w:r>
              <w:rPr>
                <w:rFonts w:hint="eastAsia" w:cs="宋体"/>
              </w:rPr>
              <w:t>③建设单位以后如需增加本报告表所涉及之外的污染源或对其功能进行改变，则应按要求向有关环保部门进行申报，并按污染控制目标采取相应的污染治理措施。</w:t>
            </w:r>
          </w:p>
        </w:tc>
      </w:tr>
    </w:tbl>
    <w:p>
      <w:pPr>
        <w:pStyle w:val="18"/>
        <w:jc w:val="center"/>
        <w:outlineLvl w:val="0"/>
        <w:rPr>
          <w:rFonts w:ascii="Times New Roman" w:hAnsi="Times New Roman"/>
          <w:sz w:val="30"/>
          <w:szCs w:val="30"/>
        </w:rPr>
      </w:pPr>
      <w:r>
        <w:rPr>
          <w:rFonts w:hint="eastAsia" w:ascii="Times New Roman" w:hAnsi="Times New Roman"/>
        </w:rPr>
        <w:br w:type="page"/>
      </w:r>
      <w:bookmarkStart w:id="35" w:name="_Toc117775799"/>
      <w:r>
        <w:rPr>
          <w:rFonts w:hint="eastAsia" w:ascii="Times New Roman" w:hAnsi="Times New Roman"/>
          <w:sz w:val="30"/>
          <w:szCs w:val="30"/>
        </w:rPr>
        <w:t>六、结论</w:t>
      </w:r>
      <w:bookmarkEnd w:id="35"/>
    </w:p>
    <w:tbl>
      <w:tblPr>
        <w:tblStyle w:val="22"/>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991" w:hRule="atLeast"/>
          <w:jc w:val="center"/>
        </w:trPr>
        <w:tc>
          <w:tcPr>
            <w:tcW w:w="8865" w:type="dxa"/>
            <w:tcBorders>
              <w:top w:val="single" w:color="auto" w:sz="8" w:space="0"/>
              <w:left w:val="single" w:color="auto" w:sz="8" w:space="0"/>
              <w:bottom w:val="single" w:color="auto" w:sz="8" w:space="0"/>
              <w:right w:val="single" w:color="auto" w:sz="8" w:space="0"/>
            </w:tcBorders>
          </w:tcPr>
          <w:p>
            <w:pPr>
              <w:spacing w:line="360" w:lineRule="auto"/>
              <w:ind w:firstLine="480" w:firstLineChars="200"/>
              <w:rPr>
                <w:sz w:val="24"/>
              </w:rPr>
            </w:pPr>
            <w:r>
              <w:rPr>
                <w:rFonts w:hint="eastAsia"/>
                <w:sz w:val="24"/>
              </w:rPr>
              <w:t>本建设项目符合国家相关产业政策，选址合理，只要采取报告表污染防治措施，保证污染物达标排放后，项目的建设不会对选址区域的环境造成大的污染，项目的建设不会降低和改变该区域的环境质量和环境功能，项目建设从环境影响的角度分析是可行的。</w:t>
            </w:r>
          </w:p>
          <w:p>
            <w:pPr>
              <w:spacing w:line="360" w:lineRule="auto"/>
              <w:rPr>
                <w:sz w:val="24"/>
              </w:rPr>
            </w:pPr>
          </w:p>
        </w:tc>
      </w:tr>
    </w:tbl>
    <w:p>
      <w:pPr>
        <w:ind w:firstLine="480"/>
        <w:sectPr>
          <w:pgSz w:w="11906" w:h="16838"/>
          <w:pgMar w:top="1418" w:right="1247" w:bottom="1418" w:left="1247" w:header="851" w:footer="851" w:gutter="0"/>
          <w:cols w:space="720" w:num="1"/>
          <w:docGrid w:linePitch="312" w:charSpace="0"/>
        </w:sectPr>
      </w:pPr>
    </w:p>
    <w:p>
      <w:pPr>
        <w:widowControl/>
        <w:ind w:firstLine="640"/>
        <w:jc w:val="left"/>
        <w:outlineLvl w:val="0"/>
        <w:rPr>
          <w:snapToGrid w:val="0"/>
          <w:kern w:val="0"/>
          <w:sz w:val="32"/>
          <w:szCs w:val="32"/>
        </w:rPr>
      </w:pPr>
      <w:bookmarkStart w:id="36" w:name="_Toc117775800"/>
      <w:r>
        <w:rPr>
          <w:rFonts w:hint="eastAsia"/>
          <w:snapToGrid w:val="0"/>
          <w:kern w:val="0"/>
          <w:sz w:val="32"/>
          <w:szCs w:val="32"/>
        </w:rPr>
        <w:t>附表</w:t>
      </w:r>
      <w:bookmarkEnd w:id="36"/>
    </w:p>
    <w:p>
      <w:pPr>
        <w:widowControl/>
        <w:ind w:firstLine="560"/>
        <w:jc w:val="center"/>
        <w:outlineLvl w:val="0"/>
        <w:rPr>
          <w:snapToGrid w:val="0"/>
          <w:kern w:val="0"/>
          <w:sz w:val="28"/>
          <w:szCs w:val="28"/>
        </w:rPr>
      </w:pPr>
      <w:bookmarkStart w:id="37" w:name="_Toc117775801"/>
      <w:r>
        <w:rPr>
          <w:rFonts w:hint="eastAsia"/>
          <w:snapToGrid w:val="0"/>
          <w:kern w:val="0"/>
          <w:sz w:val="28"/>
          <w:szCs w:val="28"/>
        </w:rPr>
        <w:t>建设项目污染物排放量汇总表</w:t>
      </w:r>
      <w:bookmarkEnd w:id="37"/>
    </w:p>
    <w:tbl>
      <w:tblPr>
        <w:tblStyle w:val="22"/>
        <w:tblW w:w="1393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9"/>
        <w:gridCol w:w="1569"/>
        <w:gridCol w:w="889"/>
        <w:gridCol w:w="1569"/>
        <w:gridCol w:w="2146"/>
        <w:gridCol w:w="1759"/>
        <w:gridCol w:w="1648"/>
        <w:gridCol w:w="10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0" w:type="dxa"/>
            <w:tcBorders>
              <w:tl2br w:val="single" w:color="auto" w:sz="4" w:space="0"/>
            </w:tcBorders>
            <w:tcMar>
              <w:left w:w="28" w:type="dxa"/>
              <w:right w:w="28" w:type="dxa"/>
            </w:tcMar>
            <w:vAlign w:val="center"/>
          </w:tcPr>
          <w:p>
            <w:pPr>
              <w:jc w:val="right"/>
              <w:rPr>
                <w:rFonts w:cs="宋体"/>
                <w:snapToGrid w:val="0"/>
                <w:spacing w:val="-6"/>
                <w:kern w:val="21"/>
                <w:szCs w:val="21"/>
              </w:rPr>
            </w:pPr>
            <w:bookmarkStart w:id="38" w:name="_Hlk117760214"/>
            <w:r>
              <w:rPr>
                <w:rFonts w:hint="eastAsia" w:cs="宋体"/>
                <w:snapToGrid w:val="0"/>
                <w:spacing w:val="-6"/>
                <w:kern w:val="21"/>
                <w:szCs w:val="21"/>
              </w:rPr>
              <w:t>项目</w:t>
            </w:r>
          </w:p>
          <w:p>
            <w:pPr>
              <w:jc w:val="left"/>
              <w:rPr>
                <w:rFonts w:cs="宋体"/>
                <w:snapToGrid w:val="0"/>
                <w:spacing w:val="-6"/>
                <w:kern w:val="21"/>
                <w:szCs w:val="21"/>
              </w:rPr>
            </w:pPr>
            <w:r>
              <w:rPr>
                <w:rFonts w:hint="eastAsia" w:cs="宋体"/>
                <w:snapToGrid w:val="0"/>
                <w:spacing w:val="-6"/>
                <w:kern w:val="21"/>
                <w:szCs w:val="21"/>
              </w:rPr>
              <w:t>分类</w:t>
            </w:r>
          </w:p>
        </w:tc>
        <w:tc>
          <w:tcPr>
            <w:tcW w:w="2059" w:type="dxa"/>
            <w:tcMar>
              <w:left w:w="28" w:type="dxa"/>
              <w:right w:w="28" w:type="dxa"/>
            </w:tcMar>
            <w:vAlign w:val="center"/>
          </w:tcPr>
          <w:p>
            <w:pPr>
              <w:jc w:val="center"/>
              <w:rPr>
                <w:rFonts w:cs="宋体"/>
                <w:snapToGrid w:val="0"/>
                <w:spacing w:val="-6"/>
                <w:kern w:val="21"/>
                <w:szCs w:val="21"/>
              </w:rPr>
            </w:pPr>
            <w:r>
              <w:rPr>
                <w:rFonts w:hint="eastAsia" w:cs="宋体"/>
                <w:snapToGrid w:val="0"/>
                <w:spacing w:val="-6"/>
                <w:kern w:val="21"/>
                <w:szCs w:val="21"/>
              </w:rPr>
              <w:t>污染物名称</w:t>
            </w:r>
          </w:p>
        </w:tc>
        <w:tc>
          <w:tcPr>
            <w:tcW w:w="1569" w:type="dxa"/>
            <w:tcMar>
              <w:left w:w="28" w:type="dxa"/>
              <w:right w:w="28" w:type="dxa"/>
            </w:tcMar>
            <w:vAlign w:val="center"/>
          </w:tcPr>
          <w:p>
            <w:pPr>
              <w:jc w:val="center"/>
              <w:rPr>
                <w:snapToGrid w:val="0"/>
                <w:spacing w:val="-6"/>
                <w:kern w:val="21"/>
                <w:szCs w:val="21"/>
              </w:rPr>
            </w:pPr>
            <w:r>
              <w:rPr>
                <w:rFonts w:hint="eastAsia"/>
                <w:snapToGrid w:val="0"/>
                <w:spacing w:val="-6"/>
                <w:kern w:val="21"/>
                <w:szCs w:val="21"/>
              </w:rPr>
              <w:t>现有工程排放量（固体废物产生量）</w:t>
            </w:r>
            <w:r>
              <w:rPr>
                <w:rFonts w:hint="eastAsia"/>
                <w:snapToGrid w:val="0"/>
                <w:spacing w:val="-6"/>
                <w:kern w:val="21"/>
                <w:szCs w:val="21"/>
              </w:rPr>
              <w:fldChar w:fldCharType="begin"/>
            </w:r>
            <w:r>
              <w:rPr>
                <w:rFonts w:hint="eastAsia"/>
                <w:snapToGrid w:val="0"/>
                <w:spacing w:val="-6"/>
                <w:kern w:val="21"/>
                <w:szCs w:val="21"/>
              </w:rPr>
              <w:instrText xml:space="preserve"> = 1 \* GB3 \* MERGEFORMAT </w:instrText>
            </w:r>
            <w:r>
              <w:rPr>
                <w:rFonts w:hint="eastAsia"/>
                <w:snapToGrid w:val="0"/>
                <w:spacing w:val="-6"/>
                <w:kern w:val="21"/>
                <w:szCs w:val="21"/>
              </w:rPr>
              <w:fldChar w:fldCharType="separate"/>
            </w:r>
            <w:r>
              <w:rPr>
                <w:rFonts w:hint="eastAsia" w:cs="宋体"/>
                <w:szCs w:val="21"/>
              </w:rPr>
              <w:t>①</w:t>
            </w:r>
            <w:r>
              <w:rPr>
                <w:rFonts w:hint="eastAsia"/>
                <w:snapToGrid w:val="0"/>
                <w:spacing w:val="-6"/>
                <w:kern w:val="21"/>
                <w:szCs w:val="21"/>
              </w:rPr>
              <w:fldChar w:fldCharType="end"/>
            </w:r>
          </w:p>
        </w:tc>
        <w:tc>
          <w:tcPr>
            <w:tcW w:w="889" w:type="dxa"/>
            <w:tcMar>
              <w:left w:w="28" w:type="dxa"/>
              <w:right w:w="28" w:type="dxa"/>
            </w:tcMar>
            <w:vAlign w:val="center"/>
          </w:tcPr>
          <w:p>
            <w:pPr>
              <w:jc w:val="center"/>
              <w:rPr>
                <w:snapToGrid w:val="0"/>
                <w:spacing w:val="-6"/>
                <w:kern w:val="21"/>
                <w:szCs w:val="21"/>
              </w:rPr>
            </w:pPr>
            <w:r>
              <w:rPr>
                <w:rFonts w:hint="eastAsia"/>
                <w:snapToGrid w:val="0"/>
                <w:spacing w:val="-6"/>
                <w:kern w:val="21"/>
                <w:szCs w:val="21"/>
              </w:rPr>
              <w:t>现有工程许可排放量</w:t>
            </w:r>
            <w:r>
              <w:rPr>
                <w:rFonts w:hint="eastAsia"/>
                <w:snapToGrid w:val="0"/>
                <w:spacing w:val="-6"/>
                <w:kern w:val="21"/>
                <w:szCs w:val="21"/>
              </w:rPr>
              <w:fldChar w:fldCharType="begin"/>
            </w:r>
            <w:r>
              <w:rPr>
                <w:rFonts w:hint="eastAsia"/>
                <w:snapToGrid w:val="0"/>
                <w:spacing w:val="-6"/>
                <w:kern w:val="21"/>
                <w:szCs w:val="21"/>
              </w:rPr>
              <w:instrText xml:space="preserve"> = 2 \* GB3 \* MERGEFORMAT </w:instrText>
            </w:r>
            <w:r>
              <w:rPr>
                <w:rFonts w:hint="eastAsia"/>
                <w:snapToGrid w:val="0"/>
                <w:spacing w:val="-6"/>
                <w:kern w:val="21"/>
                <w:szCs w:val="21"/>
              </w:rPr>
              <w:fldChar w:fldCharType="separate"/>
            </w:r>
            <w:r>
              <w:rPr>
                <w:rFonts w:hint="eastAsia" w:cs="宋体"/>
                <w:snapToGrid w:val="0"/>
                <w:spacing w:val="-6"/>
                <w:kern w:val="21"/>
                <w:szCs w:val="21"/>
              </w:rPr>
              <w:t>②</w:t>
            </w:r>
            <w:r>
              <w:rPr>
                <w:rFonts w:hint="eastAsia"/>
                <w:snapToGrid w:val="0"/>
                <w:spacing w:val="-6"/>
                <w:kern w:val="21"/>
                <w:szCs w:val="21"/>
              </w:rPr>
              <w:fldChar w:fldCharType="end"/>
            </w:r>
          </w:p>
        </w:tc>
        <w:tc>
          <w:tcPr>
            <w:tcW w:w="1569" w:type="dxa"/>
            <w:tcMar>
              <w:left w:w="28" w:type="dxa"/>
              <w:right w:w="28" w:type="dxa"/>
            </w:tcMar>
            <w:vAlign w:val="center"/>
          </w:tcPr>
          <w:p>
            <w:pPr>
              <w:jc w:val="center"/>
              <w:rPr>
                <w:snapToGrid w:val="0"/>
                <w:spacing w:val="-6"/>
                <w:kern w:val="21"/>
                <w:szCs w:val="21"/>
              </w:rPr>
            </w:pPr>
            <w:r>
              <w:rPr>
                <w:rFonts w:hint="eastAsia"/>
                <w:snapToGrid w:val="0"/>
                <w:spacing w:val="-6"/>
                <w:kern w:val="21"/>
                <w:szCs w:val="21"/>
              </w:rPr>
              <w:t>在建工程排放量（固体废物产生量）</w:t>
            </w:r>
            <w:r>
              <w:rPr>
                <w:rFonts w:hint="eastAsia"/>
                <w:snapToGrid w:val="0"/>
                <w:spacing w:val="-6"/>
                <w:kern w:val="21"/>
                <w:szCs w:val="21"/>
              </w:rPr>
              <w:fldChar w:fldCharType="begin"/>
            </w:r>
            <w:r>
              <w:rPr>
                <w:rFonts w:hint="eastAsia"/>
                <w:snapToGrid w:val="0"/>
                <w:spacing w:val="-6"/>
                <w:kern w:val="21"/>
                <w:szCs w:val="21"/>
              </w:rPr>
              <w:instrText xml:space="preserve"> = 3 \* GB3 \* MERGEFORMAT </w:instrText>
            </w:r>
            <w:r>
              <w:rPr>
                <w:rFonts w:hint="eastAsia"/>
                <w:snapToGrid w:val="0"/>
                <w:spacing w:val="-6"/>
                <w:kern w:val="21"/>
                <w:szCs w:val="21"/>
              </w:rPr>
              <w:fldChar w:fldCharType="separate"/>
            </w:r>
            <w:r>
              <w:rPr>
                <w:rFonts w:hint="eastAsia" w:cs="宋体"/>
                <w:szCs w:val="21"/>
              </w:rPr>
              <w:t>③</w:t>
            </w:r>
            <w:r>
              <w:rPr>
                <w:rFonts w:hint="eastAsia"/>
                <w:snapToGrid w:val="0"/>
                <w:spacing w:val="-6"/>
                <w:kern w:val="21"/>
                <w:szCs w:val="21"/>
              </w:rPr>
              <w:fldChar w:fldCharType="end"/>
            </w:r>
          </w:p>
        </w:tc>
        <w:tc>
          <w:tcPr>
            <w:tcW w:w="2146" w:type="dxa"/>
            <w:tcMar>
              <w:left w:w="28" w:type="dxa"/>
              <w:right w:w="28" w:type="dxa"/>
            </w:tcMar>
            <w:vAlign w:val="center"/>
          </w:tcPr>
          <w:p>
            <w:pPr>
              <w:jc w:val="center"/>
              <w:rPr>
                <w:snapToGrid w:val="0"/>
                <w:spacing w:val="-6"/>
                <w:kern w:val="21"/>
                <w:szCs w:val="21"/>
              </w:rPr>
            </w:pPr>
            <w:r>
              <w:rPr>
                <w:rFonts w:hint="eastAsia"/>
                <w:snapToGrid w:val="0"/>
                <w:spacing w:val="-6"/>
                <w:kern w:val="21"/>
                <w:szCs w:val="21"/>
              </w:rPr>
              <w:t>本项目排放量（固体废物产生量）</w:t>
            </w:r>
            <w:r>
              <w:rPr>
                <w:rFonts w:hint="eastAsia"/>
                <w:snapToGrid w:val="0"/>
                <w:spacing w:val="-6"/>
                <w:kern w:val="21"/>
                <w:szCs w:val="21"/>
              </w:rPr>
              <w:fldChar w:fldCharType="begin"/>
            </w:r>
            <w:r>
              <w:rPr>
                <w:rFonts w:hint="eastAsia"/>
                <w:snapToGrid w:val="0"/>
                <w:spacing w:val="-6"/>
                <w:kern w:val="21"/>
                <w:szCs w:val="21"/>
              </w:rPr>
              <w:instrText xml:space="preserve"> = 4 \* GB3 \* MERGEFORMAT </w:instrText>
            </w:r>
            <w:r>
              <w:rPr>
                <w:rFonts w:hint="eastAsia"/>
                <w:snapToGrid w:val="0"/>
                <w:spacing w:val="-6"/>
                <w:kern w:val="21"/>
                <w:szCs w:val="21"/>
              </w:rPr>
              <w:fldChar w:fldCharType="separate"/>
            </w:r>
            <w:r>
              <w:rPr>
                <w:rFonts w:hint="eastAsia" w:cs="宋体"/>
                <w:szCs w:val="21"/>
              </w:rPr>
              <w:t>④</w:t>
            </w:r>
            <w:r>
              <w:rPr>
                <w:rFonts w:hint="eastAsia"/>
                <w:snapToGrid w:val="0"/>
                <w:spacing w:val="-6"/>
                <w:kern w:val="21"/>
                <w:szCs w:val="21"/>
              </w:rPr>
              <w:fldChar w:fldCharType="end"/>
            </w:r>
          </w:p>
        </w:tc>
        <w:tc>
          <w:tcPr>
            <w:tcW w:w="1759" w:type="dxa"/>
            <w:tcMar>
              <w:left w:w="28" w:type="dxa"/>
              <w:right w:w="28" w:type="dxa"/>
            </w:tcMar>
            <w:vAlign w:val="center"/>
          </w:tcPr>
          <w:p>
            <w:pPr>
              <w:jc w:val="center"/>
              <w:rPr>
                <w:snapToGrid w:val="0"/>
                <w:spacing w:val="-16"/>
                <w:kern w:val="21"/>
                <w:szCs w:val="21"/>
              </w:rPr>
            </w:pPr>
            <w:r>
              <w:rPr>
                <w:rFonts w:hint="eastAsia"/>
                <w:snapToGrid w:val="0"/>
                <w:spacing w:val="-16"/>
                <w:kern w:val="21"/>
                <w:szCs w:val="21"/>
              </w:rPr>
              <w:t>以新带老削减量（新建项目不填）</w:t>
            </w:r>
            <w:r>
              <w:rPr>
                <w:rFonts w:hint="eastAsia"/>
                <w:snapToGrid w:val="0"/>
                <w:spacing w:val="-16"/>
                <w:kern w:val="21"/>
                <w:szCs w:val="21"/>
              </w:rPr>
              <w:fldChar w:fldCharType="begin"/>
            </w:r>
            <w:r>
              <w:rPr>
                <w:rFonts w:hint="eastAsia"/>
                <w:snapToGrid w:val="0"/>
                <w:spacing w:val="-16"/>
                <w:kern w:val="21"/>
                <w:szCs w:val="21"/>
              </w:rPr>
              <w:instrText xml:space="preserve"> = 5 \* GB3 \* MERGEFORMAT </w:instrText>
            </w:r>
            <w:r>
              <w:rPr>
                <w:rFonts w:hint="eastAsia"/>
                <w:snapToGrid w:val="0"/>
                <w:spacing w:val="-16"/>
                <w:kern w:val="21"/>
                <w:szCs w:val="21"/>
              </w:rPr>
              <w:fldChar w:fldCharType="separate"/>
            </w:r>
            <w:r>
              <w:rPr>
                <w:rFonts w:hint="eastAsia" w:cs="宋体"/>
                <w:szCs w:val="21"/>
              </w:rPr>
              <w:t>⑤</w:t>
            </w:r>
            <w:r>
              <w:rPr>
                <w:rFonts w:hint="eastAsia"/>
                <w:snapToGrid w:val="0"/>
                <w:spacing w:val="-16"/>
                <w:kern w:val="21"/>
                <w:szCs w:val="21"/>
              </w:rPr>
              <w:fldChar w:fldCharType="end"/>
            </w:r>
          </w:p>
        </w:tc>
        <w:tc>
          <w:tcPr>
            <w:tcW w:w="1648" w:type="dxa"/>
            <w:tcMar>
              <w:left w:w="28" w:type="dxa"/>
              <w:right w:w="28" w:type="dxa"/>
            </w:tcMar>
            <w:vAlign w:val="center"/>
          </w:tcPr>
          <w:p>
            <w:pPr>
              <w:jc w:val="center"/>
              <w:rPr>
                <w:snapToGrid w:val="0"/>
                <w:spacing w:val="-16"/>
                <w:kern w:val="21"/>
                <w:szCs w:val="21"/>
              </w:rPr>
            </w:pPr>
            <w:r>
              <w:rPr>
                <w:rFonts w:hint="eastAsia"/>
                <w:snapToGrid w:val="0"/>
                <w:spacing w:val="-16"/>
                <w:kern w:val="21"/>
                <w:szCs w:val="21"/>
              </w:rPr>
              <w:t>本项目建成后全厂排放量（固体废物产生量）</w:t>
            </w:r>
            <w:r>
              <w:rPr>
                <w:rFonts w:hint="eastAsia"/>
                <w:snapToGrid w:val="0"/>
                <w:spacing w:val="-16"/>
                <w:kern w:val="21"/>
                <w:szCs w:val="21"/>
              </w:rPr>
              <w:fldChar w:fldCharType="begin"/>
            </w:r>
            <w:r>
              <w:rPr>
                <w:rFonts w:hint="eastAsia"/>
                <w:snapToGrid w:val="0"/>
                <w:spacing w:val="-16"/>
                <w:kern w:val="21"/>
                <w:szCs w:val="21"/>
              </w:rPr>
              <w:instrText xml:space="preserve"> = 6 \* GB3 \* MERGEFORMAT </w:instrText>
            </w:r>
            <w:r>
              <w:rPr>
                <w:rFonts w:hint="eastAsia"/>
                <w:snapToGrid w:val="0"/>
                <w:spacing w:val="-16"/>
                <w:kern w:val="21"/>
                <w:szCs w:val="21"/>
              </w:rPr>
              <w:fldChar w:fldCharType="separate"/>
            </w:r>
            <w:r>
              <w:rPr>
                <w:rFonts w:hint="eastAsia" w:cs="宋体"/>
                <w:szCs w:val="21"/>
              </w:rPr>
              <w:t>⑥</w:t>
            </w:r>
            <w:r>
              <w:rPr>
                <w:rFonts w:hint="eastAsia"/>
                <w:snapToGrid w:val="0"/>
                <w:spacing w:val="-16"/>
                <w:kern w:val="21"/>
                <w:szCs w:val="21"/>
              </w:rPr>
              <w:fldChar w:fldCharType="end"/>
            </w:r>
          </w:p>
        </w:tc>
        <w:tc>
          <w:tcPr>
            <w:tcW w:w="1089" w:type="dxa"/>
            <w:tcMar>
              <w:left w:w="28" w:type="dxa"/>
              <w:right w:w="28" w:type="dxa"/>
            </w:tcMar>
            <w:vAlign w:val="center"/>
          </w:tcPr>
          <w:p>
            <w:pPr>
              <w:jc w:val="center"/>
              <w:rPr>
                <w:snapToGrid w:val="0"/>
                <w:spacing w:val="-6"/>
                <w:kern w:val="21"/>
                <w:szCs w:val="21"/>
              </w:rPr>
            </w:pPr>
            <w:r>
              <w:rPr>
                <w:rFonts w:hint="eastAsia"/>
                <w:snapToGrid w:val="0"/>
                <w:spacing w:val="-6"/>
                <w:kern w:val="21"/>
                <w:szCs w:val="21"/>
              </w:rPr>
              <w:t>变化量</w:t>
            </w:r>
          </w:p>
          <w:p>
            <w:pPr>
              <w:jc w:val="center"/>
              <w:rPr>
                <w:snapToGrid w:val="0"/>
                <w:spacing w:val="-6"/>
                <w:kern w:val="21"/>
                <w:szCs w:val="21"/>
              </w:rPr>
            </w:pPr>
            <w:r>
              <w:rPr>
                <w:rFonts w:hint="eastAsia"/>
                <w:snapToGrid w:val="0"/>
                <w:spacing w:val="-6"/>
                <w:kern w:val="21"/>
                <w:szCs w:val="21"/>
              </w:rPr>
              <w:fldChar w:fldCharType="begin"/>
            </w:r>
            <w:r>
              <w:rPr>
                <w:rFonts w:hint="eastAsia"/>
                <w:snapToGrid w:val="0"/>
                <w:spacing w:val="-6"/>
                <w:kern w:val="21"/>
                <w:szCs w:val="21"/>
              </w:rPr>
              <w:instrText xml:space="preserve"> = 7 \* GB3 \* MERGEFORMAT </w:instrText>
            </w:r>
            <w:r>
              <w:rPr>
                <w:rFonts w:hint="eastAsia"/>
                <w:snapToGrid w:val="0"/>
                <w:spacing w:val="-6"/>
                <w:kern w:val="21"/>
                <w:szCs w:val="21"/>
              </w:rPr>
              <w:fldChar w:fldCharType="separate"/>
            </w:r>
            <w:r>
              <w:rPr>
                <w:rFonts w:hint="eastAsia" w:cs="宋体"/>
                <w:szCs w:val="21"/>
              </w:rPr>
              <w:t>⑦</w:t>
            </w:r>
            <w:r>
              <w:rPr>
                <w:rFonts w:hint="eastAsia"/>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0" w:type="dxa"/>
            <w:vMerge w:val="restart"/>
            <w:vAlign w:val="center"/>
          </w:tcPr>
          <w:p>
            <w:pPr>
              <w:jc w:val="center"/>
              <w:rPr>
                <w:rFonts w:cs="宋体"/>
                <w:snapToGrid w:val="0"/>
                <w:kern w:val="21"/>
                <w:szCs w:val="21"/>
              </w:rPr>
            </w:pPr>
            <w:r>
              <w:rPr>
                <w:rFonts w:hint="eastAsia" w:cs="宋体"/>
                <w:snapToGrid w:val="0"/>
                <w:kern w:val="21"/>
                <w:szCs w:val="21"/>
              </w:rPr>
              <w:t>废气</w:t>
            </w:r>
          </w:p>
        </w:tc>
        <w:tc>
          <w:tcPr>
            <w:tcW w:w="2059" w:type="dxa"/>
            <w:vAlign w:val="center"/>
          </w:tcPr>
          <w:p>
            <w:pPr>
              <w:jc w:val="center"/>
              <w:rPr>
                <w:rFonts w:cs="宋体"/>
                <w:snapToGrid w:val="0"/>
                <w:kern w:val="21"/>
                <w:szCs w:val="21"/>
              </w:rPr>
            </w:pPr>
            <w:r>
              <w:rPr>
                <w:rFonts w:hint="eastAsia" w:cs="宋体"/>
                <w:snapToGrid w:val="0"/>
                <w:kern w:val="21"/>
                <w:szCs w:val="21"/>
              </w:rPr>
              <w:t>废气量</w:t>
            </w:r>
          </w:p>
        </w:tc>
        <w:tc>
          <w:tcPr>
            <w:tcW w:w="1569" w:type="dxa"/>
            <w:vAlign w:val="center"/>
          </w:tcPr>
          <w:p>
            <w:pPr>
              <w:jc w:val="center"/>
              <w:rPr>
                <w:rFonts w:cs="宋体"/>
                <w:snapToGrid w:val="0"/>
                <w:kern w:val="21"/>
                <w:szCs w:val="21"/>
              </w:rPr>
            </w:pPr>
            <w:r>
              <w:rPr>
                <w:szCs w:val="21"/>
              </w:rPr>
              <w:t>189860</w:t>
            </w:r>
          </w:p>
        </w:tc>
        <w:tc>
          <w:tcPr>
            <w:tcW w:w="889" w:type="dxa"/>
          </w:tcPr>
          <w:p>
            <w:pPr>
              <w:jc w:val="center"/>
              <w:rPr>
                <w:rFonts w:cs="宋体"/>
                <w:snapToGrid w:val="0"/>
                <w:kern w:val="21"/>
                <w:szCs w:val="21"/>
              </w:rPr>
            </w:pPr>
            <w:r>
              <w:rPr>
                <w:rFonts w:hint="eastAsia" w:cs="宋体"/>
                <w:snapToGrid w:val="0"/>
                <w:kern w:val="21"/>
                <w:szCs w:val="21"/>
              </w:rPr>
              <w:t>/</w:t>
            </w:r>
          </w:p>
        </w:tc>
        <w:tc>
          <w:tcPr>
            <w:tcW w:w="1569" w:type="dxa"/>
          </w:tcPr>
          <w:p>
            <w:pPr>
              <w:jc w:val="center"/>
              <w:rPr>
                <w:rFonts w:cs="宋体"/>
                <w:snapToGrid w:val="0"/>
                <w:kern w:val="21"/>
                <w:szCs w:val="21"/>
              </w:rPr>
            </w:pPr>
            <w:r>
              <w:rPr>
                <w:rFonts w:hint="eastAsia" w:cs="宋体"/>
                <w:snapToGrid w:val="0"/>
                <w:kern w:val="21"/>
                <w:szCs w:val="21"/>
              </w:rPr>
              <w:t>/</w:t>
            </w:r>
          </w:p>
        </w:tc>
        <w:tc>
          <w:tcPr>
            <w:tcW w:w="2146" w:type="dxa"/>
          </w:tcPr>
          <w:p>
            <w:pPr>
              <w:jc w:val="center"/>
              <w:rPr>
                <w:rFonts w:cs="宋体"/>
                <w:snapToGrid w:val="0"/>
                <w:kern w:val="21"/>
                <w:szCs w:val="21"/>
              </w:rPr>
            </w:pPr>
            <w:r>
              <w:rPr>
                <w:rFonts w:hint="eastAsia" w:cs="宋体"/>
                <w:snapToGrid w:val="0"/>
                <w:kern w:val="21"/>
                <w:szCs w:val="21"/>
              </w:rPr>
              <w:t>/</w:t>
            </w:r>
          </w:p>
        </w:tc>
        <w:tc>
          <w:tcPr>
            <w:tcW w:w="1759" w:type="dxa"/>
            <w:vAlign w:val="center"/>
          </w:tcPr>
          <w:p>
            <w:pPr>
              <w:jc w:val="center"/>
              <w:rPr>
                <w:rFonts w:cs="宋体"/>
                <w:snapToGrid w:val="0"/>
                <w:kern w:val="21"/>
                <w:szCs w:val="21"/>
              </w:rPr>
            </w:pPr>
            <w:r>
              <w:rPr>
                <w:rFonts w:hint="eastAsia" w:cs="宋体"/>
                <w:snapToGrid w:val="0"/>
                <w:kern w:val="21"/>
                <w:szCs w:val="21"/>
              </w:rPr>
              <w:t>/</w:t>
            </w:r>
          </w:p>
        </w:tc>
        <w:tc>
          <w:tcPr>
            <w:tcW w:w="1648" w:type="dxa"/>
            <w:vAlign w:val="center"/>
          </w:tcPr>
          <w:p>
            <w:pPr>
              <w:jc w:val="center"/>
              <w:rPr>
                <w:rFonts w:cs="宋体"/>
                <w:snapToGrid w:val="0"/>
                <w:kern w:val="21"/>
                <w:szCs w:val="21"/>
              </w:rPr>
            </w:pPr>
            <w:r>
              <w:rPr>
                <w:szCs w:val="21"/>
              </w:rPr>
              <w:t>189860</w:t>
            </w:r>
          </w:p>
        </w:tc>
        <w:tc>
          <w:tcPr>
            <w:tcW w:w="1089" w:type="dxa"/>
            <w:vAlign w:val="center"/>
          </w:tcPr>
          <w:p>
            <w:pPr>
              <w:jc w:val="center"/>
              <w:rPr>
                <w:rFonts w:cs="宋体"/>
                <w:snapToGrid w:val="0"/>
                <w:kern w:val="21"/>
                <w:szCs w:val="21"/>
              </w:rPr>
            </w:pPr>
            <w:r>
              <w:rPr>
                <w:rFonts w:hint="eastAsia" w:cs="宋体"/>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0" w:type="dxa"/>
            <w:vMerge w:val="continue"/>
            <w:vAlign w:val="center"/>
          </w:tcPr>
          <w:p>
            <w:pPr>
              <w:jc w:val="center"/>
              <w:rPr>
                <w:rFonts w:cs="宋体"/>
                <w:snapToGrid w:val="0"/>
                <w:kern w:val="21"/>
                <w:szCs w:val="21"/>
              </w:rPr>
            </w:pPr>
          </w:p>
        </w:tc>
        <w:tc>
          <w:tcPr>
            <w:tcW w:w="2059" w:type="dxa"/>
            <w:vAlign w:val="center"/>
          </w:tcPr>
          <w:p>
            <w:pPr>
              <w:jc w:val="center"/>
              <w:rPr>
                <w:rFonts w:cs="宋体"/>
                <w:snapToGrid w:val="0"/>
                <w:kern w:val="21"/>
                <w:szCs w:val="21"/>
              </w:rPr>
            </w:pPr>
            <w:r>
              <w:rPr>
                <w:rFonts w:hint="eastAsia" w:cs="宋体"/>
                <w:snapToGrid w:val="0"/>
                <w:kern w:val="21"/>
                <w:szCs w:val="21"/>
              </w:rPr>
              <w:t>二氧化硫</w:t>
            </w:r>
          </w:p>
        </w:tc>
        <w:tc>
          <w:tcPr>
            <w:tcW w:w="1569" w:type="dxa"/>
            <w:vAlign w:val="center"/>
          </w:tcPr>
          <w:p>
            <w:pPr>
              <w:jc w:val="center"/>
              <w:rPr>
                <w:rFonts w:cs="宋体"/>
                <w:snapToGrid w:val="0"/>
                <w:kern w:val="21"/>
                <w:szCs w:val="21"/>
              </w:rPr>
            </w:pPr>
            <w:r>
              <w:rPr>
                <w:rFonts w:hint="eastAsia" w:cs="宋体"/>
                <w:snapToGrid w:val="0"/>
                <w:kern w:val="21"/>
                <w:szCs w:val="21"/>
              </w:rPr>
              <w:t>5</w:t>
            </w:r>
            <w:r>
              <w:rPr>
                <w:rFonts w:cs="宋体"/>
                <w:snapToGrid w:val="0"/>
                <w:kern w:val="21"/>
                <w:szCs w:val="21"/>
              </w:rPr>
              <w:t>6.179</w:t>
            </w:r>
          </w:p>
        </w:tc>
        <w:tc>
          <w:tcPr>
            <w:tcW w:w="889" w:type="dxa"/>
          </w:tcPr>
          <w:p>
            <w:pPr>
              <w:jc w:val="center"/>
              <w:rPr>
                <w:rFonts w:cs="宋体"/>
                <w:snapToGrid w:val="0"/>
                <w:kern w:val="21"/>
                <w:szCs w:val="21"/>
              </w:rPr>
            </w:pPr>
            <w:r>
              <w:rPr>
                <w:rFonts w:hint="eastAsia" w:cs="宋体"/>
                <w:snapToGrid w:val="0"/>
                <w:kern w:val="21"/>
                <w:szCs w:val="21"/>
              </w:rPr>
              <w:t>/</w:t>
            </w:r>
          </w:p>
        </w:tc>
        <w:tc>
          <w:tcPr>
            <w:tcW w:w="1569" w:type="dxa"/>
          </w:tcPr>
          <w:p>
            <w:pPr>
              <w:jc w:val="center"/>
              <w:rPr>
                <w:rFonts w:cs="宋体"/>
                <w:snapToGrid w:val="0"/>
                <w:kern w:val="21"/>
                <w:szCs w:val="21"/>
              </w:rPr>
            </w:pPr>
            <w:r>
              <w:rPr>
                <w:rFonts w:hint="eastAsia" w:cs="宋体"/>
                <w:snapToGrid w:val="0"/>
                <w:kern w:val="21"/>
                <w:szCs w:val="21"/>
              </w:rPr>
              <w:t>/</w:t>
            </w:r>
          </w:p>
        </w:tc>
        <w:tc>
          <w:tcPr>
            <w:tcW w:w="2146" w:type="dxa"/>
            <w:vAlign w:val="center"/>
          </w:tcPr>
          <w:p>
            <w:pPr>
              <w:jc w:val="center"/>
              <w:rPr>
                <w:rFonts w:cs="宋体"/>
                <w:snapToGrid w:val="0"/>
                <w:kern w:val="21"/>
                <w:szCs w:val="21"/>
              </w:rPr>
            </w:pPr>
            <w:r>
              <w:rPr>
                <w:rFonts w:cs="宋体"/>
                <w:snapToGrid w:val="0"/>
                <w:kern w:val="21"/>
                <w:szCs w:val="21"/>
              </w:rPr>
              <w:t>54.456</w:t>
            </w:r>
          </w:p>
        </w:tc>
        <w:tc>
          <w:tcPr>
            <w:tcW w:w="1759" w:type="dxa"/>
            <w:vAlign w:val="center"/>
          </w:tcPr>
          <w:p>
            <w:pPr>
              <w:jc w:val="center"/>
              <w:rPr>
                <w:rFonts w:cs="宋体"/>
                <w:snapToGrid w:val="0"/>
                <w:kern w:val="21"/>
                <w:szCs w:val="21"/>
              </w:rPr>
            </w:pPr>
            <w:r>
              <w:rPr>
                <w:rFonts w:hint="eastAsia"/>
                <w:szCs w:val="21"/>
              </w:rPr>
              <w:t>-</w:t>
            </w:r>
            <w:r>
              <w:rPr>
                <w:szCs w:val="21"/>
              </w:rPr>
              <w:t>1.723</w:t>
            </w:r>
          </w:p>
        </w:tc>
        <w:tc>
          <w:tcPr>
            <w:tcW w:w="1648" w:type="dxa"/>
            <w:vAlign w:val="center"/>
          </w:tcPr>
          <w:p>
            <w:pPr>
              <w:jc w:val="center"/>
              <w:rPr>
                <w:rFonts w:cs="宋体"/>
                <w:snapToGrid w:val="0"/>
                <w:kern w:val="21"/>
                <w:szCs w:val="21"/>
              </w:rPr>
            </w:pPr>
            <w:r>
              <w:rPr>
                <w:rFonts w:cs="宋体"/>
                <w:snapToGrid w:val="0"/>
                <w:kern w:val="21"/>
                <w:szCs w:val="21"/>
              </w:rPr>
              <w:t>54.456</w:t>
            </w:r>
          </w:p>
        </w:tc>
        <w:tc>
          <w:tcPr>
            <w:tcW w:w="1089" w:type="dxa"/>
            <w:vAlign w:val="center"/>
          </w:tcPr>
          <w:p>
            <w:pPr>
              <w:jc w:val="center"/>
              <w:rPr>
                <w:rFonts w:cs="宋体"/>
                <w:snapToGrid w:val="0"/>
                <w:kern w:val="21"/>
                <w:szCs w:val="21"/>
              </w:rPr>
            </w:pPr>
            <w:r>
              <w:rPr>
                <w:rFonts w:hint="eastAsia"/>
                <w:szCs w:val="21"/>
              </w:rPr>
              <w:t>-</w:t>
            </w:r>
            <w:r>
              <w:rPr>
                <w:szCs w:val="21"/>
              </w:rPr>
              <w:t>1.723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0" w:type="dxa"/>
            <w:vMerge w:val="continue"/>
            <w:vAlign w:val="center"/>
          </w:tcPr>
          <w:p>
            <w:pPr>
              <w:jc w:val="center"/>
              <w:rPr>
                <w:rFonts w:cs="宋体"/>
                <w:snapToGrid w:val="0"/>
                <w:kern w:val="21"/>
                <w:szCs w:val="21"/>
              </w:rPr>
            </w:pPr>
          </w:p>
        </w:tc>
        <w:tc>
          <w:tcPr>
            <w:tcW w:w="2059" w:type="dxa"/>
            <w:vAlign w:val="center"/>
          </w:tcPr>
          <w:p>
            <w:pPr>
              <w:jc w:val="center"/>
              <w:rPr>
                <w:rFonts w:cs="宋体"/>
                <w:snapToGrid w:val="0"/>
                <w:kern w:val="21"/>
                <w:szCs w:val="21"/>
              </w:rPr>
            </w:pPr>
            <w:r>
              <w:rPr>
                <w:rFonts w:hint="eastAsia" w:cs="宋体"/>
                <w:snapToGrid w:val="0"/>
                <w:kern w:val="21"/>
                <w:szCs w:val="21"/>
              </w:rPr>
              <w:t>氮氧化物</w:t>
            </w:r>
          </w:p>
        </w:tc>
        <w:tc>
          <w:tcPr>
            <w:tcW w:w="1569" w:type="dxa"/>
            <w:vAlign w:val="center"/>
          </w:tcPr>
          <w:p>
            <w:pPr>
              <w:jc w:val="center"/>
              <w:rPr>
                <w:rFonts w:cs="宋体"/>
                <w:snapToGrid w:val="0"/>
                <w:kern w:val="21"/>
                <w:szCs w:val="21"/>
              </w:rPr>
            </w:pPr>
            <w:r>
              <w:rPr>
                <w:rFonts w:hint="eastAsia" w:cs="宋体"/>
                <w:snapToGrid w:val="0"/>
                <w:kern w:val="21"/>
                <w:szCs w:val="21"/>
              </w:rPr>
              <w:t>3</w:t>
            </w:r>
            <w:r>
              <w:rPr>
                <w:rFonts w:cs="宋体"/>
                <w:snapToGrid w:val="0"/>
                <w:kern w:val="21"/>
                <w:szCs w:val="21"/>
              </w:rPr>
              <w:t>7.205</w:t>
            </w:r>
          </w:p>
        </w:tc>
        <w:tc>
          <w:tcPr>
            <w:tcW w:w="889" w:type="dxa"/>
          </w:tcPr>
          <w:p>
            <w:pPr>
              <w:jc w:val="center"/>
              <w:rPr>
                <w:rFonts w:cs="宋体"/>
                <w:snapToGrid w:val="0"/>
                <w:kern w:val="21"/>
                <w:szCs w:val="21"/>
              </w:rPr>
            </w:pPr>
            <w:r>
              <w:rPr>
                <w:rFonts w:hint="eastAsia" w:cs="宋体"/>
                <w:snapToGrid w:val="0"/>
                <w:kern w:val="21"/>
                <w:szCs w:val="21"/>
              </w:rPr>
              <w:t>/</w:t>
            </w:r>
          </w:p>
        </w:tc>
        <w:tc>
          <w:tcPr>
            <w:tcW w:w="1569" w:type="dxa"/>
          </w:tcPr>
          <w:p>
            <w:pPr>
              <w:jc w:val="center"/>
              <w:rPr>
                <w:rFonts w:cs="宋体"/>
                <w:snapToGrid w:val="0"/>
                <w:kern w:val="21"/>
                <w:szCs w:val="21"/>
              </w:rPr>
            </w:pPr>
            <w:r>
              <w:rPr>
                <w:rFonts w:hint="eastAsia" w:cs="宋体"/>
                <w:snapToGrid w:val="0"/>
                <w:kern w:val="21"/>
                <w:szCs w:val="21"/>
              </w:rPr>
              <w:t>/</w:t>
            </w:r>
          </w:p>
        </w:tc>
        <w:tc>
          <w:tcPr>
            <w:tcW w:w="2146" w:type="dxa"/>
            <w:vAlign w:val="center"/>
          </w:tcPr>
          <w:p>
            <w:pPr>
              <w:jc w:val="center"/>
              <w:rPr>
                <w:rFonts w:cs="宋体"/>
                <w:snapToGrid w:val="0"/>
                <w:kern w:val="21"/>
                <w:szCs w:val="21"/>
              </w:rPr>
            </w:pPr>
            <w:r>
              <w:rPr>
                <w:rFonts w:cs="宋体"/>
                <w:snapToGrid w:val="0"/>
                <w:kern w:val="21"/>
                <w:szCs w:val="21"/>
              </w:rPr>
              <w:t>37.574</w:t>
            </w:r>
          </w:p>
        </w:tc>
        <w:tc>
          <w:tcPr>
            <w:tcW w:w="1759" w:type="dxa"/>
            <w:vAlign w:val="center"/>
          </w:tcPr>
          <w:p>
            <w:pPr>
              <w:jc w:val="center"/>
              <w:rPr>
                <w:rFonts w:cs="宋体"/>
                <w:snapToGrid w:val="0"/>
                <w:kern w:val="21"/>
                <w:szCs w:val="21"/>
              </w:rPr>
            </w:pPr>
            <w:r>
              <w:rPr>
                <w:rFonts w:hint="eastAsia"/>
                <w:szCs w:val="21"/>
              </w:rPr>
              <w:t>+</w:t>
            </w:r>
            <w:r>
              <w:rPr>
                <w:szCs w:val="21"/>
              </w:rPr>
              <w:t>0.369</w:t>
            </w:r>
          </w:p>
        </w:tc>
        <w:tc>
          <w:tcPr>
            <w:tcW w:w="1648" w:type="dxa"/>
            <w:vAlign w:val="center"/>
          </w:tcPr>
          <w:p>
            <w:pPr>
              <w:jc w:val="center"/>
              <w:rPr>
                <w:rFonts w:cs="宋体"/>
                <w:snapToGrid w:val="0"/>
                <w:kern w:val="21"/>
                <w:szCs w:val="21"/>
              </w:rPr>
            </w:pPr>
            <w:r>
              <w:rPr>
                <w:rFonts w:cs="宋体"/>
                <w:snapToGrid w:val="0"/>
                <w:kern w:val="21"/>
                <w:szCs w:val="21"/>
              </w:rPr>
              <w:t>37.574</w:t>
            </w:r>
          </w:p>
        </w:tc>
        <w:tc>
          <w:tcPr>
            <w:tcW w:w="1089" w:type="dxa"/>
            <w:vAlign w:val="center"/>
          </w:tcPr>
          <w:p>
            <w:pPr>
              <w:jc w:val="center"/>
              <w:rPr>
                <w:rFonts w:cs="宋体"/>
                <w:snapToGrid w:val="0"/>
                <w:kern w:val="21"/>
                <w:szCs w:val="21"/>
              </w:rPr>
            </w:pPr>
            <w:r>
              <w:rPr>
                <w:rFonts w:hint="eastAsia"/>
                <w:szCs w:val="21"/>
              </w:rPr>
              <w:t>+</w:t>
            </w:r>
            <w:r>
              <w:rPr>
                <w:szCs w:val="21"/>
              </w:rPr>
              <w:t>0.369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0" w:type="dxa"/>
            <w:vMerge w:val="continue"/>
            <w:vAlign w:val="center"/>
          </w:tcPr>
          <w:p>
            <w:pPr>
              <w:jc w:val="center"/>
              <w:rPr>
                <w:rFonts w:cs="宋体"/>
                <w:snapToGrid w:val="0"/>
                <w:kern w:val="21"/>
                <w:szCs w:val="21"/>
              </w:rPr>
            </w:pPr>
          </w:p>
        </w:tc>
        <w:tc>
          <w:tcPr>
            <w:tcW w:w="2059" w:type="dxa"/>
            <w:vAlign w:val="center"/>
          </w:tcPr>
          <w:p>
            <w:pPr>
              <w:jc w:val="center"/>
              <w:rPr>
                <w:rFonts w:cs="宋体"/>
                <w:snapToGrid w:val="0"/>
                <w:kern w:val="21"/>
                <w:szCs w:val="21"/>
              </w:rPr>
            </w:pPr>
            <w:r>
              <w:rPr>
                <w:rFonts w:hint="eastAsia" w:cs="宋体"/>
                <w:snapToGrid w:val="0"/>
                <w:kern w:val="21"/>
                <w:szCs w:val="21"/>
              </w:rPr>
              <w:t>颗粒物</w:t>
            </w:r>
          </w:p>
        </w:tc>
        <w:tc>
          <w:tcPr>
            <w:tcW w:w="1569" w:type="dxa"/>
            <w:vAlign w:val="center"/>
          </w:tcPr>
          <w:p>
            <w:pPr>
              <w:jc w:val="center"/>
              <w:rPr>
                <w:rFonts w:cs="宋体"/>
                <w:snapToGrid w:val="0"/>
                <w:kern w:val="21"/>
                <w:szCs w:val="21"/>
              </w:rPr>
            </w:pPr>
            <w:r>
              <w:rPr>
                <w:rFonts w:hint="eastAsia" w:cs="宋体"/>
                <w:snapToGrid w:val="0"/>
                <w:kern w:val="21"/>
                <w:szCs w:val="21"/>
              </w:rPr>
              <w:t>6</w:t>
            </w:r>
            <w:r>
              <w:rPr>
                <w:rFonts w:cs="宋体"/>
                <w:snapToGrid w:val="0"/>
                <w:kern w:val="21"/>
                <w:szCs w:val="21"/>
              </w:rPr>
              <w:t>0.678</w:t>
            </w:r>
          </w:p>
        </w:tc>
        <w:tc>
          <w:tcPr>
            <w:tcW w:w="889" w:type="dxa"/>
          </w:tcPr>
          <w:p>
            <w:pPr>
              <w:jc w:val="center"/>
              <w:rPr>
                <w:rFonts w:cs="宋体"/>
                <w:snapToGrid w:val="0"/>
                <w:kern w:val="21"/>
                <w:szCs w:val="21"/>
              </w:rPr>
            </w:pPr>
            <w:r>
              <w:rPr>
                <w:rFonts w:hint="eastAsia" w:cs="宋体"/>
                <w:snapToGrid w:val="0"/>
                <w:kern w:val="21"/>
                <w:szCs w:val="21"/>
              </w:rPr>
              <w:t>/</w:t>
            </w:r>
          </w:p>
        </w:tc>
        <w:tc>
          <w:tcPr>
            <w:tcW w:w="1569" w:type="dxa"/>
          </w:tcPr>
          <w:p>
            <w:pPr>
              <w:jc w:val="center"/>
              <w:rPr>
                <w:rFonts w:cs="宋体"/>
                <w:snapToGrid w:val="0"/>
                <w:kern w:val="21"/>
                <w:szCs w:val="21"/>
              </w:rPr>
            </w:pPr>
            <w:r>
              <w:rPr>
                <w:rFonts w:hint="eastAsia" w:cs="宋体"/>
                <w:snapToGrid w:val="0"/>
                <w:kern w:val="21"/>
                <w:szCs w:val="21"/>
              </w:rPr>
              <w:t>/</w:t>
            </w:r>
          </w:p>
        </w:tc>
        <w:tc>
          <w:tcPr>
            <w:tcW w:w="2146" w:type="dxa"/>
            <w:vAlign w:val="center"/>
          </w:tcPr>
          <w:p>
            <w:pPr>
              <w:jc w:val="center"/>
              <w:rPr>
                <w:rFonts w:cs="宋体"/>
                <w:snapToGrid w:val="0"/>
                <w:kern w:val="21"/>
                <w:szCs w:val="21"/>
              </w:rPr>
            </w:pPr>
            <w:r>
              <w:rPr>
                <w:rFonts w:cs="宋体"/>
                <w:snapToGrid w:val="0"/>
                <w:kern w:val="21"/>
                <w:szCs w:val="21"/>
              </w:rPr>
              <w:t>59.979</w:t>
            </w:r>
          </w:p>
        </w:tc>
        <w:tc>
          <w:tcPr>
            <w:tcW w:w="1759" w:type="dxa"/>
            <w:vAlign w:val="center"/>
          </w:tcPr>
          <w:p>
            <w:pPr>
              <w:jc w:val="center"/>
              <w:rPr>
                <w:rFonts w:cs="宋体"/>
                <w:snapToGrid w:val="0"/>
                <w:kern w:val="21"/>
                <w:szCs w:val="21"/>
              </w:rPr>
            </w:pPr>
            <w:r>
              <w:rPr>
                <w:rFonts w:hint="eastAsia"/>
                <w:szCs w:val="21"/>
              </w:rPr>
              <w:t>-</w:t>
            </w:r>
            <w:r>
              <w:rPr>
                <w:szCs w:val="21"/>
              </w:rPr>
              <w:t>0.699</w:t>
            </w:r>
          </w:p>
        </w:tc>
        <w:tc>
          <w:tcPr>
            <w:tcW w:w="1648" w:type="dxa"/>
            <w:vAlign w:val="center"/>
          </w:tcPr>
          <w:p>
            <w:pPr>
              <w:jc w:val="center"/>
              <w:rPr>
                <w:rFonts w:cs="宋体"/>
                <w:snapToGrid w:val="0"/>
                <w:kern w:val="21"/>
                <w:szCs w:val="21"/>
              </w:rPr>
            </w:pPr>
            <w:r>
              <w:rPr>
                <w:rFonts w:cs="宋体"/>
                <w:snapToGrid w:val="0"/>
                <w:kern w:val="21"/>
                <w:szCs w:val="21"/>
              </w:rPr>
              <w:t>59.979</w:t>
            </w:r>
          </w:p>
        </w:tc>
        <w:tc>
          <w:tcPr>
            <w:tcW w:w="1089" w:type="dxa"/>
            <w:vAlign w:val="center"/>
          </w:tcPr>
          <w:p>
            <w:pPr>
              <w:jc w:val="center"/>
              <w:rPr>
                <w:rFonts w:cs="宋体"/>
                <w:snapToGrid w:val="0"/>
                <w:kern w:val="21"/>
                <w:szCs w:val="21"/>
              </w:rPr>
            </w:pPr>
            <w:r>
              <w:rPr>
                <w:rFonts w:hint="eastAsia"/>
                <w:szCs w:val="21"/>
              </w:rPr>
              <w:t>-</w:t>
            </w:r>
            <w:r>
              <w:rPr>
                <w:szCs w:val="21"/>
              </w:rPr>
              <w:t>0.699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0" w:type="dxa"/>
            <w:vMerge w:val="continue"/>
            <w:vAlign w:val="center"/>
          </w:tcPr>
          <w:p>
            <w:pPr>
              <w:jc w:val="center"/>
              <w:rPr>
                <w:rFonts w:cs="宋体"/>
                <w:snapToGrid w:val="0"/>
                <w:kern w:val="21"/>
                <w:szCs w:val="21"/>
              </w:rPr>
            </w:pPr>
          </w:p>
        </w:tc>
        <w:tc>
          <w:tcPr>
            <w:tcW w:w="2059" w:type="dxa"/>
            <w:vAlign w:val="center"/>
          </w:tcPr>
          <w:p>
            <w:pPr>
              <w:jc w:val="center"/>
              <w:rPr>
                <w:rFonts w:cs="宋体"/>
                <w:snapToGrid w:val="0"/>
                <w:kern w:val="21"/>
                <w:szCs w:val="21"/>
              </w:rPr>
            </w:pPr>
            <w:r>
              <w:rPr>
                <w:rFonts w:hint="eastAsia" w:cs="宋体"/>
                <w:snapToGrid w:val="0"/>
                <w:kern w:val="21"/>
                <w:szCs w:val="21"/>
              </w:rPr>
              <w:t>氟化物</w:t>
            </w:r>
          </w:p>
        </w:tc>
        <w:tc>
          <w:tcPr>
            <w:tcW w:w="1569" w:type="dxa"/>
            <w:vAlign w:val="center"/>
          </w:tcPr>
          <w:p>
            <w:pPr>
              <w:jc w:val="center"/>
              <w:rPr>
                <w:rFonts w:cs="宋体"/>
                <w:snapToGrid w:val="0"/>
                <w:kern w:val="21"/>
                <w:szCs w:val="21"/>
              </w:rPr>
            </w:pPr>
            <w:r>
              <w:rPr>
                <w:rFonts w:cs="宋体"/>
                <w:snapToGrid w:val="0"/>
                <w:kern w:val="21"/>
                <w:szCs w:val="21"/>
              </w:rPr>
              <w:t>1.008</w:t>
            </w:r>
          </w:p>
        </w:tc>
        <w:tc>
          <w:tcPr>
            <w:tcW w:w="889" w:type="dxa"/>
          </w:tcPr>
          <w:p>
            <w:pPr>
              <w:jc w:val="center"/>
              <w:rPr>
                <w:rFonts w:cs="宋体"/>
                <w:snapToGrid w:val="0"/>
                <w:kern w:val="21"/>
                <w:szCs w:val="21"/>
              </w:rPr>
            </w:pPr>
            <w:r>
              <w:rPr>
                <w:rFonts w:hint="eastAsia" w:cs="宋体"/>
                <w:snapToGrid w:val="0"/>
                <w:kern w:val="21"/>
                <w:szCs w:val="21"/>
              </w:rPr>
              <w:t>/</w:t>
            </w:r>
          </w:p>
        </w:tc>
        <w:tc>
          <w:tcPr>
            <w:tcW w:w="1569" w:type="dxa"/>
          </w:tcPr>
          <w:p>
            <w:pPr>
              <w:jc w:val="center"/>
              <w:rPr>
                <w:rFonts w:cs="宋体"/>
                <w:snapToGrid w:val="0"/>
                <w:kern w:val="21"/>
                <w:szCs w:val="21"/>
              </w:rPr>
            </w:pPr>
            <w:r>
              <w:rPr>
                <w:rFonts w:hint="eastAsia" w:cs="宋体"/>
                <w:snapToGrid w:val="0"/>
                <w:kern w:val="21"/>
                <w:szCs w:val="21"/>
              </w:rPr>
              <w:t>/</w:t>
            </w:r>
          </w:p>
        </w:tc>
        <w:tc>
          <w:tcPr>
            <w:tcW w:w="2146" w:type="dxa"/>
            <w:vAlign w:val="center"/>
          </w:tcPr>
          <w:p>
            <w:pPr>
              <w:jc w:val="center"/>
              <w:rPr>
                <w:rFonts w:cs="宋体"/>
                <w:snapToGrid w:val="0"/>
                <w:kern w:val="21"/>
                <w:szCs w:val="21"/>
              </w:rPr>
            </w:pPr>
            <w:r>
              <w:rPr>
                <w:rFonts w:cs="宋体"/>
                <w:snapToGrid w:val="0"/>
                <w:kern w:val="21"/>
                <w:szCs w:val="21"/>
              </w:rPr>
              <w:t>1.008</w:t>
            </w:r>
          </w:p>
        </w:tc>
        <w:tc>
          <w:tcPr>
            <w:tcW w:w="1759" w:type="dxa"/>
            <w:vAlign w:val="center"/>
          </w:tcPr>
          <w:p>
            <w:pPr>
              <w:jc w:val="center"/>
              <w:rPr>
                <w:rFonts w:cs="宋体"/>
                <w:snapToGrid w:val="0"/>
                <w:kern w:val="21"/>
                <w:szCs w:val="21"/>
              </w:rPr>
            </w:pPr>
            <w:r>
              <w:rPr>
                <w:rFonts w:hint="eastAsia" w:cs="宋体"/>
                <w:snapToGrid w:val="0"/>
                <w:kern w:val="21"/>
                <w:szCs w:val="21"/>
              </w:rPr>
              <w:t>0</w:t>
            </w:r>
          </w:p>
        </w:tc>
        <w:tc>
          <w:tcPr>
            <w:tcW w:w="1648" w:type="dxa"/>
            <w:vAlign w:val="center"/>
          </w:tcPr>
          <w:p>
            <w:pPr>
              <w:jc w:val="center"/>
              <w:rPr>
                <w:rFonts w:cs="宋体"/>
                <w:snapToGrid w:val="0"/>
                <w:kern w:val="21"/>
                <w:szCs w:val="21"/>
              </w:rPr>
            </w:pPr>
            <w:r>
              <w:rPr>
                <w:rFonts w:cs="宋体"/>
                <w:snapToGrid w:val="0"/>
                <w:kern w:val="21"/>
                <w:szCs w:val="21"/>
              </w:rPr>
              <w:t>1.008</w:t>
            </w:r>
          </w:p>
        </w:tc>
        <w:tc>
          <w:tcPr>
            <w:tcW w:w="1089" w:type="dxa"/>
            <w:vAlign w:val="center"/>
          </w:tcPr>
          <w:p>
            <w:pPr>
              <w:jc w:val="center"/>
              <w:rPr>
                <w:rFonts w:cs="宋体"/>
                <w:snapToGrid w:val="0"/>
                <w:kern w:val="21"/>
                <w:szCs w:val="21"/>
              </w:rPr>
            </w:pPr>
            <w:r>
              <w:rPr>
                <w:rFonts w:hint="eastAsia" w:cs="宋体"/>
                <w:snapToGrid w:val="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0" w:type="dxa"/>
            <w:vAlign w:val="center"/>
          </w:tcPr>
          <w:p>
            <w:pPr>
              <w:jc w:val="center"/>
              <w:rPr>
                <w:rFonts w:cs="宋体"/>
                <w:snapToGrid w:val="0"/>
                <w:kern w:val="21"/>
                <w:szCs w:val="21"/>
              </w:rPr>
            </w:pPr>
            <w:r>
              <w:rPr>
                <w:rFonts w:hint="eastAsia" w:cs="宋体"/>
                <w:snapToGrid w:val="0"/>
                <w:kern w:val="21"/>
                <w:szCs w:val="21"/>
              </w:rPr>
              <w:t>废水</w:t>
            </w:r>
          </w:p>
        </w:tc>
        <w:tc>
          <w:tcPr>
            <w:tcW w:w="2059" w:type="dxa"/>
            <w:vAlign w:val="center"/>
          </w:tcPr>
          <w:p>
            <w:pPr>
              <w:widowControl/>
              <w:jc w:val="center"/>
              <w:rPr>
                <w:bCs/>
                <w:szCs w:val="21"/>
              </w:rPr>
            </w:pPr>
            <w:r>
              <w:rPr>
                <w:rFonts w:hint="eastAsia"/>
                <w:bCs/>
                <w:szCs w:val="21"/>
              </w:rPr>
              <w:t>/</w:t>
            </w:r>
          </w:p>
        </w:tc>
        <w:tc>
          <w:tcPr>
            <w:tcW w:w="1569" w:type="dxa"/>
          </w:tcPr>
          <w:p>
            <w:pPr>
              <w:jc w:val="center"/>
              <w:rPr>
                <w:rFonts w:cs="宋体"/>
                <w:snapToGrid w:val="0"/>
                <w:kern w:val="21"/>
                <w:szCs w:val="21"/>
              </w:rPr>
            </w:pPr>
            <w:r>
              <w:rPr>
                <w:rFonts w:hint="eastAsia" w:cs="宋体"/>
                <w:snapToGrid w:val="0"/>
                <w:kern w:val="21"/>
                <w:szCs w:val="21"/>
              </w:rPr>
              <w:t>/</w:t>
            </w:r>
          </w:p>
        </w:tc>
        <w:tc>
          <w:tcPr>
            <w:tcW w:w="889" w:type="dxa"/>
          </w:tcPr>
          <w:p>
            <w:pPr>
              <w:jc w:val="center"/>
              <w:rPr>
                <w:b/>
                <w:sz w:val="20"/>
                <w:szCs w:val="20"/>
              </w:rPr>
            </w:pPr>
            <w:r>
              <w:rPr>
                <w:rFonts w:hint="eastAsia" w:cs="宋体"/>
                <w:snapToGrid w:val="0"/>
                <w:kern w:val="21"/>
                <w:szCs w:val="21"/>
              </w:rPr>
              <w:t>/</w:t>
            </w:r>
          </w:p>
        </w:tc>
        <w:tc>
          <w:tcPr>
            <w:tcW w:w="1569" w:type="dxa"/>
          </w:tcPr>
          <w:p>
            <w:pPr>
              <w:jc w:val="center"/>
              <w:rPr>
                <w:rFonts w:cs="宋体"/>
                <w:snapToGrid w:val="0"/>
                <w:kern w:val="21"/>
                <w:szCs w:val="21"/>
              </w:rPr>
            </w:pPr>
            <w:r>
              <w:rPr>
                <w:rFonts w:hint="eastAsia" w:cs="宋体"/>
                <w:snapToGrid w:val="0"/>
                <w:kern w:val="21"/>
                <w:szCs w:val="21"/>
              </w:rPr>
              <w:t>/</w:t>
            </w:r>
          </w:p>
        </w:tc>
        <w:tc>
          <w:tcPr>
            <w:tcW w:w="2146" w:type="dxa"/>
          </w:tcPr>
          <w:p>
            <w:pPr>
              <w:jc w:val="center"/>
              <w:rPr>
                <w:snapToGrid w:val="0"/>
                <w:kern w:val="21"/>
                <w:szCs w:val="21"/>
              </w:rPr>
            </w:pPr>
            <w:r>
              <w:rPr>
                <w:rFonts w:hint="eastAsia" w:cs="宋体"/>
                <w:snapToGrid w:val="0"/>
                <w:kern w:val="21"/>
                <w:szCs w:val="21"/>
              </w:rPr>
              <w:t>/</w:t>
            </w:r>
          </w:p>
        </w:tc>
        <w:tc>
          <w:tcPr>
            <w:tcW w:w="1759" w:type="dxa"/>
          </w:tcPr>
          <w:p>
            <w:pPr>
              <w:jc w:val="center"/>
              <w:rPr>
                <w:snapToGrid w:val="0"/>
                <w:kern w:val="21"/>
                <w:szCs w:val="21"/>
              </w:rPr>
            </w:pPr>
            <w:r>
              <w:rPr>
                <w:rFonts w:hint="eastAsia" w:cs="宋体"/>
                <w:snapToGrid w:val="0"/>
                <w:kern w:val="21"/>
                <w:szCs w:val="21"/>
              </w:rPr>
              <w:t>/</w:t>
            </w:r>
          </w:p>
        </w:tc>
        <w:tc>
          <w:tcPr>
            <w:tcW w:w="1648" w:type="dxa"/>
          </w:tcPr>
          <w:p>
            <w:pPr>
              <w:jc w:val="center"/>
              <w:rPr>
                <w:snapToGrid w:val="0"/>
                <w:kern w:val="21"/>
                <w:szCs w:val="21"/>
              </w:rPr>
            </w:pPr>
            <w:r>
              <w:rPr>
                <w:rFonts w:hint="eastAsia" w:cs="宋体"/>
                <w:snapToGrid w:val="0"/>
                <w:kern w:val="21"/>
                <w:szCs w:val="21"/>
              </w:rPr>
              <w:t>/</w:t>
            </w:r>
          </w:p>
        </w:tc>
        <w:tc>
          <w:tcPr>
            <w:tcW w:w="1089" w:type="dxa"/>
          </w:tcPr>
          <w:p>
            <w:pPr>
              <w:jc w:val="center"/>
              <w:rPr>
                <w:snapToGrid w:val="0"/>
                <w:kern w:val="21"/>
                <w:szCs w:val="21"/>
              </w:rPr>
            </w:pPr>
            <w:r>
              <w:rPr>
                <w:rFonts w:hint="eastAsia" w:cs="宋体"/>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0" w:type="dxa"/>
            <w:vAlign w:val="center"/>
          </w:tcPr>
          <w:p>
            <w:pPr>
              <w:jc w:val="center"/>
              <w:rPr>
                <w:rFonts w:cs="宋体"/>
                <w:snapToGrid w:val="0"/>
                <w:kern w:val="21"/>
                <w:szCs w:val="21"/>
              </w:rPr>
            </w:pPr>
            <w:r>
              <w:rPr>
                <w:rFonts w:hint="eastAsia" w:cs="宋体"/>
                <w:snapToGrid w:val="0"/>
                <w:kern w:val="21"/>
                <w:szCs w:val="21"/>
              </w:rPr>
              <w:t>一般工业固体废物</w:t>
            </w:r>
          </w:p>
        </w:tc>
        <w:tc>
          <w:tcPr>
            <w:tcW w:w="2059" w:type="dxa"/>
            <w:vAlign w:val="center"/>
          </w:tcPr>
          <w:p>
            <w:pPr>
              <w:spacing w:before="100" w:beforeAutospacing="1"/>
              <w:jc w:val="center"/>
              <w:rPr>
                <w:szCs w:val="21"/>
              </w:rPr>
            </w:pPr>
            <w:r>
              <w:rPr>
                <w:rFonts w:hint="eastAsia"/>
                <w:szCs w:val="21"/>
              </w:rPr>
              <w:t>炉渣</w:t>
            </w:r>
          </w:p>
        </w:tc>
        <w:tc>
          <w:tcPr>
            <w:tcW w:w="1569" w:type="dxa"/>
            <w:vAlign w:val="center"/>
          </w:tcPr>
          <w:p>
            <w:pPr>
              <w:jc w:val="center"/>
              <w:rPr>
                <w:szCs w:val="21"/>
              </w:rPr>
            </w:pPr>
            <w:r>
              <w:rPr>
                <w:rFonts w:hint="eastAsia"/>
                <w:szCs w:val="21"/>
              </w:rPr>
              <w:t>2</w:t>
            </w:r>
            <w:r>
              <w:rPr>
                <w:szCs w:val="21"/>
              </w:rPr>
              <w:t>335</w:t>
            </w:r>
          </w:p>
        </w:tc>
        <w:tc>
          <w:tcPr>
            <w:tcW w:w="889" w:type="dxa"/>
            <w:vAlign w:val="center"/>
          </w:tcPr>
          <w:p>
            <w:pPr>
              <w:jc w:val="center"/>
              <w:rPr>
                <w:rFonts w:cs="宋体"/>
                <w:snapToGrid w:val="0"/>
                <w:kern w:val="21"/>
                <w:szCs w:val="21"/>
              </w:rPr>
            </w:pPr>
            <w:r>
              <w:rPr>
                <w:rFonts w:hint="eastAsia" w:cs="宋体"/>
                <w:snapToGrid w:val="0"/>
                <w:kern w:val="21"/>
                <w:szCs w:val="21"/>
              </w:rPr>
              <w:t>/</w:t>
            </w:r>
          </w:p>
        </w:tc>
        <w:tc>
          <w:tcPr>
            <w:tcW w:w="1569" w:type="dxa"/>
            <w:vAlign w:val="center"/>
          </w:tcPr>
          <w:p>
            <w:pPr>
              <w:jc w:val="center"/>
              <w:rPr>
                <w:rFonts w:cs="宋体"/>
                <w:snapToGrid w:val="0"/>
                <w:kern w:val="21"/>
                <w:szCs w:val="21"/>
              </w:rPr>
            </w:pPr>
            <w:r>
              <w:rPr>
                <w:rFonts w:hint="eastAsia" w:cs="宋体"/>
                <w:snapToGrid w:val="0"/>
                <w:kern w:val="21"/>
                <w:szCs w:val="21"/>
              </w:rPr>
              <w:t>/</w:t>
            </w:r>
          </w:p>
        </w:tc>
        <w:tc>
          <w:tcPr>
            <w:tcW w:w="2146" w:type="dxa"/>
            <w:vAlign w:val="center"/>
          </w:tcPr>
          <w:p>
            <w:pPr>
              <w:jc w:val="center"/>
              <w:rPr>
                <w:szCs w:val="21"/>
              </w:rPr>
            </w:pPr>
            <w:r>
              <w:rPr>
                <w:rFonts w:hint="eastAsia"/>
                <w:szCs w:val="21"/>
              </w:rPr>
              <w:t>2</w:t>
            </w:r>
            <w:r>
              <w:rPr>
                <w:szCs w:val="21"/>
              </w:rPr>
              <w:t>140</w:t>
            </w:r>
          </w:p>
        </w:tc>
        <w:tc>
          <w:tcPr>
            <w:tcW w:w="1759" w:type="dxa"/>
            <w:vAlign w:val="center"/>
          </w:tcPr>
          <w:p>
            <w:pPr>
              <w:jc w:val="center"/>
              <w:rPr>
                <w:rFonts w:cs="宋体"/>
                <w:snapToGrid w:val="0"/>
                <w:kern w:val="21"/>
                <w:szCs w:val="21"/>
              </w:rPr>
            </w:pPr>
            <w:r>
              <w:rPr>
                <w:rFonts w:hint="eastAsia" w:cs="宋体"/>
                <w:snapToGrid w:val="0"/>
                <w:kern w:val="21"/>
                <w:szCs w:val="21"/>
              </w:rPr>
              <w:t>-</w:t>
            </w:r>
            <w:r>
              <w:rPr>
                <w:rFonts w:cs="宋体"/>
                <w:snapToGrid w:val="0"/>
                <w:kern w:val="21"/>
                <w:szCs w:val="21"/>
              </w:rPr>
              <w:t>195</w:t>
            </w:r>
          </w:p>
        </w:tc>
        <w:tc>
          <w:tcPr>
            <w:tcW w:w="1648" w:type="dxa"/>
            <w:vAlign w:val="center"/>
          </w:tcPr>
          <w:p>
            <w:pPr>
              <w:jc w:val="center"/>
              <w:rPr>
                <w:szCs w:val="21"/>
              </w:rPr>
            </w:pPr>
            <w:r>
              <w:rPr>
                <w:rFonts w:hint="eastAsia"/>
                <w:szCs w:val="21"/>
              </w:rPr>
              <w:t>2</w:t>
            </w:r>
            <w:r>
              <w:rPr>
                <w:szCs w:val="21"/>
              </w:rPr>
              <w:t>140</w:t>
            </w:r>
          </w:p>
        </w:tc>
        <w:tc>
          <w:tcPr>
            <w:tcW w:w="1089" w:type="dxa"/>
            <w:vAlign w:val="center"/>
          </w:tcPr>
          <w:p>
            <w:pPr>
              <w:jc w:val="center"/>
              <w:rPr>
                <w:szCs w:val="21"/>
              </w:rPr>
            </w:pPr>
            <w:r>
              <w:rPr>
                <w:rFonts w:hint="eastAsia"/>
                <w:szCs w:val="21"/>
              </w:rPr>
              <w:t>-</w:t>
            </w:r>
            <w:r>
              <w:rPr>
                <w:szCs w:val="21"/>
              </w:rPr>
              <w:t>195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210" w:type="dxa"/>
            <w:vAlign w:val="center"/>
          </w:tcPr>
          <w:p>
            <w:pPr>
              <w:jc w:val="center"/>
              <w:rPr>
                <w:rFonts w:cs="宋体"/>
                <w:snapToGrid w:val="0"/>
                <w:kern w:val="21"/>
                <w:szCs w:val="21"/>
              </w:rPr>
            </w:pPr>
            <w:r>
              <w:rPr>
                <w:rFonts w:hint="eastAsia" w:cs="宋体"/>
                <w:snapToGrid w:val="0"/>
                <w:kern w:val="21"/>
                <w:szCs w:val="21"/>
              </w:rPr>
              <w:t>危险废物</w:t>
            </w:r>
          </w:p>
        </w:tc>
        <w:tc>
          <w:tcPr>
            <w:tcW w:w="2059" w:type="dxa"/>
            <w:vAlign w:val="center"/>
          </w:tcPr>
          <w:p>
            <w:pPr>
              <w:spacing w:before="100" w:beforeAutospacing="1"/>
              <w:jc w:val="center"/>
              <w:rPr>
                <w:szCs w:val="21"/>
              </w:rPr>
            </w:pPr>
            <w:r>
              <w:rPr>
                <w:rFonts w:hint="eastAsia"/>
                <w:szCs w:val="21"/>
              </w:rPr>
              <w:t>/</w:t>
            </w:r>
          </w:p>
        </w:tc>
        <w:tc>
          <w:tcPr>
            <w:tcW w:w="1569" w:type="dxa"/>
          </w:tcPr>
          <w:p>
            <w:pPr>
              <w:jc w:val="center"/>
              <w:rPr>
                <w:szCs w:val="21"/>
              </w:rPr>
            </w:pPr>
            <w:r>
              <w:rPr>
                <w:rFonts w:hint="eastAsia" w:cs="宋体"/>
                <w:snapToGrid w:val="0"/>
                <w:kern w:val="21"/>
                <w:szCs w:val="21"/>
              </w:rPr>
              <w:t>/</w:t>
            </w:r>
          </w:p>
        </w:tc>
        <w:tc>
          <w:tcPr>
            <w:tcW w:w="889" w:type="dxa"/>
          </w:tcPr>
          <w:p>
            <w:pPr>
              <w:jc w:val="center"/>
              <w:rPr>
                <w:rFonts w:cs="宋体"/>
                <w:snapToGrid w:val="0"/>
                <w:kern w:val="21"/>
                <w:szCs w:val="21"/>
              </w:rPr>
            </w:pPr>
            <w:r>
              <w:rPr>
                <w:rFonts w:hint="eastAsia" w:cs="宋体"/>
                <w:snapToGrid w:val="0"/>
                <w:kern w:val="21"/>
                <w:szCs w:val="21"/>
              </w:rPr>
              <w:t>/</w:t>
            </w:r>
          </w:p>
        </w:tc>
        <w:tc>
          <w:tcPr>
            <w:tcW w:w="1569" w:type="dxa"/>
          </w:tcPr>
          <w:p>
            <w:pPr>
              <w:jc w:val="center"/>
              <w:rPr>
                <w:rFonts w:cs="宋体"/>
                <w:snapToGrid w:val="0"/>
                <w:kern w:val="21"/>
                <w:szCs w:val="21"/>
              </w:rPr>
            </w:pPr>
            <w:r>
              <w:rPr>
                <w:rFonts w:hint="eastAsia" w:cs="宋体"/>
                <w:snapToGrid w:val="0"/>
                <w:kern w:val="21"/>
                <w:szCs w:val="21"/>
              </w:rPr>
              <w:t>/</w:t>
            </w:r>
          </w:p>
        </w:tc>
        <w:tc>
          <w:tcPr>
            <w:tcW w:w="2146" w:type="dxa"/>
          </w:tcPr>
          <w:p>
            <w:pPr>
              <w:spacing w:before="100" w:beforeAutospacing="1"/>
              <w:jc w:val="center"/>
              <w:rPr>
                <w:kern w:val="0"/>
                <w:szCs w:val="21"/>
              </w:rPr>
            </w:pPr>
            <w:r>
              <w:rPr>
                <w:rFonts w:hint="eastAsia" w:cs="宋体"/>
                <w:snapToGrid w:val="0"/>
                <w:kern w:val="21"/>
                <w:szCs w:val="21"/>
              </w:rPr>
              <w:t>/</w:t>
            </w:r>
          </w:p>
        </w:tc>
        <w:tc>
          <w:tcPr>
            <w:tcW w:w="1759" w:type="dxa"/>
          </w:tcPr>
          <w:p>
            <w:pPr>
              <w:jc w:val="center"/>
              <w:rPr>
                <w:rFonts w:cs="宋体"/>
                <w:snapToGrid w:val="0"/>
                <w:kern w:val="21"/>
                <w:szCs w:val="21"/>
              </w:rPr>
            </w:pPr>
            <w:r>
              <w:rPr>
                <w:rFonts w:hint="eastAsia" w:cs="宋体"/>
                <w:snapToGrid w:val="0"/>
                <w:kern w:val="21"/>
                <w:szCs w:val="21"/>
              </w:rPr>
              <w:t>/</w:t>
            </w:r>
          </w:p>
        </w:tc>
        <w:tc>
          <w:tcPr>
            <w:tcW w:w="1648" w:type="dxa"/>
          </w:tcPr>
          <w:p>
            <w:pPr>
              <w:jc w:val="center"/>
              <w:rPr>
                <w:szCs w:val="21"/>
              </w:rPr>
            </w:pPr>
            <w:r>
              <w:rPr>
                <w:rFonts w:hint="eastAsia" w:cs="宋体"/>
                <w:snapToGrid w:val="0"/>
                <w:kern w:val="21"/>
                <w:szCs w:val="21"/>
              </w:rPr>
              <w:t>/</w:t>
            </w:r>
          </w:p>
        </w:tc>
        <w:tc>
          <w:tcPr>
            <w:tcW w:w="1089" w:type="dxa"/>
          </w:tcPr>
          <w:p>
            <w:pPr>
              <w:jc w:val="center"/>
              <w:rPr>
                <w:szCs w:val="21"/>
              </w:rPr>
            </w:pPr>
            <w:r>
              <w:rPr>
                <w:rFonts w:hint="eastAsia" w:cs="宋体"/>
                <w:snapToGrid w:val="0"/>
                <w:kern w:val="21"/>
                <w:szCs w:val="21"/>
              </w:rPr>
              <w:t>/</w:t>
            </w:r>
          </w:p>
        </w:tc>
      </w:tr>
      <w:bookmarkEnd w:id="38"/>
    </w:tbl>
    <w:p>
      <w:pPr>
        <w:ind w:firstLine="420"/>
        <w:jc w:val="left"/>
      </w:pPr>
      <w:r>
        <w:rPr>
          <w:snapToGrid w:val="0"/>
          <w:kern w:val="21"/>
          <w:szCs w:val="21"/>
        </w:rPr>
        <w:t>注：</w:t>
      </w:r>
      <w:r>
        <w:rPr>
          <w:snapToGrid w:val="0"/>
          <w:spacing w:val="-16"/>
          <w:kern w:val="21"/>
          <w:szCs w:val="21"/>
        </w:rPr>
        <w:fldChar w:fldCharType="begin"/>
      </w:r>
      <w:r>
        <w:rPr>
          <w:snapToGrid w:val="0"/>
          <w:spacing w:val="-16"/>
          <w:kern w:val="21"/>
          <w:szCs w:val="21"/>
        </w:rPr>
        <w:instrText xml:space="preserve"> = 6 \* GB3 \* MERGEFORMAT </w:instrText>
      </w:r>
      <w:r>
        <w:rPr>
          <w:snapToGrid w:val="0"/>
          <w:spacing w:val="-16"/>
          <w:kern w:val="21"/>
          <w:szCs w:val="21"/>
        </w:rPr>
        <w:fldChar w:fldCharType="separate"/>
      </w:r>
      <w:r>
        <w:rPr>
          <w:rFonts w:hint="eastAsia"/>
          <w:kern w:val="0"/>
          <w:szCs w:val="21"/>
        </w:rPr>
        <w:t>⑥</w:t>
      </w:r>
      <w:r>
        <w:rPr>
          <w:snapToGrid w:val="0"/>
          <w:spacing w:val="-16"/>
          <w:kern w:val="21"/>
          <w:szCs w:val="21"/>
        </w:rPr>
        <w:fldChar w:fldCharType="end"/>
      </w:r>
      <w:r>
        <w:rPr>
          <w:snapToGrid w:val="0"/>
          <w:spacing w:val="-16"/>
          <w:kern w:val="21"/>
          <w:szCs w:val="21"/>
        </w:rPr>
        <w:t>=</w:t>
      </w:r>
      <w:r>
        <w:rPr>
          <w:snapToGrid w:val="0"/>
          <w:spacing w:val="-6"/>
          <w:kern w:val="21"/>
          <w:szCs w:val="21"/>
        </w:rPr>
        <w:fldChar w:fldCharType="begin"/>
      </w:r>
      <w:r>
        <w:rPr>
          <w:snapToGrid w:val="0"/>
          <w:spacing w:val="-6"/>
          <w:kern w:val="21"/>
          <w:szCs w:val="21"/>
        </w:rPr>
        <w:instrText xml:space="preserve"> = 1 \* GB3 \* MERGEFORMAT </w:instrText>
      </w:r>
      <w:r>
        <w:rPr>
          <w:snapToGrid w:val="0"/>
          <w:spacing w:val="-6"/>
          <w:kern w:val="21"/>
          <w:szCs w:val="21"/>
        </w:rPr>
        <w:fldChar w:fldCharType="separate"/>
      </w:r>
      <w:r>
        <w:rPr>
          <w:rFonts w:hint="eastAsia"/>
          <w:kern w:val="0"/>
          <w:szCs w:val="21"/>
        </w:rPr>
        <w:t>①</w:t>
      </w:r>
      <w:r>
        <w:rPr>
          <w:snapToGrid w:val="0"/>
          <w:spacing w:val="-6"/>
          <w:kern w:val="21"/>
          <w:szCs w:val="21"/>
        </w:rPr>
        <w:fldChar w:fldCharType="end"/>
      </w:r>
      <w:r>
        <w:rPr>
          <w:snapToGrid w:val="0"/>
          <w:spacing w:val="-6"/>
          <w:kern w:val="21"/>
          <w:szCs w:val="21"/>
        </w:rPr>
        <w:t>+</w:t>
      </w:r>
      <w:r>
        <w:rPr>
          <w:snapToGrid w:val="0"/>
          <w:spacing w:val="-6"/>
          <w:kern w:val="21"/>
          <w:szCs w:val="21"/>
        </w:rPr>
        <w:fldChar w:fldCharType="begin"/>
      </w:r>
      <w:r>
        <w:rPr>
          <w:snapToGrid w:val="0"/>
          <w:spacing w:val="-6"/>
          <w:kern w:val="21"/>
          <w:szCs w:val="21"/>
        </w:rPr>
        <w:instrText xml:space="preserve"> = 3 \* GB3 \* MERGEFORMAT </w:instrText>
      </w:r>
      <w:r>
        <w:rPr>
          <w:snapToGrid w:val="0"/>
          <w:spacing w:val="-6"/>
          <w:kern w:val="21"/>
          <w:szCs w:val="21"/>
        </w:rPr>
        <w:fldChar w:fldCharType="separate"/>
      </w:r>
      <w:r>
        <w:rPr>
          <w:rFonts w:hint="eastAsia"/>
          <w:kern w:val="0"/>
          <w:szCs w:val="21"/>
        </w:rPr>
        <w:t>③</w:t>
      </w:r>
      <w:r>
        <w:rPr>
          <w:snapToGrid w:val="0"/>
          <w:spacing w:val="-6"/>
          <w:kern w:val="21"/>
          <w:szCs w:val="21"/>
        </w:rPr>
        <w:fldChar w:fldCharType="end"/>
      </w:r>
      <w:r>
        <w:rPr>
          <w:snapToGrid w:val="0"/>
          <w:spacing w:val="-6"/>
          <w:kern w:val="21"/>
          <w:szCs w:val="21"/>
        </w:rPr>
        <w:t>+</w:t>
      </w:r>
      <w:r>
        <w:rPr>
          <w:snapToGrid w:val="0"/>
          <w:spacing w:val="-6"/>
          <w:kern w:val="21"/>
          <w:szCs w:val="21"/>
        </w:rPr>
        <w:fldChar w:fldCharType="begin"/>
      </w:r>
      <w:r>
        <w:rPr>
          <w:snapToGrid w:val="0"/>
          <w:spacing w:val="-6"/>
          <w:kern w:val="21"/>
          <w:szCs w:val="21"/>
        </w:rPr>
        <w:instrText xml:space="preserve"> = 4 \* GB3 \* MERGEFORMAT </w:instrText>
      </w:r>
      <w:r>
        <w:rPr>
          <w:snapToGrid w:val="0"/>
          <w:spacing w:val="-6"/>
          <w:kern w:val="21"/>
          <w:szCs w:val="21"/>
        </w:rPr>
        <w:fldChar w:fldCharType="separate"/>
      </w:r>
      <w:r>
        <w:rPr>
          <w:rFonts w:hint="eastAsia"/>
          <w:kern w:val="0"/>
          <w:szCs w:val="21"/>
        </w:rPr>
        <w:t>④</w:t>
      </w:r>
      <w:r>
        <w:rPr>
          <w:snapToGrid w:val="0"/>
          <w:spacing w:val="-6"/>
          <w:kern w:val="21"/>
          <w:szCs w:val="21"/>
        </w:rPr>
        <w:fldChar w:fldCharType="end"/>
      </w:r>
      <w:r>
        <w:rPr>
          <w:snapToGrid w:val="0"/>
          <w:spacing w:val="-6"/>
          <w:kern w:val="21"/>
          <w:szCs w:val="21"/>
        </w:rPr>
        <w:t>-</w:t>
      </w:r>
      <w:r>
        <w:rPr>
          <w:snapToGrid w:val="0"/>
          <w:spacing w:val="-16"/>
          <w:kern w:val="21"/>
          <w:szCs w:val="21"/>
        </w:rPr>
        <w:fldChar w:fldCharType="begin"/>
      </w:r>
      <w:r>
        <w:rPr>
          <w:snapToGrid w:val="0"/>
          <w:spacing w:val="-16"/>
          <w:kern w:val="21"/>
          <w:szCs w:val="21"/>
        </w:rPr>
        <w:instrText xml:space="preserve"> = 5 \* GB3 \* MERGEFORMAT </w:instrText>
      </w:r>
      <w:r>
        <w:rPr>
          <w:snapToGrid w:val="0"/>
          <w:spacing w:val="-16"/>
          <w:kern w:val="21"/>
          <w:szCs w:val="21"/>
        </w:rPr>
        <w:fldChar w:fldCharType="separate"/>
      </w:r>
      <w:r>
        <w:rPr>
          <w:rFonts w:hint="eastAsia"/>
          <w:kern w:val="0"/>
          <w:szCs w:val="21"/>
        </w:rPr>
        <w:t>⑤</w:t>
      </w:r>
      <w:r>
        <w:rPr>
          <w:snapToGrid w:val="0"/>
          <w:spacing w:val="-16"/>
          <w:kern w:val="21"/>
          <w:szCs w:val="21"/>
        </w:rPr>
        <w:fldChar w:fldCharType="end"/>
      </w:r>
      <w:r>
        <w:rPr>
          <w:snapToGrid w:val="0"/>
          <w:spacing w:val="-16"/>
          <w:kern w:val="21"/>
          <w:szCs w:val="21"/>
        </w:rPr>
        <w:t>；</w:t>
      </w:r>
      <w:r>
        <w:rPr>
          <w:snapToGrid w:val="0"/>
          <w:spacing w:val="-6"/>
          <w:kern w:val="21"/>
          <w:szCs w:val="21"/>
        </w:rPr>
        <w:fldChar w:fldCharType="begin"/>
      </w:r>
      <w:r>
        <w:rPr>
          <w:snapToGrid w:val="0"/>
          <w:spacing w:val="-6"/>
          <w:kern w:val="21"/>
          <w:szCs w:val="21"/>
        </w:rPr>
        <w:instrText xml:space="preserve"> = 7 \* GB3 \* MERGEFORMAT </w:instrText>
      </w:r>
      <w:r>
        <w:rPr>
          <w:snapToGrid w:val="0"/>
          <w:spacing w:val="-6"/>
          <w:kern w:val="21"/>
          <w:szCs w:val="21"/>
        </w:rPr>
        <w:fldChar w:fldCharType="separate"/>
      </w:r>
      <w:r>
        <w:rPr>
          <w:rFonts w:hint="eastAsia"/>
          <w:kern w:val="0"/>
          <w:szCs w:val="21"/>
        </w:rPr>
        <w:t>⑦</w:t>
      </w:r>
      <w:r>
        <w:rPr>
          <w:snapToGrid w:val="0"/>
          <w:spacing w:val="-6"/>
          <w:kern w:val="21"/>
          <w:szCs w:val="21"/>
        </w:rPr>
        <w:fldChar w:fldCharType="end"/>
      </w:r>
      <w:r>
        <w:rPr>
          <w:snapToGrid w:val="0"/>
          <w:spacing w:val="-6"/>
          <w:kern w:val="21"/>
          <w:szCs w:val="21"/>
        </w:rPr>
        <w:t>=</w:t>
      </w:r>
      <w:r>
        <w:rPr>
          <w:snapToGrid w:val="0"/>
          <w:spacing w:val="-16"/>
          <w:kern w:val="21"/>
          <w:szCs w:val="21"/>
        </w:rPr>
        <w:fldChar w:fldCharType="begin"/>
      </w:r>
      <w:r>
        <w:rPr>
          <w:snapToGrid w:val="0"/>
          <w:spacing w:val="-16"/>
          <w:kern w:val="21"/>
          <w:szCs w:val="21"/>
        </w:rPr>
        <w:instrText xml:space="preserve"> = 6 \* GB3 \* MERGEFORMAT </w:instrText>
      </w:r>
      <w:r>
        <w:rPr>
          <w:snapToGrid w:val="0"/>
          <w:spacing w:val="-16"/>
          <w:kern w:val="21"/>
          <w:szCs w:val="21"/>
        </w:rPr>
        <w:fldChar w:fldCharType="separate"/>
      </w:r>
      <w:r>
        <w:rPr>
          <w:rFonts w:hint="eastAsia"/>
          <w:kern w:val="0"/>
          <w:szCs w:val="21"/>
        </w:rPr>
        <w:t>⑥</w:t>
      </w:r>
      <w:r>
        <w:rPr>
          <w:snapToGrid w:val="0"/>
          <w:spacing w:val="-16"/>
          <w:kern w:val="21"/>
          <w:szCs w:val="21"/>
        </w:rPr>
        <w:fldChar w:fldCharType="end"/>
      </w:r>
      <w:r>
        <w:rPr>
          <w:snapToGrid w:val="0"/>
          <w:spacing w:val="-16"/>
          <w:kern w:val="21"/>
          <w:szCs w:val="21"/>
        </w:rPr>
        <w:t>-</w:t>
      </w:r>
      <w:r>
        <w:rPr>
          <w:snapToGrid w:val="0"/>
          <w:spacing w:val="-6"/>
          <w:kern w:val="21"/>
          <w:szCs w:val="21"/>
        </w:rPr>
        <w:fldChar w:fldCharType="begin"/>
      </w:r>
      <w:r>
        <w:rPr>
          <w:snapToGrid w:val="0"/>
          <w:spacing w:val="-6"/>
          <w:kern w:val="21"/>
          <w:szCs w:val="21"/>
        </w:rPr>
        <w:instrText xml:space="preserve"> = 1 \* GB3 \* MERGEFORMAT </w:instrText>
      </w:r>
      <w:r>
        <w:rPr>
          <w:snapToGrid w:val="0"/>
          <w:spacing w:val="-6"/>
          <w:kern w:val="21"/>
          <w:szCs w:val="21"/>
        </w:rPr>
        <w:fldChar w:fldCharType="separate"/>
      </w:r>
      <w:r>
        <w:rPr>
          <w:rFonts w:hint="eastAsia"/>
          <w:kern w:val="0"/>
          <w:szCs w:val="21"/>
        </w:rPr>
        <w:t>①</w:t>
      </w:r>
      <w:r>
        <w:rPr>
          <w:snapToGrid w:val="0"/>
          <w:spacing w:val="-6"/>
          <w:kern w:val="21"/>
          <w:szCs w:val="21"/>
        </w:rPr>
        <w:fldChar w:fldCharType="end"/>
      </w:r>
    </w:p>
    <w:p>
      <w:pPr>
        <w:pStyle w:val="9"/>
      </w:pPr>
    </w:p>
    <w:sectPr>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800002AF" w:usb1="184F6CF8" w:usb2="00000010" w:usb3="00000000" w:csb0="00020001" w:csb1="00000000"/>
  </w:font>
  <w:font w:name="Wingdings 2">
    <w:altName w:val="Wingdings"/>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692785" cy="230505"/>
              <wp:effectExtent l="0" t="0" r="0" b="0"/>
              <wp:wrapNone/>
              <wp:docPr id="3"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692785" cy="230505"/>
                      </a:xfrm>
                      <a:prstGeom prst="rect">
                        <a:avLst/>
                      </a:prstGeom>
                      <a:noFill/>
                      <a:ln>
                        <a:noFill/>
                      </a:ln>
                    </wps:spPr>
                    <wps:txbx>
                      <w:txbxContent>
                        <w:p>
                          <w:pPr>
                            <w:pStyle w:val="15"/>
                            <w:rPr>
                              <w:rStyle w:val="25"/>
                              <w:rFonts w:ascii="宋体" w:hAnsi="宋体"/>
                              <w:sz w:val="28"/>
                              <w:szCs w:val="28"/>
                            </w:rPr>
                          </w:pPr>
                          <w:r>
                            <w:rPr>
                              <w:rStyle w:val="25"/>
                              <w:rFonts w:hint="eastAsia" w:ascii="宋体" w:hAnsi="宋体"/>
                              <w:sz w:val="28"/>
                              <w:szCs w:val="28"/>
                            </w:rPr>
                            <w:t>—</w:t>
                          </w:r>
                          <w:r>
                            <w:rPr>
                              <w:rStyle w:val="25"/>
                              <w:rFonts w:hint="eastAsia" w:ascii="宋体" w:hAnsi="宋体"/>
                              <w:sz w:val="20"/>
                            </w:rPr>
                            <w:t xml:space="preserve">  </w:t>
                          </w:r>
                          <w:r>
                            <w:rPr>
                              <w:rFonts w:ascii="宋体" w:hAnsi="宋体"/>
                              <w:sz w:val="26"/>
                              <w:szCs w:val="26"/>
                            </w:rPr>
                            <w:fldChar w:fldCharType="begin"/>
                          </w:r>
                          <w:r>
                            <w:rPr>
                              <w:rStyle w:val="25"/>
                              <w:rFonts w:ascii="宋体" w:hAnsi="宋体"/>
                              <w:sz w:val="26"/>
                              <w:szCs w:val="26"/>
                            </w:rPr>
                            <w:instrText xml:space="preserve">PAGE  </w:instrText>
                          </w:r>
                          <w:r>
                            <w:rPr>
                              <w:rFonts w:ascii="宋体" w:hAnsi="宋体"/>
                              <w:sz w:val="26"/>
                              <w:szCs w:val="26"/>
                            </w:rPr>
                            <w:fldChar w:fldCharType="separate"/>
                          </w:r>
                          <w:r>
                            <w:rPr>
                              <w:rStyle w:val="25"/>
                              <w:rFonts w:ascii="宋体" w:hAnsi="宋体"/>
                              <w:sz w:val="26"/>
                              <w:szCs w:val="26"/>
                            </w:rPr>
                            <w:t>5</w:t>
                          </w:r>
                          <w:r>
                            <w:rPr>
                              <w:rFonts w:ascii="宋体" w:hAnsi="宋体"/>
                              <w:sz w:val="26"/>
                              <w:szCs w:val="26"/>
                            </w:rPr>
                            <w:fldChar w:fldCharType="end"/>
                          </w:r>
                          <w:r>
                            <w:rPr>
                              <w:rStyle w:val="25"/>
                              <w:rFonts w:hint="eastAsia" w:ascii="宋体" w:hAnsi="宋体"/>
                              <w:sz w:val="20"/>
                            </w:rPr>
                            <w:t xml:space="preserve">  </w:t>
                          </w:r>
                          <w:r>
                            <w:rPr>
                              <w:rStyle w:val="25"/>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8.15pt;width:54.55pt;mso-position-horizontal:center;mso-position-horizontal-relative:margin;mso-wrap-style:none;z-index:251657216;mso-width-relative:page;mso-height-relative:page;" filled="f" stroked="f" coordsize="21600,21600" o:gfxdata="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mdZXtIAAAAEAQAADwAAAAAAAAABACAAAAAiAAAAZHJzL2Rvd25yZXYueG1sUEsBAhQAFAAAAAgA&#10;h07iQHXe053yAQAAtwMAAA4AAAAAAAAAAQAgAAAAIQEAAGRycy9lMm9Eb2MueG1sUEsFBgAAAAAG&#10;AAYAWQEAAIUFAAAAAA==&#10;">
              <v:fill on="f" focussize="0,0"/>
              <v:stroke on="f"/>
              <v:imagedata o:title=""/>
              <o:lock v:ext="edit" aspectratio="f"/>
              <v:textbox inset="0mm,0mm,0mm,0mm" style="mso-fit-shape-to-text:t;">
                <w:txbxContent>
                  <w:p>
                    <w:pPr>
                      <w:pStyle w:val="15"/>
                      <w:rPr>
                        <w:rStyle w:val="25"/>
                        <w:rFonts w:ascii="宋体" w:hAnsi="宋体"/>
                        <w:sz w:val="28"/>
                        <w:szCs w:val="28"/>
                      </w:rPr>
                    </w:pPr>
                    <w:r>
                      <w:rPr>
                        <w:rStyle w:val="25"/>
                        <w:rFonts w:hint="eastAsia" w:ascii="宋体" w:hAnsi="宋体"/>
                        <w:sz w:val="28"/>
                        <w:szCs w:val="28"/>
                      </w:rPr>
                      <w:t>—</w:t>
                    </w:r>
                    <w:r>
                      <w:rPr>
                        <w:rStyle w:val="25"/>
                        <w:rFonts w:hint="eastAsia" w:ascii="宋体" w:hAnsi="宋体"/>
                        <w:sz w:val="20"/>
                      </w:rPr>
                      <w:t xml:space="preserve">  </w:t>
                    </w:r>
                    <w:r>
                      <w:rPr>
                        <w:rFonts w:ascii="宋体" w:hAnsi="宋体"/>
                        <w:sz w:val="26"/>
                        <w:szCs w:val="26"/>
                      </w:rPr>
                      <w:fldChar w:fldCharType="begin"/>
                    </w:r>
                    <w:r>
                      <w:rPr>
                        <w:rStyle w:val="25"/>
                        <w:rFonts w:ascii="宋体" w:hAnsi="宋体"/>
                        <w:sz w:val="26"/>
                        <w:szCs w:val="26"/>
                      </w:rPr>
                      <w:instrText xml:space="preserve">PAGE  </w:instrText>
                    </w:r>
                    <w:r>
                      <w:rPr>
                        <w:rFonts w:ascii="宋体" w:hAnsi="宋体"/>
                        <w:sz w:val="26"/>
                        <w:szCs w:val="26"/>
                      </w:rPr>
                      <w:fldChar w:fldCharType="separate"/>
                    </w:r>
                    <w:r>
                      <w:rPr>
                        <w:rStyle w:val="25"/>
                        <w:rFonts w:ascii="宋体" w:hAnsi="宋体"/>
                        <w:sz w:val="26"/>
                        <w:szCs w:val="26"/>
                      </w:rPr>
                      <w:t>5</w:t>
                    </w:r>
                    <w:r>
                      <w:rPr>
                        <w:rFonts w:ascii="宋体" w:hAnsi="宋体"/>
                        <w:sz w:val="26"/>
                        <w:szCs w:val="26"/>
                      </w:rPr>
                      <w:fldChar w:fldCharType="end"/>
                    </w:r>
                    <w:r>
                      <w:rPr>
                        <w:rStyle w:val="25"/>
                        <w:rFonts w:hint="eastAsia" w:ascii="宋体" w:hAnsi="宋体"/>
                        <w:sz w:val="20"/>
                      </w:rPr>
                      <w:t xml:space="preserve">  </w:t>
                    </w:r>
                    <w:r>
                      <w:rPr>
                        <w:rStyle w:val="25"/>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75335" cy="230505"/>
              <wp:effectExtent l="0" t="0" r="0" b="0"/>
              <wp:wrapNone/>
              <wp:docPr id="2" name="文本框 1026"/>
              <wp:cNvGraphicFramePr/>
              <a:graphic xmlns:a="http://schemas.openxmlformats.org/drawingml/2006/main">
                <a:graphicData uri="http://schemas.microsoft.com/office/word/2010/wordprocessingShape">
                  <wps:wsp>
                    <wps:cNvSpPr txBox="1">
                      <a:spLocks noChangeArrowheads="1"/>
                    </wps:cNvSpPr>
                    <wps:spPr bwMode="auto">
                      <a:xfrm>
                        <a:off x="0" y="0"/>
                        <a:ext cx="775335" cy="230505"/>
                      </a:xfrm>
                      <a:prstGeom prst="rect">
                        <a:avLst/>
                      </a:prstGeom>
                      <a:noFill/>
                      <a:ln>
                        <a:noFill/>
                      </a:ln>
                    </wps:spPr>
                    <wps:txbx>
                      <w:txbxContent>
                        <w:p>
                          <w:pPr>
                            <w:pStyle w:val="15"/>
                            <w:rPr>
                              <w:rStyle w:val="25"/>
                              <w:rFonts w:ascii="宋体" w:hAnsi="宋体"/>
                              <w:sz w:val="28"/>
                              <w:szCs w:val="28"/>
                            </w:rPr>
                          </w:pPr>
                          <w:r>
                            <w:rPr>
                              <w:rStyle w:val="25"/>
                              <w:rFonts w:hint="eastAsia" w:ascii="宋体" w:hAnsi="宋体"/>
                              <w:sz w:val="28"/>
                              <w:szCs w:val="28"/>
                            </w:rPr>
                            <w:t>—</w:t>
                          </w:r>
                          <w:r>
                            <w:rPr>
                              <w:rStyle w:val="25"/>
                              <w:rFonts w:hint="eastAsia" w:ascii="宋体" w:hAnsi="宋体"/>
                              <w:sz w:val="20"/>
                            </w:rPr>
                            <w:t xml:space="preserve">  </w:t>
                          </w:r>
                          <w:r>
                            <w:rPr>
                              <w:rFonts w:ascii="宋体" w:hAnsi="宋体"/>
                              <w:sz w:val="26"/>
                              <w:szCs w:val="26"/>
                            </w:rPr>
                            <w:fldChar w:fldCharType="begin"/>
                          </w:r>
                          <w:r>
                            <w:rPr>
                              <w:rStyle w:val="25"/>
                              <w:rFonts w:ascii="宋体" w:hAnsi="宋体"/>
                              <w:sz w:val="26"/>
                              <w:szCs w:val="26"/>
                            </w:rPr>
                            <w:instrText xml:space="preserve">PAGE  </w:instrText>
                          </w:r>
                          <w:r>
                            <w:rPr>
                              <w:rFonts w:ascii="宋体" w:hAnsi="宋体"/>
                              <w:sz w:val="26"/>
                              <w:szCs w:val="26"/>
                            </w:rPr>
                            <w:fldChar w:fldCharType="separate"/>
                          </w:r>
                          <w:r>
                            <w:rPr>
                              <w:rStyle w:val="25"/>
                              <w:rFonts w:ascii="宋体" w:hAnsi="宋体"/>
                              <w:sz w:val="26"/>
                              <w:szCs w:val="26"/>
                            </w:rPr>
                            <w:t>32</w:t>
                          </w:r>
                          <w:r>
                            <w:rPr>
                              <w:rFonts w:ascii="宋体" w:hAnsi="宋体"/>
                              <w:sz w:val="26"/>
                              <w:szCs w:val="26"/>
                            </w:rPr>
                            <w:fldChar w:fldCharType="end"/>
                          </w:r>
                          <w:r>
                            <w:rPr>
                              <w:rStyle w:val="25"/>
                              <w:rFonts w:hint="eastAsia" w:ascii="宋体" w:hAnsi="宋体"/>
                              <w:sz w:val="20"/>
                            </w:rPr>
                            <w:t xml:space="preserve">  </w:t>
                          </w:r>
                          <w:r>
                            <w:rPr>
                              <w:rStyle w:val="25"/>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文本框 1026" o:spid="_x0000_s1026" o:spt="202" type="#_x0000_t202" style="position:absolute;left:0pt;margin-top:0pt;height:18.15pt;width:61.05pt;mso-position-horizontal:center;mso-position-horizontal-relative:margin;mso-wrap-style:none;z-index:251658240;mso-width-relative:page;mso-height-relative:page;" filled="f" stroked="f" coordsize="21600,21600" o:gfxdata="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OieX0QAAAAQBAAAPAAAAAAAAAAEAIAAAACIAAABkcnMvZG93bnJldi54bWxQSwECFAAUAAAACACH&#10;TuJAoWDe2/IBAAC3AwAADgAAAAAAAAABACAAAAAgAQAAZHJzL2Uyb0RvYy54bWxQSwUGAAAAAAYA&#10;BgBZAQAAhAUAAAAA&#10;">
              <v:fill on="f" focussize="0,0"/>
              <v:stroke on="f"/>
              <v:imagedata o:title=""/>
              <o:lock v:ext="edit" aspectratio="f"/>
              <v:textbox inset="0mm,0mm,0mm,0mm" style="mso-fit-shape-to-text:t;">
                <w:txbxContent>
                  <w:p>
                    <w:pPr>
                      <w:pStyle w:val="15"/>
                      <w:rPr>
                        <w:rStyle w:val="25"/>
                        <w:rFonts w:ascii="宋体" w:hAnsi="宋体"/>
                        <w:sz w:val="28"/>
                        <w:szCs w:val="28"/>
                      </w:rPr>
                    </w:pPr>
                    <w:r>
                      <w:rPr>
                        <w:rStyle w:val="25"/>
                        <w:rFonts w:hint="eastAsia" w:ascii="宋体" w:hAnsi="宋体"/>
                        <w:sz w:val="28"/>
                        <w:szCs w:val="28"/>
                      </w:rPr>
                      <w:t>—</w:t>
                    </w:r>
                    <w:r>
                      <w:rPr>
                        <w:rStyle w:val="25"/>
                        <w:rFonts w:hint="eastAsia" w:ascii="宋体" w:hAnsi="宋体"/>
                        <w:sz w:val="20"/>
                      </w:rPr>
                      <w:t xml:space="preserve">  </w:t>
                    </w:r>
                    <w:r>
                      <w:rPr>
                        <w:rFonts w:ascii="宋体" w:hAnsi="宋体"/>
                        <w:sz w:val="26"/>
                        <w:szCs w:val="26"/>
                      </w:rPr>
                      <w:fldChar w:fldCharType="begin"/>
                    </w:r>
                    <w:r>
                      <w:rPr>
                        <w:rStyle w:val="25"/>
                        <w:rFonts w:ascii="宋体" w:hAnsi="宋体"/>
                        <w:sz w:val="26"/>
                        <w:szCs w:val="26"/>
                      </w:rPr>
                      <w:instrText xml:space="preserve">PAGE  </w:instrText>
                    </w:r>
                    <w:r>
                      <w:rPr>
                        <w:rFonts w:ascii="宋体" w:hAnsi="宋体"/>
                        <w:sz w:val="26"/>
                        <w:szCs w:val="26"/>
                      </w:rPr>
                      <w:fldChar w:fldCharType="separate"/>
                    </w:r>
                    <w:r>
                      <w:rPr>
                        <w:rStyle w:val="25"/>
                        <w:rFonts w:ascii="宋体" w:hAnsi="宋体"/>
                        <w:sz w:val="26"/>
                        <w:szCs w:val="26"/>
                      </w:rPr>
                      <w:t>32</w:t>
                    </w:r>
                    <w:r>
                      <w:rPr>
                        <w:rFonts w:ascii="宋体" w:hAnsi="宋体"/>
                        <w:sz w:val="26"/>
                        <w:szCs w:val="26"/>
                      </w:rPr>
                      <w:fldChar w:fldCharType="end"/>
                    </w:r>
                    <w:r>
                      <w:rPr>
                        <w:rStyle w:val="25"/>
                        <w:rFonts w:hint="eastAsia" w:ascii="宋体" w:hAnsi="宋体"/>
                        <w:sz w:val="20"/>
                      </w:rPr>
                      <w:t xml:space="preserve">  </w:t>
                    </w:r>
                    <w:r>
                      <w:rPr>
                        <w:rStyle w:val="25"/>
                        <w:rFonts w:hint="eastAsia" w:ascii="宋体" w:hAnsi="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75335" cy="230505"/>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775335" cy="230505"/>
                      </a:xfrm>
                      <a:prstGeom prst="rect">
                        <a:avLst/>
                      </a:prstGeom>
                      <a:noFill/>
                      <a:ln>
                        <a:noFill/>
                      </a:ln>
                    </wps:spPr>
                    <wps:txbx>
                      <w:txbxContent>
                        <w:p>
                          <w:pPr>
                            <w:pStyle w:val="15"/>
                            <w:rPr>
                              <w:rStyle w:val="25"/>
                              <w:rFonts w:ascii="宋体" w:hAnsi="宋体"/>
                              <w:sz w:val="28"/>
                              <w:szCs w:val="28"/>
                            </w:rPr>
                          </w:pPr>
                          <w:r>
                            <w:rPr>
                              <w:rStyle w:val="25"/>
                              <w:rFonts w:hint="eastAsia" w:ascii="宋体" w:hAnsi="宋体"/>
                              <w:sz w:val="28"/>
                              <w:szCs w:val="28"/>
                            </w:rPr>
                            <w:t>—</w:t>
                          </w:r>
                          <w:r>
                            <w:rPr>
                              <w:rStyle w:val="25"/>
                              <w:rFonts w:hint="eastAsia" w:ascii="宋体" w:hAnsi="宋体"/>
                              <w:sz w:val="20"/>
                            </w:rPr>
                            <w:t xml:space="preserve">  </w:t>
                          </w:r>
                          <w:r>
                            <w:rPr>
                              <w:rFonts w:ascii="宋体" w:hAnsi="宋体"/>
                              <w:sz w:val="26"/>
                              <w:szCs w:val="26"/>
                            </w:rPr>
                            <w:fldChar w:fldCharType="begin"/>
                          </w:r>
                          <w:r>
                            <w:rPr>
                              <w:rStyle w:val="25"/>
                              <w:rFonts w:ascii="宋体" w:hAnsi="宋体"/>
                              <w:sz w:val="26"/>
                              <w:szCs w:val="26"/>
                            </w:rPr>
                            <w:instrText xml:space="preserve">PAGE  </w:instrText>
                          </w:r>
                          <w:r>
                            <w:rPr>
                              <w:rFonts w:ascii="宋体" w:hAnsi="宋体"/>
                              <w:sz w:val="26"/>
                              <w:szCs w:val="26"/>
                            </w:rPr>
                            <w:fldChar w:fldCharType="separate"/>
                          </w:r>
                          <w:r>
                            <w:rPr>
                              <w:rStyle w:val="25"/>
                              <w:rFonts w:ascii="宋体" w:hAnsi="宋体"/>
                              <w:sz w:val="26"/>
                              <w:szCs w:val="26"/>
                            </w:rPr>
                            <w:t>50</w:t>
                          </w:r>
                          <w:r>
                            <w:rPr>
                              <w:rFonts w:ascii="宋体" w:hAnsi="宋体"/>
                              <w:sz w:val="26"/>
                              <w:szCs w:val="26"/>
                            </w:rPr>
                            <w:fldChar w:fldCharType="end"/>
                          </w:r>
                          <w:r>
                            <w:rPr>
                              <w:rStyle w:val="25"/>
                              <w:rFonts w:hint="eastAsia" w:ascii="宋体" w:hAnsi="宋体"/>
                              <w:sz w:val="20"/>
                            </w:rPr>
                            <w:t xml:space="preserve">  </w:t>
                          </w:r>
                          <w:r>
                            <w:rPr>
                              <w:rStyle w:val="25"/>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8.15pt;width:61.05pt;mso-position-horizontal:center;mso-position-horizontal-relative:margin;mso-wrap-style:none;z-index:251658240;mso-width-relative:page;mso-height-relative:page;" filled="f" stroked="f" coordsize="21600,21600" o:gfxdata="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Ton&#10;l9EAAAAEAQAADwAAAAAAAAABACAAAAAiAAAAZHJzL2Rvd25yZXYueG1sUEsBAhQAFAAAAAgAh07i&#10;QDICWhfwAQAAtwMAAA4AAAAAAAAAAQAgAAAAIAEAAGRycy9lMm9Eb2MueG1sUEsFBgAAAAAGAAYA&#10;WQEAAIIFAAAAAA==&#10;">
              <v:fill on="f" focussize="0,0"/>
              <v:stroke on="f"/>
              <v:imagedata o:title=""/>
              <o:lock v:ext="edit" aspectratio="f"/>
              <v:textbox inset="0mm,0mm,0mm,0mm" style="mso-fit-shape-to-text:t;">
                <w:txbxContent>
                  <w:p>
                    <w:pPr>
                      <w:pStyle w:val="15"/>
                      <w:rPr>
                        <w:rStyle w:val="25"/>
                        <w:rFonts w:ascii="宋体" w:hAnsi="宋体"/>
                        <w:sz w:val="28"/>
                        <w:szCs w:val="28"/>
                      </w:rPr>
                    </w:pPr>
                    <w:r>
                      <w:rPr>
                        <w:rStyle w:val="25"/>
                        <w:rFonts w:hint="eastAsia" w:ascii="宋体" w:hAnsi="宋体"/>
                        <w:sz w:val="28"/>
                        <w:szCs w:val="28"/>
                      </w:rPr>
                      <w:t>—</w:t>
                    </w:r>
                    <w:r>
                      <w:rPr>
                        <w:rStyle w:val="25"/>
                        <w:rFonts w:hint="eastAsia" w:ascii="宋体" w:hAnsi="宋体"/>
                        <w:sz w:val="20"/>
                      </w:rPr>
                      <w:t xml:space="preserve">  </w:t>
                    </w:r>
                    <w:r>
                      <w:rPr>
                        <w:rFonts w:ascii="宋体" w:hAnsi="宋体"/>
                        <w:sz w:val="26"/>
                        <w:szCs w:val="26"/>
                      </w:rPr>
                      <w:fldChar w:fldCharType="begin"/>
                    </w:r>
                    <w:r>
                      <w:rPr>
                        <w:rStyle w:val="25"/>
                        <w:rFonts w:ascii="宋体" w:hAnsi="宋体"/>
                        <w:sz w:val="26"/>
                        <w:szCs w:val="26"/>
                      </w:rPr>
                      <w:instrText xml:space="preserve">PAGE  </w:instrText>
                    </w:r>
                    <w:r>
                      <w:rPr>
                        <w:rFonts w:ascii="宋体" w:hAnsi="宋体"/>
                        <w:sz w:val="26"/>
                        <w:szCs w:val="26"/>
                      </w:rPr>
                      <w:fldChar w:fldCharType="separate"/>
                    </w:r>
                    <w:r>
                      <w:rPr>
                        <w:rStyle w:val="25"/>
                        <w:rFonts w:ascii="宋体" w:hAnsi="宋体"/>
                        <w:sz w:val="26"/>
                        <w:szCs w:val="26"/>
                      </w:rPr>
                      <w:t>50</w:t>
                    </w:r>
                    <w:r>
                      <w:rPr>
                        <w:rFonts w:ascii="宋体" w:hAnsi="宋体"/>
                        <w:sz w:val="26"/>
                        <w:szCs w:val="26"/>
                      </w:rPr>
                      <w:fldChar w:fldCharType="end"/>
                    </w:r>
                    <w:r>
                      <w:rPr>
                        <w:rStyle w:val="25"/>
                        <w:rFonts w:hint="eastAsia" w:ascii="宋体" w:hAnsi="宋体"/>
                        <w:sz w:val="20"/>
                      </w:rPr>
                      <w:t xml:space="preserve">  </w:t>
                    </w:r>
                    <w:r>
                      <w:rPr>
                        <w:rStyle w:val="25"/>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03A63"/>
    <w:multiLevelType w:val="multilevel"/>
    <w:tmpl w:val="16A03A63"/>
    <w:lvl w:ilvl="0" w:tentative="0">
      <w:start w:val="5"/>
      <w:numFmt w:val="decimal"/>
      <w:lvlText w:val="%1"/>
      <w:lvlJc w:val="left"/>
      <w:pPr>
        <w:ind w:left="838" w:hanging="360"/>
      </w:pPr>
      <w:rPr>
        <w:rFonts w:hint="default" w:ascii="Times New Roman" w:hAnsi="Times New Roman" w:cs="Times New Roman"/>
      </w:rPr>
    </w:lvl>
    <w:lvl w:ilvl="1" w:tentative="0">
      <w:start w:val="1"/>
      <w:numFmt w:val="decimal"/>
      <w:lvlText w:val="%1.%2"/>
      <w:lvlJc w:val="left"/>
      <w:pPr>
        <w:ind w:left="838" w:hanging="360"/>
      </w:pPr>
      <w:rPr>
        <w:rFonts w:hint="default" w:ascii="Times New Roman" w:hAnsi="Times New Roman" w:cs="Times New Roman"/>
        <w:b/>
        <w:bCs/>
        <w:sz w:val="24"/>
        <w:szCs w:val="24"/>
      </w:rPr>
    </w:lvl>
    <w:lvl w:ilvl="2" w:tentative="0">
      <w:start w:val="1"/>
      <w:numFmt w:val="decimal"/>
      <w:lvlText w:val="%1.%2.%3"/>
      <w:lvlJc w:val="left"/>
      <w:pPr>
        <w:ind w:left="1018" w:hanging="540"/>
      </w:pPr>
      <w:rPr>
        <w:rFonts w:hint="default" w:ascii="Times New Roman" w:hAnsi="Times New Roman" w:cs="Times New Roman"/>
        <w:b/>
        <w:bCs/>
        <w:sz w:val="24"/>
        <w:szCs w:val="24"/>
      </w:rPr>
    </w:lvl>
    <w:lvl w:ilvl="3" w:tentative="0">
      <w:start w:val="1"/>
      <w:numFmt w:val="decimal"/>
      <w:lvlText w:val="%4)"/>
      <w:lvlJc w:val="left"/>
      <w:pPr>
        <w:ind w:left="1234" w:hanging="181"/>
      </w:pPr>
      <w:rPr>
        <w:rFonts w:hint="default"/>
        <w:b/>
        <w:bCs/>
      </w:rPr>
    </w:lvl>
    <w:lvl w:ilvl="4" w:tentative="0">
      <w:start w:val="0"/>
      <w:numFmt w:val="bullet"/>
      <w:lvlText w:val="•"/>
      <w:lvlJc w:val="left"/>
      <w:pPr>
        <w:ind w:left="2332" w:hanging="181"/>
      </w:pPr>
      <w:rPr>
        <w:rFonts w:hint="default" w:ascii="Times New Roman" w:hAnsi="Times New Roman" w:cs="Times New Roman"/>
      </w:rPr>
    </w:lvl>
    <w:lvl w:ilvl="5" w:tentative="0">
      <w:start w:val="0"/>
      <w:numFmt w:val="bullet"/>
      <w:lvlText w:val="•"/>
      <w:lvlJc w:val="left"/>
      <w:pPr>
        <w:ind w:left="3524" w:hanging="181"/>
      </w:pPr>
      <w:rPr>
        <w:rFonts w:hint="default" w:ascii="Times New Roman" w:hAnsi="Times New Roman" w:cs="Times New Roman"/>
      </w:rPr>
    </w:lvl>
    <w:lvl w:ilvl="6" w:tentative="0">
      <w:start w:val="0"/>
      <w:numFmt w:val="bullet"/>
      <w:lvlText w:val="•"/>
      <w:lvlJc w:val="left"/>
      <w:pPr>
        <w:ind w:left="4717" w:hanging="181"/>
      </w:pPr>
      <w:rPr>
        <w:rFonts w:hint="default" w:ascii="Times New Roman" w:hAnsi="Times New Roman" w:cs="Times New Roman"/>
      </w:rPr>
    </w:lvl>
    <w:lvl w:ilvl="7" w:tentative="0">
      <w:start w:val="0"/>
      <w:numFmt w:val="bullet"/>
      <w:lvlText w:val="•"/>
      <w:lvlJc w:val="left"/>
      <w:pPr>
        <w:ind w:left="5909" w:hanging="181"/>
      </w:pPr>
      <w:rPr>
        <w:rFonts w:hint="default" w:ascii="Times New Roman" w:hAnsi="Times New Roman" w:cs="Times New Roman"/>
      </w:rPr>
    </w:lvl>
    <w:lvl w:ilvl="8" w:tentative="0">
      <w:start w:val="0"/>
      <w:numFmt w:val="bullet"/>
      <w:lvlText w:val="•"/>
      <w:lvlJc w:val="left"/>
      <w:pPr>
        <w:ind w:left="7101" w:hanging="181"/>
      </w:pPr>
      <w:rPr>
        <w:rFonts w:hint="default" w:ascii="Times New Roman" w:hAnsi="Times New Roman" w:cs="Times New Roman"/>
      </w:rPr>
    </w:lvl>
  </w:abstractNum>
  <w:abstractNum w:abstractNumId="1">
    <w:nsid w:val="2C9E6184"/>
    <w:multiLevelType w:val="multilevel"/>
    <w:tmpl w:val="2C9E618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48912BE1"/>
    <w:multiLevelType w:val="multilevel"/>
    <w:tmpl w:val="48912BE1"/>
    <w:lvl w:ilvl="0" w:tentative="0">
      <w:start w:val="1"/>
      <w:numFmt w:val="upperLetter"/>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756D27FA"/>
    <w:multiLevelType w:val="multilevel"/>
    <w:tmpl w:val="756D27FA"/>
    <w:lvl w:ilvl="0" w:tentative="0">
      <w:start w:val="1"/>
      <w:numFmt w:val="decimalEnclosedCircle"/>
      <w:lvlText w:val="%1"/>
      <w:lvlJc w:val="left"/>
      <w:pPr>
        <w:ind w:left="840" w:hanging="360"/>
      </w:pPr>
      <w:rPr>
        <w:rFonts w:hint="default" w:ascii="宋体" w:hAnsi="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HorizontalSpacing w:val="105"/>
  <w:drawingGridVerticalSpacing w:val="156"/>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mM2JiODBkN2Y3MWI0Mzc3NWRmMTg4YTk3YjU0Y2IifQ=="/>
  </w:docVars>
  <w:rsids>
    <w:rsidRoot w:val="00A14947"/>
    <w:rsid w:val="00001B7D"/>
    <w:rsid w:val="00001C65"/>
    <w:rsid w:val="000060B3"/>
    <w:rsid w:val="00014DDD"/>
    <w:rsid w:val="00021A90"/>
    <w:rsid w:val="0002253E"/>
    <w:rsid w:val="00030618"/>
    <w:rsid w:val="00037297"/>
    <w:rsid w:val="0004364B"/>
    <w:rsid w:val="0004495B"/>
    <w:rsid w:val="00044B2F"/>
    <w:rsid w:val="000477E7"/>
    <w:rsid w:val="00050291"/>
    <w:rsid w:val="00050C33"/>
    <w:rsid w:val="000510A2"/>
    <w:rsid w:val="000555BD"/>
    <w:rsid w:val="00061B1F"/>
    <w:rsid w:val="00065DC0"/>
    <w:rsid w:val="000662FB"/>
    <w:rsid w:val="000733C4"/>
    <w:rsid w:val="00074783"/>
    <w:rsid w:val="000778B7"/>
    <w:rsid w:val="000805E7"/>
    <w:rsid w:val="0008070B"/>
    <w:rsid w:val="000810AC"/>
    <w:rsid w:val="00081A02"/>
    <w:rsid w:val="00082231"/>
    <w:rsid w:val="000858DD"/>
    <w:rsid w:val="00092D38"/>
    <w:rsid w:val="0009377B"/>
    <w:rsid w:val="00094F0F"/>
    <w:rsid w:val="00096182"/>
    <w:rsid w:val="00096901"/>
    <w:rsid w:val="00097289"/>
    <w:rsid w:val="000977A2"/>
    <w:rsid w:val="000A0F31"/>
    <w:rsid w:val="000A20C9"/>
    <w:rsid w:val="000A273D"/>
    <w:rsid w:val="000B058F"/>
    <w:rsid w:val="000B1D85"/>
    <w:rsid w:val="000B4467"/>
    <w:rsid w:val="000B4DB9"/>
    <w:rsid w:val="000B6862"/>
    <w:rsid w:val="000C019A"/>
    <w:rsid w:val="000C088F"/>
    <w:rsid w:val="000C09AC"/>
    <w:rsid w:val="000C50A9"/>
    <w:rsid w:val="000C767F"/>
    <w:rsid w:val="000D1268"/>
    <w:rsid w:val="000D5A44"/>
    <w:rsid w:val="000E3ED2"/>
    <w:rsid w:val="000E6EFE"/>
    <w:rsid w:val="00103B2E"/>
    <w:rsid w:val="0011010E"/>
    <w:rsid w:val="001112D6"/>
    <w:rsid w:val="0011142C"/>
    <w:rsid w:val="001132B8"/>
    <w:rsid w:val="00113955"/>
    <w:rsid w:val="00114A81"/>
    <w:rsid w:val="0011679D"/>
    <w:rsid w:val="00117398"/>
    <w:rsid w:val="001248AC"/>
    <w:rsid w:val="00131F42"/>
    <w:rsid w:val="001325D1"/>
    <w:rsid w:val="001336C0"/>
    <w:rsid w:val="001357F1"/>
    <w:rsid w:val="00137F83"/>
    <w:rsid w:val="00140FA8"/>
    <w:rsid w:val="00142804"/>
    <w:rsid w:val="00142FEB"/>
    <w:rsid w:val="00143A2D"/>
    <w:rsid w:val="00144E6B"/>
    <w:rsid w:val="00145A41"/>
    <w:rsid w:val="00147028"/>
    <w:rsid w:val="0014721B"/>
    <w:rsid w:val="00147911"/>
    <w:rsid w:val="00151675"/>
    <w:rsid w:val="001531F0"/>
    <w:rsid w:val="00157435"/>
    <w:rsid w:val="0016014D"/>
    <w:rsid w:val="00160D5B"/>
    <w:rsid w:val="001678A7"/>
    <w:rsid w:val="00167D47"/>
    <w:rsid w:val="001733BC"/>
    <w:rsid w:val="00173BE9"/>
    <w:rsid w:val="0017504D"/>
    <w:rsid w:val="0017671A"/>
    <w:rsid w:val="00177422"/>
    <w:rsid w:val="00184590"/>
    <w:rsid w:val="001845F0"/>
    <w:rsid w:val="001870D1"/>
    <w:rsid w:val="0018781E"/>
    <w:rsid w:val="001918F3"/>
    <w:rsid w:val="0019262D"/>
    <w:rsid w:val="00192B12"/>
    <w:rsid w:val="00196052"/>
    <w:rsid w:val="001A1B35"/>
    <w:rsid w:val="001A2C40"/>
    <w:rsid w:val="001A3C9A"/>
    <w:rsid w:val="001A48A2"/>
    <w:rsid w:val="001A6F61"/>
    <w:rsid w:val="001A77DC"/>
    <w:rsid w:val="001B5FA6"/>
    <w:rsid w:val="001B72B8"/>
    <w:rsid w:val="001C08C8"/>
    <w:rsid w:val="001C0F9A"/>
    <w:rsid w:val="001C4753"/>
    <w:rsid w:val="001C5A09"/>
    <w:rsid w:val="001C69B3"/>
    <w:rsid w:val="001D0FEE"/>
    <w:rsid w:val="001D5595"/>
    <w:rsid w:val="001D7874"/>
    <w:rsid w:val="001D7F22"/>
    <w:rsid w:val="001E3B8A"/>
    <w:rsid w:val="001F0F17"/>
    <w:rsid w:val="001F3347"/>
    <w:rsid w:val="001F5095"/>
    <w:rsid w:val="001F69E4"/>
    <w:rsid w:val="00205D5A"/>
    <w:rsid w:val="00211C1B"/>
    <w:rsid w:val="002125B4"/>
    <w:rsid w:val="002136BF"/>
    <w:rsid w:val="00214CC6"/>
    <w:rsid w:val="00215156"/>
    <w:rsid w:val="002155B8"/>
    <w:rsid w:val="002216EA"/>
    <w:rsid w:val="00223F7F"/>
    <w:rsid w:val="00224839"/>
    <w:rsid w:val="002249B2"/>
    <w:rsid w:val="00225532"/>
    <w:rsid w:val="00226574"/>
    <w:rsid w:val="002278EC"/>
    <w:rsid w:val="0023280E"/>
    <w:rsid w:val="002329E0"/>
    <w:rsid w:val="00233FB3"/>
    <w:rsid w:val="002377D1"/>
    <w:rsid w:val="00246046"/>
    <w:rsid w:val="002506BC"/>
    <w:rsid w:val="002510A9"/>
    <w:rsid w:val="00253590"/>
    <w:rsid w:val="00254345"/>
    <w:rsid w:val="00256996"/>
    <w:rsid w:val="00257B06"/>
    <w:rsid w:val="00260294"/>
    <w:rsid w:val="002610B5"/>
    <w:rsid w:val="00263ABC"/>
    <w:rsid w:val="00264158"/>
    <w:rsid w:val="00264557"/>
    <w:rsid w:val="00266D98"/>
    <w:rsid w:val="00277881"/>
    <w:rsid w:val="002805AB"/>
    <w:rsid w:val="00281028"/>
    <w:rsid w:val="00282142"/>
    <w:rsid w:val="00284204"/>
    <w:rsid w:val="00285748"/>
    <w:rsid w:val="00287E9A"/>
    <w:rsid w:val="00291773"/>
    <w:rsid w:val="00292412"/>
    <w:rsid w:val="002924D0"/>
    <w:rsid w:val="002977C5"/>
    <w:rsid w:val="002A168C"/>
    <w:rsid w:val="002A1F6B"/>
    <w:rsid w:val="002A3DC7"/>
    <w:rsid w:val="002A54EA"/>
    <w:rsid w:val="002A714D"/>
    <w:rsid w:val="002B3EF0"/>
    <w:rsid w:val="002B49E2"/>
    <w:rsid w:val="002B7B00"/>
    <w:rsid w:val="002B7C44"/>
    <w:rsid w:val="002C2B17"/>
    <w:rsid w:val="002C3E68"/>
    <w:rsid w:val="002C5D05"/>
    <w:rsid w:val="002D196C"/>
    <w:rsid w:val="002D3653"/>
    <w:rsid w:val="002D3DD0"/>
    <w:rsid w:val="002D70BA"/>
    <w:rsid w:val="002E1F3A"/>
    <w:rsid w:val="002E298A"/>
    <w:rsid w:val="002E44E3"/>
    <w:rsid w:val="002E6B99"/>
    <w:rsid w:val="002F185A"/>
    <w:rsid w:val="00301978"/>
    <w:rsid w:val="0030332C"/>
    <w:rsid w:val="003051C2"/>
    <w:rsid w:val="003070CB"/>
    <w:rsid w:val="00311310"/>
    <w:rsid w:val="00311428"/>
    <w:rsid w:val="00312296"/>
    <w:rsid w:val="00313753"/>
    <w:rsid w:val="0031425C"/>
    <w:rsid w:val="00314F0E"/>
    <w:rsid w:val="0032133B"/>
    <w:rsid w:val="00321D8E"/>
    <w:rsid w:val="00323CE8"/>
    <w:rsid w:val="00325928"/>
    <w:rsid w:val="00331051"/>
    <w:rsid w:val="00332863"/>
    <w:rsid w:val="00335551"/>
    <w:rsid w:val="0033684D"/>
    <w:rsid w:val="003372F2"/>
    <w:rsid w:val="00337B42"/>
    <w:rsid w:val="00341B42"/>
    <w:rsid w:val="0034348F"/>
    <w:rsid w:val="00344E46"/>
    <w:rsid w:val="0035651E"/>
    <w:rsid w:val="00356653"/>
    <w:rsid w:val="0035743F"/>
    <w:rsid w:val="0035787D"/>
    <w:rsid w:val="00357BE2"/>
    <w:rsid w:val="0036170C"/>
    <w:rsid w:val="003659B3"/>
    <w:rsid w:val="00365ABB"/>
    <w:rsid w:val="00366340"/>
    <w:rsid w:val="00366E0F"/>
    <w:rsid w:val="0037450F"/>
    <w:rsid w:val="00374C32"/>
    <w:rsid w:val="003809A4"/>
    <w:rsid w:val="00381A72"/>
    <w:rsid w:val="00383145"/>
    <w:rsid w:val="00384676"/>
    <w:rsid w:val="0038724D"/>
    <w:rsid w:val="00387D76"/>
    <w:rsid w:val="00390857"/>
    <w:rsid w:val="00391858"/>
    <w:rsid w:val="003926DA"/>
    <w:rsid w:val="00397E4F"/>
    <w:rsid w:val="003A2690"/>
    <w:rsid w:val="003A4BF3"/>
    <w:rsid w:val="003A5387"/>
    <w:rsid w:val="003A58B9"/>
    <w:rsid w:val="003B00D0"/>
    <w:rsid w:val="003B2F9B"/>
    <w:rsid w:val="003B3080"/>
    <w:rsid w:val="003B3313"/>
    <w:rsid w:val="003B420D"/>
    <w:rsid w:val="003B45FD"/>
    <w:rsid w:val="003C2590"/>
    <w:rsid w:val="003C305A"/>
    <w:rsid w:val="003C3685"/>
    <w:rsid w:val="003C6C16"/>
    <w:rsid w:val="003D00D5"/>
    <w:rsid w:val="003D318F"/>
    <w:rsid w:val="003D5AD7"/>
    <w:rsid w:val="003D794D"/>
    <w:rsid w:val="003E218E"/>
    <w:rsid w:val="003E3058"/>
    <w:rsid w:val="003E6217"/>
    <w:rsid w:val="003E76A9"/>
    <w:rsid w:val="003E7C67"/>
    <w:rsid w:val="003F0809"/>
    <w:rsid w:val="003F338E"/>
    <w:rsid w:val="003F6A8C"/>
    <w:rsid w:val="003F755C"/>
    <w:rsid w:val="003F7A9B"/>
    <w:rsid w:val="004005EA"/>
    <w:rsid w:val="00400D62"/>
    <w:rsid w:val="00406F01"/>
    <w:rsid w:val="00406F8F"/>
    <w:rsid w:val="0041359A"/>
    <w:rsid w:val="00416D50"/>
    <w:rsid w:val="00416FD5"/>
    <w:rsid w:val="00417772"/>
    <w:rsid w:val="00417D79"/>
    <w:rsid w:val="004204FA"/>
    <w:rsid w:val="00420E6A"/>
    <w:rsid w:val="00424AF1"/>
    <w:rsid w:val="00425A9E"/>
    <w:rsid w:val="004268C5"/>
    <w:rsid w:val="00426D6B"/>
    <w:rsid w:val="00431E6C"/>
    <w:rsid w:val="00433CE7"/>
    <w:rsid w:val="00435406"/>
    <w:rsid w:val="00436043"/>
    <w:rsid w:val="00437EEF"/>
    <w:rsid w:val="00440911"/>
    <w:rsid w:val="004433B4"/>
    <w:rsid w:val="00445490"/>
    <w:rsid w:val="00446B8E"/>
    <w:rsid w:val="00450CBE"/>
    <w:rsid w:val="00451634"/>
    <w:rsid w:val="00452738"/>
    <w:rsid w:val="00456091"/>
    <w:rsid w:val="00457318"/>
    <w:rsid w:val="0046053A"/>
    <w:rsid w:val="004617BD"/>
    <w:rsid w:val="00466321"/>
    <w:rsid w:val="00466357"/>
    <w:rsid w:val="00470D28"/>
    <w:rsid w:val="00475C6C"/>
    <w:rsid w:val="0048066D"/>
    <w:rsid w:val="00482C9B"/>
    <w:rsid w:val="00482F1E"/>
    <w:rsid w:val="00483C19"/>
    <w:rsid w:val="00484B9B"/>
    <w:rsid w:val="004855F6"/>
    <w:rsid w:val="0048661E"/>
    <w:rsid w:val="00487162"/>
    <w:rsid w:val="004943B6"/>
    <w:rsid w:val="004945F2"/>
    <w:rsid w:val="00494670"/>
    <w:rsid w:val="00497186"/>
    <w:rsid w:val="004A3823"/>
    <w:rsid w:val="004A57BB"/>
    <w:rsid w:val="004A6B10"/>
    <w:rsid w:val="004B5A01"/>
    <w:rsid w:val="004B5C30"/>
    <w:rsid w:val="004B7F10"/>
    <w:rsid w:val="004C4C08"/>
    <w:rsid w:val="004C5054"/>
    <w:rsid w:val="004D7995"/>
    <w:rsid w:val="004E46F7"/>
    <w:rsid w:val="004E4E2A"/>
    <w:rsid w:val="004E57AC"/>
    <w:rsid w:val="004E6946"/>
    <w:rsid w:val="004E6EC7"/>
    <w:rsid w:val="004F1AD8"/>
    <w:rsid w:val="004F22C4"/>
    <w:rsid w:val="004F6C76"/>
    <w:rsid w:val="005039CB"/>
    <w:rsid w:val="0050558F"/>
    <w:rsid w:val="00506286"/>
    <w:rsid w:val="00510813"/>
    <w:rsid w:val="00510E3E"/>
    <w:rsid w:val="00511990"/>
    <w:rsid w:val="00511DE0"/>
    <w:rsid w:val="00513EAD"/>
    <w:rsid w:val="00514870"/>
    <w:rsid w:val="00514A0D"/>
    <w:rsid w:val="00514B9B"/>
    <w:rsid w:val="00517F02"/>
    <w:rsid w:val="00524281"/>
    <w:rsid w:val="00524303"/>
    <w:rsid w:val="005258A2"/>
    <w:rsid w:val="00531706"/>
    <w:rsid w:val="0053700B"/>
    <w:rsid w:val="00540104"/>
    <w:rsid w:val="005401AE"/>
    <w:rsid w:val="00542577"/>
    <w:rsid w:val="00542E07"/>
    <w:rsid w:val="00545424"/>
    <w:rsid w:val="005526EC"/>
    <w:rsid w:val="00554A7B"/>
    <w:rsid w:val="0055572C"/>
    <w:rsid w:val="00556D47"/>
    <w:rsid w:val="0056106A"/>
    <w:rsid w:val="005720AE"/>
    <w:rsid w:val="00573234"/>
    <w:rsid w:val="005758DF"/>
    <w:rsid w:val="00575B52"/>
    <w:rsid w:val="00583C92"/>
    <w:rsid w:val="00584DE9"/>
    <w:rsid w:val="005916BB"/>
    <w:rsid w:val="00591F00"/>
    <w:rsid w:val="00594D77"/>
    <w:rsid w:val="005969E4"/>
    <w:rsid w:val="005A06B7"/>
    <w:rsid w:val="005A1759"/>
    <w:rsid w:val="005A68A7"/>
    <w:rsid w:val="005B1DFE"/>
    <w:rsid w:val="005B4AED"/>
    <w:rsid w:val="005C4F33"/>
    <w:rsid w:val="005D2062"/>
    <w:rsid w:val="005D36AB"/>
    <w:rsid w:val="005D45A0"/>
    <w:rsid w:val="005E09DD"/>
    <w:rsid w:val="005E4FAD"/>
    <w:rsid w:val="005E5E0A"/>
    <w:rsid w:val="005F296A"/>
    <w:rsid w:val="005F2CD6"/>
    <w:rsid w:val="005F414B"/>
    <w:rsid w:val="005F5C94"/>
    <w:rsid w:val="005F6BD8"/>
    <w:rsid w:val="006017C2"/>
    <w:rsid w:val="006021FD"/>
    <w:rsid w:val="00610DC6"/>
    <w:rsid w:val="00613C22"/>
    <w:rsid w:val="006177F6"/>
    <w:rsid w:val="00617CC3"/>
    <w:rsid w:val="00621EA2"/>
    <w:rsid w:val="00622F5B"/>
    <w:rsid w:val="006245DC"/>
    <w:rsid w:val="00625387"/>
    <w:rsid w:val="006303DB"/>
    <w:rsid w:val="00632286"/>
    <w:rsid w:val="00634BEB"/>
    <w:rsid w:val="006359FD"/>
    <w:rsid w:val="006377A6"/>
    <w:rsid w:val="00637A3D"/>
    <w:rsid w:val="006411EF"/>
    <w:rsid w:val="00646A0B"/>
    <w:rsid w:val="006518A6"/>
    <w:rsid w:val="0065750F"/>
    <w:rsid w:val="00660CE6"/>
    <w:rsid w:val="00662042"/>
    <w:rsid w:val="00664977"/>
    <w:rsid w:val="0066611A"/>
    <w:rsid w:val="00666EC5"/>
    <w:rsid w:val="00671639"/>
    <w:rsid w:val="0067332F"/>
    <w:rsid w:val="006748B8"/>
    <w:rsid w:val="006775C3"/>
    <w:rsid w:val="00680605"/>
    <w:rsid w:val="00682CA0"/>
    <w:rsid w:val="0069290A"/>
    <w:rsid w:val="0069775A"/>
    <w:rsid w:val="00697813"/>
    <w:rsid w:val="006A3EE8"/>
    <w:rsid w:val="006A408B"/>
    <w:rsid w:val="006A72BF"/>
    <w:rsid w:val="006B03F2"/>
    <w:rsid w:val="006B37DC"/>
    <w:rsid w:val="006B4F68"/>
    <w:rsid w:val="006C0592"/>
    <w:rsid w:val="006C0E0D"/>
    <w:rsid w:val="006C272E"/>
    <w:rsid w:val="006C5479"/>
    <w:rsid w:val="006D09B6"/>
    <w:rsid w:val="006D0F6D"/>
    <w:rsid w:val="006D13B5"/>
    <w:rsid w:val="006D4ECE"/>
    <w:rsid w:val="006D71F0"/>
    <w:rsid w:val="006E12FF"/>
    <w:rsid w:val="006E607E"/>
    <w:rsid w:val="006E6805"/>
    <w:rsid w:val="00702BB6"/>
    <w:rsid w:val="00706C5D"/>
    <w:rsid w:val="007106CC"/>
    <w:rsid w:val="00713F49"/>
    <w:rsid w:val="00715394"/>
    <w:rsid w:val="00717493"/>
    <w:rsid w:val="00720001"/>
    <w:rsid w:val="00722CAC"/>
    <w:rsid w:val="00723299"/>
    <w:rsid w:val="00724042"/>
    <w:rsid w:val="00726F2A"/>
    <w:rsid w:val="00732922"/>
    <w:rsid w:val="00736E02"/>
    <w:rsid w:val="00742256"/>
    <w:rsid w:val="00744F74"/>
    <w:rsid w:val="00745FED"/>
    <w:rsid w:val="0075162E"/>
    <w:rsid w:val="007528B7"/>
    <w:rsid w:val="00752FFD"/>
    <w:rsid w:val="00754034"/>
    <w:rsid w:val="00755BB2"/>
    <w:rsid w:val="00756556"/>
    <w:rsid w:val="007609E8"/>
    <w:rsid w:val="007618C4"/>
    <w:rsid w:val="00764510"/>
    <w:rsid w:val="00764511"/>
    <w:rsid w:val="00764697"/>
    <w:rsid w:val="0076483F"/>
    <w:rsid w:val="00767980"/>
    <w:rsid w:val="00770B19"/>
    <w:rsid w:val="00773E6F"/>
    <w:rsid w:val="0077463F"/>
    <w:rsid w:val="00776905"/>
    <w:rsid w:val="00781A97"/>
    <w:rsid w:val="007836EA"/>
    <w:rsid w:val="00783C97"/>
    <w:rsid w:val="00784CDA"/>
    <w:rsid w:val="00785016"/>
    <w:rsid w:val="0078751E"/>
    <w:rsid w:val="007906C4"/>
    <w:rsid w:val="007940EA"/>
    <w:rsid w:val="007967E8"/>
    <w:rsid w:val="007A0A07"/>
    <w:rsid w:val="007A150E"/>
    <w:rsid w:val="007A1D89"/>
    <w:rsid w:val="007A2170"/>
    <w:rsid w:val="007A22BF"/>
    <w:rsid w:val="007A3323"/>
    <w:rsid w:val="007A3DC5"/>
    <w:rsid w:val="007A4D94"/>
    <w:rsid w:val="007A52F7"/>
    <w:rsid w:val="007B3119"/>
    <w:rsid w:val="007B72B8"/>
    <w:rsid w:val="007B7A58"/>
    <w:rsid w:val="007C21B5"/>
    <w:rsid w:val="007D26C6"/>
    <w:rsid w:val="007D4426"/>
    <w:rsid w:val="007E4BD2"/>
    <w:rsid w:val="007E50DA"/>
    <w:rsid w:val="007F4F9C"/>
    <w:rsid w:val="00801393"/>
    <w:rsid w:val="00801FB9"/>
    <w:rsid w:val="00802F88"/>
    <w:rsid w:val="0080302C"/>
    <w:rsid w:val="00803E07"/>
    <w:rsid w:val="00804A38"/>
    <w:rsid w:val="008058AE"/>
    <w:rsid w:val="00805F01"/>
    <w:rsid w:val="0080686C"/>
    <w:rsid w:val="008119FB"/>
    <w:rsid w:val="0081293E"/>
    <w:rsid w:val="00815465"/>
    <w:rsid w:val="00817899"/>
    <w:rsid w:val="00817E9A"/>
    <w:rsid w:val="00817F9B"/>
    <w:rsid w:val="008205B4"/>
    <w:rsid w:val="00823A94"/>
    <w:rsid w:val="008301DA"/>
    <w:rsid w:val="008306BD"/>
    <w:rsid w:val="00831A80"/>
    <w:rsid w:val="00833743"/>
    <w:rsid w:val="008340A4"/>
    <w:rsid w:val="0083426C"/>
    <w:rsid w:val="0084490B"/>
    <w:rsid w:val="00851ADE"/>
    <w:rsid w:val="00852F79"/>
    <w:rsid w:val="0085577C"/>
    <w:rsid w:val="0085599B"/>
    <w:rsid w:val="0086038A"/>
    <w:rsid w:val="00861F67"/>
    <w:rsid w:val="008630B6"/>
    <w:rsid w:val="00865CB1"/>
    <w:rsid w:val="0087135F"/>
    <w:rsid w:val="00872D94"/>
    <w:rsid w:val="0087761C"/>
    <w:rsid w:val="0088031E"/>
    <w:rsid w:val="00880364"/>
    <w:rsid w:val="00884F3E"/>
    <w:rsid w:val="00887CD7"/>
    <w:rsid w:val="00891087"/>
    <w:rsid w:val="00891592"/>
    <w:rsid w:val="00891BC3"/>
    <w:rsid w:val="00891E9E"/>
    <w:rsid w:val="008941C2"/>
    <w:rsid w:val="00895424"/>
    <w:rsid w:val="008A2F68"/>
    <w:rsid w:val="008A3538"/>
    <w:rsid w:val="008A3893"/>
    <w:rsid w:val="008A3DB7"/>
    <w:rsid w:val="008A49BB"/>
    <w:rsid w:val="008B41C7"/>
    <w:rsid w:val="008B4FA6"/>
    <w:rsid w:val="008B5282"/>
    <w:rsid w:val="008B5E4E"/>
    <w:rsid w:val="008B7C17"/>
    <w:rsid w:val="008C22AD"/>
    <w:rsid w:val="008C2D01"/>
    <w:rsid w:val="008C40E6"/>
    <w:rsid w:val="008D0F7A"/>
    <w:rsid w:val="008D253E"/>
    <w:rsid w:val="008D4465"/>
    <w:rsid w:val="008D6251"/>
    <w:rsid w:val="008D68E4"/>
    <w:rsid w:val="008E0506"/>
    <w:rsid w:val="008E0CFF"/>
    <w:rsid w:val="008E3334"/>
    <w:rsid w:val="008E41E3"/>
    <w:rsid w:val="008E5D6B"/>
    <w:rsid w:val="008E684E"/>
    <w:rsid w:val="008E76F0"/>
    <w:rsid w:val="008F15FE"/>
    <w:rsid w:val="008F2D29"/>
    <w:rsid w:val="008F5187"/>
    <w:rsid w:val="008F59E3"/>
    <w:rsid w:val="008F60D8"/>
    <w:rsid w:val="00900EC8"/>
    <w:rsid w:val="0090152B"/>
    <w:rsid w:val="00902574"/>
    <w:rsid w:val="0090268C"/>
    <w:rsid w:val="00902727"/>
    <w:rsid w:val="0090312B"/>
    <w:rsid w:val="00904FAF"/>
    <w:rsid w:val="009072AD"/>
    <w:rsid w:val="00911A69"/>
    <w:rsid w:val="00913235"/>
    <w:rsid w:val="00914F0B"/>
    <w:rsid w:val="009158AD"/>
    <w:rsid w:val="0091736D"/>
    <w:rsid w:val="009208A3"/>
    <w:rsid w:val="00926BE1"/>
    <w:rsid w:val="0093037A"/>
    <w:rsid w:val="0093168E"/>
    <w:rsid w:val="00936C3E"/>
    <w:rsid w:val="00940C14"/>
    <w:rsid w:val="00941262"/>
    <w:rsid w:val="0094154D"/>
    <w:rsid w:val="00942A17"/>
    <w:rsid w:val="00942EB5"/>
    <w:rsid w:val="0095155F"/>
    <w:rsid w:val="00954429"/>
    <w:rsid w:val="00955FBF"/>
    <w:rsid w:val="009563CE"/>
    <w:rsid w:val="009707D7"/>
    <w:rsid w:val="009711F0"/>
    <w:rsid w:val="009730EE"/>
    <w:rsid w:val="00976328"/>
    <w:rsid w:val="0097680D"/>
    <w:rsid w:val="00980DD5"/>
    <w:rsid w:val="00982438"/>
    <w:rsid w:val="0098404C"/>
    <w:rsid w:val="00985283"/>
    <w:rsid w:val="009853E2"/>
    <w:rsid w:val="009854C1"/>
    <w:rsid w:val="00985C50"/>
    <w:rsid w:val="00985DB7"/>
    <w:rsid w:val="00991DED"/>
    <w:rsid w:val="009945FD"/>
    <w:rsid w:val="00995992"/>
    <w:rsid w:val="00996680"/>
    <w:rsid w:val="009A03E5"/>
    <w:rsid w:val="009A0F3B"/>
    <w:rsid w:val="009A1BB4"/>
    <w:rsid w:val="009A2628"/>
    <w:rsid w:val="009A3200"/>
    <w:rsid w:val="009A7A3C"/>
    <w:rsid w:val="009B0897"/>
    <w:rsid w:val="009B0EB7"/>
    <w:rsid w:val="009B4836"/>
    <w:rsid w:val="009B6220"/>
    <w:rsid w:val="009B7BD9"/>
    <w:rsid w:val="009C0001"/>
    <w:rsid w:val="009C0EC0"/>
    <w:rsid w:val="009C4CDA"/>
    <w:rsid w:val="009C7DD5"/>
    <w:rsid w:val="009D0155"/>
    <w:rsid w:val="009D2500"/>
    <w:rsid w:val="009E02F7"/>
    <w:rsid w:val="009E2073"/>
    <w:rsid w:val="009E227D"/>
    <w:rsid w:val="009E31F2"/>
    <w:rsid w:val="009E5019"/>
    <w:rsid w:val="009F772B"/>
    <w:rsid w:val="00A04428"/>
    <w:rsid w:val="00A04F1B"/>
    <w:rsid w:val="00A0501B"/>
    <w:rsid w:val="00A100C1"/>
    <w:rsid w:val="00A12993"/>
    <w:rsid w:val="00A13373"/>
    <w:rsid w:val="00A14947"/>
    <w:rsid w:val="00A20E69"/>
    <w:rsid w:val="00A246A2"/>
    <w:rsid w:val="00A25771"/>
    <w:rsid w:val="00A32A83"/>
    <w:rsid w:val="00A368DB"/>
    <w:rsid w:val="00A423AA"/>
    <w:rsid w:val="00A472FD"/>
    <w:rsid w:val="00A507FF"/>
    <w:rsid w:val="00A50D69"/>
    <w:rsid w:val="00A519E9"/>
    <w:rsid w:val="00A53CF7"/>
    <w:rsid w:val="00A53EC6"/>
    <w:rsid w:val="00A54800"/>
    <w:rsid w:val="00A552F2"/>
    <w:rsid w:val="00A55C0F"/>
    <w:rsid w:val="00A66A53"/>
    <w:rsid w:val="00A708C2"/>
    <w:rsid w:val="00A710C9"/>
    <w:rsid w:val="00A75170"/>
    <w:rsid w:val="00A77F4F"/>
    <w:rsid w:val="00A814E5"/>
    <w:rsid w:val="00A8710B"/>
    <w:rsid w:val="00A8713F"/>
    <w:rsid w:val="00A90BA1"/>
    <w:rsid w:val="00A97A9A"/>
    <w:rsid w:val="00AA0671"/>
    <w:rsid w:val="00AA2531"/>
    <w:rsid w:val="00AA2D8C"/>
    <w:rsid w:val="00AA6430"/>
    <w:rsid w:val="00AB043F"/>
    <w:rsid w:val="00AB1E09"/>
    <w:rsid w:val="00AB5330"/>
    <w:rsid w:val="00AB7589"/>
    <w:rsid w:val="00AB7747"/>
    <w:rsid w:val="00AC0CFF"/>
    <w:rsid w:val="00AC14CE"/>
    <w:rsid w:val="00AC2A56"/>
    <w:rsid w:val="00AC2F16"/>
    <w:rsid w:val="00AC4AAD"/>
    <w:rsid w:val="00AC4F66"/>
    <w:rsid w:val="00AC6B68"/>
    <w:rsid w:val="00AD055E"/>
    <w:rsid w:val="00AD2675"/>
    <w:rsid w:val="00AD47A7"/>
    <w:rsid w:val="00AE4317"/>
    <w:rsid w:val="00AE47EA"/>
    <w:rsid w:val="00AF0CBF"/>
    <w:rsid w:val="00AF257F"/>
    <w:rsid w:val="00AF33CF"/>
    <w:rsid w:val="00AF4D50"/>
    <w:rsid w:val="00AF6179"/>
    <w:rsid w:val="00AF6EF5"/>
    <w:rsid w:val="00B01A13"/>
    <w:rsid w:val="00B1295A"/>
    <w:rsid w:val="00B1591E"/>
    <w:rsid w:val="00B20A45"/>
    <w:rsid w:val="00B22C5C"/>
    <w:rsid w:val="00B247CB"/>
    <w:rsid w:val="00B24AF4"/>
    <w:rsid w:val="00B24F30"/>
    <w:rsid w:val="00B31ABF"/>
    <w:rsid w:val="00B3229F"/>
    <w:rsid w:val="00B32620"/>
    <w:rsid w:val="00B33BE3"/>
    <w:rsid w:val="00B372B1"/>
    <w:rsid w:val="00B52C63"/>
    <w:rsid w:val="00B53B5D"/>
    <w:rsid w:val="00B5481E"/>
    <w:rsid w:val="00B6055E"/>
    <w:rsid w:val="00B6199E"/>
    <w:rsid w:val="00B6317D"/>
    <w:rsid w:val="00B67139"/>
    <w:rsid w:val="00B67D5E"/>
    <w:rsid w:val="00B7723F"/>
    <w:rsid w:val="00B80534"/>
    <w:rsid w:val="00B8275A"/>
    <w:rsid w:val="00B832B3"/>
    <w:rsid w:val="00B8433C"/>
    <w:rsid w:val="00B84FD6"/>
    <w:rsid w:val="00B8585C"/>
    <w:rsid w:val="00B85C41"/>
    <w:rsid w:val="00B87491"/>
    <w:rsid w:val="00B90C91"/>
    <w:rsid w:val="00B966F5"/>
    <w:rsid w:val="00B96BBA"/>
    <w:rsid w:val="00BA12C3"/>
    <w:rsid w:val="00BA29E9"/>
    <w:rsid w:val="00BA50FA"/>
    <w:rsid w:val="00BA7142"/>
    <w:rsid w:val="00BB237C"/>
    <w:rsid w:val="00BB41A3"/>
    <w:rsid w:val="00BB5D8F"/>
    <w:rsid w:val="00BB7AA6"/>
    <w:rsid w:val="00BC32DC"/>
    <w:rsid w:val="00BC35B6"/>
    <w:rsid w:val="00BC56F7"/>
    <w:rsid w:val="00BD1B51"/>
    <w:rsid w:val="00BD2546"/>
    <w:rsid w:val="00BD3EBF"/>
    <w:rsid w:val="00BD4596"/>
    <w:rsid w:val="00BD5F6B"/>
    <w:rsid w:val="00BE1405"/>
    <w:rsid w:val="00BE2256"/>
    <w:rsid w:val="00BE312D"/>
    <w:rsid w:val="00BE4BD3"/>
    <w:rsid w:val="00BE64E1"/>
    <w:rsid w:val="00BE7675"/>
    <w:rsid w:val="00BF1C20"/>
    <w:rsid w:val="00BF1FBE"/>
    <w:rsid w:val="00C079AD"/>
    <w:rsid w:val="00C10578"/>
    <w:rsid w:val="00C135BC"/>
    <w:rsid w:val="00C1518D"/>
    <w:rsid w:val="00C158BA"/>
    <w:rsid w:val="00C15C95"/>
    <w:rsid w:val="00C16225"/>
    <w:rsid w:val="00C17F58"/>
    <w:rsid w:val="00C20B64"/>
    <w:rsid w:val="00C213B0"/>
    <w:rsid w:val="00C2596A"/>
    <w:rsid w:val="00C2744D"/>
    <w:rsid w:val="00C27537"/>
    <w:rsid w:val="00C27BB8"/>
    <w:rsid w:val="00C328FE"/>
    <w:rsid w:val="00C33507"/>
    <w:rsid w:val="00C374FD"/>
    <w:rsid w:val="00C37BCF"/>
    <w:rsid w:val="00C40586"/>
    <w:rsid w:val="00C43A58"/>
    <w:rsid w:val="00C4409D"/>
    <w:rsid w:val="00C44E72"/>
    <w:rsid w:val="00C45A06"/>
    <w:rsid w:val="00C47E5B"/>
    <w:rsid w:val="00C5023D"/>
    <w:rsid w:val="00C5306F"/>
    <w:rsid w:val="00C61E4B"/>
    <w:rsid w:val="00C6377F"/>
    <w:rsid w:val="00C641D5"/>
    <w:rsid w:val="00C64BFF"/>
    <w:rsid w:val="00C679BC"/>
    <w:rsid w:val="00C704E9"/>
    <w:rsid w:val="00C762BB"/>
    <w:rsid w:val="00C763C9"/>
    <w:rsid w:val="00C76692"/>
    <w:rsid w:val="00C80057"/>
    <w:rsid w:val="00C82232"/>
    <w:rsid w:val="00C82913"/>
    <w:rsid w:val="00C840D6"/>
    <w:rsid w:val="00C84DB6"/>
    <w:rsid w:val="00C86C89"/>
    <w:rsid w:val="00C91496"/>
    <w:rsid w:val="00C91F07"/>
    <w:rsid w:val="00C95892"/>
    <w:rsid w:val="00C972B1"/>
    <w:rsid w:val="00CA2ACC"/>
    <w:rsid w:val="00CA2CCE"/>
    <w:rsid w:val="00CA2FF0"/>
    <w:rsid w:val="00CA43FD"/>
    <w:rsid w:val="00CA7EF8"/>
    <w:rsid w:val="00CC1401"/>
    <w:rsid w:val="00CC1E39"/>
    <w:rsid w:val="00CC2B1B"/>
    <w:rsid w:val="00CC489B"/>
    <w:rsid w:val="00CC5770"/>
    <w:rsid w:val="00CD1347"/>
    <w:rsid w:val="00CD2BCD"/>
    <w:rsid w:val="00CD3A4C"/>
    <w:rsid w:val="00CD60FB"/>
    <w:rsid w:val="00CE10E9"/>
    <w:rsid w:val="00CE151B"/>
    <w:rsid w:val="00CE2910"/>
    <w:rsid w:val="00CE29C4"/>
    <w:rsid w:val="00CE30AD"/>
    <w:rsid w:val="00CE5393"/>
    <w:rsid w:val="00CE6D3A"/>
    <w:rsid w:val="00CF1E5C"/>
    <w:rsid w:val="00CF3659"/>
    <w:rsid w:val="00CF36BE"/>
    <w:rsid w:val="00CF6000"/>
    <w:rsid w:val="00D003F3"/>
    <w:rsid w:val="00D00402"/>
    <w:rsid w:val="00D0364F"/>
    <w:rsid w:val="00D06834"/>
    <w:rsid w:val="00D208E7"/>
    <w:rsid w:val="00D230DC"/>
    <w:rsid w:val="00D237BA"/>
    <w:rsid w:val="00D308ED"/>
    <w:rsid w:val="00D35665"/>
    <w:rsid w:val="00D36D86"/>
    <w:rsid w:val="00D37CB1"/>
    <w:rsid w:val="00D41231"/>
    <w:rsid w:val="00D428AA"/>
    <w:rsid w:val="00D42D26"/>
    <w:rsid w:val="00D47108"/>
    <w:rsid w:val="00D50A34"/>
    <w:rsid w:val="00D51456"/>
    <w:rsid w:val="00D53EFA"/>
    <w:rsid w:val="00D641CB"/>
    <w:rsid w:val="00D832B4"/>
    <w:rsid w:val="00D903E3"/>
    <w:rsid w:val="00D90DAF"/>
    <w:rsid w:val="00D944B7"/>
    <w:rsid w:val="00D94A7C"/>
    <w:rsid w:val="00D95896"/>
    <w:rsid w:val="00D9611F"/>
    <w:rsid w:val="00D96141"/>
    <w:rsid w:val="00D96410"/>
    <w:rsid w:val="00DA1AC4"/>
    <w:rsid w:val="00DA4627"/>
    <w:rsid w:val="00DA6004"/>
    <w:rsid w:val="00DA76F9"/>
    <w:rsid w:val="00DB2983"/>
    <w:rsid w:val="00DB5C4B"/>
    <w:rsid w:val="00DC099B"/>
    <w:rsid w:val="00DC1257"/>
    <w:rsid w:val="00DC3DC0"/>
    <w:rsid w:val="00DC4789"/>
    <w:rsid w:val="00DC4EC8"/>
    <w:rsid w:val="00DC5B2B"/>
    <w:rsid w:val="00DC79D9"/>
    <w:rsid w:val="00DD318D"/>
    <w:rsid w:val="00DD5540"/>
    <w:rsid w:val="00DD5E39"/>
    <w:rsid w:val="00DE18A6"/>
    <w:rsid w:val="00DE57EE"/>
    <w:rsid w:val="00DF0957"/>
    <w:rsid w:val="00DF2E12"/>
    <w:rsid w:val="00DF514A"/>
    <w:rsid w:val="00DF6690"/>
    <w:rsid w:val="00DF6804"/>
    <w:rsid w:val="00E0358D"/>
    <w:rsid w:val="00E03E2A"/>
    <w:rsid w:val="00E04323"/>
    <w:rsid w:val="00E0509A"/>
    <w:rsid w:val="00E070A2"/>
    <w:rsid w:val="00E15631"/>
    <w:rsid w:val="00E15913"/>
    <w:rsid w:val="00E15C94"/>
    <w:rsid w:val="00E1604E"/>
    <w:rsid w:val="00E1659A"/>
    <w:rsid w:val="00E20016"/>
    <w:rsid w:val="00E2656A"/>
    <w:rsid w:val="00E412D0"/>
    <w:rsid w:val="00E47860"/>
    <w:rsid w:val="00E50136"/>
    <w:rsid w:val="00E5116E"/>
    <w:rsid w:val="00E516BC"/>
    <w:rsid w:val="00E56322"/>
    <w:rsid w:val="00E60982"/>
    <w:rsid w:val="00E625F2"/>
    <w:rsid w:val="00E62C62"/>
    <w:rsid w:val="00E63F29"/>
    <w:rsid w:val="00E64B1C"/>
    <w:rsid w:val="00E654C1"/>
    <w:rsid w:val="00E65B84"/>
    <w:rsid w:val="00E65D97"/>
    <w:rsid w:val="00E67874"/>
    <w:rsid w:val="00E70124"/>
    <w:rsid w:val="00E70552"/>
    <w:rsid w:val="00E70CB5"/>
    <w:rsid w:val="00E7104B"/>
    <w:rsid w:val="00E721C1"/>
    <w:rsid w:val="00E72A5A"/>
    <w:rsid w:val="00E73354"/>
    <w:rsid w:val="00E75DA1"/>
    <w:rsid w:val="00E77CA3"/>
    <w:rsid w:val="00E77CE3"/>
    <w:rsid w:val="00E87C54"/>
    <w:rsid w:val="00E90D23"/>
    <w:rsid w:val="00E91350"/>
    <w:rsid w:val="00E9242D"/>
    <w:rsid w:val="00E95FED"/>
    <w:rsid w:val="00E962E2"/>
    <w:rsid w:val="00E96661"/>
    <w:rsid w:val="00E97DCD"/>
    <w:rsid w:val="00EA0B8E"/>
    <w:rsid w:val="00EA265C"/>
    <w:rsid w:val="00EA3A98"/>
    <w:rsid w:val="00EB1BBF"/>
    <w:rsid w:val="00EB4649"/>
    <w:rsid w:val="00EB4A94"/>
    <w:rsid w:val="00EB5255"/>
    <w:rsid w:val="00EB5C47"/>
    <w:rsid w:val="00EC0908"/>
    <w:rsid w:val="00EC510D"/>
    <w:rsid w:val="00ED0639"/>
    <w:rsid w:val="00ED3BCB"/>
    <w:rsid w:val="00ED6286"/>
    <w:rsid w:val="00EE64F9"/>
    <w:rsid w:val="00EF4755"/>
    <w:rsid w:val="00EF7135"/>
    <w:rsid w:val="00F027DB"/>
    <w:rsid w:val="00F03D22"/>
    <w:rsid w:val="00F0671B"/>
    <w:rsid w:val="00F076CB"/>
    <w:rsid w:val="00F10EED"/>
    <w:rsid w:val="00F14988"/>
    <w:rsid w:val="00F14A7A"/>
    <w:rsid w:val="00F20676"/>
    <w:rsid w:val="00F218BA"/>
    <w:rsid w:val="00F22985"/>
    <w:rsid w:val="00F30AA8"/>
    <w:rsid w:val="00F31B86"/>
    <w:rsid w:val="00F3383E"/>
    <w:rsid w:val="00F37796"/>
    <w:rsid w:val="00F4026F"/>
    <w:rsid w:val="00F44FBB"/>
    <w:rsid w:val="00F45BB9"/>
    <w:rsid w:val="00F465A7"/>
    <w:rsid w:val="00F50B7C"/>
    <w:rsid w:val="00F550E6"/>
    <w:rsid w:val="00F60E7E"/>
    <w:rsid w:val="00F62A1F"/>
    <w:rsid w:val="00F62EEE"/>
    <w:rsid w:val="00F703FB"/>
    <w:rsid w:val="00F72207"/>
    <w:rsid w:val="00F74345"/>
    <w:rsid w:val="00F771A0"/>
    <w:rsid w:val="00F80A0A"/>
    <w:rsid w:val="00F82B19"/>
    <w:rsid w:val="00F87E7F"/>
    <w:rsid w:val="00F9212D"/>
    <w:rsid w:val="00F9465B"/>
    <w:rsid w:val="00F965DA"/>
    <w:rsid w:val="00F96E17"/>
    <w:rsid w:val="00FA406A"/>
    <w:rsid w:val="00FB4119"/>
    <w:rsid w:val="00FB43E4"/>
    <w:rsid w:val="00FB503A"/>
    <w:rsid w:val="00FB516C"/>
    <w:rsid w:val="00FB5175"/>
    <w:rsid w:val="00FB603C"/>
    <w:rsid w:val="00FC13DC"/>
    <w:rsid w:val="00FC4982"/>
    <w:rsid w:val="00FC7008"/>
    <w:rsid w:val="00FD0236"/>
    <w:rsid w:val="00FD18F4"/>
    <w:rsid w:val="00FD234E"/>
    <w:rsid w:val="00FD54DB"/>
    <w:rsid w:val="00FD619F"/>
    <w:rsid w:val="00FD7662"/>
    <w:rsid w:val="00FE0C09"/>
    <w:rsid w:val="00FE67DB"/>
    <w:rsid w:val="0119383E"/>
    <w:rsid w:val="01290F7E"/>
    <w:rsid w:val="015D1E09"/>
    <w:rsid w:val="01B554DA"/>
    <w:rsid w:val="01ED0FBE"/>
    <w:rsid w:val="01F868B9"/>
    <w:rsid w:val="01FC781A"/>
    <w:rsid w:val="02044F87"/>
    <w:rsid w:val="02136AB8"/>
    <w:rsid w:val="021A0DE5"/>
    <w:rsid w:val="021A642C"/>
    <w:rsid w:val="022305C4"/>
    <w:rsid w:val="0247605B"/>
    <w:rsid w:val="02697903"/>
    <w:rsid w:val="02AA4F6F"/>
    <w:rsid w:val="02BC3862"/>
    <w:rsid w:val="02F96569"/>
    <w:rsid w:val="032A479D"/>
    <w:rsid w:val="032B2B51"/>
    <w:rsid w:val="032C525E"/>
    <w:rsid w:val="03761CF6"/>
    <w:rsid w:val="03B9724A"/>
    <w:rsid w:val="03CA342A"/>
    <w:rsid w:val="03EA7B21"/>
    <w:rsid w:val="04137AA3"/>
    <w:rsid w:val="042A3CE5"/>
    <w:rsid w:val="04341F8A"/>
    <w:rsid w:val="04646ED3"/>
    <w:rsid w:val="046D1F40"/>
    <w:rsid w:val="048D6671"/>
    <w:rsid w:val="04A33260"/>
    <w:rsid w:val="04EF6BC3"/>
    <w:rsid w:val="05127F0D"/>
    <w:rsid w:val="052B1340"/>
    <w:rsid w:val="05AC36A6"/>
    <w:rsid w:val="05C21E3C"/>
    <w:rsid w:val="05E15C31"/>
    <w:rsid w:val="05F83EAE"/>
    <w:rsid w:val="063E7D85"/>
    <w:rsid w:val="065E45B5"/>
    <w:rsid w:val="06713B9F"/>
    <w:rsid w:val="06734E61"/>
    <w:rsid w:val="06943B8E"/>
    <w:rsid w:val="06BF241C"/>
    <w:rsid w:val="0703775C"/>
    <w:rsid w:val="071754A8"/>
    <w:rsid w:val="07176E12"/>
    <w:rsid w:val="07293586"/>
    <w:rsid w:val="07295285"/>
    <w:rsid w:val="07636392"/>
    <w:rsid w:val="07770C56"/>
    <w:rsid w:val="078062F8"/>
    <w:rsid w:val="07824CE1"/>
    <w:rsid w:val="07AB2622"/>
    <w:rsid w:val="07D46989"/>
    <w:rsid w:val="07EF40C4"/>
    <w:rsid w:val="080C171D"/>
    <w:rsid w:val="0816429E"/>
    <w:rsid w:val="086D1AA1"/>
    <w:rsid w:val="08E07DF3"/>
    <w:rsid w:val="08EF5EDD"/>
    <w:rsid w:val="092217DD"/>
    <w:rsid w:val="093A7294"/>
    <w:rsid w:val="09624F7D"/>
    <w:rsid w:val="09EA6C3E"/>
    <w:rsid w:val="09FB0259"/>
    <w:rsid w:val="09FB0666"/>
    <w:rsid w:val="09FC7B72"/>
    <w:rsid w:val="0A263993"/>
    <w:rsid w:val="0A2D3AC2"/>
    <w:rsid w:val="0A416127"/>
    <w:rsid w:val="0A8530D4"/>
    <w:rsid w:val="0A8B04DC"/>
    <w:rsid w:val="0AA755DF"/>
    <w:rsid w:val="0AB27C40"/>
    <w:rsid w:val="0B120D44"/>
    <w:rsid w:val="0B650811"/>
    <w:rsid w:val="0B9F6D1F"/>
    <w:rsid w:val="0BD27BF6"/>
    <w:rsid w:val="0BD915A3"/>
    <w:rsid w:val="0BDA1FEA"/>
    <w:rsid w:val="0C1A5BED"/>
    <w:rsid w:val="0C3B3C7D"/>
    <w:rsid w:val="0C5D5025"/>
    <w:rsid w:val="0CAB2EAE"/>
    <w:rsid w:val="0CD01A61"/>
    <w:rsid w:val="0CD01C90"/>
    <w:rsid w:val="0CE85DBD"/>
    <w:rsid w:val="0D1E0165"/>
    <w:rsid w:val="0D1F4604"/>
    <w:rsid w:val="0D3073B0"/>
    <w:rsid w:val="0D621C7D"/>
    <w:rsid w:val="0D67701A"/>
    <w:rsid w:val="0D731A1E"/>
    <w:rsid w:val="0D754E4C"/>
    <w:rsid w:val="0D7631A7"/>
    <w:rsid w:val="0D87687F"/>
    <w:rsid w:val="0DBF259D"/>
    <w:rsid w:val="0DC95141"/>
    <w:rsid w:val="0E296252"/>
    <w:rsid w:val="0E4946FF"/>
    <w:rsid w:val="0E5F4059"/>
    <w:rsid w:val="0E6C59EB"/>
    <w:rsid w:val="0E73034D"/>
    <w:rsid w:val="0F13775A"/>
    <w:rsid w:val="0F5F45FE"/>
    <w:rsid w:val="0F7C4C72"/>
    <w:rsid w:val="0F9A112B"/>
    <w:rsid w:val="0FEC4B7F"/>
    <w:rsid w:val="10122A27"/>
    <w:rsid w:val="10383F2B"/>
    <w:rsid w:val="104C7ED5"/>
    <w:rsid w:val="106D2F64"/>
    <w:rsid w:val="109B4486"/>
    <w:rsid w:val="10B63710"/>
    <w:rsid w:val="10F10820"/>
    <w:rsid w:val="111C2F7A"/>
    <w:rsid w:val="11265DB1"/>
    <w:rsid w:val="11316046"/>
    <w:rsid w:val="114F03DC"/>
    <w:rsid w:val="11665CA1"/>
    <w:rsid w:val="1194367C"/>
    <w:rsid w:val="11947456"/>
    <w:rsid w:val="11CC653F"/>
    <w:rsid w:val="11E73AF2"/>
    <w:rsid w:val="121F3128"/>
    <w:rsid w:val="12581470"/>
    <w:rsid w:val="129D6B0D"/>
    <w:rsid w:val="12B76D6A"/>
    <w:rsid w:val="12C22C2F"/>
    <w:rsid w:val="12C60067"/>
    <w:rsid w:val="135C2D25"/>
    <w:rsid w:val="136D3644"/>
    <w:rsid w:val="13951726"/>
    <w:rsid w:val="13CE71DF"/>
    <w:rsid w:val="13FA0129"/>
    <w:rsid w:val="140B01A3"/>
    <w:rsid w:val="14184CAE"/>
    <w:rsid w:val="142C1E08"/>
    <w:rsid w:val="14372D1E"/>
    <w:rsid w:val="14396509"/>
    <w:rsid w:val="144F6E20"/>
    <w:rsid w:val="14793401"/>
    <w:rsid w:val="148C186B"/>
    <w:rsid w:val="14C9633E"/>
    <w:rsid w:val="14DD2C3C"/>
    <w:rsid w:val="14E64F8A"/>
    <w:rsid w:val="153965C8"/>
    <w:rsid w:val="155952B1"/>
    <w:rsid w:val="155D4271"/>
    <w:rsid w:val="157D63AB"/>
    <w:rsid w:val="159D6648"/>
    <w:rsid w:val="159E30C5"/>
    <w:rsid w:val="15A1628E"/>
    <w:rsid w:val="15A4325C"/>
    <w:rsid w:val="15CE392C"/>
    <w:rsid w:val="15E76E9C"/>
    <w:rsid w:val="16087E1D"/>
    <w:rsid w:val="16674C15"/>
    <w:rsid w:val="16937C33"/>
    <w:rsid w:val="16AA7A09"/>
    <w:rsid w:val="17077D00"/>
    <w:rsid w:val="17701D14"/>
    <w:rsid w:val="17735226"/>
    <w:rsid w:val="17735E83"/>
    <w:rsid w:val="177E008F"/>
    <w:rsid w:val="1781077A"/>
    <w:rsid w:val="17956C76"/>
    <w:rsid w:val="17974341"/>
    <w:rsid w:val="17A91F95"/>
    <w:rsid w:val="17E5572E"/>
    <w:rsid w:val="17F4262F"/>
    <w:rsid w:val="17F92C5F"/>
    <w:rsid w:val="18130437"/>
    <w:rsid w:val="181C7066"/>
    <w:rsid w:val="182D2D36"/>
    <w:rsid w:val="18432B04"/>
    <w:rsid w:val="189F624C"/>
    <w:rsid w:val="19931384"/>
    <w:rsid w:val="19936BC1"/>
    <w:rsid w:val="19BF011F"/>
    <w:rsid w:val="19CB2C74"/>
    <w:rsid w:val="1A1928E2"/>
    <w:rsid w:val="1A1C66C0"/>
    <w:rsid w:val="1A400152"/>
    <w:rsid w:val="1A42393B"/>
    <w:rsid w:val="1A507519"/>
    <w:rsid w:val="1A8F6BCA"/>
    <w:rsid w:val="1A9E3603"/>
    <w:rsid w:val="1AA34328"/>
    <w:rsid w:val="1AAD45DE"/>
    <w:rsid w:val="1ACB53B9"/>
    <w:rsid w:val="1B046F80"/>
    <w:rsid w:val="1B3267B5"/>
    <w:rsid w:val="1B40161D"/>
    <w:rsid w:val="1B441859"/>
    <w:rsid w:val="1B4E7241"/>
    <w:rsid w:val="1B6606B1"/>
    <w:rsid w:val="1B9A355F"/>
    <w:rsid w:val="1BD57696"/>
    <w:rsid w:val="1BFE4B8D"/>
    <w:rsid w:val="1C112A1C"/>
    <w:rsid w:val="1C1B68B8"/>
    <w:rsid w:val="1C44729B"/>
    <w:rsid w:val="1C4E0D43"/>
    <w:rsid w:val="1C5D2D01"/>
    <w:rsid w:val="1C5E7925"/>
    <w:rsid w:val="1C70078F"/>
    <w:rsid w:val="1CEF2A5A"/>
    <w:rsid w:val="1CFD070F"/>
    <w:rsid w:val="1D2A4DCD"/>
    <w:rsid w:val="1D3B6350"/>
    <w:rsid w:val="1D436612"/>
    <w:rsid w:val="1D5F6196"/>
    <w:rsid w:val="1D6132A5"/>
    <w:rsid w:val="1D64044B"/>
    <w:rsid w:val="1D7C73A5"/>
    <w:rsid w:val="1D7F6621"/>
    <w:rsid w:val="1D8D2B80"/>
    <w:rsid w:val="1D8E56D5"/>
    <w:rsid w:val="1E042E4C"/>
    <w:rsid w:val="1E235877"/>
    <w:rsid w:val="1E2420D1"/>
    <w:rsid w:val="1E742207"/>
    <w:rsid w:val="1E7A43DA"/>
    <w:rsid w:val="1E8070E5"/>
    <w:rsid w:val="1E982192"/>
    <w:rsid w:val="1E9B1DF4"/>
    <w:rsid w:val="1EE078AC"/>
    <w:rsid w:val="1EEB2065"/>
    <w:rsid w:val="1F5F584A"/>
    <w:rsid w:val="1FB8775D"/>
    <w:rsid w:val="1FE7539E"/>
    <w:rsid w:val="1FE9119F"/>
    <w:rsid w:val="20060916"/>
    <w:rsid w:val="20061318"/>
    <w:rsid w:val="200642A5"/>
    <w:rsid w:val="20121C2F"/>
    <w:rsid w:val="20301E90"/>
    <w:rsid w:val="20372861"/>
    <w:rsid w:val="20640EE6"/>
    <w:rsid w:val="20671BE0"/>
    <w:rsid w:val="20894B44"/>
    <w:rsid w:val="20963CB8"/>
    <w:rsid w:val="20A81A1B"/>
    <w:rsid w:val="20B07FB6"/>
    <w:rsid w:val="20B646FB"/>
    <w:rsid w:val="20BD26C1"/>
    <w:rsid w:val="20C20B07"/>
    <w:rsid w:val="20F465EF"/>
    <w:rsid w:val="213B74B1"/>
    <w:rsid w:val="215A2310"/>
    <w:rsid w:val="215D514D"/>
    <w:rsid w:val="217B24C6"/>
    <w:rsid w:val="21DE318A"/>
    <w:rsid w:val="21EF5B80"/>
    <w:rsid w:val="21F966FF"/>
    <w:rsid w:val="220B2DB7"/>
    <w:rsid w:val="22576990"/>
    <w:rsid w:val="22A81621"/>
    <w:rsid w:val="22DD68C3"/>
    <w:rsid w:val="22E85029"/>
    <w:rsid w:val="22F47480"/>
    <w:rsid w:val="22FB765D"/>
    <w:rsid w:val="23147373"/>
    <w:rsid w:val="235E64CD"/>
    <w:rsid w:val="23961FFC"/>
    <w:rsid w:val="23DE1C48"/>
    <w:rsid w:val="23E65C1E"/>
    <w:rsid w:val="23E8402C"/>
    <w:rsid w:val="240210CD"/>
    <w:rsid w:val="242A7610"/>
    <w:rsid w:val="24347E83"/>
    <w:rsid w:val="243932FC"/>
    <w:rsid w:val="244A14EB"/>
    <w:rsid w:val="244E4C7E"/>
    <w:rsid w:val="24AE4AC5"/>
    <w:rsid w:val="24B67B9D"/>
    <w:rsid w:val="24BB4911"/>
    <w:rsid w:val="24BF09F7"/>
    <w:rsid w:val="24D301B1"/>
    <w:rsid w:val="24D844D9"/>
    <w:rsid w:val="252D53FE"/>
    <w:rsid w:val="252D73D0"/>
    <w:rsid w:val="25671AB2"/>
    <w:rsid w:val="25697591"/>
    <w:rsid w:val="25A073CB"/>
    <w:rsid w:val="25EC2D81"/>
    <w:rsid w:val="25F45B02"/>
    <w:rsid w:val="267D1ADF"/>
    <w:rsid w:val="26984BA3"/>
    <w:rsid w:val="26B34376"/>
    <w:rsid w:val="26CB6048"/>
    <w:rsid w:val="27161F28"/>
    <w:rsid w:val="277057A2"/>
    <w:rsid w:val="27846BCC"/>
    <w:rsid w:val="278E5362"/>
    <w:rsid w:val="279B1D3A"/>
    <w:rsid w:val="27A24119"/>
    <w:rsid w:val="27A65E16"/>
    <w:rsid w:val="28254FA6"/>
    <w:rsid w:val="283D22A5"/>
    <w:rsid w:val="285556F7"/>
    <w:rsid w:val="286F3C00"/>
    <w:rsid w:val="28AC64E9"/>
    <w:rsid w:val="28AE3B74"/>
    <w:rsid w:val="28AF0719"/>
    <w:rsid w:val="29206EB8"/>
    <w:rsid w:val="29595666"/>
    <w:rsid w:val="29652F79"/>
    <w:rsid w:val="29734A2F"/>
    <w:rsid w:val="29874881"/>
    <w:rsid w:val="2990183F"/>
    <w:rsid w:val="299773F1"/>
    <w:rsid w:val="299D68F0"/>
    <w:rsid w:val="29D741B2"/>
    <w:rsid w:val="29E325E0"/>
    <w:rsid w:val="29FF2818"/>
    <w:rsid w:val="2A452503"/>
    <w:rsid w:val="2A6A206B"/>
    <w:rsid w:val="2AD07FCD"/>
    <w:rsid w:val="2B211FC5"/>
    <w:rsid w:val="2B7D2CC9"/>
    <w:rsid w:val="2BA06BC2"/>
    <w:rsid w:val="2BA936A8"/>
    <w:rsid w:val="2BC00159"/>
    <w:rsid w:val="2BC41327"/>
    <w:rsid w:val="2BDA7952"/>
    <w:rsid w:val="2BE25668"/>
    <w:rsid w:val="2C040F41"/>
    <w:rsid w:val="2C315A5A"/>
    <w:rsid w:val="2C4B1C25"/>
    <w:rsid w:val="2C603BDB"/>
    <w:rsid w:val="2D37158B"/>
    <w:rsid w:val="2D406ACD"/>
    <w:rsid w:val="2D6132EA"/>
    <w:rsid w:val="2D9E48E8"/>
    <w:rsid w:val="2D9E56F5"/>
    <w:rsid w:val="2DD41063"/>
    <w:rsid w:val="2E03208E"/>
    <w:rsid w:val="2E163B18"/>
    <w:rsid w:val="2E667F96"/>
    <w:rsid w:val="2E76670C"/>
    <w:rsid w:val="2E8226AB"/>
    <w:rsid w:val="2E937D61"/>
    <w:rsid w:val="2E953B7B"/>
    <w:rsid w:val="2EA5494C"/>
    <w:rsid w:val="2ECF7771"/>
    <w:rsid w:val="2ED74FE6"/>
    <w:rsid w:val="2F021711"/>
    <w:rsid w:val="2F14677D"/>
    <w:rsid w:val="2F603660"/>
    <w:rsid w:val="2FD065E6"/>
    <w:rsid w:val="2FD96870"/>
    <w:rsid w:val="30483AE8"/>
    <w:rsid w:val="30580656"/>
    <w:rsid w:val="30580BC9"/>
    <w:rsid w:val="307D7B16"/>
    <w:rsid w:val="30826A7D"/>
    <w:rsid w:val="30A11260"/>
    <w:rsid w:val="30BA5114"/>
    <w:rsid w:val="30DE19FC"/>
    <w:rsid w:val="31056B18"/>
    <w:rsid w:val="31096455"/>
    <w:rsid w:val="311E2ED7"/>
    <w:rsid w:val="315619EE"/>
    <w:rsid w:val="315C449C"/>
    <w:rsid w:val="319B669A"/>
    <w:rsid w:val="31A53788"/>
    <w:rsid w:val="31AD778F"/>
    <w:rsid w:val="31B82709"/>
    <w:rsid w:val="31D05482"/>
    <w:rsid w:val="32400B34"/>
    <w:rsid w:val="326218FE"/>
    <w:rsid w:val="32701483"/>
    <w:rsid w:val="32757B61"/>
    <w:rsid w:val="32767207"/>
    <w:rsid w:val="327D0282"/>
    <w:rsid w:val="329E6876"/>
    <w:rsid w:val="32D432B0"/>
    <w:rsid w:val="32EA4D98"/>
    <w:rsid w:val="332261EC"/>
    <w:rsid w:val="332C3A9C"/>
    <w:rsid w:val="333015F2"/>
    <w:rsid w:val="33332C90"/>
    <w:rsid w:val="3334290F"/>
    <w:rsid w:val="334B6320"/>
    <w:rsid w:val="335E2802"/>
    <w:rsid w:val="33827835"/>
    <w:rsid w:val="33B576A7"/>
    <w:rsid w:val="33D934D4"/>
    <w:rsid w:val="33FE2F6A"/>
    <w:rsid w:val="340E07E5"/>
    <w:rsid w:val="34151CF5"/>
    <w:rsid w:val="341F5D15"/>
    <w:rsid w:val="34235BF7"/>
    <w:rsid w:val="34306F05"/>
    <w:rsid w:val="34B36604"/>
    <w:rsid w:val="34F812F7"/>
    <w:rsid w:val="352E2F7B"/>
    <w:rsid w:val="354E4284"/>
    <w:rsid w:val="35820984"/>
    <w:rsid w:val="358C5FA8"/>
    <w:rsid w:val="35C15DF1"/>
    <w:rsid w:val="36074A7F"/>
    <w:rsid w:val="360E73ED"/>
    <w:rsid w:val="36593103"/>
    <w:rsid w:val="36916F26"/>
    <w:rsid w:val="36923549"/>
    <w:rsid w:val="36B75FBF"/>
    <w:rsid w:val="36BD0C45"/>
    <w:rsid w:val="36D14332"/>
    <w:rsid w:val="36FE6321"/>
    <w:rsid w:val="371567D4"/>
    <w:rsid w:val="37243234"/>
    <w:rsid w:val="37C1660A"/>
    <w:rsid w:val="37D15223"/>
    <w:rsid w:val="37E00298"/>
    <w:rsid w:val="383A03D7"/>
    <w:rsid w:val="38513686"/>
    <w:rsid w:val="38B302F9"/>
    <w:rsid w:val="38D605EE"/>
    <w:rsid w:val="38DF66C0"/>
    <w:rsid w:val="38E66DE2"/>
    <w:rsid w:val="38E87690"/>
    <w:rsid w:val="38F12CD3"/>
    <w:rsid w:val="38F94775"/>
    <w:rsid w:val="38FE7E8D"/>
    <w:rsid w:val="39115368"/>
    <w:rsid w:val="392971ED"/>
    <w:rsid w:val="39325651"/>
    <w:rsid w:val="393778E1"/>
    <w:rsid w:val="396C7191"/>
    <w:rsid w:val="396F6BDE"/>
    <w:rsid w:val="39C9547B"/>
    <w:rsid w:val="39DB36D1"/>
    <w:rsid w:val="3A194B1C"/>
    <w:rsid w:val="3A382CC6"/>
    <w:rsid w:val="3A483652"/>
    <w:rsid w:val="3A522BDF"/>
    <w:rsid w:val="3A5E23D3"/>
    <w:rsid w:val="3A7B3AC4"/>
    <w:rsid w:val="3A872856"/>
    <w:rsid w:val="3AA85F85"/>
    <w:rsid w:val="3AF03DAE"/>
    <w:rsid w:val="3AF36F4A"/>
    <w:rsid w:val="3B00276C"/>
    <w:rsid w:val="3B324AF4"/>
    <w:rsid w:val="3B3763D1"/>
    <w:rsid w:val="3B4651E2"/>
    <w:rsid w:val="3BB616BA"/>
    <w:rsid w:val="3BD86D43"/>
    <w:rsid w:val="3BE27832"/>
    <w:rsid w:val="3BE42AB3"/>
    <w:rsid w:val="3C0B7946"/>
    <w:rsid w:val="3C154843"/>
    <w:rsid w:val="3C2F6E1E"/>
    <w:rsid w:val="3C4F64BA"/>
    <w:rsid w:val="3C6519FC"/>
    <w:rsid w:val="3C6E3D0C"/>
    <w:rsid w:val="3C7320EA"/>
    <w:rsid w:val="3C8423CF"/>
    <w:rsid w:val="3C99284C"/>
    <w:rsid w:val="3C9F04B0"/>
    <w:rsid w:val="3CCF6390"/>
    <w:rsid w:val="3CDA245A"/>
    <w:rsid w:val="3CDE47B3"/>
    <w:rsid w:val="3CE53400"/>
    <w:rsid w:val="3D104204"/>
    <w:rsid w:val="3D1E06B7"/>
    <w:rsid w:val="3DED52B0"/>
    <w:rsid w:val="3E605DE6"/>
    <w:rsid w:val="3E844EBC"/>
    <w:rsid w:val="3E9F7D5C"/>
    <w:rsid w:val="3EB46532"/>
    <w:rsid w:val="3EC67E85"/>
    <w:rsid w:val="3EDA0523"/>
    <w:rsid w:val="3EEF258B"/>
    <w:rsid w:val="3F143AEF"/>
    <w:rsid w:val="3F2915D0"/>
    <w:rsid w:val="3F3C1387"/>
    <w:rsid w:val="3F4F7DE1"/>
    <w:rsid w:val="3F5661F7"/>
    <w:rsid w:val="3F802438"/>
    <w:rsid w:val="400002F7"/>
    <w:rsid w:val="405D23A8"/>
    <w:rsid w:val="407A6407"/>
    <w:rsid w:val="40804BF6"/>
    <w:rsid w:val="416F778C"/>
    <w:rsid w:val="41792621"/>
    <w:rsid w:val="418947BC"/>
    <w:rsid w:val="419079EE"/>
    <w:rsid w:val="41A20650"/>
    <w:rsid w:val="41BA17DE"/>
    <w:rsid w:val="41EF4D3D"/>
    <w:rsid w:val="41F768C6"/>
    <w:rsid w:val="41F807F9"/>
    <w:rsid w:val="41F90D53"/>
    <w:rsid w:val="4200449D"/>
    <w:rsid w:val="4224639B"/>
    <w:rsid w:val="42250DB4"/>
    <w:rsid w:val="423A3BCC"/>
    <w:rsid w:val="42421D29"/>
    <w:rsid w:val="424E34E6"/>
    <w:rsid w:val="424E57D2"/>
    <w:rsid w:val="42B26C49"/>
    <w:rsid w:val="42B6457F"/>
    <w:rsid w:val="42D24007"/>
    <w:rsid w:val="42F00967"/>
    <w:rsid w:val="43061586"/>
    <w:rsid w:val="433A6FE6"/>
    <w:rsid w:val="433B43EE"/>
    <w:rsid w:val="43480868"/>
    <w:rsid w:val="43505BFE"/>
    <w:rsid w:val="4350713C"/>
    <w:rsid w:val="436653E0"/>
    <w:rsid w:val="436810CF"/>
    <w:rsid w:val="43713BB4"/>
    <w:rsid w:val="439F51C4"/>
    <w:rsid w:val="43AB20C9"/>
    <w:rsid w:val="43B40715"/>
    <w:rsid w:val="43BA0F94"/>
    <w:rsid w:val="43C4431A"/>
    <w:rsid w:val="442E7A4D"/>
    <w:rsid w:val="44B951CC"/>
    <w:rsid w:val="44CD14E0"/>
    <w:rsid w:val="44EA599F"/>
    <w:rsid w:val="44F20B0B"/>
    <w:rsid w:val="452311DD"/>
    <w:rsid w:val="45256BA9"/>
    <w:rsid w:val="45267D82"/>
    <w:rsid w:val="452E5F4C"/>
    <w:rsid w:val="45426432"/>
    <w:rsid w:val="455C6BD8"/>
    <w:rsid w:val="45612018"/>
    <w:rsid w:val="456209D3"/>
    <w:rsid w:val="45814FE8"/>
    <w:rsid w:val="458946E9"/>
    <w:rsid w:val="458E13D0"/>
    <w:rsid w:val="4599777C"/>
    <w:rsid w:val="45A47C0E"/>
    <w:rsid w:val="45BC150C"/>
    <w:rsid w:val="45D753D6"/>
    <w:rsid w:val="45D81DA4"/>
    <w:rsid w:val="45EB3A38"/>
    <w:rsid w:val="46131CBF"/>
    <w:rsid w:val="46577FD6"/>
    <w:rsid w:val="46921EA8"/>
    <w:rsid w:val="46D955A7"/>
    <w:rsid w:val="470559A2"/>
    <w:rsid w:val="47133957"/>
    <w:rsid w:val="47A07E0C"/>
    <w:rsid w:val="47B303B1"/>
    <w:rsid w:val="47D04269"/>
    <w:rsid w:val="480F42CC"/>
    <w:rsid w:val="48425B85"/>
    <w:rsid w:val="4870272E"/>
    <w:rsid w:val="487D7A79"/>
    <w:rsid w:val="49015AD4"/>
    <w:rsid w:val="497007B2"/>
    <w:rsid w:val="498D092E"/>
    <w:rsid w:val="4992494E"/>
    <w:rsid w:val="49DC7715"/>
    <w:rsid w:val="49E26FC9"/>
    <w:rsid w:val="49E50AE1"/>
    <w:rsid w:val="4A023139"/>
    <w:rsid w:val="4A0259C0"/>
    <w:rsid w:val="4A231E34"/>
    <w:rsid w:val="4A290DBA"/>
    <w:rsid w:val="4A3D4D8B"/>
    <w:rsid w:val="4A467405"/>
    <w:rsid w:val="4A7B576F"/>
    <w:rsid w:val="4A975FD8"/>
    <w:rsid w:val="4AA20F90"/>
    <w:rsid w:val="4AA76CA1"/>
    <w:rsid w:val="4AB50B69"/>
    <w:rsid w:val="4ACE3CF3"/>
    <w:rsid w:val="4AE73CA0"/>
    <w:rsid w:val="4AF561A9"/>
    <w:rsid w:val="4AF76896"/>
    <w:rsid w:val="4B143DD4"/>
    <w:rsid w:val="4B4B2196"/>
    <w:rsid w:val="4B64720E"/>
    <w:rsid w:val="4B655548"/>
    <w:rsid w:val="4BBB3D12"/>
    <w:rsid w:val="4C412E5E"/>
    <w:rsid w:val="4C4A0649"/>
    <w:rsid w:val="4C7E5ECA"/>
    <w:rsid w:val="4C876AA5"/>
    <w:rsid w:val="4CE10189"/>
    <w:rsid w:val="4D0E00FB"/>
    <w:rsid w:val="4D176606"/>
    <w:rsid w:val="4D222E7F"/>
    <w:rsid w:val="4D3A72E3"/>
    <w:rsid w:val="4D3B4C6C"/>
    <w:rsid w:val="4D4B5376"/>
    <w:rsid w:val="4D4C37E3"/>
    <w:rsid w:val="4D6E11C7"/>
    <w:rsid w:val="4D6F78A4"/>
    <w:rsid w:val="4DA20782"/>
    <w:rsid w:val="4DEC4FB0"/>
    <w:rsid w:val="4DFF7AE8"/>
    <w:rsid w:val="4E0053B4"/>
    <w:rsid w:val="4E075D8A"/>
    <w:rsid w:val="4E420049"/>
    <w:rsid w:val="4E500432"/>
    <w:rsid w:val="4E5321ED"/>
    <w:rsid w:val="4E785EBA"/>
    <w:rsid w:val="4E9448E8"/>
    <w:rsid w:val="4EBD6064"/>
    <w:rsid w:val="4EBF415F"/>
    <w:rsid w:val="4EC00FAD"/>
    <w:rsid w:val="4EC27765"/>
    <w:rsid w:val="4F15093D"/>
    <w:rsid w:val="4F4576EE"/>
    <w:rsid w:val="4F784DEC"/>
    <w:rsid w:val="4F9843DC"/>
    <w:rsid w:val="4FA35988"/>
    <w:rsid w:val="4FC62A8C"/>
    <w:rsid w:val="4FC640F1"/>
    <w:rsid w:val="4FE20F0D"/>
    <w:rsid w:val="4FE51552"/>
    <w:rsid w:val="50504C4B"/>
    <w:rsid w:val="507C3BFE"/>
    <w:rsid w:val="507E3758"/>
    <w:rsid w:val="509251CF"/>
    <w:rsid w:val="50941BD0"/>
    <w:rsid w:val="509A7D24"/>
    <w:rsid w:val="509C6E7C"/>
    <w:rsid w:val="50F079BF"/>
    <w:rsid w:val="50FD73BC"/>
    <w:rsid w:val="515C1DC6"/>
    <w:rsid w:val="5162104E"/>
    <w:rsid w:val="51824F60"/>
    <w:rsid w:val="51B30D13"/>
    <w:rsid w:val="51BD00A5"/>
    <w:rsid w:val="51C16A64"/>
    <w:rsid w:val="51C2799A"/>
    <w:rsid w:val="51E610E9"/>
    <w:rsid w:val="52113245"/>
    <w:rsid w:val="52355F6F"/>
    <w:rsid w:val="524C0A95"/>
    <w:rsid w:val="52577B92"/>
    <w:rsid w:val="52B26701"/>
    <w:rsid w:val="52FF586C"/>
    <w:rsid w:val="534665F2"/>
    <w:rsid w:val="534C60F3"/>
    <w:rsid w:val="535B1E41"/>
    <w:rsid w:val="53867518"/>
    <w:rsid w:val="53A039CC"/>
    <w:rsid w:val="53A1505A"/>
    <w:rsid w:val="53A969C5"/>
    <w:rsid w:val="54063E08"/>
    <w:rsid w:val="541325FF"/>
    <w:rsid w:val="543437E8"/>
    <w:rsid w:val="546C2B4F"/>
    <w:rsid w:val="549203BC"/>
    <w:rsid w:val="54D16722"/>
    <w:rsid w:val="54E20416"/>
    <w:rsid w:val="54F73313"/>
    <w:rsid w:val="54F80955"/>
    <w:rsid w:val="551D6334"/>
    <w:rsid w:val="555170A7"/>
    <w:rsid w:val="555D06E1"/>
    <w:rsid w:val="5587536D"/>
    <w:rsid w:val="55934B4F"/>
    <w:rsid w:val="559B174B"/>
    <w:rsid w:val="559B2602"/>
    <w:rsid w:val="559E7A7D"/>
    <w:rsid w:val="55AA74D1"/>
    <w:rsid w:val="55C22389"/>
    <w:rsid w:val="55CE0CF4"/>
    <w:rsid w:val="55E30807"/>
    <w:rsid w:val="562436D3"/>
    <w:rsid w:val="56582E56"/>
    <w:rsid w:val="5683686D"/>
    <w:rsid w:val="56B22A9C"/>
    <w:rsid w:val="56FE1789"/>
    <w:rsid w:val="572C0536"/>
    <w:rsid w:val="574C01D9"/>
    <w:rsid w:val="57976AB5"/>
    <w:rsid w:val="57B244DC"/>
    <w:rsid w:val="57B72A76"/>
    <w:rsid w:val="57C3426C"/>
    <w:rsid w:val="57CA3C9F"/>
    <w:rsid w:val="57CE1F93"/>
    <w:rsid w:val="5808378C"/>
    <w:rsid w:val="58297887"/>
    <w:rsid w:val="588743D1"/>
    <w:rsid w:val="5887701A"/>
    <w:rsid w:val="58984347"/>
    <w:rsid w:val="591B3341"/>
    <w:rsid w:val="5935641C"/>
    <w:rsid w:val="596127B1"/>
    <w:rsid w:val="596B5725"/>
    <w:rsid w:val="59810AE7"/>
    <w:rsid w:val="59BC343A"/>
    <w:rsid w:val="59C0439F"/>
    <w:rsid w:val="5A1C2EE4"/>
    <w:rsid w:val="5A240444"/>
    <w:rsid w:val="5A5C5DEB"/>
    <w:rsid w:val="5A6972D0"/>
    <w:rsid w:val="5A6A0543"/>
    <w:rsid w:val="5A6C1411"/>
    <w:rsid w:val="5A746520"/>
    <w:rsid w:val="5A7F7546"/>
    <w:rsid w:val="5AB246DC"/>
    <w:rsid w:val="5ABE2233"/>
    <w:rsid w:val="5AFB2552"/>
    <w:rsid w:val="5B7A08A2"/>
    <w:rsid w:val="5B8D030C"/>
    <w:rsid w:val="5BA22817"/>
    <w:rsid w:val="5BCD61CC"/>
    <w:rsid w:val="5BDF5D95"/>
    <w:rsid w:val="5BFE7528"/>
    <w:rsid w:val="5C135DA9"/>
    <w:rsid w:val="5D1B53BF"/>
    <w:rsid w:val="5D463CA6"/>
    <w:rsid w:val="5D475638"/>
    <w:rsid w:val="5D8C4654"/>
    <w:rsid w:val="5DC0510D"/>
    <w:rsid w:val="5DD900FF"/>
    <w:rsid w:val="5E2467F1"/>
    <w:rsid w:val="5E730D98"/>
    <w:rsid w:val="5EA86081"/>
    <w:rsid w:val="5F1A2B43"/>
    <w:rsid w:val="5F20219D"/>
    <w:rsid w:val="5F2C0833"/>
    <w:rsid w:val="5F8261BE"/>
    <w:rsid w:val="5F894349"/>
    <w:rsid w:val="5FB837BB"/>
    <w:rsid w:val="5FBB475E"/>
    <w:rsid w:val="601A26E0"/>
    <w:rsid w:val="603514E5"/>
    <w:rsid w:val="60CC405A"/>
    <w:rsid w:val="60DF60FA"/>
    <w:rsid w:val="6116655E"/>
    <w:rsid w:val="613555E3"/>
    <w:rsid w:val="613C3830"/>
    <w:rsid w:val="616A0F0E"/>
    <w:rsid w:val="61783224"/>
    <w:rsid w:val="61995EC4"/>
    <w:rsid w:val="61BA21D7"/>
    <w:rsid w:val="61E215D8"/>
    <w:rsid w:val="621B3775"/>
    <w:rsid w:val="622856C3"/>
    <w:rsid w:val="62311152"/>
    <w:rsid w:val="62364782"/>
    <w:rsid w:val="62366E71"/>
    <w:rsid w:val="62393E6D"/>
    <w:rsid w:val="62444AC8"/>
    <w:rsid w:val="627769D8"/>
    <w:rsid w:val="628B3CCF"/>
    <w:rsid w:val="62A40365"/>
    <w:rsid w:val="62AC6594"/>
    <w:rsid w:val="62D43E66"/>
    <w:rsid w:val="6394356A"/>
    <w:rsid w:val="63B63C65"/>
    <w:rsid w:val="63C61B2C"/>
    <w:rsid w:val="63D40BE9"/>
    <w:rsid w:val="64102431"/>
    <w:rsid w:val="64184643"/>
    <w:rsid w:val="64650466"/>
    <w:rsid w:val="64A5243A"/>
    <w:rsid w:val="64C0571D"/>
    <w:rsid w:val="64F531DE"/>
    <w:rsid w:val="65065A56"/>
    <w:rsid w:val="65373578"/>
    <w:rsid w:val="655819A2"/>
    <w:rsid w:val="6570674E"/>
    <w:rsid w:val="65742EFE"/>
    <w:rsid w:val="65B164CE"/>
    <w:rsid w:val="6632293D"/>
    <w:rsid w:val="6671634D"/>
    <w:rsid w:val="668C7117"/>
    <w:rsid w:val="66C0143D"/>
    <w:rsid w:val="671F124A"/>
    <w:rsid w:val="676A1199"/>
    <w:rsid w:val="677A33C6"/>
    <w:rsid w:val="67F10517"/>
    <w:rsid w:val="681F6961"/>
    <w:rsid w:val="684267DB"/>
    <w:rsid w:val="68451145"/>
    <w:rsid w:val="68453494"/>
    <w:rsid w:val="68610A2F"/>
    <w:rsid w:val="686D39B9"/>
    <w:rsid w:val="68805514"/>
    <w:rsid w:val="68B24EAD"/>
    <w:rsid w:val="68C77970"/>
    <w:rsid w:val="69316E2F"/>
    <w:rsid w:val="694E2071"/>
    <w:rsid w:val="6962528E"/>
    <w:rsid w:val="69766163"/>
    <w:rsid w:val="69785D8E"/>
    <w:rsid w:val="697A3B33"/>
    <w:rsid w:val="698A1009"/>
    <w:rsid w:val="69973E02"/>
    <w:rsid w:val="699C2751"/>
    <w:rsid w:val="69D44760"/>
    <w:rsid w:val="6A455711"/>
    <w:rsid w:val="6A485501"/>
    <w:rsid w:val="6A520EC7"/>
    <w:rsid w:val="6A695132"/>
    <w:rsid w:val="6AE00EF2"/>
    <w:rsid w:val="6AE5419F"/>
    <w:rsid w:val="6AF87E20"/>
    <w:rsid w:val="6B1F2F2D"/>
    <w:rsid w:val="6B322639"/>
    <w:rsid w:val="6B371636"/>
    <w:rsid w:val="6B524CA9"/>
    <w:rsid w:val="6B624E78"/>
    <w:rsid w:val="6B674346"/>
    <w:rsid w:val="6B8344B9"/>
    <w:rsid w:val="6BCC08B1"/>
    <w:rsid w:val="6C22436F"/>
    <w:rsid w:val="6C636C38"/>
    <w:rsid w:val="6C680861"/>
    <w:rsid w:val="6CA40F0E"/>
    <w:rsid w:val="6CF76F6D"/>
    <w:rsid w:val="6CFA03A8"/>
    <w:rsid w:val="6D02307E"/>
    <w:rsid w:val="6D416750"/>
    <w:rsid w:val="6D552055"/>
    <w:rsid w:val="6D6B2492"/>
    <w:rsid w:val="6D914310"/>
    <w:rsid w:val="6D94251A"/>
    <w:rsid w:val="6D9B3DB6"/>
    <w:rsid w:val="6DB34098"/>
    <w:rsid w:val="6DB545B6"/>
    <w:rsid w:val="6DB86EC0"/>
    <w:rsid w:val="6DD369BE"/>
    <w:rsid w:val="6DE02FB4"/>
    <w:rsid w:val="6E041AED"/>
    <w:rsid w:val="6E0C0FF3"/>
    <w:rsid w:val="6E514CED"/>
    <w:rsid w:val="6E903711"/>
    <w:rsid w:val="6EB563D5"/>
    <w:rsid w:val="6ECC2028"/>
    <w:rsid w:val="6ED00B7F"/>
    <w:rsid w:val="6ED92677"/>
    <w:rsid w:val="6EFB3EA2"/>
    <w:rsid w:val="6F225983"/>
    <w:rsid w:val="6F403311"/>
    <w:rsid w:val="6FD206D5"/>
    <w:rsid w:val="6FFC5590"/>
    <w:rsid w:val="6FFF08D5"/>
    <w:rsid w:val="70241EE0"/>
    <w:rsid w:val="706C5A4A"/>
    <w:rsid w:val="706D1DD0"/>
    <w:rsid w:val="70856B87"/>
    <w:rsid w:val="70A4725A"/>
    <w:rsid w:val="70C61FDA"/>
    <w:rsid w:val="70D527EE"/>
    <w:rsid w:val="71480785"/>
    <w:rsid w:val="714F351F"/>
    <w:rsid w:val="715965B9"/>
    <w:rsid w:val="715B5300"/>
    <w:rsid w:val="716508CA"/>
    <w:rsid w:val="71A15B2B"/>
    <w:rsid w:val="71C80B3D"/>
    <w:rsid w:val="71D27F8A"/>
    <w:rsid w:val="72553024"/>
    <w:rsid w:val="725F1E07"/>
    <w:rsid w:val="726D766E"/>
    <w:rsid w:val="7275426E"/>
    <w:rsid w:val="729033B1"/>
    <w:rsid w:val="73122968"/>
    <w:rsid w:val="731F5D5E"/>
    <w:rsid w:val="732D7ADF"/>
    <w:rsid w:val="735F2135"/>
    <w:rsid w:val="739331C0"/>
    <w:rsid w:val="739419B6"/>
    <w:rsid w:val="73C07232"/>
    <w:rsid w:val="73C51AD5"/>
    <w:rsid w:val="73CE5A0F"/>
    <w:rsid w:val="73DD0FD2"/>
    <w:rsid w:val="73EB070F"/>
    <w:rsid w:val="741E793C"/>
    <w:rsid w:val="745E3944"/>
    <w:rsid w:val="748E71F2"/>
    <w:rsid w:val="74F43D5D"/>
    <w:rsid w:val="750A5386"/>
    <w:rsid w:val="75175CF7"/>
    <w:rsid w:val="7565604B"/>
    <w:rsid w:val="756B13F7"/>
    <w:rsid w:val="75726F6A"/>
    <w:rsid w:val="75736D1E"/>
    <w:rsid w:val="757D3231"/>
    <w:rsid w:val="75BA4436"/>
    <w:rsid w:val="75F95084"/>
    <w:rsid w:val="7635099D"/>
    <w:rsid w:val="766765CC"/>
    <w:rsid w:val="768209EB"/>
    <w:rsid w:val="768A1523"/>
    <w:rsid w:val="76EC1595"/>
    <w:rsid w:val="773A5972"/>
    <w:rsid w:val="77755B14"/>
    <w:rsid w:val="77762421"/>
    <w:rsid w:val="778830D9"/>
    <w:rsid w:val="77B56B1F"/>
    <w:rsid w:val="77FD47E4"/>
    <w:rsid w:val="780F09F4"/>
    <w:rsid w:val="7831386B"/>
    <w:rsid w:val="7870575E"/>
    <w:rsid w:val="78A90480"/>
    <w:rsid w:val="78AE558D"/>
    <w:rsid w:val="78CE1618"/>
    <w:rsid w:val="78DB683F"/>
    <w:rsid w:val="78FF2392"/>
    <w:rsid w:val="79042A15"/>
    <w:rsid w:val="791902AD"/>
    <w:rsid w:val="79427922"/>
    <w:rsid w:val="79AE1B9D"/>
    <w:rsid w:val="79EB2ADA"/>
    <w:rsid w:val="7A3062C1"/>
    <w:rsid w:val="7A364017"/>
    <w:rsid w:val="7A450DB2"/>
    <w:rsid w:val="7A8265E1"/>
    <w:rsid w:val="7AE62BC5"/>
    <w:rsid w:val="7AFD4555"/>
    <w:rsid w:val="7B207CB9"/>
    <w:rsid w:val="7B5B495E"/>
    <w:rsid w:val="7B686D42"/>
    <w:rsid w:val="7B841746"/>
    <w:rsid w:val="7B97648D"/>
    <w:rsid w:val="7BCA0D44"/>
    <w:rsid w:val="7BE71219"/>
    <w:rsid w:val="7C22404B"/>
    <w:rsid w:val="7C2B1DCA"/>
    <w:rsid w:val="7C6978F0"/>
    <w:rsid w:val="7C6C5AC7"/>
    <w:rsid w:val="7CA829D4"/>
    <w:rsid w:val="7CBB4DB2"/>
    <w:rsid w:val="7CC6544B"/>
    <w:rsid w:val="7D0239FF"/>
    <w:rsid w:val="7D2E33A5"/>
    <w:rsid w:val="7D3340D0"/>
    <w:rsid w:val="7D5E40CD"/>
    <w:rsid w:val="7DB52327"/>
    <w:rsid w:val="7DC06189"/>
    <w:rsid w:val="7DCD56F2"/>
    <w:rsid w:val="7E14750E"/>
    <w:rsid w:val="7E204EC1"/>
    <w:rsid w:val="7E5C59D0"/>
    <w:rsid w:val="7E921135"/>
    <w:rsid w:val="7EA9606F"/>
    <w:rsid w:val="7ED628EE"/>
    <w:rsid w:val="7F001CE7"/>
    <w:rsid w:val="7F1B6BD3"/>
    <w:rsid w:val="7F2D7419"/>
    <w:rsid w:val="7F3167F1"/>
    <w:rsid w:val="7F4216D9"/>
    <w:rsid w:val="7F50165A"/>
    <w:rsid w:val="7F93675A"/>
    <w:rsid w:val="7F9B2B96"/>
    <w:rsid w:val="7FD64E79"/>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1"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iPriority="39" w:semiHidden="0" w:name="toc 1" w:locked="1"/>
    <w:lsdException w:uiPriority="0" w:name="toc 2" w:locked="1"/>
    <w:lsdException w:qFormat="1" w:uiPriority="39" w:semiHidden="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iPriority="0" w:semiHidden="0" w:name="Normal Indent" w:locked="1"/>
    <w:lsdException w:uiPriority="0"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semiHidden="0"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nhideWhenUsed="0" w:uiPriority="0" w:semiHidden="0" w:name="table of authorities" w:locked="1"/>
    <w:lsdException w:uiPriority="0" w:name="macro" w:locked="1"/>
    <w:lsdException w:uiPriority="0" w:name="toa heading" w:locked="1"/>
    <w:lsdException w:unhideWhenUsed="0" w:uiPriority="0" w:semiHidden="0" w:name="List" w:locked="1"/>
    <w:lsdException w:unhideWhenUsed="0" w:uiPriority="0" w:semiHidden="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qFormat="1" w:unhideWhenUsed="0" w:uiPriority="0" w:semiHidden="0" w:name="Subtitle" w:locked="1"/>
    <w:lsdException w:uiPriority="0" w:name="Salutation" w:locked="1"/>
    <w:lsdException w:qFormat="1" w:unhideWhenUsed="0" w:uiPriority="0" w:semiHidden="0" w:name="Date"/>
    <w:lsdException w:qFormat="1" w:unhideWhenUsed="0" w:uiPriority="0" w:semiHidden="0" w:name="Body Text First Indent" w:locked="1"/>
    <w:lsdException w:qFormat="1" w:uiPriority="99" w:semiHidden="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iPriority="99" w:semiHidden="0" w:name="Hyperlink" w:locked="1"/>
    <w:lsdException w:qFormat="1" w:unhideWhenUsed="0" w:uiPriority="99" w:semiHidden="0" w:name="FollowedHyperlink" w:locked="1"/>
    <w:lsdException w:qFormat="1" w:unhideWhenUsed="0" w:uiPriority="0" w:semiHidden="0" w:name="Strong" w:locked="1"/>
    <w:lsdException w:qFormat="1" w:unhideWhenUsed="0" w:uiPriority="0" w:semiHidden="0" w:name="Emphasis" w:locked="1"/>
    <w:lsdException w:uiPriority="0" w:name="Document Map" w:locked="1"/>
    <w:lsdException w:qFormat="1" w:unhideWhenUsed="0" w:uiPriority="0" w:semiHidden="0" w:name="Plain Text" w:locked="1"/>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39" w:semiHidden="0" w:name="Table Grid"/>
    <w:lsdException w:uiPriority="0" w:name="Table Theme" w:locked="1"/>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9"/>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2"/>
    <w:basedOn w:val="1"/>
    <w:next w:val="1"/>
    <w:link w:val="80"/>
    <w:qFormat/>
    <w:locked/>
    <w:uiPriority w:val="1"/>
    <w:pPr>
      <w:ind w:left="976"/>
      <w:outlineLvl w:val="1"/>
    </w:pPr>
    <w:rPr>
      <w:rFonts w:ascii="宋体" w:hAnsi="宋体"/>
      <w:b/>
      <w:bCs/>
      <w:szCs w:val="21"/>
    </w:rPr>
  </w:style>
  <w:style w:type="paragraph" w:styleId="7">
    <w:name w:val="heading 4"/>
    <w:basedOn w:val="1"/>
    <w:next w:val="1"/>
    <w:link w:val="81"/>
    <w:qFormat/>
    <w:locked/>
    <w:uiPriority w:val="9"/>
    <w:pPr>
      <w:keepNext/>
      <w:keepLines/>
      <w:spacing w:before="280" w:after="290" w:line="376" w:lineRule="auto"/>
      <w:outlineLvl w:val="3"/>
    </w:pPr>
    <w:rPr>
      <w:rFonts w:ascii="Cambria" w:hAnsi="Cambria"/>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3"/>
    <w:link w:val="71"/>
    <w:unhideWhenUsed/>
    <w:qFormat/>
    <w:locked/>
    <w:uiPriority w:val="0"/>
    <w:pPr>
      <w:spacing w:line="440" w:lineRule="exact"/>
      <w:ind w:firstLine="420"/>
    </w:pPr>
    <w:rPr>
      <w:rFonts w:ascii="宋体"/>
      <w:sz w:val="24"/>
      <w:szCs w:val="20"/>
    </w:rPr>
  </w:style>
  <w:style w:type="paragraph" w:customStyle="1" w:styleId="3">
    <w:name w:val="表头"/>
    <w:basedOn w:val="4"/>
    <w:next w:val="1"/>
    <w:qFormat/>
    <w:uiPriority w:val="0"/>
    <w:pPr>
      <w:jc w:val="center"/>
    </w:pPr>
    <w:rPr>
      <w:b/>
      <w:bCs/>
      <w:szCs w:val="21"/>
    </w:rPr>
  </w:style>
  <w:style w:type="paragraph" w:customStyle="1" w:styleId="4">
    <w:name w:val="T正文"/>
    <w:qFormat/>
    <w:uiPriority w:val="0"/>
    <w:pPr>
      <w:widowControl w:val="0"/>
      <w:adjustRightInd w:val="0"/>
      <w:snapToGrid w:val="0"/>
      <w:spacing w:line="360" w:lineRule="auto"/>
      <w:ind w:firstLine="200" w:firstLineChars="200"/>
      <w:jc w:val="both"/>
    </w:pPr>
    <w:rPr>
      <w:rFonts w:ascii="Times New Roman" w:hAnsi="Times New Roman" w:eastAsia="宋体" w:cs="Times New Roman"/>
      <w:sz w:val="24"/>
      <w:szCs w:val="24"/>
      <w:lang w:val="en-US" w:eastAsia="zh-CN" w:bidi="ar-SA"/>
    </w:rPr>
  </w:style>
  <w:style w:type="paragraph" w:styleId="8">
    <w:name w:val="annotation text"/>
    <w:basedOn w:val="1"/>
    <w:link w:val="31"/>
    <w:qFormat/>
    <w:uiPriority w:val="0"/>
    <w:pPr>
      <w:jc w:val="left"/>
    </w:pPr>
    <w:rPr>
      <w:kern w:val="0"/>
      <w:sz w:val="24"/>
      <w:szCs w:val="20"/>
    </w:rPr>
  </w:style>
  <w:style w:type="paragraph" w:styleId="9">
    <w:name w:val="Body Text"/>
    <w:basedOn w:val="1"/>
    <w:next w:val="1"/>
    <w:link w:val="30"/>
    <w:qFormat/>
    <w:uiPriority w:val="99"/>
    <w:pPr>
      <w:widowControl/>
      <w:snapToGrid w:val="0"/>
      <w:spacing w:before="60" w:after="160" w:line="259" w:lineRule="auto"/>
      <w:ind w:right="113"/>
    </w:pPr>
    <w:rPr>
      <w:kern w:val="0"/>
      <w:sz w:val="18"/>
      <w:szCs w:val="20"/>
    </w:rPr>
  </w:style>
  <w:style w:type="paragraph" w:styleId="10">
    <w:name w:val="Body Text Indent"/>
    <w:basedOn w:val="1"/>
    <w:link w:val="32"/>
    <w:qFormat/>
    <w:uiPriority w:val="0"/>
    <w:pPr>
      <w:spacing w:after="120"/>
      <w:ind w:left="420" w:leftChars="200"/>
    </w:pPr>
    <w:rPr>
      <w:kern w:val="0"/>
      <w:sz w:val="24"/>
      <w:szCs w:val="20"/>
    </w:rPr>
  </w:style>
  <w:style w:type="paragraph" w:styleId="11">
    <w:name w:val="toc 3"/>
    <w:basedOn w:val="1"/>
    <w:next w:val="1"/>
    <w:unhideWhenUsed/>
    <w:qFormat/>
    <w:locked/>
    <w:uiPriority w:val="39"/>
    <w:pPr>
      <w:ind w:left="840" w:leftChars="400"/>
    </w:pPr>
  </w:style>
  <w:style w:type="paragraph" w:styleId="12">
    <w:name w:val="Plain Text"/>
    <w:basedOn w:val="1"/>
    <w:link w:val="82"/>
    <w:qFormat/>
    <w:locked/>
    <w:uiPriority w:val="0"/>
    <w:rPr>
      <w:rFonts w:ascii="宋体" w:hAnsi="Courier New"/>
      <w:lang w:val="zh-CN"/>
    </w:rPr>
  </w:style>
  <w:style w:type="paragraph" w:styleId="13">
    <w:name w:val="Date"/>
    <w:basedOn w:val="1"/>
    <w:next w:val="1"/>
    <w:link w:val="33"/>
    <w:qFormat/>
    <w:uiPriority w:val="0"/>
    <w:pPr>
      <w:ind w:left="100" w:leftChars="2500"/>
    </w:pPr>
    <w:rPr>
      <w:kern w:val="0"/>
      <w:sz w:val="24"/>
      <w:szCs w:val="20"/>
    </w:rPr>
  </w:style>
  <w:style w:type="paragraph" w:styleId="14">
    <w:name w:val="Balloon Text"/>
    <w:basedOn w:val="1"/>
    <w:link w:val="34"/>
    <w:semiHidden/>
    <w:qFormat/>
    <w:uiPriority w:val="0"/>
    <w:rPr>
      <w:kern w:val="0"/>
      <w:sz w:val="18"/>
      <w:szCs w:val="20"/>
    </w:rPr>
  </w:style>
  <w:style w:type="paragraph" w:styleId="15">
    <w:name w:val="footer"/>
    <w:basedOn w:val="1"/>
    <w:link w:val="35"/>
    <w:qFormat/>
    <w:uiPriority w:val="99"/>
    <w:pPr>
      <w:tabs>
        <w:tab w:val="center" w:pos="4153"/>
        <w:tab w:val="right" w:pos="8306"/>
      </w:tabs>
      <w:snapToGrid w:val="0"/>
      <w:jc w:val="left"/>
    </w:pPr>
    <w:rPr>
      <w:kern w:val="0"/>
      <w:sz w:val="18"/>
      <w:szCs w:val="20"/>
    </w:rPr>
  </w:style>
  <w:style w:type="paragraph" w:styleId="16">
    <w:name w:val="header"/>
    <w:basedOn w:val="1"/>
    <w:next w:val="1"/>
    <w:link w:val="36"/>
    <w:qFormat/>
    <w:uiPriority w:val="99"/>
    <w:pPr>
      <w:pBdr>
        <w:bottom w:val="single" w:color="auto" w:sz="6" w:space="1"/>
      </w:pBdr>
      <w:tabs>
        <w:tab w:val="center" w:pos="4153"/>
        <w:tab w:val="right" w:pos="8306"/>
      </w:tabs>
      <w:snapToGrid w:val="0"/>
      <w:jc w:val="center"/>
    </w:pPr>
    <w:rPr>
      <w:kern w:val="0"/>
      <w:sz w:val="18"/>
      <w:szCs w:val="20"/>
    </w:rPr>
  </w:style>
  <w:style w:type="paragraph" w:styleId="17">
    <w:name w:val="toc 1"/>
    <w:basedOn w:val="1"/>
    <w:next w:val="1"/>
    <w:unhideWhenUsed/>
    <w:qFormat/>
    <w:locked/>
    <w:uiPriority w:val="39"/>
  </w:style>
  <w:style w:type="paragraph" w:styleId="18">
    <w:name w:val="Normal (Web)"/>
    <w:basedOn w:val="1"/>
    <w:link w:val="37"/>
    <w:qFormat/>
    <w:uiPriority w:val="99"/>
    <w:pPr>
      <w:widowControl/>
      <w:spacing w:before="100" w:beforeAutospacing="1" w:after="100" w:afterAutospacing="1"/>
      <w:jc w:val="left"/>
    </w:pPr>
    <w:rPr>
      <w:rFonts w:ascii="宋体" w:hAnsi="宋体"/>
      <w:kern w:val="0"/>
      <w:sz w:val="24"/>
      <w:szCs w:val="20"/>
    </w:rPr>
  </w:style>
  <w:style w:type="paragraph" w:styleId="19">
    <w:name w:val="annotation subject"/>
    <w:basedOn w:val="8"/>
    <w:next w:val="8"/>
    <w:link w:val="38"/>
    <w:semiHidden/>
    <w:qFormat/>
    <w:uiPriority w:val="0"/>
    <w:rPr>
      <w:b/>
      <w:kern w:val="2"/>
    </w:rPr>
  </w:style>
  <w:style w:type="paragraph" w:styleId="20">
    <w:name w:val="Body Text First Indent"/>
    <w:basedOn w:val="9"/>
    <w:next w:val="1"/>
    <w:link w:val="83"/>
    <w:qFormat/>
    <w:locked/>
    <w:uiPriority w:val="0"/>
    <w:pPr>
      <w:spacing w:after="120"/>
      <w:ind w:firstLine="420" w:firstLineChars="100"/>
    </w:pPr>
    <w:rPr>
      <w:sz w:val="21"/>
    </w:rPr>
  </w:style>
  <w:style w:type="paragraph" w:styleId="21">
    <w:name w:val="Body Text First Indent 2"/>
    <w:basedOn w:val="10"/>
    <w:next w:val="1"/>
    <w:link w:val="84"/>
    <w:unhideWhenUsed/>
    <w:qFormat/>
    <w:locked/>
    <w:uiPriority w:val="99"/>
    <w:pPr>
      <w:ind w:firstLine="420" w:firstLineChars="200"/>
    </w:pPr>
    <w:rPr>
      <w:rFonts w:eastAsia="仿宋" w:cs="宋体"/>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page number"/>
    <w:basedOn w:val="24"/>
    <w:qFormat/>
    <w:locked/>
    <w:uiPriority w:val="0"/>
  </w:style>
  <w:style w:type="character" w:styleId="26">
    <w:name w:val="FollowedHyperlink"/>
    <w:qFormat/>
    <w:locked/>
    <w:uiPriority w:val="99"/>
    <w:rPr>
      <w:color w:val="0000FF"/>
      <w:u w:val="single"/>
    </w:rPr>
  </w:style>
  <w:style w:type="character" w:styleId="27">
    <w:name w:val="Hyperlink"/>
    <w:unhideWhenUsed/>
    <w:qFormat/>
    <w:locked/>
    <w:uiPriority w:val="99"/>
    <w:rPr>
      <w:color w:val="0000FF"/>
      <w:u w:val="single"/>
    </w:rPr>
  </w:style>
  <w:style w:type="character" w:styleId="28">
    <w:name w:val="annotation reference"/>
    <w:qFormat/>
    <w:uiPriority w:val="0"/>
    <w:rPr>
      <w:sz w:val="21"/>
    </w:rPr>
  </w:style>
  <w:style w:type="paragraph" w:customStyle="1" w:styleId="29">
    <w:name w:val="lf正文"/>
    <w:basedOn w:val="1"/>
    <w:qFormat/>
    <w:uiPriority w:val="0"/>
    <w:pPr>
      <w:adjustRightInd w:val="0"/>
      <w:snapToGrid w:val="0"/>
      <w:spacing w:line="360" w:lineRule="auto"/>
      <w:ind w:firstLine="489" w:firstLineChars="200"/>
    </w:pPr>
    <w:rPr>
      <w:color w:val="000000" w:themeColor="text1"/>
      <w:sz w:val="24"/>
      <w14:textFill>
        <w14:solidFill>
          <w14:schemeClr w14:val="tx1"/>
        </w14:solidFill>
      </w14:textFill>
    </w:rPr>
  </w:style>
  <w:style w:type="character" w:customStyle="1" w:styleId="30">
    <w:name w:val="正文文本 字符"/>
    <w:link w:val="9"/>
    <w:qFormat/>
    <w:locked/>
    <w:uiPriority w:val="99"/>
    <w:rPr>
      <w:sz w:val="18"/>
    </w:rPr>
  </w:style>
  <w:style w:type="character" w:customStyle="1" w:styleId="31">
    <w:name w:val="批注文字 字符"/>
    <w:link w:val="8"/>
    <w:qFormat/>
    <w:locked/>
    <w:uiPriority w:val="0"/>
    <w:rPr>
      <w:rFonts w:ascii="Times New Roman" w:hAnsi="Times New Roman" w:eastAsia="宋体"/>
      <w:sz w:val="24"/>
    </w:rPr>
  </w:style>
  <w:style w:type="character" w:customStyle="1" w:styleId="32">
    <w:name w:val="正文文本缩进 字符"/>
    <w:link w:val="10"/>
    <w:qFormat/>
    <w:locked/>
    <w:uiPriority w:val="0"/>
    <w:rPr>
      <w:rFonts w:ascii="Times New Roman" w:hAnsi="Times New Roman" w:eastAsia="宋体"/>
      <w:sz w:val="24"/>
    </w:rPr>
  </w:style>
  <w:style w:type="character" w:customStyle="1" w:styleId="33">
    <w:name w:val="日期 字符1"/>
    <w:link w:val="13"/>
    <w:qFormat/>
    <w:locked/>
    <w:uiPriority w:val="0"/>
    <w:rPr>
      <w:rFonts w:ascii="Times New Roman" w:hAnsi="Times New Roman" w:eastAsia="宋体"/>
      <w:sz w:val="24"/>
    </w:rPr>
  </w:style>
  <w:style w:type="character" w:customStyle="1" w:styleId="34">
    <w:name w:val="批注框文本 字符"/>
    <w:link w:val="14"/>
    <w:semiHidden/>
    <w:qFormat/>
    <w:locked/>
    <w:uiPriority w:val="0"/>
    <w:rPr>
      <w:rFonts w:ascii="Times New Roman" w:hAnsi="Times New Roman" w:eastAsia="宋体"/>
      <w:sz w:val="18"/>
    </w:rPr>
  </w:style>
  <w:style w:type="character" w:customStyle="1" w:styleId="35">
    <w:name w:val="页脚 字符1"/>
    <w:link w:val="15"/>
    <w:qFormat/>
    <w:locked/>
    <w:uiPriority w:val="99"/>
    <w:rPr>
      <w:sz w:val="18"/>
    </w:rPr>
  </w:style>
  <w:style w:type="character" w:customStyle="1" w:styleId="36">
    <w:name w:val="页眉 字符"/>
    <w:link w:val="16"/>
    <w:qFormat/>
    <w:locked/>
    <w:uiPriority w:val="0"/>
    <w:rPr>
      <w:sz w:val="18"/>
    </w:rPr>
  </w:style>
  <w:style w:type="character" w:customStyle="1" w:styleId="37">
    <w:name w:val="普通(网站) 字符"/>
    <w:link w:val="18"/>
    <w:qFormat/>
    <w:locked/>
    <w:uiPriority w:val="0"/>
    <w:rPr>
      <w:rFonts w:ascii="宋体" w:hAnsi="宋体" w:eastAsia="宋体"/>
      <w:sz w:val="24"/>
    </w:rPr>
  </w:style>
  <w:style w:type="character" w:customStyle="1" w:styleId="38">
    <w:name w:val="批注主题 字符"/>
    <w:link w:val="19"/>
    <w:semiHidden/>
    <w:qFormat/>
    <w:locked/>
    <w:uiPriority w:val="0"/>
    <w:rPr>
      <w:rFonts w:ascii="Times New Roman" w:hAnsi="Times New Roman" w:eastAsia="宋体"/>
      <w:b/>
      <w:kern w:val="2"/>
      <w:sz w:val="24"/>
    </w:rPr>
  </w:style>
  <w:style w:type="paragraph" w:customStyle="1" w:styleId="39">
    <w:name w:val="正文首行缩进2"/>
    <w:basedOn w:val="9"/>
    <w:qFormat/>
    <w:uiPriority w:val="99"/>
    <w:pPr>
      <w:spacing w:line="500" w:lineRule="atLeast"/>
      <w:ind w:firstLine="560"/>
    </w:pPr>
  </w:style>
  <w:style w:type="character" w:customStyle="1" w:styleId="40">
    <w:name w:val="页脚 字符"/>
    <w:basedOn w:val="24"/>
    <w:qFormat/>
    <w:uiPriority w:val="99"/>
  </w:style>
  <w:style w:type="character" w:customStyle="1" w:styleId="41">
    <w:name w:val="日期 字符"/>
    <w:semiHidden/>
    <w:qFormat/>
    <w:uiPriority w:val="0"/>
    <w:rPr>
      <w:rFonts w:ascii="Times New Roman" w:hAnsi="Times New Roman" w:eastAsia="宋体"/>
      <w:sz w:val="24"/>
    </w:rPr>
  </w:style>
  <w:style w:type="character" w:customStyle="1" w:styleId="42">
    <w:name w:val="正文文本 字符1"/>
    <w:semiHidden/>
    <w:qFormat/>
    <w:uiPriority w:val="0"/>
    <w:rPr>
      <w:rFonts w:ascii="Times New Roman" w:hAnsi="Times New Roman" w:eastAsia="宋体"/>
      <w:sz w:val="24"/>
    </w:rPr>
  </w:style>
  <w:style w:type="character" w:customStyle="1" w:styleId="43">
    <w:name w:val="表格 Char"/>
    <w:link w:val="44"/>
    <w:qFormat/>
    <w:locked/>
    <w:uiPriority w:val="0"/>
    <w:rPr>
      <w:rFonts w:ascii="宋体"/>
      <w:sz w:val="21"/>
    </w:rPr>
  </w:style>
  <w:style w:type="paragraph" w:customStyle="1" w:styleId="44">
    <w:name w:val="表格"/>
    <w:basedOn w:val="1"/>
    <w:next w:val="1"/>
    <w:link w:val="43"/>
    <w:qFormat/>
    <w:uiPriority w:val="0"/>
    <w:pPr>
      <w:adjustRightInd w:val="0"/>
      <w:snapToGrid w:val="0"/>
      <w:spacing w:beforeLines="10" w:afterLines="10" w:line="259" w:lineRule="auto"/>
      <w:jc w:val="center"/>
    </w:pPr>
    <w:rPr>
      <w:rFonts w:ascii="宋体"/>
      <w:kern w:val="0"/>
      <w:szCs w:val="20"/>
    </w:rPr>
  </w:style>
  <w:style w:type="character" w:customStyle="1" w:styleId="45">
    <w:name w:val="批注文字 字符1"/>
    <w:semiHidden/>
    <w:qFormat/>
    <w:uiPriority w:val="0"/>
    <w:rPr>
      <w:rFonts w:ascii="Times New Roman" w:hAnsi="Times New Roman" w:eastAsia="宋体"/>
      <w:sz w:val="24"/>
    </w:rPr>
  </w:style>
  <w:style w:type="paragraph" w:customStyle="1" w:styleId="46">
    <w:name w:val="正文+首行缩进"/>
    <w:basedOn w:val="1"/>
    <w:qFormat/>
    <w:uiPriority w:val="0"/>
    <w:pPr>
      <w:ind w:firstLine="480" w:firstLineChars="200"/>
      <w:jc w:val="left"/>
    </w:pPr>
    <w:rPr>
      <w:rFonts w:cs="宋体"/>
    </w:rPr>
  </w:style>
  <w:style w:type="paragraph" w:customStyle="1" w:styleId="47">
    <w:name w:val="标题四"/>
    <w:basedOn w:val="7"/>
    <w:qFormat/>
    <w:uiPriority w:val="0"/>
    <w:pPr>
      <w:keepLines w:val="0"/>
      <w:spacing w:beforeLines="50" w:afterLines="50" w:line="240" w:lineRule="auto"/>
    </w:pPr>
    <w:rPr>
      <w:rFonts w:ascii="黑体" w:hAnsi="Courier New" w:cs="Courier New"/>
      <w:b w:val="0"/>
      <w:kern w:val="44"/>
      <w:sz w:val="24"/>
      <w:szCs w:val="21"/>
    </w:rPr>
  </w:style>
  <w:style w:type="paragraph" w:customStyle="1" w:styleId="48">
    <w:name w:val="报告正文"/>
    <w:basedOn w:val="49"/>
    <w:qFormat/>
    <w:uiPriority w:val="0"/>
    <w:pPr>
      <w:adjustRightInd w:val="0"/>
      <w:snapToGrid w:val="0"/>
      <w:spacing w:beforeLines="50" w:afterLines="50"/>
    </w:pPr>
    <w:rPr>
      <w:spacing w:val="4"/>
      <w:sz w:val="24"/>
    </w:rPr>
  </w:style>
  <w:style w:type="paragraph" w:customStyle="1" w:styleId="49">
    <w:name w:val="环评正文"/>
    <w:basedOn w:val="1"/>
    <w:next w:val="1"/>
    <w:qFormat/>
    <w:uiPriority w:val="99"/>
    <w:pPr>
      <w:ind w:firstLine="472"/>
    </w:pPr>
    <w:rPr>
      <w:rFonts w:ascii="仿宋_GB2312" w:hAnsi="Calibri" w:eastAsia="仿宋_GB2312"/>
      <w:color w:val="000000"/>
      <w:spacing w:val="-2"/>
      <w:kern w:val="0"/>
      <w:position w:val="-3"/>
    </w:rPr>
  </w:style>
  <w:style w:type="paragraph" w:customStyle="1" w:styleId="50">
    <w:name w:val="文本正文"/>
    <w:basedOn w:val="1"/>
    <w:qFormat/>
    <w:uiPriority w:val="0"/>
    <w:pPr>
      <w:ind w:firstLine="536"/>
    </w:pPr>
    <w:rPr>
      <w:rFonts w:cs="宋体"/>
      <w:bCs/>
    </w:rPr>
  </w:style>
  <w:style w:type="paragraph" w:customStyle="1" w:styleId="51">
    <w:name w:val="正常段落"/>
    <w:basedOn w:val="2"/>
    <w:link w:val="70"/>
    <w:qFormat/>
    <w:uiPriority w:val="0"/>
  </w:style>
  <w:style w:type="paragraph" w:customStyle="1" w:styleId="52">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3">
    <w:name w:val="样式 标题 1 + 四号 段前: 0 磅 段后: 0 磅 行距: 1.5 倍行距"/>
    <w:basedOn w:val="54"/>
    <w:next w:val="50"/>
    <w:qFormat/>
    <w:uiPriority w:val="0"/>
    <w:pPr>
      <w:adjustRightInd w:val="0"/>
      <w:snapToGrid w:val="0"/>
    </w:pPr>
    <w:rPr>
      <w:rFonts w:eastAsia="宋体"/>
      <w:sz w:val="28"/>
      <w:szCs w:val="20"/>
    </w:rPr>
  </w:style>
  <w:style w:type="paragraph" w:customStyle="1" w:styleId="54">
    <w:name w:val="1正文"/>
    <w:basedOn w:val="1"/>
    <w:qFormat/>
    <w:uiPriority w:val="0"/>
    <w:pPr>
      <w:spacing w:line="500" w:lineRule="exact"/>
      <w:ind w:firstLine="588" w:firstLineChars="196"/>
    </w:pPr>
    <w:rPr>
      <w:rFonts w:eastAsia="楷体_GB2312"/>
      <w:sz w:val="30"/>
      <w:szCs w:val="30"/>
    </w:rPr>
  </w:style>
  <w:style w:type="paragraph" w:customStyle="1" w:styleId="55">
    <w:name w:val="Char"/>
    <w:basedOn w:val="1"/>
    <w:qFormat/>
    <w:uiPriority w:val="0"/>
  </w:style>
  <w:style w:type="paragraph" w:customStyle="1" w:styleId="56">
    <w:name w:val="论文正文"/>
    <w:basedOn w:val="2"/>
    <w:qFormat/>
    <w:uiPriority w:val="0"/>
    <w:pPr>
      <w:ind w:firstLine="480" w:firstLineChars="200"/>
    </w:pPr>
    <w:rPr>
      <w:rFonts w:hAnsi="宋体"/>
      <w:sz w:val="28"/>
      <w:szCs w:val="24"/>
    </w:rPr>
  </w:style>
  <w:style w:type="paragraph" w:customStyle="1" w:styleId="57">
    <w:name w:val="表格文字"/>
    <w:basedOn w:val="1"/>
    <w:qFormat/>
    <w:uiPriority w:val="0"/>
    <w:pPr>
      <w:adjustRightInd w:val="0"/>
      <w:snapToGrid w:val="0"/>
      <w:spacing w:before="60" w:after="60"/>
      <w:jc w:val="center"/>
    </w:pPr>
    <w:rPr>
      <w:rFonts w:ascii="Calibri" w:hAnsi="Calibri"/>
      <w:snapToGrid w:val="0"/>
      <w:kern w:val="21"/>
      <w:sz w:val="28"/>
      <w:szCs w:val="22"/>
    </w:rPr>
  </w:style>
  <w:style w:type="paragraph" w:customStyle="1" w:styleId="58">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Table Paragraph"/>
    <w:basedOn w:val="1"/>
    <w:qFormat/>
    <w:uiPriority w:val="99"/>
    <w:pPr>
      <w:widowControl/>
      <w:jc w:val="left"/>
    </w:pPr>
    <w:rPr>
      <w:rFonts w:ascii="Calibri" w:hAnsi="Calibri" w:cs="宋体"/>
      <w:kern w:val="0"/>
      <w:sz w:val="22"/>
      <w:szCs w:val="22"/>
    </w:r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Default"/>
    <w:qFormat/>
    <w:uiPriority w:val="99"/>
    <w:pPr>
      <w:widowControl w:val="0"/>
      <w:autoSpaceDE w:val="0"/>
      <w:autoSpaceDN w:val="0"/>
      <w:adjustRightInd w:val="0"/>
    </w:pPr>
    <w:rPr>
      <w:rFonts w:ascii="黑体" w:hAnsi="Times New Roman" w:eastAsia="黑体" w:cs="Times New Roman"/>
      <w:lang w:val="en-US" w:eastAsia="zh-CN" w:bidi="ar-SA"/>
    </w:rPr>
  </w:style>
  <w:style w:type="paragraph" w:customStyle="1" w:styleId="62">
    <w:name w:val="S正文段落"/>
    <w:basedOn w:val="1"/>
    <w:qFormat/>
    <w:uiPriority w:val="0"/>
    <w:pPr>
      <w:spacing w:line="360" w:lineRule="auto"/>
      <w:ind w:firstLine="200" w:firstLineChars="200"/>
    </w:pPr>
    <w:rPr>
      <w:snapToGrid w:val="0"/>
      <w:kern w:val="0"/>
      <w:sz w:val="24"/>
    </w:rPr>
  </w:style>
  <w:style w:type="paragraph" w:customStyle="1" w:styleId="63">
    <w:name w:val="内容"/>
    <w:basedOn w:val="1"/>
    <w:qFormat/>
    <w:uiPriority w:val="0"/>
    <w:pPr>
      <w:tabs>
        <w:tab w:val="left" w:pos="4404"/>
      </w:tabs>
      <w:spacing w:line="480" w:lineRule="exact"/>
      <w:ind w:firstLine="520" w:firstLineChars="200"/>
    </w:pPr>
    <w:rPr>
      <w:rFonts w:hAnsi="宋体"/>
      <w:kern w:val="0"/>
      <w:sz w:val="26"/>
      <w:szCs w:val="26"/>
    </w:rPr>
  </w:style>
  <w:style w:type="character" w:customStyle="1" w:styleId="64">
    <w:name w:val="NormalCharacter"/>
    <w:qFormat/>
    <w:uiPriority w:val="0"/>
  </w:style>
  <w:style w:type="paragraph" w:customStyle="1" w:styleId="65">
    <w:name w:val="表内"/>
    <w:basedOn w:val="1"/>
    <w:qFormat/>
    <w:uiPriority w:val="0"/>
    <w:pPr>
      <w:jc w:val="center"/>
    </w:pPr>
  </w:style>
  <w:style w:type="paragraph" w:customStyle="1" w:styleId="66">
    <w:name w:val="表体"/>
    <w:basedOn w:val="1"/>
    <w:link w:val="67"/>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bCs/>
      <w:color w:val="000000"/>
      <w:kern w:val="32"/>
      <w:lang w:val="zh-CN"/>
    </w:rPr>
  </w:style>
  <w:style w:type="character" w:customStyle="1" w:styleId="67">
    <w:name w:val="表体 Char Char"/>
    <w:link w:val="66"/>
    <w:qFormat/>
    <w:locked/>
    <w:uiPriority w:val="0"/>
    <w:rPr>
      <w:bCs/>
      <w:color w:val="000000"/>
      <w:kern w:val="32"/>
      <w:sz w:val="21"/>
      <w:szCs w:val="24"/>
      <w:lang w:val="zh-CN"/>
    </w:rPr>
  </w:style>
  <w:style w:type="paragraph" w:customStyle="1" w:styleId="68">
    <w:name w:val="赵"/>
    <w:basedOn w:val="1"/>
    <w:link w:val="69"/>
    <w:qFormat/>
    <w:uiPriority w:val="0"/>
    <w:pPr>
      <w:spacing w:line="360" w:lineRule="auto"/>
      <w:ind w:firstLine="200" w:firstLineChars="200"/>
    </w:pPr>
    <w:rPr>
      <w:szCs w:val="30"/>
    </w:rPr>
  </w:style>
  <w:style w:type="character" w:customStyle="1" w:styleId="69">
    <w:name w:val="赵 Char"/>
    <w:link w:val="68"/>
    <w:qFormat/>
    <w:uiPriority w:val="0"/>
    <w:rPr>
      <w:kern w:val="2"/>
      <w:sz w:val="21"/>
      <w:szCs w:val="30"/>
    </w:rPr>
  </w:style>
  <w:style w:type="character" w:customStyle="1" w:styleId="70">
    <w:name w:val="正常段落 Char Char"/>
    <w:link w:val="51"/>
    <w:qFormat/>
    <w:uiPriority w:val="0"/>
    <w:rPr>
      <w:rFonts w:ascii="宋体"/>
      <w:kern w:val="2"/>
      <w:sz w:val="24"/>
    </w:rPr>
  </w:style>
  <w:style w:type="character" w:customStyle="1" w:styleId="71">
    <w:name w:val="正文缩进 字符"/>
    <w:link w:val="2"/>
    <w:qFormat/>
    <w:locked/>
    <w:uiPriority w:val="0"/>
    <w:rPr>
      <w:rFonts w:ascii="宋体"/>
      <w:kern w:val="2"/>
      <w:sz w:val="24"/>
    </w:rPr>
  </w:style>
  <w:style w:type="character" w:customStyle="1" w:styleId="72">
    <w:name w:val="正文缩进 Char2"/>
    <w:qFormat/>
    <w:uiPriority w:val="0"/>
    <w:rPr>
      <w:rFonts w:ascii="宋体"/>
      <w:kern w:val="2"/>
      <w:sz w:val="24"/>
    </w:rPr>
  </w:style>
  <w:style w:type="paragraph" w:customStyle="1" w:styleId="73">
    <w:name w:val="表头-经开区实验室"/>
    <w:basedOn w:val="1"/>
    <w:qFormat/>
    <w:uiPriority w:val="0"/>
    <w:pPr>
      <w:adjustRightInd w:val="0"/>
      <w:snapToGrid w:val="0"/>
      <w:jc w:val="center"/>
    </w:pPr>
    <w:rPr>
      <w:b/>
    </w:rPr>
  </w:style>
  <w:style w:type="table" w:customStyle="1" w:styleId="74">
    <w:name w:val="Table Normal"/>
    <w:semiHidden/>
    <w:unhideWhenUsed/>
    <w:qFormat/>
    <w:uiPriority w:val="0"/>
    <w:tblPr>
      <w:tblLayout w:type="fixed"/>
      <w:tblCellMar>
        <w:top w:w="0" w:type="dxa"/>
        <w:left w:w="0" w:type="dxa"/>
        <w:bottom w:w="0" w:type="dxa"/>
        <w:right w:w="0" w:type="dxa"/>
      </w:tblCellMar>
    </w:tblPr>
  </w:style>
  <w:style w:type="paragraph" w:customStyle="1" w:styleId="75">
    <w:name w:val="111正文"/>
    <w:basedOn w:val="1"/>
    <w:qFormat/>
    <w:uiPriority w:val="0"/>
    <w:pPr>
      <w:tabs>
        <w:tab w:val="left" w:pos="600"/>
      </w:tabs>
    </w:pPr>
    <w:rPr>
      <w:rFonts w:ascii="Calibri" w:hAnsi="Calibri"/>
      <w:szCs w:val="22"/>
      <w:lang w:val="zh-CN"/>
    </w:rPr>
  </w:style>
  <w:style w:type="paragraph" w:customStyle="1" w:styleId="76">
    <w:name w:val="正文首行缩进 21"/>
    <w:basedOn w:val="10"/>
    <w:next w:val="1"/>
    <w:semiHidden/>
    <w:qFormat/>
    <w:uiPriority w:val="0"/>
    <w:pPr>
      <w:spacing w:before="100" w:beforeAutospacing="1"/>
      <w:ind w:firstLine="420" w:firstLineChars="200"/>
    </w:pPr>
    <w:rPr>
      <w:rFonts w:eastAsia="仿宋" w:cs="宋体"/>
      <w:szCs w:val="24"/>
    </w:rPr>
  </w:style>
  <w:style w:type="paragraph" w:customStyle="1" w:styleId="7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78">
    <w:name w:val="font81"/>
    <w:basedOn w:val="24"/>
    <w:qFormat/>
    <w:uiPriority w:val="0"/>
    <w:rPr>
      <w:rFonts w:hint="eastAsia" w:ascii="宋体" w:hAnsi="宋体" w:eastAsia="宋体"/>
      <w:color w:val="000000"/>
      <w:sz w:val="21"/>
      <w:szCs w:val="21"/>
      <w:u w:val="none"/>
    </w:rPr>
  </w:style>
  <w:style w:type="character" w:customStyle="1" w:styleId="79">
    <w:name w:val="标题 1 字符"/>
    <w:basedOn w:val="24"/>
    <w:link w:val="5"/>
    <w:qFormat/>
    <w:uiPriority w:val="99"/>
    <w:rPr>
      <w:rFonts w:eastAsia="黑体"/>
      <w:b/>
      <w:bCs/>
      <w:color w:val="000000"/>
      <w:kern w:val="44"/>
      <w:sz w:val="30"/>
      <w:szCs w:val="30"/>
    </w:rPr>
  </w:style>
  <w:style w:type="character" w:customStyle="1" w:styleId="80">
    <w:name w:val="标题 2 字符"/>
    <w:basedOn w:val="24"/>
    <w:link w:val="6"/>
    <w:qFormat/>
    <w:uiPriority w:val="1"/>
    <w:rPr>
      <w:rFonts w:ascii="宋体" w:hAnsi="宋体"/>
      <w:b/>
      <w:bCs/>
      <w:kern w:val="2"/>
      <w:sz w:val="21"/>
      <w:szCs w:val="21"/>
    </w:rPr>
  </w:style>
  <w:style w:type="character" w:customStyle="1" w:styleId="81">
    <w:name w:val="标题 4 字符"/>
    <w:basedOn w:val="24"/>
    <w:link w:val="7"/>
    <w:qFormat/>
    <w:uiPriority w:val="9"/>
    <w:rPr>
      <w:rFonts w:ascii="Cambria" w:hAnsi="Cambria"/>
      <w:b/>
      <w:bCs/>
      <w:kern w:val="2"/>
      <w:sz w:val="28"/>
      <w:szCs w:val="28"/>
    </w:rPr>
  </w:style>
  <w:style w:type="character" w:customStyle="1" w:styleId="82">
    <w:name w:val="纯文本 字符"/>
    <w:basedOn w:val="24"/>
    <w:link w:val="12"/>
    <w:qFormat/>
    <w:uiPriority w:val="0"/>
    <w:rPr>
      <w:rFonts w:ascii="宋体" w:hAnsi="Courier New"/>
      <w:kern w:val="2"/>
      <w:sz w:val="21"/>
      <w:szCs w:val="24"/>
      <w:lang w:val="zh-CN"/>
    </w:rPr>
  </w:style>
  <w:style w:type="character" w:customStyle="1" w:styleId="83">
    <w:name w:val="正文文本首行缩进 字符"/>
    <w:basedOn w:val="30"/>
    <w:link w:val="20"/>
    <w:qFormat/>
    <w:uiPriority w:val="0"/>
    <w:rPr>
      <w:sz w:val="21"/>
    </w:rPr>
  </w:style>
  <w:style w:type="character" w:customStyle="1" w:styleId="84">
    <w:name w:val="正文文本首行缩进 2 字符"/>
    <w:basedOn w:val="32"/>
    <w:link w:val="21"/>
    <w:qFormat/>
    <w:uiPriority w:val="99"/>
    <w:rPr>
      <w:rFonts w:ascii="Times New Roman" w:hAnsi="Times New Roman" w:eastAsia="仿宋" w:cs="宋体"/>
      <w:sz w:val="24"/>
    </w:rPr>
  </w:style>
  <w:style w:type="character" w:customStyle="1" w:styleId="85">
    <w:name w:val="1正文段落 Char Char"/>
    <w:link w:val="86"/>
    <w:qFormat/>
    <w:locked/>
    <w:uiPriority w:val="0"/>
    <w:rPr>
      <w:sz w:val="24"/>
      <w:szCs w:val="24"/>
    </w:rPr>
  </w:style>
  <w:style w:type="paragraph" w:customStyle="1" w:styleId="86">
    <w:name w:val="1正文段落"/>
    <w:basedOn w:val="1"/>
    <w:link w:val="85"/>
    <w:qFormat/>
    <w:uiPriority w:val="0"/>
    <w:pPr>
      <w:spacing w:line="360" w:lineRule="auto"/>
      <w:ind w:firstLine="480" w:firstLineChars="200"/>
    </w:pPr>
    <w:rPr>
      <w:kern w:val="0"/>
      <w:sz w:val="24"/>
    </w:rPr>
  </w:style>
  <w:style w:type="character" w:styleId="87">
    <w:name w:val="Placeholder Text"/>
    <w:basedOn w:val="24"/>
    <w:unhideWhenUsed/>
    <w:qFormat/>
    <w:uiPriority w:val="99"/>
    <w:rPr>
      <w:color w:val="808080"/>
    </w:rPr>
  </w:style>
  <w:style w:type="character" w:customStyle="1" w:styleId="88">
    <w:name w:val="font21"/>
    <w:basedOn w:val="24"/>
    <w:qFormat/>
    <w:uiPriority w:val="0"/>
    <w:rPr>
      <w:rFonts w:hint="eastAsia" w:ascii="宋体" w:hAnsi="宋体" w:eastAsia="宋体"/>
      <w:color w:val="0000FF"/>
      <w:sz w:val="21"/>
      <w:szCs w:val="21"/>
      <w:u w:val="none"/>
    </w:rPr>
  </w:style>
  <w:style w:type="character" w:customStyle="1" w:styleId="89">
    <w:name w:val="font11"/>
    <w:basedOn w:val="24"/>
    <w:qFormat/>
    <w:uiPriority w:val="0"/>
    <w:rPr>
      <w:rFonts w:hint="default" w:ascii="Times New Roman" w:hAnsi="Times New Roman" w:cs="Times New Roman"/>
      <w:color w:val="0000FF"/>
      <w:sz w:val="21"/>
      <w:szCs w:val="21"/>
      <w:u w:val="none"/>
    </w:rPr>
  </w:style>
  <w:style w:type="paragraph" w:styleId="90">
    <w:name w:val="List Paragraph"/>
    <w:basedOn w:val="1"/>
    <w:qFormat/>
    <w:uiPriority w:val="99"/>
    <w:pPr>
      <w:ind w:firstLine="420" w:firstLineChars="200"/>
    </w:pPr>
  </w:style>
  <w:style w:type="character" w:customStyle="1" w:styleId="91">
    <w:name w:val="font31"/>
    <w:basedOn w:val="24"/>
    <w:qFormat/>
    <w:uiPriority w:val="0"/>
    <w:rPr>
      <w:rFonts w:hint="eastAsia" w:ascii="宋体" w:hAnsi="宋体" w:eastAsia="宋体"/>
      <w:color w:val="000000"/>
      <w:sz w:val="21"/>
      <w:szCs w:val="21"/>
      <w:u w:val="none"/>
    </w:rPr>
  </w:style>
  <w:style w:type="character" w:customStyle="1" w:styleId="92">
    <w:name w:val="font51"/>
    <w:basedOn w:val="24"/>
    <w:qFormat/>
    <w:uiPriority w:val="0"/>
    <w:rPr>
      <w:rFonts w:hint="default" w:ascii="Times New Roman" w:hAnsi="Times New Roman" w:cs="Times New Roman"/>
      <w:b/>
      <w:bCs/>
      <w:color w:val="000000"/>
      <w:sz w:val="21"/>
      <w:szCs w:val="21"/>
      <w:u w:val="none"/>
    </w:rPr>
  </w:style>
  <w:style w:type="character" w:customStyle="1" w:styleId="93">
    <w:name w:val="font13"/>
    <w:basedOn w:val="24"/>
    <w:qFormat/>
    <w:uiPriority w:val="0"/>
    <w:rPr>
      <w:rFonts w:hint="eastAsia" w:ascii="宋体" w:hAnsi="宋体" w:eastAsia="宋体"/>
      <w:b/>
      <w:bCs/>
      <w:color w:val="000000"/>
      <w:sz w:val="21"/>
      <w:szCs w:val="21"/>
      <w:u w:val="none"/>
    </w:rPr>
  </w:style>
  <w:style w:type="character" w:customStyle="1" w:styleId="94">
    <w:name w:val="font101"/>
    <w:basedOn w:val="24"/>
    <w:qFormat/>
    <w:uiPriority w:val="0"/>
    <w:rPr>
      <w:rFonts w:hint="default" w:ascii="Times New Roman" w:hAnsi="Times New Roman" w:cs="Times New Roman"/>
      <w:b/>
      <w:bCs/>
      <w:color w:val="000000"/>
      <w:sz w:val="21"/>
      <w:szCs w:val="21"/>
      <w:u w:val="none"/>
      <w:vertAlign w:val="superscript"/>
    </w:rPr>
  </w:style>
  <w:style w:type="character" w:customStyle="1" w:styleId="95">
    <w:name w:val="font111"/>
    <w:basedOn w:val="24"/>
    <w:qFormat/>
    <w:uiPriority w:val="0"/>
    <w:rPr>
      <w:rFonts w:hint="default" w:ascii="Times New Roman" w:hAnsi="Times New Roman" w:cs="Times New Roman"/>
      <w:color w:val="000000"/>
      <w:sz w:val="21"/>
      <w:szCs w:val="21"/>
      <w:u w:val="none"/>
      <w:vertAlign w:val="subscript"/>
    </w:rPr>
  </w:style>
  <w:style w:type="character" w:customStyle="1" w:styleId="96">
    <w:name w:val="font91"/>
    <w:basedOn w:val="24"/>
    <w:qFormat/>
    <w:uiPriority w:val="0"/>
    <w:rPr>
      <w:rFonts w:hint="default" w:ascii="Times New Roman" w:hAnsi="Times New Roman" w:cs="Times New Roman"/>
      <w:color w:val="000000"/>
      <w:sz w:val="21"/>
      <w:szCs w:val="21"/>
      <w:u w:val="none"/>
    </w:rPr>
  </w:style>
  <w:style w:type="character" w:customStyle="1" w:styleId="97">
    <w:name w:val="font41"/>
    <w:basedOn w:val="24"/>
    <w:qFormat/>
    <w:uiPriority w:val="0"/>
    <w:rPr>
      <w:rFonts w:hint="eastAsia" w:ascii="宋体" w:hAnsi="宋体" w:eastAsia="宋体"/>
      <w:color w:val="000000"/>
      <w:sz w:val="21"/>
      <w:szCs w:val="21"/>
      <w:u w:val="none"/>
    </w:rPr>
  </w:style>
  <w:style w:type="character" w:customStyle="1" w:styleId="98">
    <w:name w:val="font121"/>
    <w:basedOn w:val="24"/>
    <w:qFormat/>
    <w:uiPriority w:val="0"/>
    <w:rPr>
      <w:rFonts w:hint="default" w:ascii="Times New Roman" w:hAnsi="Times New Roman" w:cs="Times New Roman"/>
      <w:color w:val="000000"/>
      <w:sz w:val="21"/>
      <w:szCs w:val="21"/>
      <w:u w:val="none"/>
      <w:vertAlign w:val="superscript"/>
    </w:rPr>
  </w:style>
  <w:style w:type="character" w:customStyle="1" w:styleId="99">
    <w:name w:val="font71"/>
    <w:basedOn w:val="24"/>
    <w:qFormat/>
    <w:uiPriority w:val="0"/>
    <w:rPr>
      <w:rFonts w:hint="default" w:ascii="Times New Roman" w:hAnsi="Times New Roman" w:cs="Times New Roman"/>
      <w:color w:val="000000"/>
      <w:sz w:val="21"/>
      <w:szCs w:val="21"/>
      <w:u w:val="none"/>
      <w:vertAlign w:val="superscript"/>
    </w:rPr>
  </w:style>
  <w:style w:type="paragraph" w:customStyle="1" w:styleId="100">
    <w:name w:val="TOC 标题1"/>
    <w:basedOn w:val="5"/>
    <w:next w:val="1"/>
    <w:unhideWhenUsed/>
    <w:qFormat/>
    <w:uiPriority w:val="39"/>
    <w:pPr>
      <w:keepLines/>
      <w:widowControl/>
      <w:overflowPunct/>
      <w:snapToGrid/>
      <w:spacing w:before="240" w:after="0"/>
      <w:ind w:left="0" w:firstLine="0"/>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emf"/><Relationship Id="rId11" Type="http://schemas.openxmlformats.org/officeDocument/2006/relationships/package" Target="embeddings/Microsoft_Visio___3.vsdx"/><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48DF12-A4F7-4044-A5CA-27FBA164182E}">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10</Pages>
  <Words>5062</Words>
  <Characters>28854</Characters>
  <Lines>240</Lines>
  <Paragraphs>67</Paragraphs>
  <TotalTime>406</TotalTime>
  <ScaleCrop>false</ScaleCrop>
  <LinksUpToDate>false</LinksUpToDate>
  <CharactersWithSpaces>33849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2022-12-21T03:04:00Z</dcterms:created>
  <dc:creator>lhj</dc:creator>
  <cp:lastModifiedBy>Administrator</cp:lastModifiedBy>
  <cp:lastPrinted>2021-04-07T04:00:00Z</cp:lastPrinted>
  <dcterms:modified xsi:type="dcterms:W3CDTF">2023-01-28T05:41:40Z</dcterms:modified>
  <dc:title>附件2</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C2FD5DAFF6A24F1A8540AEECE9AEC298</vt:lpwstr>
  </property>
</Properties>
</file>