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23〕3</w:t>
      </w:r>
      <w:bookmarkStart w:id="0" w:name="_GoBack"/>
      <w:bookmarkEnd w:id="0"/>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b/>
          <w:spacing w:val="20"/>
          <w:sz w:val="44"/>
        </w:rPr>
        <w:t>关于对《</w:t>
      </w:r>
      <w:r>
        <w:rPr>
          <w:rFonts w:hint="eastAsia"/>
          <w:b/>
          <w:spacing w:val="20"/>
          <w:sz w:val="44"/>
          <w:lang w:val="en-US" w:eastAsia="zh-CN"/>
        </w:rPr>
        <w:t>年产2000吨聚乙烯农用塑料薄膜项目环境影响报告表</w:t>
      </w:r>
      <w:r>
        <w:rPr>
          <w:rFonts w:hint="eastAsia"/>
          <w:b/>
          <w:sz w:val="44"/>
        </w:rPr>
        <w:t>》的批复</w:t>
      </w:r>
    </w:p>
    <w:p>
      <w:pPr>
        <w:spacing w:line="560" w:lineRule="exact"/>
        <w:textAlignment w:val="baseline"/>
        <w:rPr>
          <w:rFonts w:hint="eastAsia" w:ascii="Times New Roman" w:hAnsi="Times New Roman" w:eastAsia="华文仿宋" w:cs="Times New Roman"/>
          <w:sz w:val="32"/>
          <w:szCs w:val="22"/>
        </w:rPr>
      </w:pP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云南星旺塑料制品有限公司</w:t>
      </w:r>
      <w:r>
        <w:rPr>
          <w:rFonts w:hint="eastAsia" w:eastAsia="华文仿宋" w:cs="Times New Roman"/>
          <w:sz w:val="32"/>
          <w:szCs w:val="22"/>
          <w:lang w:val="en-US"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6"/>
        <w:jc w:val="both"/>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你单位委托云南绿蓝环境科技有限公司编制的《年产2000吨聚乙烯农用塑料薄膜项目环境影响报告表》(以下简称《报告表》)收悉。根据《中华人民共和国环境影响评价法》第二十二条、《建设项目环境保护管理条例》第九条，经研究，批复如下：</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一、项目位于云南省昆明市晋宁工业园区二街基地，租用昆明市晋宁区工业园二街基地晋宁宏尚隆机械制造有限公司建筑面积3000m</w:t>
      </w:r>
      <w:r>
        <w:rPr>
          <w:rFonts w:hint="eastAsia" w:ascii="Times New Roman" w:hAnsi="Times New Roman" w:eastAsia="华文仿宋" w:cs="Times New Roman"/>
          <w:sz w:val="32"/>
          <w:szCs w:val="22"/>
          <w:vertAlign w:val="superscript"/>
          <w:lang w:val="en-US" w:eastAsia="zh-CN"/>
        </w:rPr>
        <w:t>2</w:t>
      </w:r>
      <w:r>
        <w:rPr>
          <w:rFonts w:hint="eastAsia" w:ascii="Times New Roman" w:hAnsi="Times New Roman" w:eastAsia="华文仿宋" w:cs="Times New Roman"/>
          <w:sz w:val="32"/>
          <w:szCs w:val="22"/>
          <w:lang w:val="en-US" w:eastAsia="zh-CN"/>
        </w:rPr>
        <w:t>的厂房，建设年产2000吨聚乙烯农用塑料薄膜生产线。项目总投资1000万元，其中环保投资35万元。</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根据《报告表》所述工程内容、规模、功能以及环保对策措施，同意《报告表》结论。</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eastAsia="华文仿宋" w:cs="Times New Roman"/>
          <w:sz w:val="32"/>
          <w:szCs w:val="22"/>
          <w:lang w:val="en-US" w:eastAsia="zh-CN"/>
        </w:rPr>
        <w:t>二、</w:t>
      </w:r>
      <w:r>
        <w:rPr>
          <w:rFonts w:hint="eastAsia" w:ascii="Times New Roman" w:hAnsi="Times New Roman" w:eastAsia="华文仿宋" w:cs="Times New Roman"/>
          <w:sz w:val="32"/>
          <w:szCs w:val="22"/>
          <w:lang w:val="en-US" w:eastAsia="zh-CN"/>
        </w:rPr>
        <w:t>项目应建立完善的“雨污分流”排水系统，并与区域排水系统相协调。</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项目运营期产生的废水主要为生活污水。项目产生的其他生活污水排入晋宁宏尚隆机械制造有限公司公共化粪池处理，经化粪池处理后排入园区污水管网，最终排入二街污水处理厂处理。</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项目废水污染物总量控制目标：生活污水排放量：237.6m</w:t>
      </w:r>
      <w:r>
        <w:rPr>
          <w:rFonts w:hint="eastAsia" w:ascii="Times New Roman" w:hAnsi="Times New Roman" w:eastAsia="华文仿宋" w:cs="Times New Roman"/>
          <w:sz w:val="32"/>
          <w:szCs w:val="22"/>
          <w:vertAlign w:val="superscript"/>
          <w:lang w:val="en-US" w:eastAsia="zh-CN"/>
        </w:rPr>
        <w:t>3</w:t>
      </w:r>
      <w:r>
        <w:rPr>
          <w:rFonts w:hint="eastAsia" w:ascii="Times New Roman" w:hAnsi="Times New Roman" w:eastAsia="华文仿宋" w:cs="Times New Roman"/>
          <w:sz w:val="32"/>
          <w:szCs w:val="22"/>
          <w:lang w:val="en-US" w:eastAsia="zh-CN"/>
        </w:rPr>
        <w:t>/a；CODcr：0.08t/a；氨氮：0.01t/a；本项目不单独设置废水排放总量控制建议。</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三、运营期废气主要包括：熔融、吹塑工段产生的生产废气主要为挥发性有机物（以非甲烷总烃计）。</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项目产生废气的车间应合理布局，加强通风。熔融、吹塑工段工段产生的废气（非甲烷总烃）通过活性炭吸附装置处理后通过1根15米高排气筒（DA001）排放。</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项目排放的非甲烷总烃执行《合成树脂工业污染物排放标准》表4标准限值，</w:t>
      </w:r>
      <w:r>
        <w:rPr>
          <w:rFonts w:hint="eastAsia" w:eastAsia="华文仿宋" w:cs="Times New Roman"/>
          <w:sz w:val="32"/>
          <w:szCs w:val="22"/>
          <w:lang w:val="en-US" w:eastAsia="zh-CN"/>
        </w:rPr>
        <w:t>即:</w:t>
      </w:r>
      <w:r>
        <w:rPr>
          <w:rFonts w:hint="eastAsia" w:ascii="Times New Roman" w:hAnsi="Times New Roman" w:eastAsia="华文仿宋" w:cs="Times New Roman"/>
          <w:sz w:val="32"/>
          <w:szCs w:val="22"/>
          <w:lang w:val="en-US" w:eastAsia="zh-CN"/>
        </w:rPr>
        <w:t>非甲烷总烃≤60mg/m³（有组织）。</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6"/>
        <w:jc w:val="both"/>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厂界无组织排放的非甲烷总烃执行《合成树脂工业污染物排放标准》表9标准限值，</w:t>
      </w:r>
      <w:r>
        <w:rPr>
          <w:rFonts w:hint="eastAsia" w:eastAsia="华文仿宋" w:cs="Times New Roman"/>
          <w:sz w:val="32"/>
          <w:szCs w:val="22"/>
          <w:lang w:val="en-US" w:eastAsia="zh-CN"/>
        </w:rPr>
        <w:t>即:</w:t>
      </w:r>
      <w:r>
        <w:rPr>
          <w:rFonts w:hint="eastAsia" w:ascii="Times New Roman" w:hAnsi="Times New Roman" w:eastAsia="华文仿宋" w:cs="Times New Roman"/>
          <w:sz w:val="32"/>
          <w:szCs w:val="22"/>
          <w:lang w:val="en-US" w:eastAsia="zh-CN"/>
        </w:rPr>
        <w:t>非甲烷总烃排放浓度≦4.0mg/m³（无组织）。</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厂区内非甲烷总烃无组织排放浓度满足《挥发性有机物无组织排放控制标准》（GB37822-2019）无组织排放限值，即监控点处1h平均浓度≦10mg/m³、监控点处任意一次浓度≦30mg/m³。</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项目废气污染物总量控制指标：项目有组织废气量约为9600万m</w:t>
      </w:r>
      <w:r>
        <w:rPr>
          <w:rFonts w:hint="eastAsia" w:ascii="Times New Roman" w:hAnsi="Times New Roman" w:eastAsia="华文仿宋" w:cs="Times New Roman"/>
          <w:sz w:val="32"/>
          <w:szCs w:val="22"/>
          <w:vertAlign w:val="superscript"/>
          <w:lang w:val="en-US" w:eastAsia="zh-CN"/>
        </w:rPr>
        <w:t>3</w:t>
      </w:r>
      <w:r>
        <w:rPr>
          <w:rFonts w:hint="eastAsia" w:ascii="Times New Roman" w:hAnsi="Times New Roman" w:eastAsia="华文仿宋" w:cs="Times New Roman"/>
          <w:sz w:val="32"/>
          <w:szCs w:val="22"/>
          <w:lang w:val="en-US" w:eastAsia="zh-CN"/>
        </w:rPr>
        <w:t>/a</w:t>
      </w:r>
      <w:r>
        <w:rPr>
          <w:rFonts w:hint="eastAsia"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非甲烷总烃：1.75t/a。</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严格控制施工时产生的扬尘和施工机械排放的燃油烟气，施工现场、临时堆场、运输车辆应采取有效的防治扬尘措施，排放的废气应符合GB16297- 1996《大气污染物综合排放标准》(表2) 二级标准，即：颗粒物排放浓度≤1.0mg/m³</w:t>
      </w:r>
      <w:r>
        <w:rPr>
          <w:rFonts w:hint="eastAsia"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无组织</w:t>
      </w:r>
      <w:r>
        <w:rPr>
          <w:rFonts w:hint="eastAsia"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，减少对环境敏感点的扬尘污染。</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四、项目产生噪声的场所和设施应合理布局，做隔声降噪处理，项目厂界噪声值达GB12348-2008《工业企业厂界环境噪声排放标准》3类区标准，即：昼间≤65dB，夜间≤55dB。</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施工过程中严格控制各类施工机械产生的噪声，施工场界噪声应符合GB12523-2011《建筑施工场界环境噪声排放标准》表1标准，即：昼间≤70dB，夜间≤55 dB。禁止夜间（22:00至次日6:00）进行产生环境噪声污染的建筑施工作业。</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五、项目固体废物应分类收集，项目生活垃圾分类收集，由环卫清运；原料包装袋、不合格产品及边角料收集后外售；生产过程中产生的废机油、废活性炭等危险废物于危废暂存间暂存后委托有资质单位处置，执行《危险废物贮存污染控制标准》（GB18597-2001）。</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六、禁止使用含磷洗涤用品及一次性不可降解塑料餐饮具。</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七、建立完善的环境风险管理制度及风险防范应急措施，防止环境污染事故发生。</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八、 根据《中华人民共和国环境噪声污染防治法》 第二十九条有关规定，施工单位工程开工必须提前十五日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九、《报告表》应当作为项目环境保护设计、建设及运行管理的依据, 项目应认真落实各项环保对策措施, 环保设施应与主体工程同时设计，同时施工，同时投入使用。</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严格遵守《建设项目环境保护条例》、严格遵守《建设项目环境保护条例》，建设项目竣工后，建设单位应当按照国务院生态主管部门规定的标准和程序，对配套的环境保护设施进行验收，经验收合格后方可投入生产或者使用。</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十、项目的性质、规模、地点、采用的生产工艺或者防治污染、防止生态破坏的措施发生变动的，应当重新向我局报批建设项目的环境影响评价文件。</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自本批复之日起超过五年项目方开建设的，环境影响评价文件应当报我局重新审核。</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十一、依法到国土、规划、住建、水务、发改经贸等部门办理其他相关手续。</w:t>
      </w:r>
    </w:p>
    <w:p>
      <w:pPr>
        <w:pStyle w:val="3"/>
        <w:keepNext w:val="0"/>
        <w:keepLines w:val="0"/>
        <w:pageBreakBefore w:val="0"/>
        <w:kinsoku/>
        <w:wordWrap/>
        <w:overflowPunct/>
        <w:topLinePunct w:val="0"/>
        <w:autoSpaceDE/>
        <w:autoSpaceDN/>
        <w:bidi w:val="0"/>
        <w:adjustRightInd/>
        <w:snapToGrid/>
        <w:spacing w:line="560" w:lineRule="exact"/>
        <w:textAlignment w:val="bottom"/>
        <w:rPr>
          <w:rFonts w:hint="eastAsia" w:eastAsia="华文仿宋"/>
          <w:sz w:val="32"/>
          <w:lang w:val="en-US" w:eastAsia="zh-CN"/>
        </w:rPr>
      </w:pPr>
    </w:p>
    <w:p>
      <w:pPr>
        <w:pStyle w:val="3"/>
        <w:ind w:left="0" w:leftChars="0" w:firstLine="0" w:firstLineChars="0"/>
        <w:jc w:val="both"/>
        <w:rPr>
          <w:rFonts w:hint="eastAsia" w:eastAsia="华文仿宋"/>
          <w:sz w:val="32"/>
          <w:lang w:val="en-US" w:eastAsia="zh-CN"/>
        </w:rPr>
      </w:pPr>
    </w:p>
    <w:p>
      <w:pPr>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2"/>
        <w:rPr>
          <w:rFonts w:hint="eastAsia" w:eastAsia="华文仿宋"/>
          <w:sz w:val="32"/>
          <w:lang w:val="en-US" w:eastAsia="zh-CN"/>
        </w:rPr>
      </w:pPr>
    </w:p>
    <w:p>
      <w:pPr>
        <w:pStyle w:val="3"/>
        <w:ind w:left="0" w:leftChars="0" w:firstLine="0" w:firstLineChars="0"/>
        <w:jc w:val="both"/>
        <w:rPr>
          <w:rFonts w:hint="eastAsia"/>
          <w:lang w:val="en-US" w:eastAsia="zh-CN"/>
        </w:rPr>
      </w:pPr>
    </w:p>
    <w:p>
      <w:pPr>
        <w:spacing w:line="560" w:lineRule="exact"/>
        <w:ind w:firstLine="3520" w:firstLineChars="1100"/>
        <w:textAlignment w:val="baseline"/>
        <w:rPr>
          <w:rFonts w:eastAsia="华文仿宋"/>
          <w:sz w:val="32"/>
        </w:rPr>
      </w:pP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rPr>
          <w:rFonts w:eastAsia="仿宋_GB2312"/>
          <w:color w:val="000000"/>
          <w:sz w:val="32"/>
        </w:rPr>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3</w:t>
      </w:r>
      <w:r>
        <w:rPr>
          <w:rFonts w:eastAsia="华文仿宋"/>
          <w:color w:val="000000"/>
          <w:sz w:val="32"/>
        </w:rPr>
        <w:t>年</w:t>
      </w:r>
      <w:r>
        <w:rPr>
          <w:rFonts w:hint="eastAsia" w:eastAsia="华文仿宋"/>
          <w:color w:val="000000"/>
          <w:sz w:val="32"/>
          <w:lang w:val="en-US" w:eastAsia="zh-CN"/>
        </w:rPr>
        <w:t>1</w:t>
      </w:r>
      <w:r>
        <w:rPr>
          <w:rFonts w:eastAsia="华文仿宋"/>
          <w:color w:val="000000"/>
          <w:sz w:val="32"/>
        </w:rPr>
        <w:t>月</w:t>
      </w:r>
      <w:r>
        <w:rPr>
          <w:rFonts w:hint="eastAsia" w:eastAsia="华文仿宋"/>
          <w:color w:val="000000"/>
          <w:sz w:val="32"/>
          <w:lang w:val="en-US" w:eastAsia="zh-CN"/>
        </w:rPr>
        <w:t>10</w:t>
      </w:r>
      <w:r>
        <w:rPr>
          <w:rFonts w:eastAsia="华文仿宋"/>
          <w:color w:val="000000"/>
          <w:sz w:val="32"/>
        </w:rPr>
        <w:t>日</w:t>
      </w:r>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二街镇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center"/>
        <w:textAlignment w:val="baseline"/>
        <w:outlineLvl w:val="9"/>
        <w:rPr>
          <w:rFonts w:hint="eastAsia"/>
          <w:b/>
          <w:sz w:val="44"/>
          <w:szCs w:val="22"/>
        </w:rPr>
      </w:pP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eastAsia" w:eastAsia="华文仿宋"/>
          <w:color w:val="000000"/>
          <w:sz w:val="32"/>
          <w:lang w:val="en-US" w:eastAsia="zh-CN"/>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eastAsia="华文仿宋" w:cs="Times New Roman"/>
          <w:color w:val="000000"/>
          <w:sz w:val="32"/>
          <w:lang w:val="en-US" w:eastAsia="zh-CN"/>
        </w:rPr>
        <w:t>3</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1</w:t>
      </w:r>
      <w:r>
        <w:rPr>
          <w:rFonts w:hint="default" w:ascii="Times New Roman" w:hAnsi="Times New Roman" w:eastAsia="华文仿宋" w:cs="Times New Roman"/>
          <w:color w:val="000000"/>
          <w:sz w:val="32"/>
        </w:rPr>
        <w:t>月</w:t>
      </w:r>
      <w:r>
        <w:rPr>
          <w:rFonts w:hint="eastAsia" w:eastAsia="华文仿宋" w:cs="Times New Roman"/>
          <w:color w:val="000000"/>
          <w:sz w:val="32"/>
          <w:lang w:val="en-US" w:eastAsia="zh-CN"/>
        </w:rPr>
        <w:t>10</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0" w:firstLineChars="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23</w:t>
      </w:r>
      <w:r>
        <w:rPr>
          <w:rFonts w:eastAsia="仿宋_GB2312"/>
          <w:sz w:val="32"/>
        </w:rPr>
        <w:t>年</w:t>
      </w:r>
      <w:r>
        <w:rPr>
          <w:rFonts w:hint="eastAsia" w:eastAsia="仿宋_GB2312"/>
          <w:sz w:val="32"/>
          <w:lang w:val="en-US" w:eastAsia="zh-CN"/>
        </w:rPr>
        <w:t>1</w:t>
      </w:r>
      <w:r>
        <w:rPr>
          <w:rFonts w:eastAsia="仿宋_GB2312"/>
          <w:sz w:val="32"/>
        </w:rPr>
        <w:t>月</w:t>
      </w:r>
      <w:r>
        <w:rPr>
          <w:rFonts w:hint="eastAsia" w:eastAsia="仿宋_GB2312"/>
          <w:sz w:val="32"/>
          <w:lang w:val="en-US" w:eastAsia="zh-CN"/>
        </w:rPr>
        <w:t>10</w:t>
      </w:r>
      <w:r>
        <w:rPr>
          <w:rFonts w:eastAsia="仿宋_GB2312"/>
          <w:sz w:val="32"/>
        </w:rPr>
        <w:t>日</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704" w:type="dxa"/>
            <w:noWrap w:val="0"/>
            <w:vAlign w:val="center"/>
          </w:tcPr>
          <w:p>
            <w:pPr>
              <w:spacing w:line="300" w:lineRule="exact"/>
              <w:jc w:val="center"/>
              <w:rPr>
                <w:b/>
                <w:sz w:val="24"/>
              </w:rPr>
            </w:pPr>
            <w:r>
              <w:rPr>
                <w:b/>
                <w:sz w:val="24"/>
              </w:rPr>
              <w:t>项目名称</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center"/>
              <w:textAlignment w:val="bottom"/>
              <w:outlineLvl w:val="9"/>
              <w:rPr>
                <w:rFonts w:hint="eastAsia"/>
                <w:sz w:val="24"/>
              </w:rPr>
            </w:pPr>
            <w:r>
              <w:rPr>
                <w:rFonts w:hint="eastAsia"/>
                <w:sz w:val="24"/>
              </w:rPr>
              <w:t>关于对《</w:t>
            </w:r>
            <w:r>
              <w:rPr>
                <w:rFonts w:hint="eastAsia"/>
                <w:sz w:val="24"/>
                <w:lang w:val="en-US" w:eastAsia="zh-CN"/>
              </w:rPr>
              <w:t>年产2000吨聚乙烯农用塑料薄膜项目环境影响报告表</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4" w:type="dxa"/>
            <w:noWrap w:val="0"/>
            <w:vAlign w:val="center"/>
          </w:tcPr>
          <w:p>
            <w:pPr>
              <w:spacing w:line="300" w:lineRule="exact"/>
              <w:jc w:val="center"/>
              <w:rPr>
                <w:b/>
                <w:sz w:val="24"/>
              </w:rPr>
            </w:pPr>
            <w:r>
              <w:rPr>
                <w:b/>
                <w:sz w:val="24"/>
              </w:rPr>
              <w:t>建设单位</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1920" w:firstLineChars="800"/>
              <w:jc w:val="both"/>
              <w:textAlignment w:val="bottom"/>
              <w:outlineLvl w:val="9"/>
              <w:rPr>
                <w:rFonts w:hint="eastAsia"/>
                <w:sz w:val="24"/>
              </w:rPr>
            </w:pPr>
            <w:r>
              <w:rPr>
                <w:rFonts w:hint="eastAsia"/>
                <w:sz w:val="24"/>
                <w:lang w:val="en-US" w:eastAsia="zh-CN"/>
              </w:rPr>
              <w:t>云南星旺塑料制品有限公司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noWrap w:val="0"/>
            <w:vAlign w:val="center"/>
          </w:tcPr>
          <w:p>
            <w:pPr>
              <w:spacing w:line="300" w:lineRule="exact"/>
              <w:jc w:val="center"/>
              <w:rPr>
                <w:b/>
                <w:sz w:val="24"/>
              </w:rPr>
            </w:pPr>
            <w:r>
              <w:rPr>
                <w:b/>
                <w:sz w:val="24"/>
              </w:rPr>
              <w:t>建设地点</w:t>
            </w:r>
          </w:p>
        </w:tc>
        <w:tc>
          <w:tcPr>
            <w:tcW w:w="6818" w:type="dxa"/>
            <w:gridSpan w:val="5"/>
            <w:noWrap w:val="0"/>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昆明市晋宁区晋宁工业园区</w:t>
            </w:r>
            <w:r>
              <w:rPr>
                <w:rFonts w:hint="eastAsia" w:cs="Times New Roman"/>
                <w:sz w:val="24"/>
                <w:szCs w:val="24"/>
                <w:lang w:val="en-US" w:eastAsia="zh-CN"/>
              </w:rPr>
              <w:t>二街</w:t>
            </w:r>
            <w:r>
              <w:rPr>
                <w:rFonts w:hint="eastAsia" w:ascii="Times New Roman" w:hAnsi="Times New Roman" w:cs="Times New Roman"/>
                <w:sz w:val="24"/>
                <w:szCs w:val="24"/>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noWrap w:val="0"/>
            <w:vAlign w:val="center"/>
          </w:tcPr>
          <w:p>
            <w:pPr>
              <w:spacing w:line="300" w:lineRule="exact"/>
              <w:jc w:val="center"/>
              <w:rPr>
                <w:b/>
                <w:sz w:val="24"/>
              </w:rPr>
            </w:pPr>
            <w:r>
              <w:rPr>
                <w:b/>
                <w:sz w:val="24"/>
              </w:rPr>
              <w:t>联系人</w:t>
            </w:r>
          </w:p>
        </w:tc>
        <w:tc>
          <w:tcPr>
            <w:tcW w:w="2198" w:type="dxa"/>
            <w:noWrap w:val="0"/>
            <w:vAlign w:val="top"/>
          </w:tcPr>
          <w:p>
            <w:pPr>
              <w:jc w:val="center"/>
              <w:rPr>
                <w:rFonts w:hint="eastAsia"/>
                <w:sz w:val="24"/>
              </w:rPr>
            </w:pPr>
          </w:p>
        </w:tc>
        <w:tc>
          <w:tcPr>
            <w:tcW w:w="1545" w:type="dxa"/>
            <w:gridSpan w:val="2"/>
            <w:noWrap w:val="0"/>
            <w:vAlign w:val="top"/>
          </w:tcPr>
          <w:p>
            <w:pPr>
              <w:spacing w:line="300" w:lineRule="exact"/>
              <w:jc w:val="center"/>
              <w:textAlignment w:val="baseline"/>
              <w:rPr>
                <w:sz w:val="24"/>
              </w:rPr>
            </w:pPr>
            <w:r>
              <w:rPr>
                <w:b/>
                <w:sz w:val="24"/>
              </w:rPr>
              <w:t>联系电话</w:t>
            </w:r>
          </w:p>
        </w:tc>
        <w:tc>
          <w:tcPr>
            <w:tcW w:w="3075" w:type="dxa"/>
            <w:gridSpan w:val="2"/>
            <w:noWrap w:val="0"/>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noWrap w:val="0"/>
            <w:vAlign w:val="center"/>
          </w:tcPr>
          <w:p>
            <w:pPr>
              <w:spacing w:line="300" w:lineRule="exact"/>
              <w:jc w:val="center"/>
              <w:rPr>
                <w:b/>
                <w:sz w:val="24"/>
              </w:rPr>
            </w:pPr>
            <w:r>
              <w:rPr>
                <w:b/>
                <w:sz w:val="24"/>
              </w:rPr>
              <w:t>批文号</w:t>
            </w:r>
          </w:p>
        </w:tc>
        <w:tc>
          <w:tcPr>
            <w:tcW w:w="3383" w:type="dxa"/>
            <w:gridSpan w:val="2"/>
            <w:noWrap w:val="0"/>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23</w:t>
            </w:r>
            <w:r>
              <w:rPr>
                <w:sz w:val="24"/>
              </w:rPr>
              <w:t>]号</w:t>
            </w:r>
          </w:p>
        </w:tc>
        <w:tc>
          <w:tcPr>
            <w:tcW w:w="1395" w:type="dxa"/>
            <w:gridSpan w:val="2"/>
            <w:noWrap w:val="0"/>
            <w:vAlign w:val="center"/>
          </w:tcPr>
          <w:p>
            <w:pPr>
              <w:jc w:val="center"/>
              <w:rPr>
                <w:b/>
                <w:sz w:val="24"/>
              </w:rPr>
            </w:pPr>
            <w:r>
              <w:rPr>
                <w:b/>
                <w:sz w:val="24"/>
              </w:rPr>
              <w:t>环评类型</w:t>
            </w:r>
          </w:p>
        </w:tc>
        <w:tc>
          <w:tcPr>
            <w:tcW w:w="2040" w:type="dxa"/>
            <w:noWrap w:val="0"/>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noWrap w:val="0"/>
            <w:vAlign w:val="center"/>
          </w:tcPr>
          <w:p>
            <w:pPr>
              <w:jc w:val="center"/>
              <w:rPr>
                <w:rFonts w:eastAsia="仿宋_GB2312"/>
                <w:b/>
                <w:sz w:val="28"/>
              </w:rPr>
            </w:pPr>
            <w:r>
              <w:rPr>
                <w:b/>
                <w:sz w:val="24"/>
              </w:rPr>
              <w:t>主要内容</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lang w:val="en-US" w:eastAsia="zh-CN"/>
              </w:rPr>
            </w:pPr>
            <w:r>
              <w:rPr>
                <w:rFonts w:hint="eastAsia" w:ascii="宋体" w:hAnsi="宋体" w:cs="宋体"/>
                <w:color w:val="000000"/>
                <w:kern w:val="2"/>
                <w:sz w:val="24"/>
                <w:szCs w:val="20"/>
                <w:lang w:val="en-US" w:eastAsia="zh-CN"/>
              </w:rPr>
              <w:t>项目位于云南省昆明市晋宁工业园区二街基地，租用昆明市晋宁区工业园二街基地晋宁宏尚隆机械制造有限公司建筑面积3000m2的厂房，建设年产2000吨聚乙烯农用塑料薄膜生产线。项目总投资1000万元，其中环保投资35万元。</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noWrap w:val="0"/>
            <w:vAlign w:val="center"/>
          </w:tcPr>
          <w:p>
            <w:pPr>
              <w:jc w:val="center"/>
              <w:rPr>
                <w:b/>
                <w:sz w:val="24"/>
              </w:rPr>
            </w:pPr>
            <w:r>
              <w:rPr>
                <w:b/>
                <w:sz w:val="24"/>
              </w:rPr>
              <w:t>环评科意见</w:t>
            </w:r>
          </w:p>
        </w:tc>
        <w:tc>
          <w:tcPr>
            <w:tcW w:w="6818" w:type="dxa"/>
            <w:gridSpan w:val="5"/>
            <w:noWrap w:val="0"/>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noWrap w:val="0"/>
            <w:vAlign w:val="center"/>
          </w:tcPr>
          <w:p>
            <w:pPr>
              <w:jc w:val="center"/>
              <w:rPr>
                <w:b/>
                <w:sz w:val="24"/>
              </w:rPr>
            </w:pPr>
            <w:r>
              <w:rPr>
                <w:b/>
                <w:sz w:val="24"/>
              </w:rPr>
              <w:t>分管领导</w:t>
            </w:r>
          </w:p>
          <w:p>
            <w:pPr>
              <w:jc w:val="center"/>
              <w:rPr>
                <w:b/>
                <w:sz w:val="24"/>
              </w:rPr>
            </w:pPr>
            <w:r>
              <w:rPr>
                <w:b/>
                <w:sz w:val="24"/>
              </w:rPr>
              <w:t>意    见</w:t>
            </w:r>
          </w:p>
        </w:tc>
        <w:tc>
          <w:tcPr>
            <w:tcW w:w="6818" w:type="dxa"/>
            <w:gridSpan w:val="5"/>
            <w:noWrap w:val="0"/>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3D51"/>
    <w:rsid w:val="01AE77C6"/>
    <w:rsid w:val="04757361"/>
    <w:rsid w:val="09230D26"/>
    <w:rsid w:val="0A1779E9"/>
    <w:rsid w:val="0EC14A92"/>
    <w:rsid w:val="0F675944"/>
    <w:rsid w:val="0FBA7852"/>
    <w:rsid w:val="10FE3254"/>
    <w:rsid w:val="119E6B02"/>
    <w:rsid w:val="12064E9E"/>
    <w:rsid w:val="137D2676"/>
    <w:rsid w:val="142071C2"/>
    <w:rsid w:val="14D226BA"/>
    <w:rsid w:val="1540427C"/>
    <w:rsid w:val="1AC94D93"/>
    <w:rsid w:val="1B6E4AF2"/>
    <w:rsid w:val="1C084731"/>
    <w:rsid w:val="1E083FCB"/>
    <w:rsid w:val="223E501E"/>
    <w:rsid w:val="22A047A2"/>
    <w:rsid w:val="27CB225E"/>
    <w:rsid w:val="285100CD"/>
    <w:rsid w:val="33195654"/>
    <w:rsid w:val="3676310F"/>
    <w:rsid w:val="369E76BE"/>
    <w:rsid w:val="388E2262"/>
    <w:rsid w:val="3E116017"/>
    <w:rsid w:val="4299049B"/>
    <w:rsid w:val="4A202709"/>
    <w:rsid w:val="51141E57"/>
    <w:rsid w:val="58F17395"/>
    <w:rsid w:val="5B2A056A"/>
    <w:rsid w:val="63915A2D"/>
    <w:rsid w:val="64A27E4E"/>
    <w:rsid w:val="651112E7"/>
    <w:rsid w:val="65BC35D8"/>
    <w:rsid w:val="66D24A56"/>
    <w:rsid w:val="697B10EF"/>
    <w:rsid w:val="6C9B772A"/>
    <w:rsid w:val="6D6D0C4D"/>
    <w:rsid w:val="722C544E"/>
    <w:rsid w:val="76150CA8"/>
    <w:rsid w:val="7D1A6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9">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customStyle="1" w:styleId="2">
    <w:name w:val="文本正文"/>
    <w:basedOn w:val="1"/>
    <w:qFormat/>
    <w:uiPriority w:val="0"/>
    <w:pPr>
      <w:snapToGrid w:val="0"/>
      <w:spacing w:line="360" w:lineRule="auto"/>
      <w:ind w:firstLine="510"/>
      <w:jc w:val="left"/>
    </w:pPr>
    <w:rPr>
      <w:spacing w:val="4"/>
      <w:kern w:val="24"/>
      <w:szCs w:val="24"/>
      <w:lang w:val="zh-CN"/>
    </w:rPr>
  </w:style>
  <w:style w:type="paragraph" w:styleId="4">
    <w:name w:val="Normal Indent"/>
    <w:basedOn w:val="1"/>
    <w:next w:val="5"/>
    <w:qFormat/>
    <w:uiPriority w:val="0"/>
    <w:pPr>
      <w:ind w:firstLine="420" w:firstLineChars="200"/>
    </w:pPr>
  </w:style>
  <w:style w:type="paragraph" w:customStyle="1" w:styleId="5">
    <w:name w:val="表头"/>
    <w:basedOn w:val="6"/>
    <w:next w:val="1"/>
    <w:qFormat/>
    <w:uiPriority w:val="0"/>
    <w:pPr>
      <w:keepNext w:val="0"/>
      <w:keepLines w:val="0"/>
      <w:widowControl w:val="0"/>
      <w:adjustRightInd w:val="0"/>
      <w:spacing w:before="0" w:after="0" w:line="240" w:lineRule="auto"/>
      <w:ind w:left="0" w:firstLine="0" w:firstLineChars="0"/>
      <w:jc w:val="center"/>
      <w:textAlignment w:val="baseline"/>
      <w:outlineLvl w:val="9"/>
    </w:pPr>
    <w:rPr>
      <w:rFonts w:ascii="Times New Roman" w:hAnsi="Times New Roman" w:eastAsia="宋体" w:cs="Times New Roman"/>
      <w:b/>
      <w:bCs/>
      <w:sz w:val="21"/>
    </w:rPr>
  </w:style>
  <w:style w:type="paragraph" w:customStyle="1" w:styleId="6">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styleId="7">
    <w:name w:val="annotation text"/>
    <w:basedOn w:val="1"/>
    <w:qFormat/>
    <w:uiPriority w:val="0"/>
    <w:pPr>
      <w:spacing w:line="360" w:lineRule="auto"/>
      <w:ind w:firstLine="562" w:firstLineChars="200"/>
      <w:jc w:val="left"/>
    </w:pPr>
    <w:rPr>
      <w:rFonts w:eastAsia="宋体"/>
      <w:sz w:val="24"/>
      <w:szCs w:val="24"/>
    </w:rPr>
  </w:style>
  <w:style w:type="paragraph" w:styleId="8">
    <w:name w:val="Body Text"/>
    <w:basedOn w:val="1"/>
    <w:next w:val="1"/>
    <w:qFormat/>
    <w:uiPriority w:val="0"/>
    <w:pPr>
      <w:spacing w:after="120" w:afterLines="0" w:afterAutospacing="0"/>
    </w:pPr>
  </w:style>
  <w:style w:type="paragraph" w:styleId="9">
    <w:name w:val="Body Text Indent"/>
    <w:basedOn w:val="1"/>
    <w:next w:val="10"/>
    <w:qFormat/>
    <w:uiPriority w:val="0"/>
    <w:pPr>
      <w:spacing w:after="120" w:afterLines="0" w:afterAutospacing="0"/>
      <w:ind w:left="420" w:leftChars="200"/>
    </w:pPr>
  </w:style>
  <w:style w:type="paragraph" w:styleId="10">
    <w:name w:val="header"/>
    <w:basedOn w:val="1"/>
    <w:next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index heading"/>
    <w:basedOn w:val="1"/>
    <w:next w:val="12"/>
    <w:qFormat/>
    <w:uiPriority w:val="0"/>
    <w:rPr>
      <w:rFonts w:ascii="宋体"/>
      <w:bCs/>
      <w:sz w:val="24"/>
    </w:rPr>
  </w:style>
  <w:style w:type="paragraph" w:styleId="12">
    <w:name w:val="index 1"/>
    <w:basedOn w:val="1"/>
    <w:next w:val="1"/>
    <w:qFormat/>
    <w:uiPriority w:val="0"/>
    <w:pPr>
      <w:adjustRightInd/>
      <w:spacing w:line="240" w:lineRule="auto"/>
      <w:ind w:left="560" w:hanging="560"/>
      <w:jc w:val="both"/>
      <w:textAlignment w:val="auto"/>
    </w:pPr>
    <w:rPr>
      <w:rFonts w:hAnsi="宋体"/>
      <w:spacing w:val="10"/>
      <w:kern w:val="2"/>
      <w:sz w:val="21"/>
      <w:szCs w:val="24"/>
    </w:rPr>
  </w:style>
  <w:style w:type="paragraph" w:styleId="13">
    <w:name w:val="Plain Text"/>
    <w:basedOn w:val="1"/>
    <w:next w:val="1"/>
    <w:qFormat/>
    <w:uiPriority w:val="0"/>
    <w:pPr>
      <w:spacing w:line="480" w:lineRule="exact"/>
      <w:ind w:firstLine="425"/>
    </w:pPr>
    <w:rPr>
      <w:rFonts w:ascii="宋体" w:hAnsi="Courier New"/>
      <w:spacing w:val="16"/>
      <w:sz w:val="24"/>
      <w:szCs w:val="20"/>
    </w:rPr>
  </w:style>
  <w:style w:type="paragraph" w:styleId="14">
    <w:name w:val="footer"/>
    <w:basedOn w:val="1"/>
    <w:qFormat/>
    <w:uiPriority w:val="0"/>
    <w:pPr>
      <w:tabs>
        <w:tab w:val="center" w:pos="4153"/>
        <w:tab w:val="right" w:pos="8306"/>
      </w:tabs>
      <w:snapToGrid w:val="0"/>
      <w:spacing w:line="240" w:lineRule="atLeast"/>
      <w:jc w:val="left"/>
    </w:pPr>
    <w:rPr>
      <w:sz w:val="18"/>
      <w:szCs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8"/>
    <w:next w:val="1"/>
    <w:qFormat/>
    <w:uiPriority w:val="0"/>
    <w:pPr>
      <w:ind w:firstLine="420" w:firstLineChars="100"/>
    </w:pPr>
  </w:style>
  <w:style w:type="paragraph" w:styleId="17">
    <w:name w:val="Body Text First Indent 2"/>
    <w:basedOn w:val="9"/>
    <w:next w:val="16"/>
    <w:qFormat/>
    <w:uiPriority w:val="0"/>
    <w:pPr>
      <w:ind w:firstLine="420" w:firstLineChars="200"/>
    </w:p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样式 标题 1 + 四号 段前: 0 磅 段后: 0 磅 行距: 1.5 倍行距"/>
    <w:basedOn w:val="3"/>
    <w:next w:val="2"/>
    <w:qFormat/>
    <w:uiPriority w:val="0"/>
    <w:pPr>
      <w:spacing w:line="360" w:lineRule="auto"/>
      <w:jc w:val="center"/>
    </w:pPr>
  </w:style>
  <w:style w:type="paragraph" w:customStyle="1" w:styleId="2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24">
    <w:name w:val="样式1"/>
    <w:basedOn w:val="19"/>
    <w:qFormat/>
    <w:uiPriority w:val="0"/>
    <w:rPr>
      <w:rFonts w:ascii="Times New Roman" w:hAnsi="Times New Roman" w:eastAsia="宋体" w:cs="Times New Roman"/>
      <w:sz w:val="24"/>
      <w:szCs w:val="24"/>
      <w:lang w:val="en-US" w:eastAsia="zh-CN"/>
    </w:rPr>
  </w:style>
  <w:style w:type="paragraph" w:customStyle="1" w:styleId="25">
    <w:name w:val="表格"/>
    <w:basedOn w:val="4"/>
    <w:next w:val="1"/>
    <w:qFormat/>
    <w:uiPriority w:val="0"/>
    <w:pPr>
      <w:adjustRightInd w:val="0"/>
      <w:snapToGrid w:val="0"/>
      <w:spacing w:line="240" w:lineRule="atLeast"/>
      <w:ind w:left="0" w:firstLine="0" w:firstLineChars="0"/>
      <w:jc w:val="center"/>
    </w:pPr>
    <w:rPr>
      <w:rFonts w:ascii="Times New Roman" w:hAnsi="Times New Roman" w:eastAsia="宋体"/>
      <w:kern w:val="0"/>
      <w:sz w:val="21"/>
      <w:szCs w:val="20"/>
    </w:rPr>
  </w:style>
  <w:style w:type="paragraph" w:customStyle="1" w:styleId="26">
    <w:name w:val="正文首行缩进2"/>
    <w:basedOn w:val="1"/>
    <w:qFormat/>
    <w:uiPriority w:val="0"/>
    <w:pPr>
      <w:spacing w:line="500" w:lineRule="atLeast"/>
      <w:ind w:firstLine="560"/>
    </w:pPr>
  </w:style>
  <w:style w:type="paragraph" w:customStyle="1" w:styleId="2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8">
    <w:name w:val="Table Paragraph"/>
    <w:basedOn w:val="1"/>
    <w:qFormat/>
    <w:uiPriority w:val="1"/>
    <w:pPr>
      <w:autoSpaceDE w:val="0"/>
      <w:autoSpaceDN w:val="0"/>
      <w:spacing w:line="360" w:lineRule="auto"/>
      <w:ind w:firstLine="643" w:firstLineChars="200"/>
      <w:jc w:val="left"/>
    </w:pPr>
    <w:rPr>
      <w:rFonts w:ascii="Times New Roman" w:hAnsi="Times New Roman" w:eastAsia="宋体" w:cs="Times New Roman"/>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AI风一样</cp:lastModifiedBy>
  <cp:lastPrinted>2023-01-09T03:19:31Z</cp:lastPrinted>
  <dcterms:modified xsi:type="dcterms:W3CDTF">2023-01-09T05:40:15Z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