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23〕2</w:t>
      </w:r>
      <w:bookmarkStart w:id="0" w:name="_GoBack"/>
      <w:bookmarkEnd w:id="0"/>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b/>
          <w:spacing w:val="20"/>
          <w:sz w:val="44"/>
        </w:rPr>
        <w:t>关于对《</w:t>
      </w:r>
      <w:r>
        <w:rPr>
          <w:rFonts w:hint="eastAsia" w:ascii="Times New Roman" w:hAnsi="Times New Roman" w:eastAsia="宋体" w:cs="Times New Roman"/>
          <w:b/>
          <w:sz w:val="44"/>
          <w:szCs w:val="22"/>
          <w:lang w:val="en-US" w:eastAsia="zh-CN"/>
        </w:rPr>
        <w:t>年产1.5万吨造纸添加剂项目环境影响报告表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云南爱瑞新型材料科技有限公司：</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嘉衍环境工程有限公司编制的《年产1.5万吨造纸添加剂项目环境影响报告表》(以下简称《报告表》)收悉。根据《中华人民共和国环境影响评价法》第二十二条、《建设项目环境保护管理条例》第九条，经研究，批复如下：</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一、项目位于云南省昆明市晋宁工业园区二街基地，租用云南晋宁宏奥电梯有限公司的办公楼、宿舍以及闲置厂房进行建设，建筑面积约为2000m</w:t>
      </w:r>
      <w:r>
        <w:rPr>
          <w:rFonts w:hint="eastAsia" w:ascii="Times New Roman" w:hAnsi="Times New Roman"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。本项目共设置10条生产线，即2条AKD乳液生产线、2条纸用增强剂生产线、6条其他复配型造纸助剂（其中2条施胶剂生产线、2条消泡剂生产线、2条防水剂生产线等）。项目总投资800万元，其中环保投资16.9万元。</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根据《报告表》所述工程内容、规模、功能以及环保对策措施，同意《报告表》结论。</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二、项目应建立完善的“雨污分流”排水系统，并与区域排水系统相协调。</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运营期产生的废水主要为生活污水。食堂污水经隔油池预处理，与其它生活废水经化粪池处理，进入污水管网水质达《污水排入城镇下水道水质标准》（GB/T31962-2015）表1A级等级标准，即：pH值6.5-9.5、SS≤400mg/L、COD</w:t>
      </w:r>
      <w:r>
        <w:rPr>
          <w:rFonts w:hint="eastAsia" w:ascii="Times New Roman" w:hAnsi="Times New Roman" w:eastAsia="华文仿宋" w:cs="Times New Roman"/>
          <w:sz w:val="32"/>
          <w:szCs w:val="22"/>
          <w:vertAlign w:val="subscript"/>
          <w:lang w:val="en-US" w:eastAsia="zh-CN"/>
        </w:rPr>
        <w:t>cr</w:t>
      </w:r>
      <w:r>
        <w:rPr>
          <w:rFonts w:hint="eastAsia" w:ascii="Times New Roman" w:hAnsi="Times New Roman" w:eastAsia="华文仿宋" w:cs="Times New Roman"/>
          <w:sz w:val="32"/>
          <w:szCs w:val="22"/>
          <w:lang w:val="en-US" w:eastAsia="zh-CN"/>
        </w:rPr>
        <w:t>≤500mg/L、BOD</w:t>
      </w:r>
      <w:r>
        <w:rPr>
          <w:rFonts w:hint="eastAsia" w:ascii="Times New Roman" w:hAnsi="Times New Roman" w:eastAsia="华文仿宋" w:cs="Times New Roman"/>
          <w:sz w:val="32"/>
          <w:szCs w:val="22"/>
          <w:vertAlign w:val="subscript"/>
          <w:lang w:val="en-US" w:eastAsia="zh-CN"/>
        </w:rPr>
        <w:t>5</w:t>
      </w:r>
      <w:r>
        <w:rPr>
          <w:rFonts w:hint="eastAsia" w:ascii="Times New Roman" w:hAnsi="Times New Roman" w:eastAsia="华文仿宋" w:cs="Times New Roman"/>
          <w:sz w:val="32"/>
          <w:szCs w:val="22"/>
          <w:lang w:val="en-US" w:eastAsia="zh-CN"/>
        </w:rPr>
        <w:t>≤350mg/L、氨氮≤45mg/L、T-P≤8.0mg/L、动物油≤100mg/L，最终排至晋宁县工业园区二街片区生活污水处理厂处理。项目限设1个规范化污水排放口，并在污水排放口处设立明显的标识。</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项目废水污染物总量控制目标：废水量720m</w:t>
      </w:r>
      <w:r>
        <w:rPr>
          <w:rFonts w:hint="eastAsia"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/a、CODcr：0.228t/a；氨氮：0.012t/a；总磷：0.004t/a，纳入晋宁县工业园区二街片区生活污水处理厂考核。</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三、运营期废气主要包括：原料AKD蜡融化工段产生的非甲烷总烃，食堂油烟。</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项目产生废气的车间应合理布局，加强通风。原料AKD蜡融化工段产生的废气（非甲烷总烃）经活性炭吸附装置处理后通过1根15米高排气筒（DA001）排放。</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本项目排放的非甲烷总烃执行《大气污染物综合排放标准》（GB16297-1996）表2二级标准限值，非甲烷总烃≤120mg/m³（有组织）。</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厂界无组织排放的非甲烷总烃执行《大气污染物综合排放标准》（GB16297—1996）表2中二级标准限值，即非甲烷总烃≤4.0mg/m³（无组织）。</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项目废气污染物总量控制指标：项目有组织废气量废气量约为960万m</w:t>
      </w:r>
      <w:r>
        <w:rPr>
          <w:rFonts w:hint="eastAsia"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/a，非甲烷总烃：0.0059t/a；无组织排放量：非甲烷总烃：0.00012t/a。</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食堂厨房油烟经油烟净化器处置后须达到《饮食业油烟排放标准》（GB18483-2001）小型规模标准要求，即油烟最高允许排放浓度≦2.0mg/m³，净化设施去除效率≧60%，油烟需通过专门的排气筒排放，排放高度高于周围10米建筑物1.5米以上。</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严格控制施工时产生的扬尘和施工机械排放的燃油烟气，施工现场、临时堆场、运输车辆应采取有效的防治扬尘措施，排放的废气应符合GB16297- 1996《大气污染物综合排放标准》(表2) 二级标准，即：颗粒物无组织排放浓度≤1.0mg/m³，减少对环境敏感点的扬尘污染。</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四、项目产生噪声的场所和设施应合理布局，做隔声降噪处理，项目厂界噪声值达GB12348-2008《工业企业厂界环境噪声排放标准》3类区标准，即：昼间≤65dB，夜间≤55dB。</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施工过程中严格控制各类施工机械产生的噪声，施工场界噪声应符合GB12523-2011《建筑施工场界环境噪声排放标准》表1标准，即：昼间≤70dB，夜间≤55 dB。禁止夜间（22:00至次日6:00）进行产生环境噪声污染的建筑施工作业。</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6"/>
        <w:jc w:val="both"/>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五、项目固体废物应分类收集，项目产生的员工生活垃圾分类收集，由环卫清运；废原料桶与原生产厂家签订回收协议，废编织袋定期外售废品回收站，生产过程中产生的废机油、废活性炭等危险废物于危废暂存间暂存后委托有资质单位处置，执行《危险废物贮存污染控制标准（GB18597-2001）。</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六、禁止使用含磷洗涤用品及一次性不可降解塑料餐饮具。</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七、建立完善的环境风险管理制度及风险防范应急措施，防止环境污染事故发生。</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严格遵守《建设项目环境保护条例》、严格遵守《建设项目环境保护条例》，建设项目竣工后，建设单位应当按照国务院生态主管部门规定的标准和程序，对配套的环境保护设施进行验收，经验收合格后方可投入生产或者使用。</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自本批复之日起超过五年项目方开建设的，环境影响评价文件应当报我局重新审核。</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十一、依法到国土、规划、住建、水务、发改经贸等部门办理其他相关手续。</w:t>
      </w:r>
    </w:p>
    <w:p>
      <w:pPr>
        <w:spacing w:line="560" w:lineRule="exact"/>
        <w:textAlignment w:val="baseline"/>
        <w:rPr>
          <w:rFonts w:hint="eastAsia" w:eastAsia="华文仿宋"/>
          <w:sz w:val="32"/>
          <w:lang w:val="en-US" w:eastAsia="zh-CN"/>
        </w:rPr>
      </w:pPr>
      <w:r>
        <w:rPr>
          <w:rFonts w:eastAsia="华文仿宋"/>
          <w:sz w:val="32"/>
        </w:rPr>
        <w:t xml:space="preserve"> </w:t>
      </w:r>
      <w:r>
        <w:rPr>
          <w:rFonts w:hint="eastAsia" w:eastAsia="华文仿宋"/>
          <w:sz w:val="32"/>
          <w:lang w:val="en-US" w:eastAsia="zh-CN"/>
        </w:rPr>
        <w:t xml:space="preserve">                     </w:t>
      </w:r>
    </w:p>
    <w:p>
      <w:pPr>
        <w:pStyle w:val="2"/>
        <w:rPr>
          <w:rFonts w:hint="eastAsia" w:eastAsia="华文仿宋"/>
          <w:sz w:val="32"/>
          <w:lang w:val="en-US" w:eastAsia="zh-CN"/>
        </w:rPr>
      </w:pPr>
    </w:p>
    <w:p>
      <w:pPr>
        <w:rPr>
          <w:rFonts w:hint="eastAsia" w:eastAsia="华文仿宋"/>
          <w:sz w:val="32"/>
          <w:lang w:val="en-US" w:eastAsia="zh-CN"/>
        </w:rPr>
      </w:pPr>
    </w:p>
    <w:p>
      <w:pPr>
        <w:pStyle w:val="2"/>
        <w:rPr>
          <w:rFonts w:hint="eastAsia" w:eastAsia="华文仿宋"/>
          <w:sz w:val="32"/>
          <w:lang w:val="en-US" w:eastAsia="zh-CN"/>
        </w:rPr>
      </w:pPr>
    </w:p>
    <w:p>
      <w:pPr>
        <w:rPr>
          <w:rFonts w:hint="eastAsia" w:eastAsia="华文仿宋"/>
          <w:sz w:val="32"/>
          <w:lang w:val="en-US" w:eastAsia="zh-CN"/>
        </w:rPr>
      </w:pPr>
    </w:p>
    <w:p>
      <w:pPr>
        <w:pStyle w:val="2"/>
        <w:rPr>
          <w:rFonts w:hint="eastAsia" w:eastAsia="华文仿宋"/>
          <w:sz w:val="32"/>
          <w:lang w:val="en-US" w:eastAsia="zh-CN"/>
        </w:rPr>
      </w:pPr>
    </w:p>
    <w:p>
      <w:pPr>
        <w:rPr>
          <w:rFonts w:hint="eastAsia" w:eastAsia="华文仿宋"/>
          <w:sz w:val="32"/>
          <w:lang w:val="en-US" w:eastAsia="zh-CN"/>
        </w:rPr>
      </w:pPr>
    </w:p>
    <w:p>
      <w:pPr>
        <w:rPr>
          <w:rFonts w:hint="eastAsia" w:eastAsia="华文仿宋"/>
          <w:sz w:val="32"/>
          <w:lang w:val="en-US" w:eastAsia="zh-CN"/>
        </w:rPr>
      </w:pPr>
    </w:p>
    <w:p>
      <w:pPr>
        <w:pStyle w:val="2"/>
        <w:rPr>
          <w:rFonts w:hint="eastAsia" w:eastAsia="华文仿宋"/>
          <w:sz w:val="32"/>
          <w:lang w:val="en-US" w:eastAsia="zh-CN"/>
        </w:rPr>
      </w:pPr>
    </w:p>
    <w:p>
      <w:pPr>
        <w:pStyle w:val="2"/>
        <w:ind w:left="0" w:leftChars="0" w:firstLine="0" w:firstLineChars="0"/>
        <w:jc w:val="both"/>
        <w:rPr>
          <w:rFonts w:hint="eastAsia"/>
          <w:lang w:val="en-US" w:eastAsia="zh-CN"/>
        </w:rPr>
      </w:pPr>
    </w:p>
    <w:p>
      <w:pPr>
        <w:spacing w:line="560" w:lineRule="exact"/>
        <w:ind w:firstLine="3520" w:firstLineChars="1100"/>
        <w:textAlignment w:val="baseline"/>
        <w:rPr>
          <w:rFonts w:eastAsia="华文仿宋"/>
          <w:sz w:val="32"/>
        </w:rPr>
      </w:pP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仿宋_GB2312"/>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3</w:t>
      </w:r>
      <w:r>
        <w:rPr>
          <w:rFonts w:eastAsia="华文仿宋"/>
          <w:color w:val="000000"/>
          <w:sz w:val="32"/>
        </w:rPr>
        <w:t>年</w:t>
      </w:r>
      <w:r>
        <w:rPr>
          <w:rFonts w:hint="eastAsia" w:eastAsia="华文仿宋"/>
          <w:color w:val="000000"/>
          <w:sz w:val="32"/>
          <w:lang w:val="en-US" w:eastAsia="zh-CN"/>
        </w:rPr>
        <w:t>1</w:t>
      </w:r>
      <w:r>
        <w:rPr>
          <w:rFonts w:eastAsia="华文仿宋"/>
          <w:color w:val="000000"/>
          <w:sz w:val="32"/>
        </w:rPr>
        <w:t>月</w:t>
      </w:r>
      <w:r>
        <w:rPr>
          <w:rFonts w:hint="eastAsia" w:eastAsia="华文仿宋"/>
          <w:color w:val="000000"/>
          <w:sz w:val="32"/>
          <w:lang w:val="en-US" w:eastAsia="zh-CN"/>
        </w:rPr>
        <w:t>10</w:t>
      </w:r>
      <w:r>
        <w:rPr>
          <w:rFonts w:eastAsia="华文仿宋"/>
          <w:color w:val="000000"/>
          <w:sz w:val="32"/>
        </w:rPr>
        <w:t>日</w:t>
      </w:r>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二街镇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center"/>
        <w:textAlignment w:val="baseline"/>
        <w:outlineLvl w:val="9"/>
        <w:rPr>
          <w:rFonts w:hint="eastAsia"/>
          <w:b/>
          <w:sz w:val="44"/>
          <w:szCs w:val="22"/>
        </w:rPr>
      </w:pP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eastAsia" w:eastAsia="华文仿宋"/>
          <w:color w:val="000000"/>
          <w:sz w:val="32"/>
          <w:lang w:val="en-US" w:eastAsia="zh-CN"/>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eastAsia="华文仿宋" w:cs="Times New Roman"/>
          <w:color w:val="000000"/>
          <w:sz w:val="32"/>
          <w:lang w:val="en-US" w:eastAsia="zh-CN"/>
        </w:rPr>
        <w:t>3</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1</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10</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23</w:t>
      </w:r>
      <w:r>
        <w:rPr>
          <w:rFonts w:eastAsia="仿宋_GB2312"/>
          <w:sz w:val="32"/>
        </w:rPr>
        <w:t>年</w:t>
      </w:r>
      <w:r>
        <w:rPr>
          <w:rFonts w:hint="eastAsia" w:eastAsia="仿宋_GB2312"/>
          <w:sz w:val="32"/>
          <w:lang w:val="en-US" w:eastAsia="zh-CN"/>
        </w:rPr>
        <w:t>1</w:t>
      </w:r>
      <w:r>
        <w:rPr>
          <w:rFonts w:eastAsia="仿宋_GB2312"/>
          <w:sz w:val="32"/>
        </w:rPr>
        <w:t>月</w:t>
      </w:r>
      <w:r>
        <w:rPr>
          <w:rFonts w:hint="eastAsia" w:eastAsia="仿宋_GB2312"/>
          <w:sz w:val="32"/>
          <w:lang w:val="en-US" w:eastAsia="zh-CN"/>
        </w:rPr>
        <w:t>10</w:t>
      </w:r>
      <w:r>
        <w:rPr>
          <w:rFonts w:eastAsia="仿宋_GB2312"/>
          <w:sz w:val="32"/>
        </w:rPr>
        <w:t>日</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center"/>
              <w:textAlignment w:val="bottom"/>
              <w:outlineLvl w:val="9"/>
              <w:rPr>
                <w:rFonts w:hint="eastAsia"/>
                <w:sz w:val="24"/>
              </w:rPr>
            </w:pPr>
            <w:r>
              <w:rPr>
                <w:rFonts w:hint="eastAsia"/>
                <w:sz w:val="24"/>
              </w:rPr>
              <w:t>关于对《</w:t>
            </w:r>
            <w:r>
              <w:rPr>
                <w:rFonts w:hint="eastAsia"/>
                <w:sz w:val="24"/>
                <w:lang w:val="en-US" w:eastAsia="zh-CN"/>
              </w:rPr>
              <w:t>年产1.5万吨造纸添加剂项目环境影响报告表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1920" w:firstLineChars="800"/>
              <w:jc w:val="both"/>
              <w:textAlignment w:val="bottom"/>
              <w:outlineLvl w:val="9"/>
              <w:rPr>
                <w:rFonts w:hint="eastAsia"/>
                <w:sz w:val="24"/>
              </w:rPr>
            </w:pPr>
            <w:r>
              <w:rPr>
                <w:rFonts w:hint="eastAsia"/>
                <w:sz w:val="24"/>
                <w:lang w:val="en-US" w:eastAsia="zh-CN"/>
              </w:rPr>
              <w:t>云南爱瑞新型材料科技有限公司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二街</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23</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r>
              <w:rPr>
                <w:rFonts w:hint="eastAsia" w:ascii="宋体" w:hAnsi="宋体" w:cs="宋体"/>
                <w:color w:val="000000"/>
                <w:kern w:val="2"/>
                <w:sz w:val="24"/>
                <w:szCs w:val="20"/>
                <w:lang w:val="en-US" w:eastAsia="zh-CN"/>
              </w:rPr>
              <w:t>项目位于云南省昆明市晋宁工业园区二街基地，租用云南晋宁宏奥电梯有限公司的办公楼、宿舍以及闲置厂房进行建设，建筑面积约为2000m2。本项目共设置10条生产线，即2条AKD乳液生产线、2条纸用增强剂生产线、6条其他复配型造纸助剂（其中2条施胶剂生产线、2条消泡剂生产线、2条防水剂生产线等）。项目总投资800万元，其中环保投资16.9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1AE77C6"/>
    <w:rsid w:val="04757361"/>
    <w:rsid w:val="09230D26"/>
    <w:rsid w:val="0A1779E9"/>
    <w:rsid w:val="0EC14A92"/>
    <w:rsid w:val="0F675944"/>
    <w:rsid w:val="0FBA7852"/>
    <w:rsid w:val="10EE105A"/>
    <w:rsid w:val="10FE3254"/>
    <w:rsid w:val="119E6B02"/>
    <w:rsid w:val="12064E9E"/>
    <w:rsid w:val="137D2676"/>
    <w:rsid w:val="14D226BA"/>
    <w:rsid w:val="1540427C"/>
    <w:rsid w:val="1AC94D93"/>
    <w:rsid w:val="1B6E4AF2"/>
    <w:rsid w:val="1C084731"/>
    <w:rsid w:val="1E083FCB"/>
    <w:rsid w:val="223E501E"/>
    <w:rsid w:val="27CB225E"/>
    <w:rsid w:val="285100CD"/>
    <w:rsid w:val="328B7A58"/>
    <w:rsid w:val="33195654"/>
    <w:rsid w:val="3676310F"/>
    <w:rsid w:val="388E2262"/>
    <w:rsid w:val="3E116017"/>
    <w:rsid w:val="4299049B"/>
    <w:rsid w:val="4A202709"/>
    <w:rsid w:val="51141E57"/>
    <w:rsid w:val="58F17395"/>
    <w:rsid w:val="5B2A056A"/>
    <w:rsid w:val="63915A2D"/>
    <w:rsid w:val="64A27E4E"/>
    <w:rsid w:val="651112E7"/>
    <w:rsid w:val="65BC35D8"/>
    <w:rsid w:val="66D24A56"/>
    <w:rsid w:val="697B10EF"/>
    <w:rsid w:val="6C9B772A"/>
    <w:rsid w:val="6D6D0C4D"/>
    <w:rsid w:val="722C544E"/>
    <w:rsid w:val="76150CA8"/>
    <w:rsid w:val="7D1A6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2">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8">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customStyle="1" w:styleId="4">
    <w:name w:val="表头"/>
    <w:basedOn w:val="5"/>
    <w:next w:val="1"/>
    <w:qFormat/>
    <w:uiPriority w:val="0"/>
    <w:pPr>
      <w:keepNext w:val="0"/>
      <w:keepLines w:val="0"/>
      <w:widowControl w:val="0"/>
      <w:adjustRightInd w:val="0"/>
      <w:spacing w:before="0" w:after="0" w:line="240" w:lineRule="auto"/>
      <w:ind w:left="0" w:firstLine="0" w:firstLineChars="0"/>
      <w:jc w:val="center"/>
      <w:textAlignment w:val="baseline"/>
      <w:outlineLvl w:val="9"/>
    </w:pPr>
    <w:rPr>
      <w:rFonts w:ascii="Times New Roman" w:hAnsi="Times New Roman" w:eastAsia="宋体" w:cs="Times New Roman"/>
      <w:b/>
      <w:bCs/>
      <w:sz w:val="21"/>
    </w:rPr>
  </w:style>
  <w:style w:type="paragraph" w:customStyle="1" w:styleId="5">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styleId="6">
    <w:name w:val="annotation text"/>
    <w:basedOn w:val="1"/>
    <w:qFormat/>
    <w:uiPriority w:val="0"/>
    <w:pPr>
      <w:spacing w:line="360" w:lineRule="auto"/>
      <w:ind w:firstLine="562" w:firstLineChars="200"/>
      <w:jc w:val="left"/>
    </w:pPr>
    <w:rPr>
      <w:rFonts w:eastAsia="宋体"/>
      <w:sz w:val="24"/>
      <w:szCs w:val="24"/>
    </w:rPr>
  </w:style>
  <w:style w:type="paragraph" w:styleId="7">
    <w:name w:val="Body Text"/>
    <w:basedOn w:val="1"/>
    <w:next w:val="1"/>
    <w:qFormat/>
    <w:uiPriority w:val="0"/>
    <w:pPr>
      <w:spacing w:after="120" w:afterLines="0" w:afterAutospacing="0"/>
    </w:pPr>
  </w:style>
  <w:style w:type="paragraph" w:styleId="8">
    <w:name w:val="Body Text Indent"/>
    <w:basedOn w:val="1"/>
    <w:next w:val="9"/>
    <w:qFormat/>
    <w:uiPriority w:val="0"/>
    <w:pPr>
      <w:spacing w:after="120" w:afterLines="0" w:afterAutospacing="0"/>
      <w:ind w:left="420" w:leftChars="200"/>
    </w:pPr>
  </w:style>
  <w:style w:type="paragraph" w:styleId="9">
    <w:name w:val="header"/>
    <w:basedOn w:val="1"/>
    <w:next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index heading"/>
    <w:basedOn w:val="1"/>
    <w:next w:val="11"/>
    <w:qFormat/>
    <w:uiPriority w:val="0"/>
    <w:rPr>
      <w:rFonts w:ascii="宋体"/>
      <w:bCs/>
      <w:sz w:val="24"/>
    </w:rPr>
  </w:style>
  <w:style w:type="paragraph" w:styleId="11">
    <w:name w:val="index 1"/>
    <w:basedOn w:val="1"/>
    <w:next w:val="1"/>
    <w:qFormat/>
    <w:uiPriority w:val="0"/>
    <w:pPr>
      <w:adjustRightInd/>
      <w:spacing w:line="240" w:lineRule="auto"/>
      <w:ind w:left="560" w:hanging="560"/>
      <w:jc w:val="both"/>
      <w:textAlignment w:val="auto"/>
    </w:pPr>
    <w:rPr>
      <w:rFonts w:hAnsi="宋体"/>
      <w:spacing w:val="10"/>
      <w:kern w:val="2"/>
      <w:sz w:val="21"/>
      <w:szCs w:val="24"/>
    </w:rPr>
  </w:style>
  <w:style w:type="paragraph" w:styleId="12">
    <w:name w:val="Plain Text"/>
    <w:basedOn w:val="1"/>
    <w:next w:val="1"/>
    <w:qFormat/>
    <w:uiPriority w:val="0"/>
    <w:pPr>
      <w:spacing w:line="480" w:lineRule="exact"/>
      <w:ind w:firstLine="425"/>
    </w:pPr>
    <w:rPr>
      <w:rFonts w:ascii="宋体" w:hAnsi="Courier New"/>
      <w:spacing w:val="16"/>
      <w:sz w:val="24"/>
      <w:szCs w:val="20"/>
    </w:rPr>
  </w:style>
  <w:style w:type="paragraph" w:styleId="13">
    <w:name w:val="footer"/>
    <w:basedOn w:val="1"/>
    <w:qFormat/>
    <w:uiPriority w:val="0"/>
    <w:pPr>
      <w:tabs>
        <w:tab w:val="center" w:pos="4153"/>
        <w:tab w:val="right" w:pos="8306"/>
      </w:tabs>
      <w:snapToGrid w:val="0"/>
      <w:spacing w:line="240" w:lineRule="atLeast"/>
      <w:jc w:val="left"/>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next w:val="1"/>
    <w:qFormat/>
    <w:uiPriority w:val="0"/>
    <w:pPr>
      <w:ind w:firstLine="420" w:firstLineChars="100"/>
    </w:pPr>
  </w:style>
  <w:style w:type="paragraph" w:styleId="16">
    <w:name w:val="Body Text First Indent 2"/>
    <w:basedOn w:val="8"/>
    <w:next w:val="15"/>
    <w:qFormat/>
    <w:uiPriority w:val="0"/>
    <w:pPr>
      <w:ind w:firstLine="420" w:firstLineChars="200"/>
    </w:p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样式 标题 1 + 四号 段前: 0 磅 段后: 0 磅 行距: 1.5 倍行距"/>
    <w:basedOn w:val="2"/>
    <w:next w:val="22"/>
    <w:qFormat/>
    <w:uiPriority w:val="0"/>
    <w:pPr>
      <w:spacing w:line="360" w:lineRule="auto"/>
      <w:jc w:val="center"/>
    </w:pPr>
  </w:style>
  <w:style w:type="paragraph" w:customStyle="1" w:styleId="22">
    <w:name w:val="文本正文"/>
    <w:basedOn w:val="1"/>
    <w:qFormat/>
    <w:uiPriority w:val="0"/>
    <w:pPr>
      <w:snapToGrid w:val="0"/>
      <w:spacing w:line="360" w:lineRule="auto"/>
      <w:ind w:firstLine="510"/>
      <w:jc w:val="left"/>
    </w:pPr>
    <w:rPr>
      <w:spacing w:val="4"/>
      <w:kern w:val="24"/>
      <w:szCs w:val="24"/>
      <w:lang w:val="zh-CN"/>
    </w:rPr>
  </w:style>
  <w:style w:type="paragraph" w:customStyle="1" w:styleId="2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4">
    <w:name w:val="样式1"/>
    <w:basedOn w:val="18"/>
    <w:qFormat/>
    <w:uiPriority w:val="0"/>
    <w:rPr>
      <w:rFonts w:ascii="Times New Roman" w:hAnsi="Times New Roman" w:eastAsia="宋体" w:cs="Times New Roman"/>
      <w:sz w:val="24"/>
      <w:szCs w:val="24"/>
      <w:lang w:val="en-US" w:eastAsia="zh-CN"/>
    </w:rPr>
  </w:style>
  <w:style w:type="paragraph" w:customStyle="1" w:styleId="25">
    <w:name w:val="表格"/>
    <w:basedOn w:val="3"/>
    <w:next w:val="1"/>
    <w:qFormat/>
    <w:uiPriority w:val="0"/>
    <w:pPr>
      <w:adjustRightInd w:val="0"/>
      <w:snapToGrid w:val="0"/>
      <w:spacing w:line="240" w:lineRule="atLeast"/>
      <w:ind w:left="0" w:firstLine="0" w:firstLineChars="0"/>
      <w:jc w:val="center"/>
    </w:pPr>
    <w:rPr>
      <w:rFonts w:ascii="Times New Roman" w:hAnsi="Times New Roman" w:eastAsia="宋体"/>
      <w:kern w:val="0"/>
      <w:sz w:val="21"/>
      <w:szCs w:val="20"/>
    </w:rPr>
  </w:style>
  <w:style w:type="paragraph" w:customStyle="1" w:styleId="26">
    <w:name w:val="正文首行缩进2"/>
    <w:basedOn w:val="1"/>
    <w:qFormat/>
    <w:uiPriority w:val="0"/>
    <w:pPr>
      <w:spacing w:line="500" w:lineRule="atLeast"/>
      <w:ind w:firstLine="560"/>
    </w:p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8">
    <w:name w:val="Table Paragraph"/>
    <w:basedOn w:val="1"/>
    <w:qFormat/>
    <w:uiPriority w:val="1"/>
    <w:pPr>
      <w:autoSpaceDE w:val="0"/>
      <w:autoSpaceDN w:val="0"/>
      <w:spacing w:line="360" w:lineRule="auto"/>
      <w:ind w:firstLine="643" w:firstLineChars="200"/>
      <w:jc w:val="left"/>
    </w:pPr>
    <w:rPr>
      <w:rFonts w:ascii="Times New Roman" w:hAnsi="Times New Roman" w:eastAsia="宋体" w:cs="Times New Roman"/>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2023-01-09T03:19:11Z</cp:lastPrinted>
  <dcterms:modified xsi:type="dcterms:W3CDTF">2023-01-09T05:40:10Z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