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lang w:eastAsia="zh-CN"/>
        </w:rPr>
      </w:pPr>
    </w:p>
    <w:p>
      <w:pPr>
        <w:rPr>
          <w:rFonts w:hint="eastAsia"/>
          <w:sz w:val="21"/>
        </w:rPr>
      </w:pPr>
    </w:p>
    <w:p>
      <w:pPr>
        <w:rPr>
          <w:rFonts w:hint="eastAsia"/>
          <w:sz w:val="21"/>
        </w:rPr>
      </w:pPr>
    </w:p>
    <w:p>
      <w:pPr>
        <w:rPr>
          <w:rFonts w:hint="eastAsia"/>
          <w:sz w:val="21"/>
        </w:rPr>
      </w:pPr>
      <w:r>
        <w:rPr>
          <w:rFonts w:hint="eastAsia"/>
          <w:sz w:val="21"/>
        </w:rPr>
        <w:t xml:space="preserve">                                                                        </w:t>
      </w:r>
    </w:p>
    <w:p>
      <w:pPr>
        <w:rPr>
          <w:rFonts w:hint="eastAsia"/>
          <w:sz w:val="21"/>
        </w:rPr>
      </w:pPr>
    </w:p>
    <w:p>
      <w:pPr>
        <w:rPr>
          <w:rFonts w:hint="eastAsia"/>
          <w:sz w:val="21"/>
        </w:rPr>
      </w:pPr>
    </w:p>
    <w:p>
      <w:pPr>
        <w:rPr>
          <w:rFonts w:hint="eastAsia"/>
          <w:sz w:val="21"/>
        </w:rPr>
      </w:pPr>
    </w:p>
    <w:p>
      <w:pPr>
        <w:rPr>
          <w:rFonts w:hint="eastAsia"/>
          <w:sz w:val="21"/>
        </w:rPr>
      </w:pPr>
      <w:r>
        <w:rPr>
          <w:rFonts w:hint="eastAsia"/>
          <w:sz w:val="21"/>
        </w:rPr>
        <w:t xml:space="preserve">                                                                     </w:t>
      </w:r>
    </w:p>
    <w:p>
      <w:pPr>
        <w:ind w:left="227" w:hanging="226"/>
        <w:rPr>
          <w:rFonts w:hint="eastAsia" w:eastAsia="穝灿砰"/>
          <w:spacing w:val="56"/>
          <w:sz w:val="44"/>
        </w:rPr>
      </w:pPr>
    </w:p>
    <w:p>
      <w:pPr>
        <w:ind w:left="227" w:hanging="226"/>
        <w:rPr>
          <w:rFonts w:hint="eastAsia" w:eastAsia="穝灿砰"/>
          <w:b/>
          <w:spacing w:val="56"/>
          <w:sz w:val="44"/>
        </w:rPr>
      </w:pPr>
      <w:r>
        <w:rPr>
          <w:rFonts w:hint="eastAsia" w:eastAsia="穝灿砰"/>
          <w:spacing w:val="56"/>
          <w:sz w:val="44"/>
        </w:rPr>
        <w:t xml:space="preserve">               </w:t>
      </w:r>
      <w:r>
        <w:rPr>
          <w:rFonts w:hint="eastAsia" w:eastAsia="穝灿砰"/>
          <w:b/>
          <w:spacing w:val="56"/>
          <w:sz w:val="44"/>
        </w:rPr>
        <w:t xml:space="preserve"> </w:t>
      </w:r>
    </w:p>
    <w:p>
      <w:pPr>
        <w:ind w:left="0"/>
        <w:rPr>
          <w:rFonts w:hint="eastAsia"/>
          <w:sz w:val="21"/>
          <w:lang w:eastAsia="zh-CN"/>
        </w:rPr>
      </w:pPr>
    </w:p>
    <w:p>
      <w:pPr>
        <w:ind w:left="0"/>
        <w:rPr>
          <w:rFonts w:hint="eastAsia"/>
          <w:color w:val="auto"/>
          <w:sz w:val="21"/>
          <w:lang w:eastAsia="zh-CN"/>
        </w:rPr>
      </w:pPr>
    </w:p>
    <w:p>
      <w:pPr>
        <w:jc w:val="center"/>
        <w:rPr>
          <w:rFonts w:hint="eastAsia" w:ascii="仿宋" w:hAnsi="仿宋" w:eastAsia="仿宋" w:cs="仿宋"/>
          <w:color w:val="auto"/>
          <w:sz w:val="32"/>
        </w:rPr>
      </w:pPr>
    </w:p>
    <w:p>
      <w:pPr>
        <w:jc w:val="center"/>
        <w:rPr>
          <w:rFonts w:hint="eastAsia" w:ascii="仿宋" w:hAnsi="仿宋" w:eastAsia="仿宋" w:cs="仿宋"/>
          <w:color w:val="auto"/>
          <w:sz w:val="32"/>
        </w:rPr>
      </w:pPr>
      <w:r>
        <w:rPr>
          <w:rFonts w:hint="eastAsia" w:ascii="仿宋" w:hAnsi="仿宋" w:eastAsia="仿宋" w:cs="仿宋"/>
          <w:color w:val="auto"/>
          <w:sz w:val="32"/>
          <w:lang w:eastAsia="zh-CN"/>
        </w:rPr>
        <w:t>昆生环</w:t>
      </w:r>
      <w:r>
        <w:rPr>
          <w:rFonts w:hint="eastAsia" w:ascii="仿宋" w:hAnsi="仿宋" w:eastAsia="仿宋" w:cs="仿宋"/>
          <w:color w:val="auto"/>
          <w:sz w:val="32"/>
        </w:rPr>
        <w:t>晋</w:t>
      </w:r>
      <w:r>
        <w:rPr>
          <w:rFonts w:hint="eastAsia" w:ascii="仿宋" w:hAnsi="仿宋" w:eastAsia="仿宋" w:cs="仿宋"/>
          <w:color w:val="auto"/>
          <w:sz w:val="32"/>
          <w:lang w:eastAsia="zh-CN"/>
        </w:rPr>
        <w:t>复</w:t>
      </w:r>
      <w:r>
        <w:rPr>
          <w:rFonts w:hint="eastAsia" w:ascii="仿宋" w:hAnsi="仿宋" w:eastAsia="仿宋" w:cs="仿宋"/>
          <w:color w:val="auto"/>
          <w:sz w:val="32"/>
        </w:rPr>
        <w:t>〔</w:t>
      </w:r>
      <w:r>
        <w:rPr>
          <w:rFonts w:hint="eastAsia" w:ascii="仿宋" w:hAnsi="仿宋" w:eastAsia="仿宋" w:cs="仿宋"/>
          <w:color w:val="auto"/>
          <w:sz w:val="32"/>
          <w:lang w:eastAsia="zh-CN"/>
        </w:rPr>
        <w:t>20</w:t>
      </w:r>
      <w:r>
        <w:rPr>
          <w:rFonts w:hint="eastAsia" w:ascii="仿宋" w:hAnsi="仿宋" w:eastAsia="仿宋" w:cs="仿宋"/>
          <w:color w:val="auto"/>
          <w:sz w:val="32"/>
          <w:lang w:val="en-US" w:eastAsia="zh-CN"/>
        </w:rPr>
        <w:t>23〕1</w:t>
      </w:r>
      <w:r>
        <w:rPr>
          <w:rFonts w:hint="eastAsia" w:ascii="仿宋" w:hAnsi="仿宋" w:eastAsia="仿宋" w:cs="仿宋"/>
          <w:color w:val="auto"/>
          <w:sz w:val="32"/>
        </w:rPr>
        <w:t>号</w:t>
      </w:r>
    </w:p>
    <w:p>
      <w:pPr>
        <w:jc w:val="center"/>
        <w:rPr>
          <w:rFonts w:hint="eastAsia" w:eastAsia="穝灿砰"/>
          <w:color w:val="auto"/>
          <w:sz w:val="32"/>
          <w:lang w:eastAsia="zh-CN"/>
        </w:rPr>
      </w:pPr>
    </w:p>
    <w:p>
      <w:pPr>
        <w:ind w:left="0"/>
        <w:rPr>
          <w:rFonts w:hint="eastAsia" w:eastAsia="穝灿砰"/>
          <w:color w:val="auto"/>
          <w:sz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b/>
          <w:spacing w:val="20"/>
          <w:sz w:val="44"/>
        </w:rPr>
      </w:pPr>
      <w:r>
        <w:rPr>
          <w:b/>
          <w:spacing w:val="20"/>
          <w:sz w:val="44"/>
        </w:rPr>
        <w:t>关于对《</w:t>
      </w:r>
      <w:r>
        <w:rPr>
          <w:rFonts w:hint="eastAsia"/>
          <w:b/>
          <w:spacing w:val="20"/>
          <w:sz w:val="44"/>
        </w:rPr>
        <w:t>年产2500吨生物酶制剂饲料添加剂生产（一期建设项目）提升改造</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b/>
          <w:color w:val="auto"/>
          <w:sz w:val="44"/>
          <w:lang w:eastAsia="zh-CN"/>
        </w:rPr>
      </w:pPr>
      <w:r>
        <w:rPr>
          <w:rFonts w:hint="eastAsia"/>
          <w:b/>
          <w:spacing w:val="20"/>
          <w:sz w:val="44"/>
          <w:lang w:val="en-US" w:eastAsia="zh-CN"/>
        </w:rPr>
        <w:t>环境影响报告表</w:t>
      </w:r>
      <w:r>
        <w:rPr>
          <w:rFonts w:hint="eastAsia"/>
          <w:b/>
          <w:sz w:val="44"/>
        </w:rPr>
        <w:t>》的批复</w:t>
      </w:r>
    </w:p>
    <w:p>
      <w:pPr>
        <w:spacing w:line="560" w:lineRule="exact"/>
        <w:textAlignment w:val="baseline"/>
        <w:rPr>
          <w:rFonts w:hint="eastAsia" w:ascii="Times New Roman" w:hAnsi="Times New Roman" w:eastAsia="华文仿宋" w:cs="Times New Roman"/>
          <w:sz w:val="32"/>
          <w:szCs w:val="22"/>
        </w:rPr>
      </w:pPr>
      <w:bookmarkStart w:id="0" w:name="_GoBack"/>
      <w:bookmarkEnd w:id="0"/>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textAlignment w:val="bottom"/>
        <w:rPr>
          <w:rFonts w:hint="eastAsia" w:ascii="Times New Roman" w:hAnsi="Times New Roman" w:eastAsia="华文仿宋" w:cs="Times New Roman"/>
          <w:sz w:val="32"/>
          <w:szCs w:val="22"/>
          <w:lang w:val="en-US" w:eastAsia="zh-CN"/>
        </w:rPr>
      </w:pPr>
      <w:r>
        <w:rPr>
          <w:rFonts w:hint="eastAsia" w:eastAsia="华文仿宋" w:cs="Times New Roman"/>
          <w:sz w:val="32"/>
          <w:szCs w:val="22"/>
          <w:lang w:val="en-US" w:eastAsia="zh-CN"/>
        </w:rPr>
        <w:t>昆明爱科特生物科技有限公司：</w:t>
      </w:r>
    </w:p>
    <w:p>
      <w:pPr>
        <w:keepNext w:val="0"/>
        <w:keepLines w:val="0"/>
        <w:pageBreakBefore w:val="0"/>
        <w:widowControl/>
        <w:kinsoku/>
        <w:wordWrap/>
        <w:overflowPunct/>
        <w:autoSpaceDE/>
        <w:autoSpaceDN/>
        <w:bidi w:val="0"/>
        <w:spacing w:line="560" w:lineRule="exact"/>
        <w:ind w:left="0" w:firstLine="640" w:firstLineChars="200"/>
        <w:jc w:val="left"/>
        <w:rPr>
          <w:rFonts w:hint="eastAsia" w:eastAsia="华文仿宋"/>
          <w:sz w:val="32"/>
        </w:rPr>
      </w:pPr>
      <w:r>
        <w:rPr>
          <w:rFonts w:hint="eastAsia" w:eastAsia="华文仿宋"/>
          <w:sz w:val="32"/>
        </w:rPr>
        <w:t>你单位委</w:t>
      </w:r>
      <w:r>
        <w:rPr>
          <w:rFonts w:hint="eastAsia" w:eastAsia="华文仿宋"/>
          <w:sz w:val="32"/>
          <w:szCs w:val="22"/>
        </w:rPr>
        <w:t>托</w:t>
      </w:r>
      <w:r>
        <w:rPr>
          <w:rFonts w:hint="eastAsia" w:eastAsia="华文仿宋" w:cs="Times New Roman"/>
          <w:sz w:val="32"/>
          <w:szCs w:val="22"/>
          <w:lang w:val="en-US" w:eastAsia="zh-CN"/>
        </w:rPr>
        <w:t>昆明博安环境科技合伙企业（有限合伙）公司</w:t>
      </w:r>
      <w:r>
        <w:rPr>
          <w:rFonts w:hint="eastAsia" w:eastAsia="华文仿宋"/>
          <w:sz w:val="32"/>
          <w:szCs w:val="22"/>
        </w:rPr>
        <w:t>编制的</w:t>
      </w:r>
      <w:r>
        <w:rPr>
          <w:rFonts w:hint="eastAsia" w:eastAsia="华文仿宋"/>
          <w:sz w:val="32"/>
        </w:rPr>
        <w:t>《年产2500吨生物酶制剂饲料添加剂生产（一期建设项目）提升改造</w:t>
      </w:r>
      <w:r>
        <w:rPr>
          <w:rFonts w:hint="eastAsia" w:eastAsia="华文仿宋"/>
          <w:sz w:val="32"/>
          <w:lang w:val="en-US" w:eastAsia="zh-CN"/>
        </w:rPr>
        <w:t>环境影响报告表</w:t>
      </w:r>
      <w:r>
        <w:rPr>
          <w:rFonts w:hint="eastAsia" w:eastAsia="华文仿宋"/>
          <w:sz w:val="32"/>
        </w:rPr>
        <w:t>》(以下简称《报告表》)收悉。根据《中华人民共和国环境影响评价法》第二十二条、《建设项目环境保护管理条例》第九条，经研究，批复如下：</w:t>
      </w:r>
    </w:p>
    <w:p>
      <w:pPr>
        <w:keepNext w:val="0"/>
        <w:keepLines w:val="0"/>
        <w:pageBreakBefore w:val="0"/>
        <w:kinsoku/>
        <w:wordWrap/>
        <w:overflowPunct/>
        <w:autoSpaceDE/>
        <w:autoSpaceDN/>
        <w:bidi w:val="0"/>
        <w:spacing w:line="560" w:lineRule="exact"/>
        <w:ind w:left="0" w:firstLine="480"/>
        <w:rPr>
          <w:rFonts w:hint="eastAsia" w:eastAsia="华文仿宋"/>
          <w:sz w:val="32"/>
        </w:rPr>
      </w:pPr>
      <w:r>
        <w:rPr>
          <w:rFonts w:eastAsia="华文仿宋"/>
          <w:sz w:val="32"/>
        </w:rPr>
        <w:t>一、</w:t>
      </w:r>
      <w:r>
        <w:rPr>
          <w:rFonts w:hint="eastAsia" w:eastAsia="华文仿宋"/>
          <w:color w:val="auto"/>
          <w:sz w:val="32"/>
          <w:szCs w:val="22"/>
          <w:lang w:val="en-US" w:eastAsia="zh-CN"/>
        </w:rPr>
        <w:t>项目地点位于晋宁工业园区二街基地。本技改项目实施后产品方案、产量、占地面积、生产工艺、生产原辅材料等均不发生变化，仅</w:t>
      </w:r>
      <w:r>
        <w:rPr>
          <w:rFonts w:hint="eastAsia" w:ascii="Times New Roman" w:hAnsi="Times New Roman" w:eastAsia="华文仿宋" w:cs="Times New Roman"/>
          <w:color w:val="auto"/>
          <w:sz w:val="32"/>
          <w:szCs w:val="22"/>
          <w:lang w:val="en-US" w:eastAsia="zh-CN"/>
        </w:rPr>
        <w:t>拆除原有2台4t/h燃煤锅炉（1备1用），建设2台4t/h超低氮燃气冷凝蒸汽锅炉(1备1用)代替原有锅炉并配套相关环保设施及辅助设施</w:t>
      </w:r>
      <w:r>
        <w:rPr>
          <w:rFonts w:hint="eastAsia" w:eastAsia="华文仿宋"/>
          <w:color w:val="auto"/>
          <w:sz w:val="32"/>
          <w:szCs w:val="22"/>
          <w:lang w:val="en-US" w:eastAsia="zh-CN"/>
        </w:rPr>
        <w:t>。项目总投资125万元，其中环保投资6.9万元。</w:t>
      </w:r>
    </w:p>
    <w:p>
      <w:pPr>
        <w:keepNext w:val="0"/>
        <w:keepLines w:val="0"/>
        <w:pageBreakBefore w:val="0"/>
        <w:kinsoku/>
        <w:wordWrap/>
        <w:overflowPunct/>
        <w:autoSpaceDE/>
        <w:autoSpaceDN/>
        <w:bidi w:val="0"/>
        <w:spacing w:line="560" w:lineRule="exact"/>
        <w:ind w:left="0" w:firstLine="645"/>
        <w:textAlignment w:val="baseline"/>
        <w:rPr>
          <w:rFonts w:eastAsia="华文仿宋"/>
          <w:sz w:val="32"/>
        </w:rPr>
      </w:pPr>
      <w:r>
        <w:rPr>
          <w:rFonts w:eastAsia="华文仿宋"/>
          <w:sz w:val="32"/>
        </w:rPr>
        <w:t>根据《</w:t>
      </w:r>
      <w:r>
        <w:rPr>
          <w:rFonts w:hint="eastAsia" w:eastAsia="华文仿宋"/>
          <w:sz w:val="32"/>
        </w:rPr>
        <w:t>报告表</w:t>
      </w:r>
      <w:r>
        <w:rPr>
          <w:rFonts w:eastAsia="华文仿宋"/>
          <w:sz w:val="32"/>
        </w:rPr>
        <w:t>》所述工程内容、规模、功能以及环保对策措施，同意《</w:t>
      </w:r>
      <w:r>
        <w:rPr>
          <w:rFonts w:hint="eastAsia" w:eastAsia="华文仿宋"/>
          <w:sz w:val="32"/>
        </w:rPr>
        <w:t>报告表</w:t>
      </w:r>
      <w:r>
        <w:rPr>
          <w:rFonts w:eastAsia="华文仿宋"/>
          <w:sz w:val="32"/>
        </w:rPr>
        <w:t>》</w:t>
      </w:r>
      <w:r>
        <w:rPr>
          <w:rFonts w:hint="eastAsia" w:eastAsia="华文仿宋"/>
          <w:sz w:val="32"/>
          <w:szCs w:val="22"/>
          <w:lang w:val="en-US" w:eastAsia="zh-CN" w:bidi="ar-SA"/>
        </w:rPr>
        <w:t>结论</w:t>
      </w:r>
      <w:r>
        <w:rPr>
          <w:rFonts w:eastAsia="华文仿宋"/>
          <w:sz w:val="32"/>
        </w:rPr>
        <w:t>。</w:t>
      </w:r>
    </w:p>
    <w:p>
      <w:pPr>
        <w:keepNext w:val="0"/>
        <w:keepLines w:val="0"/>
        <w:pageBreakBefore w:val="0"/>
        <w:kinsoku/>
        <w:wordWrap/>
        <w:overflowPunct/>
        <w:autoSpaceDE/>
        <w:autoSpaceDN/>
        <w:bidi w:val="0"/>
        <w:spacing w:line="560" w:lineRule="exact"/>
        <w:ind w:left="0" w:firstLine="645"/>
        <w:textAlignment w:val="baseline"/>
        <w:rPr>
          <w:rFonts w:hint="eastAsia" w:eastAsia="华文仿宋"/>
          <w:sz w:val="32"/>
        </w:rPr>
      </w:pPr>
      <w:r>
        <w:rPr>
          <w:rFonts w:eastAsia="华文仿宋"/>
          <w:sz w:val="32"/>
        </w:rPr>
        <w:t>二、项目应建立完善的“雨污分流”排水系统，并与区域排水系统相协调。</w:t>
      </w:r>
    </w:p>
    <w:p>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55"/>
        <w:textAlignment w:val="bottom"/>
        <w:rPr>
          <w:rFonts w:hint="eastAsia" w:eastAsia="华文仿宋"/>
          <w:color w:val="auto"/>
          <w:sz w:val="32"/>
          <w:lang w:eastAsia="zh-CN"/>
        </w:rPr>
      </w:pPr>
      <w:r>
        <w:rPr>
          <w:rFonts w:hint="eastAsia" w:eastAsia="华文仿宋"/>
          <w:sz w:val="32"/>
          <w:szCs w:val="22"/>
          <w:lang w:eastAsia="zh-CN"/>
        </w:rPr>
        <w:t>项目锅炉改造后锅炉的强制排水排入厂区自建污水处理站处理达</w:t>
      </w:r>
      <w:r>
        <w:rPr>
          <w:rFonts w:eastAsia="华文仿宋"/>
          <w:color w:val="auto"/>
          <w:sz w:val="32"/>
        </w:rPr>
        <w:t>《污水排入城镇下水道水质标准》</w:t>
      </w:r>
      <w:r>
        <w:rPr>
          <w:rFonts w:hint="eastAsia" w:eastAsia="华文仿宋"/>
          <w:color w:val="auto"/>
          <w:sz w:val="32"/>
          <w:lang w:eastAsia="zh-CN"/>
        </w:rPr>
        <w:t>（</w:t>
      </w:r>
      <w:r>
        <w:rPr>
          <w:rFonts w:hint="eastAsia" w:eastAsia="华文仿宋"/>
          <w:color w:val="auto"/>
          <w:sz w:val="32"/>
        </w:rPr>
        <w:t>GB/T31962-2015</w:t>
      </w:r>
      <w:r>
        <w:rPr>
          <w:rFonts w:hint="eastAsia" w:eastAsia="华文仿宋"/>
          <w:color w:val="auto"/>
          <w:sz w:val="32"/>
          <w:lang w:eastAsia="zh-CN"/>
        </w:rPr>
        <w:t>）</w:t>
      </w:r>
      <w:r>
        <w:rPr>
          <w:rFonts w:eastAsia="华文仿宋"/>
          <w:color w:val="auto"/>
          <w:sz w:val="32"/>
        </w:rPr>
        <w:t xml:space="preserve">表1 </w:t>
      </w:r>
      <w:r>
        <w:rPr>
          <w:rFonts w:hint="eastAsia" w:eastAsia="华文仿宋"/>
          <w:color w:val="auto"/>
          <w:sz w:val="32"/>
        </w:rPr>
        <w:t>A</w:t>
      </w:r>
      <w:r>
        <w:rPr>
          <w:rFonts w:eastAsia="华文仿宋"/>
          <w:color w:val="auto"/>
          <w:sz w:val="32"/>
        </w:rPr>
        <w:t>等级标准，</w:t>
      </w:r>
      <w:r>
        <w:rPr>
          <w:rFonts w:hint="eastAsia" w:eastAsia="华文仿宋"/>
          <w:color w:val="auto"/>
          <w:sz w:val="32"/>
        </w:rPr>
        <w:t>即：</w:t>
      </w:r>
      <w:r>
        <w:rPr>
          <w:rFonts w:eastAsia="华文仿宋"/>
          <w:color w:val="auto"/>
          <w:sz w:val="32"/>
        </w:rPr>
        <w:t>pH</w:t>
      </w:r>
      <w:r>
        <w:rPr>
          <w:rFonts w:hint="eastAsia" w:eastAsia="华文仿宋"/>
          <w:color w:val="auto"/>
          <w:sz w:val="32"/>
        </w:rPr>
        <w:t>值</w:t>
      </w:r>
      <w:r>
        <w:rPr>
          <w:rFonts w:eastAsia="华文仿宋"/>
          <w:color w:val="auto"/>
          <w:sz w:val="32"/>
        </w:rPr>
        <w:t>6</w:t>
      </w:r>
      <w:r>
        <w:rPr>
          <w:rFonts w:hint="eastAsia" w:eastAsia="华文仿宋"/>
          <w:color w:val="auto"/>
          <w:sz w:val="32"/>
          <w:lang w:val="en-US" w:eastAsia="zh-CN"/>
        </w:rPr>
        <w:t>.5</w:t>
      </w:r>
      <w:r>
        <w:rPr>
          <w:rFonts w:eastAsia="华文仿宋"/>
          <w:color w:val="auto"/>
          <w:sz w:val="32"/>
        </w:rPr>
        <w:t>-9</w:t>
      </w:r>
      <w:r>
        <w:rPr>
          <w:rFonts w:hint="eastAsia" w:eastAsia="华文仿宋"/>
          <w:color w:val="auto"/>
          <w:sz w:val="32"/>
          <w:lang w:val="en-US" w:eastAsia="zh-CN"/>
        </w:rPr>
        <w:t>.5</w:t>
      </w:r>
      <w:r>
        <w:rPr>
          <w:rFonts w:hint="eastAsia" w:eastAsia="华文仿宋"/>
          <w:color w:val="auto"/>
          <w:sz w:val="32"/>
        </w:rPr>
        <w:t>、</w:t>
      </w:r>
      <w:r>
        <w:rPr>
          <w:rFonts w:eastAsia="华文仿宋"/>
          <w:color w:val="auto"/>
          <w:sz w:val="32"/>
        </w:rPr>
        <w:t>SS≤400mg/L</w:t>
      </w:r>
      <w:r>
        <w:rPr>
          <w:rFonts w:hint="eastAsia" w:eastAsia="华文仿宋"/>
          <w:color w:val="auto"/>
          <w:sz w:val="32"/>
        </w:rPr>
        <w:t>、COD</w:t>
      </w:r>
      <w:r>
        <w:rPr>
          <w:rFonts w:hint="eastAsia" w:eastAsia="华文仿宋"/>
          <w:color w:val="auto"/>
          <w:sz w:val="32"/>
          <w:vertAlign w:val="subscript"/>
        </w:rPr>
        <w:t xml:space="preserve">Cr </w:t>
      </w:r>
      <w:r>
        <w:rPr>
          <w:rFonts w:eastAsia="华文仿宋"/>
          <w:color w:val="auto"/>
          <w:sz w:val="32"/>
        </w:rPr>
        <w:t>≤500mg/L</w:t>
      </w:r>
      <w:r>
        <w:rPr>
          <w:rFonts w:hint="eastAsia" w:eastAsia="华文仿宋"/>
          <w:color w:val="auto"/>
          <w:sz w:val="32"/>
        </w:rPr>
        <w:t>、</w:t>
      </w:r>
      <w:r>
        <w:rPr>
          <w:rFonts w:eastAsia="华文仿宋"/>
          <w:color w:val="auto"/>
          <w:sz w:val="32"/>
        </w:rPr>
        <w:t>BOD</w:t>
      </w:r>
      <w:r>
        <w:rPr>
          <w:rFonts w:eastAsia="华文仿宋"/>
          <w:color w:val="auto"/>
          <w:sz w:val="32"/>
          <w:vertAlign w:val="subscript"/>
        </w:rPr>
        <w:t>5</w:t>
      </w:r>
      <w:r>
        <w:rPr>
          <w:rFonts w:eastAsia="华文仿宋"/>
          <w:color w:val="auto"/>
          <w:sz w:val="32"/>
        </w:rPr>
        <w:t>≤3</w:t>
      </w:r>
      <w:r>
        <w:rPr>
          <w:rFonts w:hint="eastAsia" w:eastAsia="华文仿宋"/>
          <w:color w:val="auto"/>
          <w:sz w:val="32"/>
          <w:lang w:val="en-US" w:eastAsia="zh-CN"/>
        </w:rPr>
        <w:t>5</w:t>
      </w:r>
      <w:r>
        <w:rPr>
          <w:rFonts w:eastAsia="华文仿宋"/>
          <w:color w:val="auto"/>
          <w:sz w:val="32"/>
        </w:rPr>
        <w:t>0mg/L</w:t>
      </w:r>
      <w:r>
        <w:rPr>
          <w:rFonts w:hint="eastAsia" w:eastAsia="华文仿宋"/>
          <w:color w:val="auto"/>
          <w:sz w:val="32"/>
        </w:rPr>
        <w:t>、氨氮</w:t>
      </w:r>
      <w:r>
        <w:rPr>
          <w:rFonts w:eastAsia="华文仿宋"/>
          <w:color w:val="auto"/>
          <w:sz w:val="32"/>
        </w:rPr>
        <w:t>≤45mg/L</w:t>
      </w:r>
      <w:r>
        <w:rPr>
          <w:rFonts w:hint="eastAsia" w:eastAsia="华文仿宋"/>
          <w:color w:val="auto"/>
          <w:sz w:val="32"/>
        </w:rPr>
        <w:t>、</w:t>
      </w:r>
      <w:r>
        <w:rPr>
          <w:rFonts w:eastAsia="华文仿宋"/>
          <w:color w:val="auto"/>
          <w:sz w:val="32"/>
        </w:rPr>
        <w:t>T-P≤8.0mg/L</w:t>
      </w:r>
      <w:r>
        <w:rPr>
          <w:rFonts w:hint="eastAsia" w:eastAsia="华文仿宋"/>
          <w:color w:val="auto"/>
          <w:sz w:val="32"/>
        </w:rPr>
        <w:t>、动植物油</w:t>
      </w:r>
      <w:r>
        <w:rPr>
          <w:rFonts w:eastAsia="华文仿宋"/>
          <w:color w:val="auto"/>
          <w:sz w:val="32"/>
        </w:rPr>
        <w:t>≤100mg/L</w:t>
      </w:r>
      <w:r>
        <w:rPr>
          <w:rFonts w:hint="eastAsia" w:eastAsia="华文仿宋"/>
          <w:color w:val="auto"/>
          <w:sz w:val="32"/>
          <w:lang w:eastAsia="zh-CN"/>
        </w:rPr>
        <w:t>，</w:t>
      </w:r>
      <w:r>
        <w:rPr>
          <w:rFonts w:hint="eastAsia" w:eastAsia="华文仿宋"/>
          <w:color w:val="auto"/>
          <w:sz w:val="32"/>
          <w:szCs w:val="22"/>
          <w:lang w:eastAsia="zh-CN"/>
        </w:rPr>
        <w:t>然后经</w:t>
      </w:r>
      <w:r>
        <w:rPr>
          <w:rFonts w:hint="eastAsia" w:eastAsia="华文仿宋"/>
          <w:color w:val="auto"/>
          <w:sz w:val="32"/>
          <w:szCs w:val="22"/>
        </w:rPr>
        <w:t>园区</w:t>
      </w:r>
      <w:r>
        <w:rPr>
          <w:rFonts w:hint="eastAsia" w:eastAsia="华文仿宋"/>
          <w:color w:val="auto"/>
          <w:sz w:val="32"/>
          <w:szCs w:val="22"/>
          <w:lang w:eastAsia="zh-CN"/>
        </w:rPr>
        <w:t>污水管网</w:t>
      </w:r>
      <w:r>
        <w:rPr>
          <w:rFonts w:hint="eastAsia" w:eastAsia="华文仿宋"/>
          <w:color w:val="auto"/>
          <w:sz w:val="32"/>
          <w:szCs w:val="22"/>
        </w:rPr>
        <w:t>进</w:t>
      </w:r>
      <w:r>
        <w:rPr>
          <w:rFonts w:hint="eastAsia" w:eastAsia="华文仿宋"/>
          <w:color w:val="auto"/>
          <w:sz w:val="32"/>
          <w:szCs w:val="22"/>
          <w:lang w:eastAsia="zh-CN"/>
        </w:rPr>
        <w:t>入</w:t>
      </w:r>
      <w:r>
        <w:rPr>
          <w:rFonts w:hint="eastAsia" w:ascii="Times New Roman" w:hAnsi="Times New Roman" w:eastAsia="华文仿宋" w:cs="Times New Roman"/>
          <w:sz w:val="32"/>
          <w:szCs w:val="22"/>
          <w:lang w:val="en-US" w:eastAsia="zh-CN"/>
        </w:rPr>
        <w:t>二街</w:t>
      </w:r>
      <w:r>
        <w:rPr>
          <w:rFonts w:hint="eastAsia" w:eastAsia="华文仿宋" w:cs="Times New Roman"/>
          <w:sz w:val="32"/>
          <w:szCs w:val="22"/>
          <w:lang w:val="en-US" w:eastAsia="zh-CN"/>
        </w:rPr>
        <w:t>生活</w:t>
      </w:r>
      <w:r>
        <w:rPr>
          <w:rFonts w:hint="eastAsia" w:ascii="Times New Roman" w:hAnsi="Times New Roman" w:eastAsia="华文仿宋" w:cs="Times New Roman"/>
          <w:sz w:val="32"/>
          <w:szCs w:val="22"/>
          <w:lang w:val="en-US" w:eastAsia="zh-CN"/>
        </w:rPr>
        <w:t>污水处理厂处理</w:t>
      </w:r>
      <w:r>
        <w:rPr>
          <w:rFonts w:hint="eastAsia" w:eastAsia="华文仿宋" w:cs="Times New Roman"/>
          <w:sz w:val="32"/>
          <w:szCs w:val="22"/>
          <w:lang w:val="en-US" w:eastAsia="zh-CN"/>
        </w:rPr>
        <w:t>，</w:t>
      </w:r>
      <w:r>
        <w:rPr>
          <w:rFonts w:hint="eastAsia" w:eastAsia="华文仿宋"/>
          <w:color w:val="auto"/>
          <w:sz w:val="32"/>
          <w:lang w:eastAsia="zh-CN"/>
        </w:rPr>
        <w:t>项目</w:t>
      </w:r>
      <w:r>
        <w:rPr>
          <w:rFonts w:eastAsia="华文仿宋"/>
          <w:color w:val="auto"/>
          <w:sz w:val="32"/>
        </w:rPr>
        <w:t>限设一个规范化污水排放口，并在污水排放口处设立明显的</w:t>
      </w:r>
      <w:r>
        <w:rPr>
          <w:rFonts w:hint="eastAsia" w:eastAsia="华文仿宋"/>
          <w:color w:val="auto"/>
          <w:sz w:val="32"/>
          <w:lang w:eastAsia="zh-CN"/>
        </w:rPr>
        <w:t>标识。</w:t>
      </w:r>
    </w:p>
    <w:p>
      <w:pPr>
        <w:keepNext w:val="0"/>
        <w:keepLines w:val="0"/>
        <w:pageBreakBefore w:val="0"/>
        <w:numPr>
          <w:ilvl w:val="0"/>
          <w:numId w:val="1"/>
        </w:numPr>
        <w:kinsoku/>
        <w:wordWrap/>
        <w:overflowPunct/>
        <w:autoSpaceDE/>
        <w:autoSpaceDN/>
        <w:bidi w:val="0"/>
        <w:spacing w:line="560" w:lineRule="exact"/>
        <w:ind w:left="0" w:firstLine="645"/>
        <w:textAlignment w:val="baseline"/>
        <w:rPr>
          <w:rFonts w:hint="eastAsia" w:eastAsia="华文仿宋"/>
          <w:color w:val="auto"/>
          <w:sz w:val="32"/>
          <w:szCs w:val="22"/>
          <w:lang w:val="en-US" w:eastAsia="zh-CN"/>
        </w:rPr>
      </w:pPr>
      <w:r>
        <w:rPr>
          <w:rFonts w:eastAsia="华文仿宋"/>
          <w:sz w:val="32"/>
        </w:rPr>
        <w:t>项目产生的废气主要</w:t>
      </w:r>
      <w:r>
        <w:rPr>
          <w:rFonts w:hint="eastAsia" w:eastAsia="华文仿宋"/>
          <w:sz w:val="32"/>
        </w:rPr>
        <w:t>有SO</w:t>
      </w:r>
      <w:r>
        <w:rPr>
          <w:rFonts w:hint="eastAsia" w:eastAsia="华文仿宋"/>
          <w:sz w:val="32"/>
          <w:vertAlign w:val="subscript"/>
        </w:rPr>
        <w:t>2</w:t>
      </w:r>
      <w:r>
        <w:rPr>
          <w:rFonts w:hint="eastAsia" w:eastAsia="华文仿宋"/>
          <w:sz w:val="32"/>
        </w:rPr>
        <w:t>、NOx、</w:t>
      </w:r>
      <w:r>
        <w:rPr>
          <w:rFonts w:hint="eastAsia" w:eastAsia="华文仿宋"/>
          <w:color w:val="auto"/>
          <w:sz w:val="32"/>
          <w:szCs w:val="22"/>
          <w:lang w:val="en-US" w:eastAsia="zh-CN"/>
        </w:rPr>
        <w:t>颗粒物</w:t>
      </w:r>
      <w:r>
        <w:rPr>
          <w:rFonts w:eastAsia="华文仿宋"/>
          <w:sz w:val="32"/>
        </w:rPr>
        <w:t>。</w:t>
      </w:r>
      <w:r>
        <w:rPr>
          <w:rFonts w:hint="eastAsia" w:eastAsia="华文仿宋"/>
          <w:color w:val="auto"/>
          <w:sz w:val="32"/>
          <w:szCs w:val="22"/>
          <w:lang w:val="en-US" w:eastAsia="zh-CN"/>
        </w:rPr>
        <w:t>项目产生废气的车间应合理布局，加强通风。</w:t>
      </w:r>
    </w:p>
    <w:p>
      <w:pPr>
        <w:keepNext w:val="0"/>
        <w:keepLines w:val="0"/>
        <w:pageBreakBefore w:val="0"/>
        <w:kinsoku/>
        <w:wordWrap/>
        <w:overflowPunct/>
        <w:topLinePunct/>
        <w:autoSpaceDE/>
        <w:autoSpaceDN/>
        <w:bidi w:val="0"/>
        <w:spacing w:line="560" w:lineRule="exact"/>
        <w:ind w:left="0" w:firstLine="640" w:firstLineChars="200"/>
        <w:rPr>
          <w:rFonts w:hint="eastAsia" w:eastAsia="华文仿宋"/>
          <w:color w:val="auto"/>
          <w:sz w:val="32"/>
          <w:szCs w:val="22"/>
          <w:lang w:val="en-US" w:eastAsia="zh-CN"/>
        </w:rPr>
      </w:pPr>
      <w:r>
        <w:rPr>
          <w:rFonts w:hint="eastAsia" w:eastAsia="华文仿宋"/>
          <w:color w:val="auto"/>
          <w:sz w:val="32"/>
          <w:szCs w:val="22"/>
          <w:lang w:val="en-US" w:eastAsia="zh-CN"/>
        </w:rPr>
        <w:t>项目</w:t>
      </w:r>
      <w:r>
        <w:rPr>
          <w:rFonts w:hint="eastAsia" w:ascii="Times New Roman" w:hAnsi="Times New Roman" w:eastAsia="华文仿宋" w:cs="Times New Roman"/>
          <w:color w:val="auto"/>
          <w:sz w:val="32"/>
          <w:szCs w:val="22"/>
          <w:lang w:val="en-US" w:eastAsia="zh-CN"/>
        </w:rPr>
        <w:t>锅炉燃烧废气通过18</w:t>
      </w:r>
      <w:r>
        <w:rPr>
          <w:rFonts w:hint="eastAsia" w:eastAsia="华文仿宋"/>
          <w:color w:val="auto"/>
          <w:sz w:val="32"/>
          <w:szCs w:val="22"/>
          <w:lang w:val="en-US" w:eastAsia="zh-CN"/>
        </w:rPr>
        <w:t>米高的排气筒排放，锅炉废气排放执行《锅炉大气污染物排放标准》（GB13271－2014）中表2燃煤锅炉标准，即：SO</w:t>
      </w:r>
      <w:r>
        <w:rPr>
          <w:rFonts w:hint="eastAsia" w:eastAsia="华文仿宋"/>
          <w:color w:val="auto"/>
          <w:sz w:val="32"/>
          <w:szCs w:val="22"/>
          <w:vertAlign w:val="subscript"/>
          <w:lang w:val="en-US" w:eastAsia="zh-CN"/>
        </w:rPr>
        <w:t>2</w:t>
      </w:r>
      <w:r>
        <w:rPr>
          <w:rFonts w:hint="eastAsia" w:eastAsia="华文仿宋"/>
          <w:color w:val="auto"/>
          <w:sz w:val="32"/>
          <w:szCs w:val="22"/>
          <w:lang w:val="en-US" w:eastAsia="zh-CN"/>
        </w:rPr>
        <w:t>≤50mg/m</w:t>
      </w:r>
      <w:r>
        <w:rPr>
          <w:rFonts w:hint="eastAsia" w:eastAsia="华文仿宋"/>
          <w:color w:val="auto"/>
          <w:sz w:val="32"/>
          <w:szCs w:val="22"/>
          <w:vertAlign w:val="superscript"/>
          <w:lang w:val="en-US" w:eastAsia="zh-CN"/>
        </w:rPr>
        <w:t>3</w:t>
      </w:r>
      <w:r>
        <w:rPr>
          <w:rFonts w:hint="eastAsia" w:eastAsia="华文仿宋"/>
          <w:color w:val="auto"/>
          <w:sz w:val="32"/>
          <w:szCs w:val="22"/>
          <w:lang w:val="en-US" w:eastAsia="zh-CN"/>
        </w:rPr>
        <w:t>、NOx≤200mg/m</w:t>
      </w:r>
      <w:r>
        <w:rPr>
          <w:rFonts w:hint="eastAsia" w:eastAsia="华文仿宋"/>
          <w:color w:val="auto"/>
          <w:sz w:val="32"/>
          <w:szCs w:val="22"/>
          <w:vertAlign w:val="superscript"/>
          <w:lang w:val="en-US" w:eastAsia="zh-CN"/>
        </w:rPr>
        <w:t>3</w:t>
      </w:r>
      <w:r>
        <w:rPr>
          <w:rFonts w:hint="eastAsia" w:eastAsia="华文仿宋"/>
          <w:color w:val="auto"/>
          <w:sz w:val="32"/>
          <w:szCs w:val="22"/>
          <w:lang w:val="en-US" w:eastAsia="zh-CN"/>
        </w:rPr>
        <w:t>、，颗粒物≤</w:t>
      </w:r>
      <w:r>
        <w:rPr>
          <w:rFonts w:hint="eastAsia" w:ascii="Times New Roman" w:hAnsi="Times New Roman" w:eastAsia="华文仿宋" w:cs="Times New Roman"/>
          <w:color w:val="auto"/>
          <w:sz w:val="32"/>
          <w:szCs w:val="22"/>
          <w:lang w:val="en-US" w:eastAsia="zh-CN"/>
        </w:rPr>
        <w:t>20</w:t>
      </w:r>
      <w:r>
        <w:rPr>
          <w:rFonts w:hint="eastAsia" w:eastAsia="华文仿宋"/>
          <w:color w:val="auto"/>
          <w:sz w:val="32"/>
          <w:szCs w:val="22"/>
          <w:lang w:val="en-US" w:eastAsia="zh-CN"/>
        </w:rPr>
        <w:t>mg/m</w:t>
      </w:r>
      <w:r>
        <w:rPr>
          <w:rFonts w:hint="eastAsia" w:eastAsia="华文仿宋"/>
          <w:color w:val="auto"/>
          <w:sz w:val="32"/>
          <w:szCs w:val="22"/>
          <w:vertAlign w:val="superscript"/>
          <w:lang w:val="en-US" w:eastAsia="zh-CN"/>
        </w:rPr>
        <w:t>3</w:t>
      </w:r>
      <w:r>
        <w:rPr>
          <w:rFonts w:hint="eastAsia" w:ascii="Times New Roman" w:hAnsi="Times New Roman" w:eastAsia="华文仿宋" w:cs="Times New Roman"/>
          <w:color w:val="auto"/>
          <w:sz w:val="32"/>
          <w:szCs w:val="22"/>
          <w:lang w:val="en-US" w:eastAsia="zh-CN"/>
        </w:rPr>
        <w:t>，</w:t>
      </w:r>
      <w:r>
        <w:rPr>
          <w:rFonts w:hint="eastAsia" w:eastAsia="华文仿宋"/>
          <w:color w:val="auto"/>
          <w:sz w:val="32"/>
          <w:szCs w:val="22"/>
          <w:lang w:val="en-US" w:eastAsia="zh-CN"/>
        </w:rPr>
        <w:t>烟气黑度≤1级。</w:t>
      </w:r>
    </w:p>
    <w:p>
      <w:pPr>
        <w:keepNext w:val="0"/>
        <w:keepLines w:val="0"/>
        <w:pageBreakBefore w:val="0"/>
        <w:kinsoku/>
        <w:wordWrap/>
        <w:overflowPunct/>
        <w:autoSpaceDE/>
        <w:autoSpaceDN/>
        <w:bidi w:val="0"/>
        <w:spacing w:line="560" w:lineRule="exact"/>
        <w:ind w:firstLine="601"/>
        <w:rPr>
          <w:rFonts w:eastAsia="华文仿宋"/>
          <w:sz w:val="32"/>
        </w:rPr>
      </w:pPr>
      <w:r>
        <w:rPr>
          <w:rFonts w:hint="eastAsia" w:eastAsia="华文仿宋"/>
          <w:color w:val="auto"/>
          <w:sz w:val="32"/>
          <w:szCs w:val="22"/>
          <w:lang w:val="en-US" w:eastAsia="zh-CN"/>
        </w:rPr>
        <w:t>技改完成后全厂的废气污染物总量控制指标：</w:t>
      </w:r>
      <w:r>
        <w:rPr>
          <w:rFonts w:hint="eastAsia" w:ascii="Times New Roman" w:hAnsi="Times New Roman" w:eastAsia="华文仿宋" w:cs="Times New Roman"/>
          <w:color w:val="auto"/>
          <w:sz w:val="32"/>
          <w:szCs w:val="22"/>
          <w:lang w:val="en-US" w:eastAsia="zh-CN"/>
        </w:rPr>
        <w:t>二氧化硫：0.136t/a；氮氧化物：0.636t/a；颗粒物：0.194t/a。</w:t>
      </w:r>
    </w:p>
    <w:p>
      <w:pPr>
        <w:keepNext w:val="0"/>
        <w:keepLines w:val="0"/>
        <w:pageBreakBefore w:val="0"/>
        <w:widowControl/>
        <w:kinsoku/>
        <w:wordWrap/>
        <w:overflowPunct/>
        <w:autoSpaceDE/>
        <w:autoSpaceDN/>
        <w:bidi w:val="0"/>
        <w:spacing w:line="560" w:lineRule="exact"/>
        <w:ind w:left="0" w:firstLine="630"/>
        <w:textAlignment w:val="baseline"/>
        <w:rPr>
          <w:rFonts w:hint="eastAsia" w:eastAsia="华文仿宋"/>
          <w:sz w:val="32"/>
        </w:rPr>
      </w:pPr>
      <w:r>
        <w:rPr>
          <w:rFonts w:eastAsia="华文仿宋"/>
          <w:sz w:val="32"/>
        </w:rPr>
        <w:t>四、项目产生噪声的场所和设施应合理布局，做隔声降噪处理，项目厂界噪声</w:t>
      </w:r>
      <w:r>
        <w:rPr>
          <w:rFonts w:hint="eastAsia" w:eastAsia="华文仿宋"/>
          <w:sz w:val="32"/>
        </w:rPr>
        <w:t>执行</w:t>
      </w:r>
      <w:r>
        <w:rPr>
          <w:rFonts w:eastAsia="华文仿宋"/>
          <w:sz w:val="32"/>
        </w:rPr>
        <w:t>GB12348—2008《工业企业厂界</w:t>
      </w:r>
      <w:r>
        <w:rPr>
          <w:rFonts w:hint="eastAsia" w:eastAsia="华文仿宋"/>
          <w:sz w:val="32"/>
        </w:rPr>
        <w:t>环境</w:t>
      </w:r>
      <w:r>
        <w:rPr>
          <w:rFonts w:eastAsia="华文仿宋"/>
          <w:sz w:val="32"/>
        </w:rPr>
        <w:t>噪声排放标准》</w:t>
      </w:r>
      <w:r>
        <w:rPr>
          <w:rFonts w:hint="eastAsia" w:eastAsia="华文仿宋"/>
          <w:sz w:val="32"/>
        </w:rPr>
        <w:t>3</w:t>
      </w:r>
      <w:r>
        <w:rPr>
          <w:rFonts w:eastAsia="华文仿宋"/>
          <w:sz w:val="32"/>
        </w:rPr>
        <w:t>类区标准，即：昼间</w:t>
      </w:r>
      <w:r>
        <w:rPr>
          <w:rFonts w:hint="eastAsia" w:eastAsia="华文仿宋"/>
          <w:sz w:val="32"/>
        </w:rPr>
        <w:t>≤65dB</w:t>
      </w:r>
      <w:r>
        <w:rPr>
          <w:rFonts w:eastAsia="华文仿宋"/>
          <w:sz w:val="32"/>
        </w:rPr>
        <w:t>，夜间</w:t>
      </w:r>
      <w:r>
        <w:rPr>
          <w:rFonts w:hint="eastAsia" w:eastAsia="华文仿宋"/>
          <w:sz w:val="32"/>
        </w:rPr>
        <w:t xml:space="preserve">≤55dB。   </w:t>
      </w:r>
    </w:p>
    <w:p>
      <w:pPr>
        <w:keepNext w:val="0"/>
        <w:keepLines w:val="0"/>
        <w:pageBreakBefore w:val="0"/>
        <w:widowControl/>
        <w:kinsoku/>
        <w:wordWrap/>
        <w:overflowPunct/>
        <w:autoSpaceDE/>
        <w:autoSpaceDN/>
        <w:bidi w:val="0"/>
        <w:spacing w:line="560" w:lineRule="exact"/>
        <w:ind w:left="0" w:firstLine="630"/>
        <w:textAlignment w:val="baseline"/>
        <w:rPr>
          <w:rFonts w:hint="eastAsia" w:eastAsia="华文仿宋"/>
          <w:sz w:val="32"/>
        </w:rPr>
      </w:pPr>
      <w:r>
        <w:rPr>
          <w:rFonts w:eastAsia="华文仿宋"/>
          <w:sz w:val="32"/>
        </w:rPr>
        <w:t>施工过程中严格控制各类施工机械产生的噪声，施工场界噪声应符合GB12523-2011《建筑施工场界环境噪声排放标准》表1标准，即：昼间≤70 dB，夜间≤55 dB。禁止夜间(22:00至次日6:00)进行产生环境噪声污染的建筑施工作业。</w:t>
      </w:r>
    </w:p>
    <w:p>
      <w:pPr>
        <w:pStyle w:val="25"/>
        <w:keepNext w:val="0"/>
        <w:keepLines w:val="0"/>
        <w:pageBreakBefore w:val="0"/>
        <w:kinsoku/>
        <w:wordWrap/>
        <w:overflowPunct/>
        <w:autoSpaceDE/>
        <w:autoSpaceDN/>
        <w:bidi w:val="0"/>
        <w:spacing w:line="560" w:lineRule="exact"/>
        <w:ind w:left="0" w:firstLine="640" w:firstLineChars="200"/>
        <w:jc w:val="both"/>
        <w:rPr>
          <w:rFonts w:hint="eastAsia" w:eastAsia="华文仿宋"/>
          <w:sz w:val="32"/>
        </w:rPr>
      </w:pPr>
      <w:r>
        <w:rPr>
          <w:rFonts w:hint="eastAsia" w:eastAsia="华文仿宋"/>
          <w:sz w:val="32"/>
        </w:rPr>
        <w:t>五、项目固体废弃物应分类收集，</w:t>
      </w:r>
      <w:r>
        <w:rPr>
          <w:rFonts w:hint="eastAsia" w:eastAsia="华文仿宋"/>
          <w:sz w:val="32"/>
          <w:lang w:val="en-US" w:eastAsia="zh-CN"/>
        </w:rPr>
        <w:t>离子交换树脂由厂家更换后回收处置</w:t>
      </w:r>
      <w:r>
        <w:rPr>
          <w:rFonts w:hint="eastAsia" w:eastAsia="华文仿宋"/>
          <w:sz w:val="32"/>
          <w:lang w:eastAsia="zh-CN"/>
        </w:rPr>
        <w:t>。</w:t>
      </w:r>
    </w:p>
    <w:p>
      <w:pPr>
        <w:keepNext w:val="0"/>
        <w:keepLines w:val="0"/>
        <w:pageBreakBefore w:val="0"/>
        <w:widowControl/>
        <w:kinsoku/>
        <w:wordWrap/>
        <w:overflowPunct/>
        <w:autoSpaceDE/>
        <w:autoSpaceDN/>
        <w:bidi w:val="0"/>
        <w:spacing w:line="560" w:lineRule="exact"/>
        <w:ind w:left="0" w:firstLine="640" w:firstLineChars="200"/>
        <w:textAlignment w:val="baseline"/>
        <w:rPr>
          <w:rFonts w:eastAsia="华文仿宋"/>
          <w:sz w:val="32"/>
        </w:rPr>
      </w:pPr>
      <w:r>
        <w:rPr>
          <w:rFonts w:eastAsia="华文仿宋"/>
          <w:sz w:val="32"/>
        </w:rPr>
        <w:t>施工产生的建筑固体废弃物应收集并及时清运，妥善处置，不得随意乱倒。</w:t>
      </w:r>
    </w:p>
    <w:p>
      <w:pPr>
        <w:pStyle w:val="16"/>
        <w:keepNext w:val="0"/>
        <w:keepLines w:val="0"/>
        <w:pageBreakBefore w:val="0"/>
        <w:kinsoku/>
        <w:wordWrap/>
        <w:overflowPunct/>
        <w:autoSpaceDE/>
        <w:autoSpaceDN/>
        <w:bidi w:val="0"/>
        <w:spacing w:line="560" w:lineRule="exact"/>
        <w:ind w:left="0" w:firstLine="0" w:firstLineChars="0"/>
        <w:rPr>
          <w:rFonts w:ascii="华文仿宋" w:hAnsi="华文仿宋" w:eastAsia="华文仿宋"/>
          <w:sz w:val="32"/>
        </w:rPr>
      </w:pPr>
      <w:r>
        <w:rPr>
          <w:rFonts w:hint="eastAsia"/>
        </w:rPr>
        <w:t xml:space="preserve">     </w:t>
      </w:r>
      <w:r>
        <w:rPr>
          <w:rFonts w:ascii="华文仿宋" w:hAnsi="华文仿宋" w:eastAsia="华文仿宋"/>
          <w:sz w:val="32"/>
        </w:rPr>
        <w:t>六、禁止使用含磷洗涤用品及一次性不可降解塑料餐饮具。</w:t>
      </w:r>
    </w:p>
    <w:p>
      <w:pPr>
        <w:keepNext w:val="0"/>
        <w:keepLines w:val="0"/>
        <w:pageBreakBefore w:val="0"/>
        <w:kinsoku/>
        <w:wordWrap/>
        <w:overflowPunct/>
        <w:autoSpaceDE/>
        <w:autoSpaceDN/>
        <w:bidi w:val="0"/>
        <w:spacing w:line="560" w:lineRule="exact"/>
        <w:ind w:left="0" w:firstLine="640" w:firstLineChars="200"/>
        <w:textAlignment w:val="baseline"/>
        <w:rPr>
          <w:rFonts w:ascii="华文仿宋" w:hAnsi="华文仿宋" w:eastAsia="华文仿宋"/>
          <w:sz w:val="32"/>
        </w:rPr>
      </w:pPr>
      <w:r>
        <w:rPr>
          <w:rFonts w:ascii="华文仿宋" w:hAnsi="华文仿宋" w:eastAsia="华文仿宋"/>
          <w:sz w:val="32"/>
        </w:rPr>
        <w:t>七、建立完善的环境风险管理制度及风险防范应急措施，防止环境污染事故发生。</w:t>
      </w:r>
    </w:p>
    <w:p>
      <w:pPr>
        <w:keepNext w:val="0"/>
        <w:keepLines w:val="0"/>
        <w:pageBreakBefore w:val="0"/>
        <w:kinsoku/>
        <w:wordWrap/>
        <w:overflowPunct/>
        <w:autoSpaceDE/>
        <w:autoSpaceDN/>
        <w:bidi w:val="0"/>
        <w:spacing w:line="560" w:lineRule="exact"/>
        <w:ind w:left="0" w:firstLine="640" w:firstLineChars="200"/>
        <w:textAlignment w:val="baseline"/>
        <w:rPr>
          <w:rFonts w:ascii="华文仿宋" w:hAnsi="华文仿宋" w:eastAsia="华文仿宋"/>
          <w:sz w:val="32"/>
        </w:rPr>
      </w:pPr>
      <w:r>
        <w:rPr>
          <w:rFonts w:ascii="华文仿宋" w:hAnsi="华文仿宋" w:eastAsia="华文仿宋"/>
          <w:sz w:val="32"/>
        </w:rPr>
        <w:t>八、根据《中华人民共和国环境噪声污染防治法》第二十九条有关规定，施工单位必须在工程开工十五日以前向我局办理建筑噪声的排污申报手续。因特殊情况需要夜间连续作业的，施工单位必须持有关主管部门的证明向我局登记备案，于连续施工之日1天前公告附近居民和单位。并按规定到相关部门办理其它有关手续。</w:t>
      </w:r>
    </w:p>
    <w:p>
      <w:pPr>
        <w:keepNext w:val="0"/>
        <w:keepLines w:val="0"/>
        <w:pageBreakBefore w:val="0"/>
        <w:widowControl/>
        <w:kinsoku/>
        <w:wordWrap/>
        <w:overflowPunct/>
        <w:autoSpaceDE/>
        <w:autoSpaceDN/>
        <w:bidi w:val="0"/>
        <w:spacing w:line="560" w:lineRule="exact"/>
        <w:ind w:left="0" w:firstLine="640" w:firstLineChars="200"/>
        <w:textAlignment w:val="baseline"/>
        <w:rPr>
          <w:rFonts w:hAnsi="华文仿宋" w:eastAsia="华文仿宋"/>
          <w:sz w:val="32"/>
        </w:rPr>
      </w:pPr>
      <w:r>
        <w:rPr>
          <w:rFonts w:hAnsi="华文仿宋" w:eastAsia="华文仿宋"/>
          <w:sz w:val="32"/>
        </w:rPr>
        <w:t>九、《</w:t>
      </w:r>
      <w:r>
        <w:rPr>
          <w:rFonts w:hint="eastAsia" w:hAnsi="华文仿宋" w:eastAsia="华文仿宋"/>
          <w:sz w:val="32"/>
        </w:rPr>
        <w:t>报告表</w:t>
      </w:r>
      <w:r>
        <w:rPr>
          <w:rFonts w:hAnsi="华文仿宋" w:eastAsia="华文仿宋"/>
          <w:sz w:val="32"/>
        </w:rPr>
        <w:t>》应当作为项目环境保护设计、建设及运行管理的依据，项目应认真落实各项环保对策措施，环保设施</w:t>
      </w:r>
      <w:r>
        <w:rPr>
          <w:rFonts w:hint="eastAsia" w:hAnsi="华文仿宋" w:eastAsia="华文仿宋"/>
          <w:sz w:val="32"/>
        </w:rPr>
        <w:t>须</w:t>
      </w:r>
      <w:r>
        <w:rPr>
          <w:rFonts w:hAnsi="华文仿宋" w:eastAsia="华文仿宋"/>
          <w:sz w:val="32"/>
        </w:rPr>
        <w:t>与主体工程同时设计、同时施工、同时</w:t>
      </w:r>
      <w:r>
        <w:rPr>
          <w:rFonts w:hint="eastAsia" w:hAnsi="华文仿宋" w:eastAsia="华文仿宋"/>
          <w:sz w:val="32"/>
        </w:rPr>
        <w:t>投产</w:t>
      </w:r>
      <w:r>
        <w:rPr>
          <w:rFonts w:hAnsi="华文仿宋" w:eastAsia="华文仿宋"/>
          <w:sz w:val="32"/>
        </w:rPr>
        <w:t>使用。</w:t>
      </w:r>
    </w:p>
    <w:p>
      <w:pPr>
        <w:keepNext w:val="0"/>
        <w:keepLines w:val="0"/>
        <w:pageBreakBefore w:val="0"/>
        <w:widowControl/>
        <w:kinsoku/>
        <w:wordWrap/>
        <w:overflowPunct/>
        <w:autoSpaceDE/>
        <w:autoSpaceDN/>
        <w:bidi w:val="0"/>
        <w:spacing w:line="560" w:lineRule="exact"/>
        <w:ind w:left="0" w:firstLine="640" w:firstLineChars="200"/>
        <w:textAlignment w:val="baseline"/>
        <w:rPr>
          <w:rFonts w:hAnsi="华文仿宋" w:eastAsia="华文仿宋"/>
          <w:sz w:val="32"/>
        </w:rPr>
      </w:pPr>
      <w:r>
        <w:rPr>
          <w:rFonts w:hAnsi="华文仿宋" w:eastAsia="华文仿宋"/>
          <w:sz w:val="32"/>
        </w:rPr>
        <w:t>严格遵守《建设项目环境保护条例》</w:t>
      </w:r>
      <w:r>
        <w:rPr>
          <w:rFonts w:hint="eastAsia" w:hAnsi="华文仿宋" w:eastAsia="华文仿宋"/>
          <w:sz w:val="32"/>
        </w:rPr>
        <w:t>，建设项目竣工后，建设单位应当按照国务院环境保护行政主管部门规定的标准和程序，对配套建设的环境保护设施进行验收，经验收合格后方可投入生产或者使用</w:t>
      </w:r>
      <w:r>
        <w:rPr>
          <w:rFonts w:hAnsi="华文仿宋" w:eastAsia="华文仿宋"/>
          <w:sz w:val="32"/>
        </w:rPr>
        <w:t>。</w:t>
      </w:r>
    </w:p>
    <w:p>
      <w:pPr>
        <w:keepNext w:val="0"/>
        <w:keepLines w:val="0"/>
        <w:pageBreakBefore w:val="0"/>
        <w:widowControl/>
        <w:numPr>
          <w:ilvl w:val="0"/>
          <w:numId w:val="2"/>
        </w:numPr>
        <w:kinsoku/>
        <w:wordWrap/>
        <w:overflowPunct/>
        <w:autoSpaceDE/>
        <w:autoSpaceDN/>
        <w:bidi w:val="0"/>
        <w:spacing w:line="560" w:lineRule="exact"/>
        <w:ind w:left="0" w:firstLine="640" w:firstLineChars="200"/>
        <w:textAlignment w:val="baseline"/>
        <w:rPr>
          <w:rFonts w:ascii="华文仿宋" w:hAnsi="华文仿宋" w:eastAsia="华文仿宋"/>
          <w:sz w:val="32"/>
        </w:rPr>
      </w:pPr>
      <w:r>
        <w:rPr>
          <w:rFonts w:ascii="华文仿宋" w:hAnsi="华文仿宋" w:eastAsia="华文仿宋"/>
          <w:sz w:val="32"/>
        </w:rPr>
        <w:t>项目的性质、规模、地点、采用的生产工艺或者防治污染、防止生态破坏的措施发生变动的，应当重新向我局报批建设项目的环境影响评价文件。</w:t>
      </w:r>
    </w:p>
    <w:p>
      <w:pPr>
        <w:keepNext w:val="0"/>
        <w:keepLines w:val="0"/>
        <w:pageBreakBefore w:val="0"/>
        <w:kinsoku/>
        <w:wordWrap/>
        <w:overflowPunct/>
        <w:autoSpaceDE/>
        <w:autoSpaceDN/>
        <w:bidi w:val="0"/>
        <w:spacing w:line="560" w:lineRule="exact"/>
        <w:ind w:left="0" w:firstLine="640" w:firstLineChars="200"/>
        <w:textAlignment w:val="baseline"/>
        <w:rPr>
          <w:rFonts w:ascii="华文仿宋" w:hAnsi="华文仿宋" w:eastAsia="华文仿宋"/>
          <w:sz w:val="32"/>
        </w:rPr>
      </w:pPr>
      <w:r>
        <w:rPr>
          <w:rFonts w:ascii="华文仿宋" w:hAnsi="华文仿宋" w:eastAsia="华文仿宋"/>
          <w:sz w:val="32"/>
        </w:rPr>
        <w:t>自本批复之日起超过五年项目方决定该项目开工建设的，环境影响评价文件应当报我局重新审核。</w:t>
      </w:r>
    </w:p>
    <w:p>
      <w:pPr>
        <w:keepNext w:val="0"/>
        <w:keepLines w:val="0"/>
        <w:pageBreakBefore w:val="0"/>
        <w:numPr>
          <w:ilvl w:val="0"/>
          <w:numId w:val="3"/>
        </w:numPr>
        <w:kinsoku/>
        <w:wordWrap/>
        <w:overflowPunct/>
        <w:autoSpaceDE/>
        <w:autoSpaceDN/>
        <w:bidi w:val="0"/>
        <w:spacing w:line="560" w:lineRule="exact"/>
        <w:ind w:left="0" w:firstLine="645"/>
        <w:textAlignment w:val="baseline"/>
        <w:rPr>
          <w:rFonts w:eastAsia="华文仿宋"/>
          <w:sz w:val="32"/>
        </w:rPr>
      </w:pPr>
      <w:r>
        <w:rPr>
          <w:rFonts w:eastAsia="华文仿宋"/>
          <w:sz w:val="32"/>
        </w:rPr>
        <w:t>依法到</w:t>
      </w:r>
      <w:r>
        <w:rPr>
          <w:rFonts w:hint="eastAsia" w:eastAsia="华文仿宋"/>
          <w:sz w:val="32"/>
          <w:lang w:eastAsia="zh-CN"/>
        </w:rPr>
        <w:t>自然资源局</w:t>
      </w:r>
      <w:r>
        <w:rPr>
          <w:rFonts w:eastAsia="华文仿宋"/>
          <w:sz w:val="32"/>
        </w:rPr>
        <w:t>、</w:t>
      </w:r>
      <w:r>
        <w:rPr>
          <w:rFonts w:hint="eastAsia" w:eastAsia="华文仿宋"/>
          <w:sz w:val="32"/>
        </w:rPr>
        <w:t>住建</w:t>
      </w:r>
      <w:r>
        <w:rPr>
          <w:rFonts w:eastAsia="华文仿宋"/>
          <w:sz w:val="32"/>
        </w:rPr>
        <w:t>、</w:t>
      </w:r>
      <w:r>
        <w:rPr>
          <w:rFonts w:hint="eastAsia" w:eastAsia="华文仿宋"/>
          <w:sz w:val="32"/>
        </w:rPr>
        <w:t>水务</w:t>
      </w:r>
      <w:r>
        <w:rPr>
          <w:rFonts w:eastAsia="华文仿宋"/>
          <w:sz w:val="32"/>
        </w:rPr>
        <w:t>、</w:t>
      </w:r>
      <w:r>
        <w:rPr>
          <w:rFonts w:hint="eastAsia" w:eastAsia="华文仿宋"/>
          <w:sz w:val="32"/>
        </w:rPr>
        <w:t>发改经贸</w:t>
      </w:r>
      <w:r>
        <w:rPr>
          <w:rFonts w:eastAsia="华文仿宋"/>
          <w:sz w:val="32"/>
        </w:rPr>
        <w:t>等部门办理其它相关手续。</w:t>
      </w:r>
    </w:p>
    <w:p>
      <w:pPr>
        <w:pStyle w:val="3"/>
        <w:keepNext w:val="0"/>
        <w:keepLines w:val="0"/>
        <w:pageBreakBefore w:val="0"/>
        <w:kinsoku/>
        <w:wordWrap/>
        <w:overflowPunct/>
        <w:topLinePunct w:val="0"/>
        <w:autoSpaceDE/>
        <w:autoSpaceDN/>
        <w:bidi w:val="0"/>
        <w:adjustRightInd/>
        <w:snapToGrid/>
        <w:spacing w:line="560" w:lineRule="exact"/>
        <w:textAlignment w:val="bottom"/>
        <w:rPr>
          <w:rFonts w:hint="eastAsia" w:eastAsia="华文仿宋"/>
          <w:sz w:val="32"/>
          <w:lang w:val="en-US" w:eastAsia="zh-CN"/>
        </w:rPr>
      </w:pPr>
    </w:p>
    <w:p>
      <w:pPr>
        <w:pStyle w:val="3"/>
        <w:ind w:left="0" w:leftChars="0" w:firstLine="0" w:firstLineChars="0"/>
        <w:jc w:val="both"/>
        <w:rPr>
          <w:rFonts w:hint="eastAsia" w:eastAsia="华文仿宋"/>
          <w:sz w:val="32"/>
          <w:lang w:val="en-US" w:eastAsia="zh-CN"/>
        </w:rPr>
      </w:pPr>
    </w:p>
    <w:p>
      <w:pPr>
        <w:rPr>
          <w:rFonts w:hint="eastAsia" w:eastAsia="华文仿宋"/>
          <w:sz w:val="32"/>
          <w:lang w:val="en-US" w:eastAsia="zh-CN"/>
        </w:rPr>
      </w:pPr>
    </w:p>
    <w:p>
      <w:pPr>
        <w:pStyle w:val="21"/>
        <w:rPr>
          <w:rFonts w:hint="eastAsia" w:eastAsia="华文仿宋"/>
          <w:sz w:val="32"/>
          <w:lang w:val="en-US" w:eastAsia="zh-CN"/>
        </w:rPr>
      </w:pPr>
    </w:p>
    <w:p>
      <w:pPr>
        <w:pStyle w:val="21"/>
        <w:rPr>
          <w:rFonts w:hint="eastAsia" w:eastAsia="华文仿宋"/>
          <w:sz w:val="32"/>
          <w:lang w:val="en-US" w:eastAsia="zh-CN"/>
        </w:rPr>
      </w:pPr>
    </w:p>
    <w:p>
      <w:pPr>
        <w:pStyle w:val="21"/>
        <w:rPr>
          <w:rFonts w:hint="eastAsia" w:eastAsia="华文仿宋"/>
          <w:sz w:val="32"/>
          <w:lang w:val="en-US" w:eastAsia="zh-CN"/>
        </w:rPr>
      </w:pPr>
    </w:p>
    <w:p>
      <w:pPr>
        <w:pStyle w:val="21"/>
        <w:rPr>
          <w:rFonts w:hint="eastAsia" w:eastAsia="华文仿宋"/>
          <w:sz w:val="32"/>
          <w:lang w:val="en-US" w:eastAsia="zh-CN"/>
        </w:rPr>
      </w:pPr>
    </w:p>
    <w:p>
      <w:pPr>
        <w:pStyle w:val="3"/>
        <w:ind w:left="0" w:leftChars="0" w:firstLine="0" w:firstLineChars="0"/>
        <w:jc w:val="both"/>
        <w:rPr>
          <w:rFonts w:hint="eastAsia"/>
          <w:lang w:val="en-US" w:eastAsia="zh-CN"/>
        </w:rPr>
      </w:pPr>
    </w:p>
    <w:p>
      <w:pPr>
        <w:spacing w:line="560" w:lineRule="exact"/>
        <w:ind w:firstLine="3520" w:firstLineChars="1100"/>
        <w:textAlignment w:val="baseline"/>
        <w:rPr>
          <w:rFonts w:eastAsia="华文仿宋"/>
          <w:sz w:val="32"/>
        </w:rPr>
      </w:pPr>
      <w:r>
        <w:rPr>
          <w:rFonts w:hint="eastAsia" w:eastAsia="华文仿宋"/>
          <w:sz w:val="32"/>
          <w:lang w:val="en-US" w:eastAsia="zh-CN"/>
        </w:rPr>
        <w:t xml:space="preserve"> </w:t>
      </w:r>
      <w:r>
        <w:rPr>
          <w:rFonts w:eastAsia="华文仿宋"/>
          <w:sz w:val="32"/>
        </w:rPr>
        <w:t>昆明市</w:t>
      </w:r>
      <w:r>
        <w:rPr>
          <w:rFonts w:hint="eastAsia" w:eastAsia="华文仿宋"/>
          <w:sz w:val="32"/>
        </w:rPr>
        <w:t>生态</w:t>
      </w:r>
      <w:r>
        <w:rPr>
          <w:rFonts w:eastAsia="华文仿宋"/>
          <w:sz w:val="32"/>
        </w:rPr>
        <w:t>环境局</w:t>
      </w:r>
      <w:r>
        <w:rPr>
          <w:rFonts w:hint="eastAsia" w:eastAsia="华文仿宋"/>
          <w:sz w:val="32"/>
        </w:rPr>
        <w:t>晋宁分局</w:t>
      </w:r>
    </w:p>
    <w:p>
      <w:pPr>
        <w:spacing w:line="560" w:lineRule="exact"/>
        <w:ind w:firstLine="4480" w:firstLineChars="1400"/>
        <w:textAlignment w:val="baseline"/>
        <w:rPr>
          <w:rFonts w:eastAsia="仿宋_GB2312"/>
          <w:color w:val="000000"/>
          <w:sz w:val="32"/>
        </w:rPr>
      </w:pPr>
      <w:r>
        <w:rPr>
          <w:rFonts w:eastAsia="华文仿宋"/>
          <w:color w:val="000000"/>
          <w:sz w:val="32"/>
        </w:rPr>
        <w:t>20</w:t>
      </w:r>
      <w:r>
        <w:rPr>
          <w:rFonts w:hint="eastAsia" w:eastAsia="华文仿宋"/>
          <w:color w:val="000000"/>
          <w:sz w:val="32"/>
        </w:rPr>
        <w:t>2</w:t>
      </w:r>
      <w:r>
        <w:rPr>
          <w:rFonts w:hint="eastAsia" w:eastAsia="华文仿宋"/>
          <w:color w:val="000000"/>
          <w:sz w:val="32"/>
          <w:lang w:val="en-US" w:eastAsia="zh-CN"/>
        </w:rPr>
        <w:t>3</w:t>
      </w:r>
      <w:r>
        <w:rPr>
          <w:rFonts w:eastAsia="华文仿宋"/>
          <w:color w:val="000000"/>
          <w:sz w:val="32"/>
        </w:rPr>
        <w:t>年</w:t>
      </w:r>
      <w:r>
        <w:rPr>
          <w:rFonts w:hint="eastAsia" w:eastAsia="华文仿宋"/>
          <w:color w:val="000000"/>
          <w:sz w:val="32"/>
          <w:lang w:val="en-US" w:eastAsia="zh-CN"/>
        </w:rPr>
        <w:t>1</w:t>
      </w:r>
      <w:r>
        <w:rPr>
          <w:rFonts w:eastAsia="华文仿宋"/>
          <w:color w:val="000000"/>
          <w:sz w:val="32"/>
        </w:rPr>
        <w:t>月</w:t>
      </w:r>
      <w:r>
        <w:rPr>
          <w:rFonts w:hint="eastAsia" w:eastAsia="华文仿宋"/>
          <w:color w:val="000000"/>
          <w:sz w:val="32"/>
          <w:lang w:val="en-US" w:eastAsia="zh-CN"/>
        </w:rPr>
        <w:t>9</w:t>
      </w:r>
      <w:r>
        <w:rPr>
          <w:rFonts w:eastAsia="华文仿宋"/>
          <w:color w:val="000000"/>
          <w:sz w:val="32"/>
        </w:rPr>
        <w:t>日</w:t>
      </w:r>
    </w:p>
    <w:p>
      <w:pPr>
        <w:spacing w:line="560" w:lineRule="exact"/>
        <w:ind w:left="0" w:leftChars="0" w:firstLine="0" w:firstLineChars="0"/>
        <w:textAlignment w:val="baseline"/>
        <w:rPr>
          <w:rFonts w:ascii="Times New Roman" w:hAnsi="Times New Roman" w:eastAsia="华文仿宋"/>
          <w:sz w:val="32"/>
          <w:u w:val="single"/>
        </w:rPr>
      </w:pPr>
      <w:r>
        <w:rPr>
          <w:rFonts w:ascii="Times New Roman" w:hAnsi="Times New Roman" w:eastAsia="仿宋_GB2312"/>
          <w:color w:val="000000"/>
          <w:sz w:val="32"/>
          <w:u w:val="single"/>
        </w:rPr>
        <w:t xml:space="preserve">                  </w:t>
      </w:r>
      <w:r>
        <w:rPr>
          <w:rFonts w:ascii="Times New Roman" w:hAnsi="Times New Roman" w:eastAsia="华文仿宋"/>
          <w:color w:val="000000"/>
          <w:sz w:val="32"/>
          <w:u w:val="single"/>
        </w:rPr>
        <w:t xml:space="preserve">     </w:t>
      </w:r>
      <w:r>
        <w:rPr>
          <w:rFonts w:hint="eastAsia" w:ascii="Times New Roman" w:hAnsi="Times New Roman" w:eastAsia="华文仿宋"/>
          <w:color w:val="000000"/>
          <w:sz w:val="32"/>
          <w:u w:val="single"/>
          <w:lang w:val="en-US" w:eastAsia="zh-CN"/>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textAlignment w:val="baseline"/>
        <w:outlineLvl w:val="9"/>
        <w:rPr>
          <w:rFonts w:ascii="Times New Roman" w:hAnsi="Times New Roman" w:eastAsia="华文仿宋"/>
          <w:sz w:val="32"/>
        </w:rPr>
      </w:pPr>
      <w:r>
        <w:rPr>
          <w:rFonts w:ascii="Times New Roman" w:hAnsi="Times New Roman" w:eastAsia="华文仿宋"/>
          <w:sz w:val="32"/>
        </w:rPr>
        <w:t xml:space="preserve">  抄送：昆明市</w:t>
      </w:r>
      <w:r>
        <w:rPr>
          <w:rFonts w:hint="eastAsia" w:ascii="Times New Roman" w:hAnsi="Times New Roman" w:eastAsia="华文仿宋"/>
          <w:sz w:val="32"/>
          <w:lang w:eastAsia="zh-CN"/>
        </w:rPr>
        <w:t>生态</w:t>
      </w:r>
      <w:r>
        <w:rPr>
          <w:rFonts w:ascii="Times New Roman" w:hAnsi="Times New Roman" w:eastAsia="华文仿宋"/>
          <w:sz w:val="32"/>
        </w:rPr>
        <w:t xml:space="preserve">环境局        </w:t>
      </w:r>
      <w:r>
        <w:rPr>
          <w:rFonts w:hint="eastAsia" w:ascii="Times New Roman" w:hAnsi="Times New Roman" w:eastAsia="华文仿宋"/>
          <w:sz w:val="32"/>
          <w:lang w:val="en-US" w:eastAsia="zh-CN"/>
        </w:rPr>
        <w:t xml:space="preserve">        </w:t>
      </w:r>
      <w:r>
        <w:rPr>
          <w:rFonts w:hint="eastAsia" w:eastAsia="华文仿宋"/>
          <w:sz w:val="32"/>
          <w:lang w:val="en-US" w:eastAsia="zh-CN"/>
        </w:rPr>
        <w:t xml:space="preserve">   </w:t>
      </w:r>
      <w:r>
        <w:rPr>
          <w:rFonts w:hint="eastAsia" w:ascii="Times New Roman" w:hAnsi="Times New Roman" w:eastAsia="华文仿宋"/>
          <w:sz w:val="32"/>
          <w:lang w:val="en-US" w:eastAsia="zh-CN"/>
        </w:rPr>
        <w:t xml:space="preserve"> </w:t>
      </w:r>
      <w:r>
        <w:rPr>
          <w:rFonts w:hint="eastAsia" w:eastAsia="华文仿宋"/>
          <w:sz w:val="32"/>
          <w:lang w:val="en-US" w:eastAsia="zh-CN"/>
        </w:rPr>
        <w:t>二街镇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outlineLvl w:val="9"/>
        <w:rPr>
          <w:rFonts w:ascii="Times New Roman" w:hAnsi="Times New Roman" w:eastAsia="华文仿宋"/>
          <w:sz w:val="32"/>
          <w:u w:val="single"/>
        </w:rPr>
      </w:pPr>
      <w:r>
        <w:rPr>
          <w:rFonts w:ascii="Times New Roman" w:hAnsi="Times New Roman" w:eastAsia="华文仿宋"/>
          <w:sz w:val="32"/>
          <w:u w:val="single"/>
        </w:rPr>
        <w:t xml:space="preserve">        </w:t>
      </w:r>
      <w:r>
        <w:rPr>
          <w:rFonts w:hint="eastAsia" w:ascii="Times New Roman" w:hAnsi="Times New Roman" w:eastAsia="华文仿宋"/>
          <w:sz w:val="32"/>
          <w:u w:val="single"/>
        </w:rPr>
        <w:t>晋宁区生态环境保护综合执法大队</w:t>
      </w:r>
      <w:r>
        <w:rPr>
          <w:rFonts w:ascii="Times New Roman" w:hAnsi="Times New Roman" w:eastAsia="华文仿宋"/>
          <w:sz w:val="32"/>
          <w:u w:val="single"/>
        </w:rPr>
        <w:t xml:space="preserve">    </w:t>
      </w:r>
      <w:r>
        <w:rPr>
          <w:rFonts w:hint="eastAsia" w:ascii="Times New Roman" w:hAnsi="Times New Roman" w:eastAsia="华文仿宋"/>
          <w:sz w:val="32"/>
          <w:u w:val="single"/>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center"/>
        <w:textAlignment w:val="baseline"/>
        <w:outlineLvl w:val="9"/>
        <w:rPr>
          <w:rFonts w:hint="eastAsia"/>
          <w:b/>
          <w:sz w:val="44"/>
          <w:szCs w:val="22"/>
        </w:rPr>
      </w:pPr>
      <w:r>
        <w:rPr>
          <w:rFonts w:hint="eastAsia" w:hAnsi="华文仿宋" w:eastAsia="华文仿宋"/>
          <w:color w:val="000000"/>
          <w:sz w:val="32"/>
        </w:rPr>
        <w:t>昆明市</w:t>
      </w:r>
      <w:r>
        <w:rPr>
          <w:rFonts w:hint="eastAsia" w:hAnsi="华文仿宋" w:eastAsia="华文仿宋"/>
          <w:color w:val="000000"/>
          <w:sz w:val="32"/>
          <w:lang w:eastAsia="zh-CN"/>
        </w:rPr>
        <w:t>生态</w:t>
      </w:r>
      <w:r>
        <w:rPr>
          <w:rFonts w:hAnsi="华文仿宋" w:eastAsia="华文仿宋"/>
          <w:color w:val="000000"/>
          <w:sz w:val="32"/>
        </w:rPr>
        <w:t>环境局</w:t>
      </w:r>
      <w:r>
        <w:rPr>
          <w:rFonts w:hint="eastAsia" w:hAnsi="华文仿宋" w:eastAsia="华文仿宋"/>
          <w:color w:val="000000"/>
          <w:sz w:val="32"/>
          <w:lang w:eastAsia="zh-CN"/>
        </w:rPr>
        <w:t>晋宁分局</w:t>
      </w:r>
      <w:r>
        <w:rPr>
          <w:rFonts w:eastAsia="华文仿宋"/>
          <w:color w:val="000000"/>
          <w:sz w:val="32"/>
        </w:rPr>
        <w:t xml:space="preserve">      </w:t>
      </w:r>
      <w:r>
        <w:rPr>
          <w:rFonts w:hint="eastAsia" w:eastAsia="华文仿宋"/>
          <w:color w:val="000000"/>
          <w:sz w:val="32"/>
          <w:lang w:val="en-US" w:eastAsia="zh-CN"/>
        </w:rPr>
        <w:t xml:space="preserve"> </w:t>
      </w:r>
      <w:r>
        <w:rPr>
          <w:rFonts w:hint="default" w:ascii="Times New Roman" w:hAnsi="Times New Roman" w:eastAsia="华文仿宋" w:cs="Times New Roman"/>
          <w:color w:val="000000"/>
          <w:sz w:val="32"/>
        </w:rPr>
        <w:t xml:space="preserve"> 20</w:t>
      </w:r>
      <w:r>
        <w:rPr>
          <w:rFonts w:hint="default" w:ascii="Times New Roman" w:hAnsi="Times New Roman" w:eastAsia="华文仿宋" w:cs="Times New Roman"/>
          <w:color w:val="000000"/>
          <w:sz w:val="32"/>
          <w:lang w:val="en-US" w:eastAsia="zh-CN"/>
        </w:rPr>
        <w:t>2</w:t>
      </w:r>
      <w:r>
        <w:rPr>
          <w:rFonts w:hint="eastAsia" w:eastAsia="华文仿宋" w:cs="Times New Roman"/>
          <w:color w:val="000000"/>
          <w:sz w:val="32"/>
          <w:lang w:val="en-US" w:eastAsia="zh-CN"/>
        </w:rPr>
        <w:t>3</w:t>
      </w:r>
      <w:r>
        <w:rPr>
          <w:rFonts w:hint="default" w:ascii="Times New Roman" w:hAnsi="Times New Roman" w:eastAsia="华文仿宋" w:cs="Times New Roman"/>
          <w:color w:val="000000"/>
          <w:sz w:val="32"/>
        </w:rPr>
        <w:t>年</w:t>
      </w:r>
      <w:r>
        <w:rPr>
          <w:rFonts w:hint="eastAsia" w:eastAsia="华文仿宋" w:cs="Times New Roman"/>
          <w:color w:val="000000"/>
          <w:sz w:val="32"/>
          <w:lang w:val="en-US" w:eastAsia="zh-CN"/>
        </w:rPr>
        <w:t>1</w:t>
      </w:r>
      <w:r>
        <w:rPr>
          <w:rFonts w:hint="default" w:ascii="Times New Roman" w:hAnsi="Times New Roman" w:eastAsia="华文仿宋" w:cs="Times New Roman"/>
          <w:color w:val="000000"/>
          <w:sz w:val="32"/>
        </w:rPr>
        <w:t>月</w:t>
      </w:r>
      <w:r>
        <w:rPr>
          <w:rFonts w:hint="eastAsia" w:eastAsia="华文仿宋" w:cs="Times New Roman"/>
          <w:color w:val="000000"/>
          <w:sz w:val="32"/>
          <w:lang w:val="en-US" w:eastAsia="zh-CN"/>
        </w:rPr>
        <w:t>9</w:t>
      </w:r>
      <w:r>
        <w:rPr>
          <w:rFonts w:hint="default" w:ascii="Times New Roman" w:hAnsi="Times New Roman" w:eastAsia="华文仿宋" w:cs="Times New Roman"/>
          <w:color w:val="000000"/>
          <w:sz w:val="32"/>
        </w:rPr>
        <w:t>日印发</w:t>
      </w:r>
    </w:p>
    <w:p>
      <w:pPr>
        <w:jc w:val="center"/>
        <w:rPr>
          <w:rFonts w:hint="eastAsia"/>
          <w:b/>
          <w:sz w:val="44"/>
          <w:szCs w:val="22"/>
        </w:rPr>
      </w:pPr>
    </w:p>
    <w:p>
      <w:pPr>
        <w:ind w:left="0" w:leftChars="0" w:firstLine="0" w:firstLineChars="0"/>
        <w:jc w:val="both"/>
        <w:rPr>
          <w:b/>
          <w:sz w:val="44"/>
        </w:rPr>
      </w:pPr>
      <w:r>
        <w:rPr>
          <w:rFonts w:hint="eastAsia"/>
          <w:b/>
          <w:sz w:val="44"/>
          <w:szCs w:val="22"/>
        </w:rPr>
        <w:t>昆明市</w:t>
      </w:r>
      <w:r>
        <w:rPr>
          <w:rFonts w:hint="eastAsia"/>
          <w:b/>
          <w:sz w:val="44"/>
          <w:szCs w:val="22"/>
          <w:lang w:eastAsia="zh-CN"/>
        </w:rPr>
        <w:t>生态</w:t>
      </w:r>
      <w:r>
        <w:rPr>
          <w:b/>
          <w:sz w:val="44"/>
          <w:szCs w:val="22"/>
        </w:rPr>
        <w:t>环境局</w:t>
      </w:r>
      <w:r>
        <w:rPr>
          <w:rFonts w:hint="eastAsia"/>
          <w:b/>
          <w:sz w:val="44"/>
          <w:szCs w:val="22"/>
          <w:lang w:eastAsia="zh-CN"/>
        </w:rPr>
        <w:t>晋宁分局</w:t>
      </w:r>
      <w:r>
        <w:rPr>
          <w:b/>
          <w:sz w:val="44"/>
          <w:szCs w:val="22"/>
        </w:rPr>
        <w:t>建设</w:t>
      </w:r>
      <w:r>
        <w:rPr>
          <w:b/>
          <w:sz w:val="44"/>
        </w:rPr>
        <w:t>项目</w:t>
      </w:r>
    </w:p>
    <w:p>
      <w:pPr>
        <w:jc w:val="center"/>
        <w:rPr>
          <w:b/>
          <w:sz w:val="44"/>
        </w:rPr>
      </w:pPr>
      <w:r>
        <w:rPr>
          <w:b/>
          <w:sz w:val="44"/>
        </w:rPr>
        <w:t>审批审核签发单</w:t>
      </w:r>
    </w:p>
    <w:p>
      <w:pPr>
        <w:rPr>
          <w:rFonts w:eastAsia="仿宋_GB2312"/>
          <w:b/>
          <w:sz w:val="32"/>
        </w:rPr>
      </w:pPr>
      <w:r>
        <w:rPr>
          <w:rFonts w:eastAsia="仿宋_GB2312"/>
          <w:sz w:val="32"/>
        </w:rPr>
        <w:t>日期：20</w:t>
      </w:r>
      <w:r>
        <w:rPr>
          <w:rFonts w:hint="eastAsia" w:eastAsia="仿宋_GB2312"/>
          <w:sz w:val="32"/>
          <w:lang w:val="en-US" w:eastAsia="zh-CN"/>
        </w:rPr>
        <w:t>23</w:t>
      </w:r>
      <w:r>
        <w:rPr>
          <w:rFonts w:eastAsia="仿宋_GB2312"/>
          <w:sz w:val="32"/>
        </w:rPr>
        <w:t>年</w:t>
      </w:r>
      <w:r>
        <w:rPr>
          <w:rFonts w:hint="eastAsia" w:eastAsia="仿宋_GB2312"/>
          <w:sz w:val="32"/>
          <w:lang w:val="en-US" w:eastAsia="zh-CN"/>
        </w:rPr>
        <w:t>1</w:t>
      </w:r>
      <w:r>
        <w:rPr>
          <w:rFonts w:eastAsia="仿宋_GB2312"/>
          <w:sz w:val="32"/>
        </w:rPr>
        <w:t>月</w:t>
      </w:r>
      <w:r>
        <w:rPr>
          <w:rFonts w:hint="eastAsia" w:eastAsia="仿宋_GB2312"/>
          <w:sz w:val="32"/>
          <w:lang w:val="en-US" w:eastAsia="zh-CN"/>
        </w:rPr>
        <w:t>9</w:t>
      </w:r>
      <w:r>
        <w:rPr>
          <w:rFonts w:eastAsia="仿宋_GB2312"/>
          <w:sz w:val="32"/>
        </w:rPr>
        <w:t>日</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98"/>
        <w:gridCol w:w="1185"/>
        <w:gridCol w:w="360"/>
        <w:gridCol w:w="103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1704" w:type="dxa"/>
            <w:noWrap w:val="0"/>
            <w:vAlign w:val="center"/>
          </w:tcPr>
          <w:p>
            <w:pPr>
              <w:spacing w:line="300" w:lineRule="exact"/>
              <w:jc w:val="center"/>
              <w:rPr>
                <w:b/>
                <w:sz w:val="24"/>
              </w:rPr>
            </w:pPr>
            <w:r>
              <w:rPr>
                <w:b/>
                <w:sz w:val="24"/>
              </w:rPr>
              <w:t>项目名称</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center"/>
              <w:textAlignment w:val="bottom"/>
              <w:outlineLvl w:val="9"/>
              <w:rPr>
                <w:rFonts w:hint="eastAsia"/>
                <w:sz w:val="24"/>
              </w:rPr>
            </w:pPr>
            <w:r>
              <w:rPr>
                <w:rFonts w:hint="eastAsia"/>
                <w:sz w:val="24"/>
              </w:rPr>
              <w:t>关于对《年产2500吨生物酶制剂饲料添加剂生产（一期建设项目）提升改造</w:t>
            </w:r>
            <w:r>
              <w:rPr>
                <w:rFonts w:hint="eastAsia"/>
                <w:sz w:val="24"/>
                <w:lang w:val="en-US" w:eastAsia="zh-CN"/>
              </w:rPr>
              <w:t>环境影响报告表</w:t>
            </w:r>
            <w:r>
              <w:rPr>
                <w:rFonts w:hint="eastAsia"/>
                <w:sz w:val="24"/>
              </w:rPr>
              <w:t>》的批复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04" w:type="dxa"/>
            <w:noWrap w:val="0"/>
            <w:vAlign w:val="center"/>
          </w:tcPr>
          <w:p>
            <w:pPr>
              <w:spacing w:line="300" w:lineRule="exact"/>
              <w:jc w:val="center"/>
              <w:rPr>
                <w:b/>
                <w:sz w:val="24"/>
              </w:rPr>
            </w:pPr>
            <w:r>
              <w:rPr>
                <w:b/>
                <w:sz w:val="24"/>
              </w:rPr>
              <w:t>建设单位</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1920" w:firstLineChars="800"/>
              <w:jc w:val="both"/>
              <w:textAlignment w:val="bottom"/>
              <w:outlineLvl w:val="9"/>
              <w:rPr>
                <w:rFonts w:hint="eastAsia"/>
                <w:sz w:val="24"/>
              </w:rPr>
            </w:pPr>
            <w:r>
              <w:rPr>
                <w:rFonts w:hint="eastAsia"/>
                <w:sz w:val="24"/>
                <w:lang w:val="en-US" w:eastAsia="zh-CN"/>
              </w:rPr>
              <w:t>昆明爱科特生物科技有限公司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04" w:type="dxa"/>
            <w:noWrap w:val="0"/>
            <w:vAlign w:val="center"/>
          </w:tcPr>
          <w:p>
            <w:pPr>
              <w:spacing w:line="300" w:lineRule="exact"/>
              <w:jc w:val="center"/>
              <w:rPr>
                <w:b/>
                <w:sz w:val="24"/>
              </w:rPr>
            </w:pPr>
            <w:r>
              <w:rPr>
                <w:b/>
                <w:sz w:val="24"/>
              </w:rPr>
              <w:t>建设地点</w:t>
            </w:r>
          </w:p>
        </w:tc>
        <w:tc>
          <w:tcPr>
            <w:tcW w:w="6818" w:type="dxa"/>
            <w:gridSpan w:val="5"/>
            <w:noWrap w:val="0"/>
            <w:vAlign w:val="center"/>
          </w:tcPr>
          <w:p>
            <w:pPr>
              <w:spacing w:line="300" w:lineRule="exact"/>
              <w:ind w:firstLine="480" w:firstLineChars="200"/>
              <w:jc w:val="center"/>
              <w:textAlignment w:val="baseline"/>
              <w:rPr>
                <w:rFonts w:hint="eastAsia"/>
                <w:sz w:val="24"/>
              </w:rPr>
            </w:pPr>
            <w:r>
              <w:rPr>
                <w:rFonts w:hint="eastAsia" w:ascii="Times New Roman" w:hAnsi="Times New Roman" w:cs="Times New Roman"/>
                <w:sz w:val="24"/>
                <w:szCs w:val="24"/>
                <w:lang w:val="en-US" w:eastAsia="zh-CN"/>
              </w:rPr>
              <w:t>昆明市晋宁区晋宁工业园区</w:t>
            </w:r>
            <w:r>
              <w:rPr>
                <w:rFonts w:hint="eastAsia" w:cs="Times New Roman"/>
                <w:sz w:val="24"/>
                <w:szCs w:val="24"/>
                <w:lang w:val="en-US" w:eastAsia="zh-CN"/>
              </w:rPr>
              <w:t>二街</w:t>
            </w:r>
            <w:r>
              <w:rPr>
                <w:rFonts w:hint="eastAsia" w:ascii="Times New Roman" w:hAnsi="Times New Roman" w:cs="Times New Roman"/>
                <w:sz w:val="24"/>
                <w:szCs w:val="24"/>
                <w:lang w:val="en-US" w:eastAsia="zh-CN"/>
              </w:rPr>
              <w:t>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4" w:type="dxa"/>
            <w:noWrap w:val="0"/>
            <w:vAlign w:val="center"/>
          </w:tcPr>
          <w:p>
            <w:pPr>
              <w:spacing w:line="300" w:lineRule="exact"/>
              <w:jc w:val="center"/>
              <w:rPr>
                <w:b/>
                <w:sz w:val="24"/>
              </w:rPr>
            </w:pPr>
            <w:r>
              <w:rPr>
                <w:b/>
                <w:sz w:val="24"/>
              </w:rPr>
              <w:t>联系人</w:t>
            </w:r>
          </w:p>
        </w:tc>
        <w:tc>
          <w:tcPr>
            <w:tcW w:w="2198" w:type="dxa"/>
            <w:noWrap w:val="0"/>
            <w:vAlign w:val="top"/>
          </w:tcPr>
          <w:p>
            <w:pPr>
              <w:jc w:val="center"/>
              <w:rPr>
                <w:rFonts w:hint="eastAsia"/>
                <w:sz w:val="24"/>
              </w:rPr>
            </w:pPr>
          </w:p>
        </w:tc>
        <w:tc>
          <w:tcPr>
            <w:tcW w:w="1545" w:type="dxa"/>
            <w:gridSpan w:val="2"/>
            <w:noWrap w:val="0"/>
            <w:vAlign w:val="top"/>
          </w:tcPr>
          <w:p>
            <w:pPr>
              <w:spacing w:line="300" w:lineRule="exact"/>
              <w:jc w:val="center"/>
              <w:textAlignment w:val="baseline"/>
              <w:rPr>
                <w:sz w:val="24"/>
              </w:rPr>
            </w:pPr>
            <w:r>
              <w:rPr>
                <w:b/>
                <w:sz w:val="24"/>
              </w:rPr>
              <w:t>联系电话</w:t>
            </w:r>
          </w:p>
        </w:tc>
        <w:tc>
          <w:tcPr>
            <w:tcW w:w="3075" w:type="dxa"/>
            <w:gridSpan w:val="2"/>
            <w:noWrap w:val="0"/>
            <w:vAlign w:val="top"/>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704" w:type="dxa"/>
            <w:noWrap w:val="0"/>
            <w:vAlign w:val="center"/>
          </w:tcPr>
          <w:p>
            <w:pPr>
              <w:spacing w:line="300" w:lineRule="exact"/>
              <w:jc w:val="center"/>
              <w:rPr>
                <w:b/>
                <w:sz w:val="24"/>
              </w:rPr>
            </w:pPr>
            <w:r>
              <w:rPr>
                <w:b/>
                <w:sz w:val="24"/>
              </w:rPr>
              <w:t>批文号</w:t>
            </w:r>
          </w:p>
        </w:tc>
        <w:tc>
          <w:tcPr>
            <w:tcW w:w="3383" w:type="dxa"/>
            <w:gridSpan w:val="2"/>
            <w:noWrap w:val="0"/>
            <w:vAlign w:val="top"/>
          </w:tcPr>
          <w:p>
            <w:pPr>
              <w:spacing w:line="300" w:lineRule="exact"/>
              <w:jc w:val="center"/>
              <w:textAlignment w:val="baseline"/>
              <w:rPr>
                <w:sz w:val="24"/>
              </w:rPr>
            </w:pPr>
            <w:r>
              <w:rPr>
                <w:rFonts w:hint="eastAsia"/>
                <w:sz w:val="24"/>
                <w:lang w:eastAsia="zh-CN"/>
              </w:rPr>
              <w:t>昆生环</w:t>
            </w:r>
            <w:r>
              <w:rPr>
                <w:sz w:val="24"/>
              </w:rPr>
              <w:t>晋复[20</w:t>
            </w:r>
            <w:r>
              <w:rPr>
                <w:rFonts w:hint="eastAsia"/>
                <w:sz w:val="24"/>
                <w:lang w:val="en-US" w:eastAsia="zh-CN"/>
              </w:rPr>
              <w:t>23</w:t>
            </w:r>
            <w:r>
              <w:rPr>
                <w:sz w:val="24"/>
              </w:rPr>
              <w:t>]号</w:t>
            </w:r>
          </w:p>
        </w:tc>
        <w:tc>
          <w:tcPr>
            <w:tcW w:w="1395" w:type="dxa"/>
            <w:gridSpan w:val="2"/>
            <w:noWrap w:val="0"/>
            <w:vAlign w:val="center"/>
          </w:tcPr>
          <w:p>
            <w:pPr>
              <w:jc w:val="center"/>
              <w:rPr>
                <w:b/>
                <w:sz w:val="24"/>
              </w:rPr>
            </w:pPr>
            <w:r>
              <w:rPr>
                <w:b/>
                <w:sz w:val="24"/>
              </w:rPr>
              <w:t>环评类型</w:t>
            </w:r>
          </w:p>
        </w:tc>
        <w:tc>
          <w:tcPr>
            <w:tcW w:w="2040" w:type="dxa"/>
            <w:noWrap w:val="0"/>
            <w:vAlign w:val="center"/>
          </w:tcPr>
          <w:p>
            <w:pPr>
              <w:spacing w:line="300" w:lineRule="exact"/>
              <w:jc w:val="center"/>
              <w:textAlignment w:val="baseline"/>
              <w:rPr>
                <w:rFonts w:hint="eastAsia" w:eastAsia="宋体"/>
                <w:lang w:eastAsia="zh-CN"/>
              </w:rPr>
            </w:pPr>
            <w:r>
              <w:rPr>
                <w:rFonts w:hint="eastAsia"/>
                <w:sz w:val="24"/>
                <w:lang w:eastAsia="zh-CN"/>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1704" w:type="dxa"/>
            <w:noWrap w:val="0"/>
            <w:vAlign w:val="center"/>
          </w:tcPr>
          <w:p>
            <w:pPr>
              <w:jc w:val="center"/>
              <w:rPr>
                <w:rFonts w:eastAsia="仿宋_GB2312"/>
                <w:b/>
                <w:sz w:val="28"/>
              </w:rPr>
            </w:pPr>
            <w:r>
              <w:rPr>
                <w:b/>
                <w:sz w:val="24"/>
              </w:rPr>
              <w:t>主要内容</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rPr>
            </w:pPr>
            <w:r>
              <w:rPr>
                <w:rFonts w:hint="eastAsia" w:ascii="宋体" w:hAnsi="宋体" w:cs="宋体"/>
                <w:color w:val="000000"/>
                <w:kern w:val="2"/>
                <w:sz w:val="24"/>
                <w:szCs w:val="20"/>
                <w:lang w:val="en-US" w:eastAsia="zh-CN"/>
              </w:rPr>
              <w:t>项目地点位于晋宁工业园区二街基地。本技改项目实施后产品方案、产量、占地面积、生产工艺、生产原辅材料等均不发生变化，仅拆除原有2台4t/h燃煤锅炉（1备1用），建设2台4t/h超低氮燃气冷凝蒸汽锅炉(1备1用)代替原有锅炉并配套相关环保设施及辅助设施。项目总投资125万元，其中环保投资6.9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trPr>
        <w:tc>
          <w:tcPr>
            <w:tcW w:w="1704" w:type="dxa"/>
            <w:noWrap w:val="0"/>
            <w:vAlign w:val="center"/>
          </w:tcPr>
          <w:p>
            <w:pPr>
              <w:jc w:val="center"/>
              <w:rPr>
                <w:b/>
                <w:sz w:val="24"/>
              </w:rPr>
            </w:pPr>
            <w:r>
              <w:rPr>
                <w:b/>
                <w:sz w:val="24"/>
              </w:rPr>
              <w:t>环评科意见</w:t>
            </w:r>
          </w:p>
        </w:tc>
        <w:tc>
          <w:tcPr>
            <w:tcW w:w="6818" w:type="dxa"/>
            <w:gridSpan w:val="5"/>
            <w:noWrap w:val="0"/>
            <w:vAlign w:val="bottom"/>
          </w:tcPr>
          <w:p>
            <w:pPr>
              <w:jc w:val="left"/>
              <w:rPr>
                <w:rFonts w:eastAsia="仿宋_GB2312"/>
                <w:b/>
                <w:sz w:val="28"/>
              </w:rPr>
            </w:pPr>
            <w:r>
              <w:rPr>
                <w:rFonts w:eastAsia="仿宋_GB2312"/>
                <w:sz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1704" w:type="dxa"/>
            <w:noWrap w:val="0"/>
            <w:vAlign w:val="center"/>
          </w:tcPr>
          <w:p>
            <w:pPr>
              <w:jc w:val="center"/>
              <w:rPr>
                <w:b/>
                <w:sz w:val="24"/>
              </w:rPr>
            </w:pPr>
            <w:r>
              <w:rPr>
                <w:b/>
                <w:sz w:val="24"/>
              </w:rPr>
              <w:t>分管领导</w:t>
            </w:r>
          </w:p>
          <w:p>
            <w:pPr>
              <w:jc w:val="center"/>
              <w:rPr>
                <w:b/>
                <w:sz w:val="24"/>
              </w:rPr>
            </w:pPr>
            <w:r>
              <w:rPr>
                <w:b/>
                <w:sz w:val="24"/>
              </w:rPr>
              <w:t>意    见</w:t>
            </w:r>
          </w:p>
        </w:tc>
        <w:tc>
          <w:tcPr>
            <w:tcW w:w="6818" w:type="dxa"/>
            <w:gridSpan w:val="5"/>
            <w:noWrap w:val="0"/>
            <w:vAlign w:val="bottom"/>
          </w:tcPr>
          <w:p>
            <w:pPr>
              <w:ind w:left="1400" w:hanging="1400" w:hangingChars="500"/>
              <w:jc w:val="left"/>
              <w:rPr>
                <w:rFonts w:eastAsia="仿宋_GB2312"/>
                <w:sz w:val="28"/>
              </w:rPr>
            </w:pPr>
            <w:r>
              <w:rPr>
                <w:rFonts w:eastAsia="仿宋_GB2312"/>
                <w:sz w:val="28"/>
              </w:rPr>
              <w:t xml:space="preserve">                          年   月   日</w:t>
            </w:r>
          </w:p>
        </w:tc>
      </w:tr>
    </w:tbl>
    <w:p>
      <w:pPr>
        <w:spacing w:line="560" w:lineRule="exact"/>
        <w:ind w:left="0"/>
        <w:rPr>
          <w:rFonts w:hint="eastAsia" w:ascii="仿宋_GB2312" w:hAnsi="仿宋_GB2312" w:eastAsia="仿宋_GB2312" w:cs="仿宋_GB2312"/>
          <w:color w:val="auto"/>
          <w:sz w:val="28"/>
          <w:szCs w:val="28"/>
          <w:u w:val="single"/>
          <w:lang w:eastAsia="zh-CN"/>
        </w:rPr>
      </w:pPr>
    </w:p>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797" w:bottom="1440" w:left="1797" w:header="567" w:footer="113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穝灿砰">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spacing w:line="1" w:lineRule="atLeast"/>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1312;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IKV0aK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2</w:t>
    </w:r>
    <w:r>
      <w:fldChar w:fldCharType="end"/>
    </w:r>
  </w:p>
  <w:p>
    <w:pPr>
      <w:spacing w:line="1" w:lineRule="atLeas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0288;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AfNSOO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9264;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G0QLDUAAAABAEAAA8AAAAAAAAAAQAg&#10;AAAAIgAAAGRycy9kb3ducmV2LnhtbFBLAQIUABQAAAAIAIdO4kDqC5fsoAEAACQDAAAOAAAAAAAA&#10;AAEAIAAAACMBAABkcnMvZTJvRG9jLnhtbFBLBQYAAAAABgAGAFkBAAA1BQ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8240;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GXiPC6fAQAAJAMAAA4AAAAAAAAA&#10;AQAgAAAAIwEAAGRycy9lMm9Eb2MueG1sUEsFBgAAAAAGAAYAWQEAADQFA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872ED"/>
    <w:multiLevelType w:val="singleLevel"/>
    <w:tmpl w:val="59C872ED"/>
    <w:lvl w:ilvl="0" w:tentative="0">
      <w:start w:val="3"/>
      <w:numFmt w:val="chineseCounting"/>
      <w:suff w:val="nothing"/>
      <w:lvlText w:val="%1、"/>
      <w:lvlJc w:val="left"/>
    </w:lvl>
  </w:abstractNum>
  <w:abstractNum w:abstractNumId="1">
    <w:nsid w:val="5A94FFE1"/>
    <w:multiLevelType w:val="singleLevel"/>
    <w:tmpl w:val="5A94FFE1"/>
    <w:lvl w:ilvl="0" w:tentative="0">
      <w:start w:val="11"/>
      <w:numFmt w:val="chineseCounting"/>
      <w:suff w:val="nothing"/>
      <w:lvlText w:val="%1、"/>
      <w:lvlJc w:val="left"/>
    </w:lvl>
  </w:abstractNum>
  <w:abstractNum w:abstractNumId="2">
    <w:nsid w:val="5DCBC19A"/>
    <w:multiLevelType w:val="singleLevel"/>
    <w:tmpl w:val="5DCBC19A"/>
    <w:lvl w:ilvl="0" w:tentative="0">
      <w:start w:val="10"/>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3D51"/>
    <w:rsid w:val="01AE77C6"/>
    <w:rsid w:val="04757361"/>
    <w:rsid w:val="09230D26"/>
    <w:rsid w:val="0A1779E9"/>
    <w:rsid w:val="0EC14A92"/>
    <w:rsid w:val="0F675944"/>
    <w:rsid w:val="0FBA7852"/>
    <w:rsid w:val="10FE3254"/>
    <w:rsid w:val="119E6B02"/>
    <w:rsid w:val="12064E9E"/>
    <w:rsid w:val="137D2676"/>
    <w:rsid w:val="14D226BA"/>
    <w:rsid w:val="1540427C"/>
    <w:rsid w:val="1AC94D93"/>
    <w:rsid w:val="1B6E4AF2"/>
    <w:rsid w:val="1BD351DE"/>
    <w:rsid w:val="1C084731"/>
    <w:rsid w:val="1E083FCB"/>
    <w:rsid w:val="223E501E"/>
    <w:rsid w:val="22A047A2"/>
    <w:rsid w:val="27CB225E"/>
    <w:rsid w:val="285100CD"/>
    <w:rsid w:val="33195654"/>
    <w:rsid w:val="3676310F"/>
    <w:rsid w:val="369E76BE"/>
    <w:rsid w:val="388E2262"/>
    <w:rsid w:val="3E116017"/>
    <w:rsid w:val="4299049B"/>
    <w:rsid w:val="4A202709"/>
    <w:rsid w:val="51141E57"/>
    <w:rsid w:val="58F17395"/>
    <w:rsid w:val="5B2A056A"/>
    <w:rsid w:val="63915A2D"/>
    <w:rsid w:val="64A27E4E"/>
    <w:rsid w:val="651112E7"/>
    <w:rsid w:val="65BC35D8"/>
    <w:rsid w:val="66D24A56"/>
    <w:rsid w:val="697B10EF"/>
    <w:rsid w:val="6C9B772A"/>
    <w:rsid w:val="6D6D0C4D"/>
    <w:rsid w:val="722C544E"/>
    <w:rsid w:val="76150CA8"/>
    <w:rsid w:val="788F02AC"/>
    <w:rsid w:val="7CFB1DF7"/>
    <w:rsid w:val="7D1A65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beforeAutospacing="0" w:after="0" w:afterLines="0" w:afterAutospacing="0" w:line="365" w:lineRule="atLeast"/>
      <w:ind w:left="1" w:right="0" w:firstLine="0" w:firstLineChars="0"/>
      <w:jc w:val="both"/>
      <w:textAlignment w:val="bottom"/>
    </w:pPr>
    <w:rPr>
      <w:rFonts w:ascii="Times New Roman" w:hAnsi="Times New Roman" w:eastAsia="宋体" w:cs="Times New Roman"/>
    </w:rPr>
  </w:style>
  <w:style w:type="paragraph" w:styleId="3">
    <w:name w:val="heading 1"/>
    <w:basedOn w:val="1"/>
    <w:next w:val="1"/>
    <w:qFormat/>
    <w:uiPriority w:val="0"/>
    <w:pPr>
      <w:spacing w:before="104" w:beforeLines="0" w:beforeAutospacing="0" w:after="104" w:afterLines="0" w:afterAutospacing="0" w:line="0" w:lineRule="atLeast"/>
      <w:ind w:firstLine="0" w:firstLineChars="0"/>
      <w:jc w:val="center"/>
    </w:pPr>
    <w:rPr>
      <w:rFonts w:ascii="Arial" w:hAnsi="Arial" w:eastAsia="穝灿砰"/>
      <w:sz w:val="32"/>
    </w:rPr>
  </w:style>
  <w:style w:type="character" w:default="1" w:styleId="18">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pPr>
      <w:spacing w:line="480" w:lineRule="exact"/>
      <w:ind w:firstLine="425"/>
    </w:pPr>
    <w:rPr>
      <w:rFonts w:ascii="宋体" w:hAnsi="Courier New"/>
      <w:spacing w:val="16"/>
      <w:sz w:val="24"/>
      <w:szCs w:val="20"/>
    </w:rPr>
  </w:style>
  <w:style w:type="paragraph" w:styleId="4">
    <w:name w:val="Normal Indent"/>
    <w:basedOn w:val="1"/>
    <w:next w:val="5"/>
    <w:qFormat/>
    <w:uiPriority w:val="0"/>
    <w:pPr>
      <w:ind w:firstLine="420" w:firstLineChars="200"/>
    </w:pPr>
  </w:style>
  <w:style w:type="paragraph" w:customStyle="1" w:styleId="5">
    <w:name w:val="表头"/>
    <w:basedOn w:val="6"/>
    <w:next w:val="1"/>
    <w:qFormat/>
    <w:uiPriority w:val="0"/>
    <w:pPr>
      <w:keepNext w:val="0"/>
      <w:keepLines w:val="0"/>
      <w:widowControl w:val="0"/>
      <w:adjustRightInd w:val="0"/>
      <w:spacing w:before="0" w:after="0" w:line="240" w:lineRule="auto"/>
      <w:ind w:left="0" w:firstLine="0" w:firstLineChars="0"/>
      <w:jc w:val="center"/>
      <w:textAlignment w:val="baseline"/>
      <w:outlineLvl w:val="9"/>
    </w:pPr>
    <w:rPr>
      <w:rFonts w:ascii="Times New Roman" w:hAnsi="Times New Roman" w:eastAsia="宋体" w:cs="Times New Roman"/>
      <w:b/>
      <w:bCs/>
      <w:sz w:val="21"/>
    </w:rPr>
  </w:style>
  <w:style w:type="paragraph" w:customStyle="1" w:styleId="6">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styleId="7">
    <w:name w:val="annotation text"/>
    <w:basedOn w:val="1"/>
    <w:qFormat/>
    <w:uiPriority w:val="0"/>
    <w:pPr>
      <w:spacing w:line="360" w:lineRule="auto"/>
      <w:ind w:firstLine="562" w:firstLineChars="200"/>
      <w:jc w:val="left"/>
    </w:pPr>
    <w:rPr>
      <w:rFonts w:eastAsia="宋体"/>
      <w:sz w:val="24"/>
      <w:szCs w:val="24"/>
    </w:rPr>
  </w:style>
  <w:style w:type="paragraph" w:styleId="8">
    <w:name w:val="Body Text"/>
    <w:basedOn w:val="1"/>
    <w:next w:val="1"/>
    <w:qFormat/>
    <w:uiPriority w:val="0"/>
    <w:pPr>
      <w:spacing w:after="120" w:afterLines="0" w:afterAutospacing="0"/>
    </w:pPr>
  </w:style>
  <w:style w:type="paragraph" w:styleId="9">
    <w:name w:val="Body Text Indent"/>
    <w:basedOn w:val="1"/>
    <w:next w:val="10"/>
    <w:qFormat/>
    <w:uiPriority w:val="0"/>
    <w:pPr>
      <w:spacing w:after="120" w:afterLines="0" w:afterAutospacing="0"/>
      <w:ind w:left="420" w:leftChars="200"/>
    </w:pPr>
  </w:style>
  <w:style w:type="paragraph" w:styleId="10">
    <w:name w:val="header"/>
    <w:basedOn w:val="1"/>
    <w:next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index heading"/>
    <w:basedOn w:val="1"/>
    <w:next w:val="12"/>
    <w:qFormat/>
    <w:uiPriority w:val="0"/>
    <w:rPr>
      <w:rFonts w:ascii="宋体"/>
      <w:bCs/>
      <w:sz w:val="24"/>
    </w:rPr>
  </w:style>
  <w:style w:type="paragraph" w:styleId="12">
    <w:name w:val="index 1"/>
    <w:basedOn w:val="1"/>
    <w:next w:val="1"/>
    <w:qFormat/>
    <w:uiPriority w:val="0"/>
    <w:pPr>
      <w:adjustRightInd/>
      <w:spacing w:line="240" w:lineRule="auto"/>
      <w:ind w:left="560" w:hanging="560"/>
      <w:jc w:val="both"/>
      <w:textAlignment w:val="auto"/>
    </w:pPr>
    <w:rPr>
      <w:rFonts w:hAnsi="宋体"/>
      <w:spacing w:val="10"/>
      <w:kern w:val="2"/>
      <w:sz w:val="21"/>
      <w:szCs w:val="24"/>
    </w:rPr>
  </w:style>
  <w:style w:type="paragraph" w:styleId="13">
    <w:name w:val="footer"/>
    <w:basedOn w:val="1"/>
    <w:qFormat/>
    <w:uiPriority w:val="0"/>
    <w:pPr>
      <w:tabs>
        <w:tab w:val="center" w:pos="4153"/>
        <w:tab w:val="right" w:pos="8306"/>
      </w:tabs>
      <w:snapToGrid w:val="0"/>
      <w:spacing w:line="240" w:lineRule="atLeast"/>
      <w:jc w:val="left"/>
    </w:pPr>
    <w:rPr>
      <w:sz w:val="18"/>
      <w:szCs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next w:val="1"/>
    <w:qFormat/>
    <w:uiPriority w:val="0"/>
    <w:pPr>
      <w:ind w:firstLine="420" w:firstLineChars="100"/>
    </w:pPr>
  </w:style>
  <w:style w:type="paragraph" w:styleId="16">
    <w:name w:val="Body Text First Indent 2"/>
    <w:basedOn w:val="9"/>
    <w:next w:val="15"/>
    <w:qFormat/>
    <w:uiPriority w:val="0"/>
    <w:pPr>
      <w:ind w:firstLine="420" w:firstLineChars="200"/>
    </w:p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文本正文"/>
    <w:basedOn w:val="1"/>
    <w:qFormat/>
    <w:uiPriority w:val="0"/>
    <w:pPr>
      <w:snapToGrid w:val="0"/>
      <w:spacing w:line="360" w:lineRule="auto"/>
      <w:ind w:firstLine="510"/>
      <w:jc w:val="left"/>
    </w:pPr>
    <w:rPr>
      <w:spacing w:val="4"/>
      <w:kern w:val="24"/>
      <w:szCs w:val="24"/>
      <w:lang w:val="zh-CN"/>
    </w:rPr>
  </w:style>
  <w:style w:type="paragraph" w:customStyle="1" w:styleId="22">
    <w:name w:val="样式 标题 1 + 四号 段前: 0 磅 段后: 0 磅 行距: 1.5 倍行距"/>
    <w:basedOn w:val="3"/>
    <w:next w:val="21"/>
    <w:qFormat/>
    <w:uiPriority w:val="0"/>
    <w:pPr>
      <w:spacing w:line="360" w:lineRule="auto"/>
      <w:jc w:val="center"/>
    </w:pPr>
  </w:style>
  <w:style w:type="paragraph" w:customStyle="1" w:styleId="2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24">
    <w:name w:val="样式1"/>
    <w:basedOn w:val="18"/>
    <w:qFormat/>
    <w:uiPriority w:val="0"/>
    <w:rPr>
      <w:rFonts w:ascii="Times New Roman" w:hAnsi="Times New Roman" w:eastAsia="宋体" w:cs="Times New Roman"/>
      <w:sz w:val="24"/>
      <w:szCs w:val="24"/>
      <w:lang w:val="en-US" w:eastAsia="zh-CN"/>
    </w:rPr>
  </w:style>
  <w:style w:type="paragraph" w:customStyle="1" w:styleId="25">
    <w:name w:val="表格"/>
    <w:basedOn w:val="4"/>
    <w:next w:val="4"/>
    <w:qFormat/>
    <w:uiPriority w:val="0"/>
    <w:pPr>
      <w:adjustRightInd w:val="0"/>
      <w:snapToGrid w:val="0"/>
      <w:spacing w:line="240" w:lineRule="atLeast"/>
      <w:ind w:left="0" w:firstLine="0" w:firstLineChars="0"/>
      <w:jc w:val="center"/>
    </w:pPr>
    <w:rPr>
      <w:rFonts w:ascii="Times New Roman" w:hAnsi="Times New Roman" w:eastAsia="宋体"/>
      <w:kern w:val="0"/>
      <w:sz w:val="21"/>
      <w:szCs w:val="20"/>
    </w:rPr>
  </w:style>
  <w:style w:type="paragraph" w:customStyle="1" w:styleId="26">
    <w:name w:val="正文首行缩进2"/>
    <w:basedOn w:val="1"/>
    <w:qFormat/>
    <w:uiPriority w:val="0"/>
    <w:pPr>
      <w:spacing w:line="500" w:lineRule="atLeast"/>
      <w:ind w:firstLine="560"/>
    </w:pPr>
  </w:style>
  <w:style w:type="paragraph" w:customStyle="1" w:styleId="2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8">
    <w:name w:val="Table Paragraph"/>
    <w:basedOn w:val="1"/>
    <w:qFormat/>
    <w:uiPriority w:val="1"/>
    <w:pPr>
      <w:autoSpaceDE w:val="0"/>
      <w:autoSpaceDN w:val="0"/>
      <w:spacing w:line="360" w:lineRule="auto"/>
      <w:ind w:firstLine="643" w:firstLineChars="200"/>
      <w:jc w:val="left"/>
    </w:pPr>
    <w:rPr>
      <w:rFonts w:ascii="Times New Roman" w:hAnsi="Times New Roman" w:eastAsia="宋体" w:cs="Times New Roman"/>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AI风一样</cp:lastModifiedBy>
  <cp:lastPrinted>2023-01-09T03:54:21Z</cp:lastPrinted>
  <dcterms:modified xsi:type="dcterms:W3CDTF">2023-01-09T05:40:13Z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