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tbl>
      <w:tblPr>
        <w:tblStyle w:val="6"/>
        <w:tblW w:w="9078" w:type="dxa"/>
        <w:jc w:val="center"/>
        <w:tblInd w:w="-386"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78"/>
      </w:tblGrid>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jc w:val="center"/>
          <w:hidden/>
        </w:trPr>
        <w:tc>
          <w:tcPr>
            <w:tcW w:w="9078" w:type="dxa"/>
            <w:tcBorders>
              <w:top w:val="single" w:color="FFFFFF" w:sz="2" w:space="0"/>
              <w:left w:val="single" w:color="FFFFFF" w:sz="2" w:space="0"/>
              <w:bottom w:val="single" w:color="FFFFFF" w:sz="2" w:space="0"/>
              <w:right w:val="single" w:color="FFFFFF" w:sz="2" w:space="0"/>
            </w:tcBorders>
            <w:shd w:val="clear" w:color="auto" w:fill="FFFFFF"/>
            <w:vAlign w:val="top"/>
          </w:tcPr>
          <w:p>
            <w:pPr>
              <w:pStyle w:val="5"/>
              <w:keepNext w:val="0"/>
              <w:keepLines w:val="0"/>
              <w:widowControl/>
              <w:suppressLineNumbers w:val="0"/>
              <w:spacing w:beforeAutospacing="1" w:afterAutospacing="1" w:line="394" w:lineRule="atLeast"/>
              <w:jc w:val="left"/>
              <w:rPr>
                <w:vanish/>
              </w:rPr>
            </w:pPr>
            <w:r>
              <w:rPr>
                <w:rFonts w:ascii="黑体" w:hAnsi="宋体" w:eastAsia="黑体" w:cs="黑体"/>
                <w:vanish/>
                <w:sz w:val="32"/>
                <w:szCs w:val="32"/>
              </w:rPr>
              <w:t>00000</w:t>
            </w:r>
          </w:p>
        </w:tc>
      </w:tr>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78" w:type="dxa"/>
            <w:tcBorders>
              <w:top w:val="single" w:color="FFFFFF" w:sz="2" w:space="0"/>
              <w:left w:val="single" w:color="FFFFFF" w:sz="2" w:space="0"/>
              <w:bottom w:val="single" w:color="FFFFFF" w:sz="2" w:space="0"/>
              <w:right w:val="single" w:color="FFFFFF" w:sz="2" w:space="0"/>
            </w:tcBorders>
            <w:shd w:val="clear" w:color="auto" w:fill="FFFFFF"/>
            <w:vAlign w:val="top"/>
          </w:tcPr>
          <w:p>
            <w:pPr>
              <w:pStyle w:val="5"/>
              <w:keepNext w:val="0"/>
              <w:keepLines w:val="0"/>
              <w:widowControl/>
              <w:suppressLineNumbers w:val="0"/>
              <w:spacing w:beforeAutospacing="1" w:afterAutospacing="1" w:line="394" w:lineRule="atLeast"/>
              <w:ind w:right="0"/>
              <w:jc w:val="both"/>
              <w:rPr>
                <w:spacing w:val="0"/>
              </w:rPr>
            </w:pPr>
            <w:r>
              <w:rPr>
                <w:rFonts w:ascii="方正小标宋_GBK" w:hAnsi="方正小标宋_GBK" w:eastAsia="方正小标宋_GBK" w:cs="方正小标宋_GBK"/>
                <w:color w:val="FF0000"/>
                <w:spacing w:val="0"/>
                <w:sz w:val="57"/>
                <w:szCs w:val="57"/>
              </w:rPr>
              <w:t>昆明市晋宁区市场监督管理局文件</w:t>
            </w:r>
          </w:p>
        </w:tc>
      </w:tr>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Ex>
        <w:trPr>
          <w:trHeight w:val="788" w:hRule="atLeast"/>
          <w:jc w:val="center"/>
        </w:trPr>
        <w:tc>
          <w:tcPr>
            <w:tcW w:w="9078" w:type="dxa"/>
            <w:tcBorders>
              <w:top w:val="single" w:color="FFFFFF" w:sz="2" w:space="0"/>
              <w:left w:val="single" w:color="FFFFFF" w:sz="2" w:space="0"/>
              <w:bottom w:val="single" w:color="FFFFFF" w:sz="2" w:space="0"/>
              <w:right w:val="single" w:color="FFFFFF" w:sz="2" w:space="0"/>
            </w:tcBorders>
            <w:shd w:val="clear" w:color="auto" w:fill="FFFFFF"/>
            <w:vAlign w:val="top"/>
          </w:tcPr>
          <w:p>
            <w:pPr>
              <w:jc w:val="center"/>
              <w:rPr>
                <w:rFonts w:hint="eastAsia" w:ascii="仿宋" w:hAnsi="仿宋" w:eastAsia="仿宋" w:cs="仿宋"/>
                <w:sz w:val="32"/>
                <w:szCs w:val="32"/>
              </w:rPr>
            </w:pPr>
          </w:p>
        </w:tc>
      </w:tr>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78" w:type="dxa"/>
            <w:tcBorders>
              <w:top w:val="single" w:color="FFFFFF" w:sz="2" w:space="0"/>
              <w:left w:val="single" w:color="FFFFFF" w:sz="2" w:space="0"/>
              <w:bottom w:val="single" w:color="FF0000" w:sz="12" w:space="0"/>
              <w:right w:val="single" w:color="FFFFFF" w:sz="2" w:space="0"/>
            </w:tcBorders>
            <w:shd w:val="clear" w:color="auto" w:fill="FFFFFF"/>
            <w:vAlign w:val="top"/>
          </w:tcPr>
          <w:p>
            <w:pPr>
              <w:keepNext w:val="0"/>
              <w:keepLines w:val="0"/>
              <w:widowControl/>
              <w:suppressLineNumbers w:val="0"/>
              <w:spacing w:before="0" w:beforeAutospacing="0" w:after="0" w:afterAutospacing="0" w:line="394" w:lineRule="atLeast"/>
              <w:ind w:left="0" w:right="0"/>
              <w:jc w:val="center"/>
              <w:textAlignment w:val="top"/>
              <w:rPr>
                <w:rFonts w:hint="eastAsia" w:ascii="仿宋" w:hAnsi="仿宋" w:eastAsia="仿宋" w:cs="仿宋"/>
                <w:sz w:val="32"/>
                <w:szCs w:val="32"/>
              </w:rPr>
            </w:pPr>
            <w:r>
              <w:rPr>
                <w:rFonts w:hint="eastAsia" w:ascii="仿宋" w:hAnsi="仿宋" w:eastAsia="仿宋" w:cs="仿宋"/>
                <w:kern w:val="0"/>
                <w:sz w:val="32"/>
                <w:szCs w:val="32"/>
                <w:lang w:val="en-US" w:eastAsia="zh-CN" w:bidi="ar"/>
              </w:rPr>
              <w:t>晋市监〔2022〕45号</w:t>
            </w:r>
          </w:p>
        </w:tc>
      </w:tr>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Ex>
        <w:trPr>
          <w:trHeight w:val="788" w:hRule="atLeast"/>
          <w:jc w:val="center"/>
        </w:trPr>
        <w:tc>
          <w:tcPr>
            <w:tcW w:w="9078" w:type="dxa"/>
            <w:tcBorders>
              <w:top w:val="single" w:color="FFFFFF" w:sz="2" w:space="0"/>
              <w:left w:val="single" w:color="FFFFFF" w:sz="2" w:space="0"/>
              <w:bottom w:val="single" w:color="FFFFFF" w:sz="2" w:space="0"/>
              <w:right w:val="single" w:color="FFFFFF" w:sz="2" w:space="0"/>
            </w:tcBorders>
            <w:shd w:val="clear" w:color="auto" w:fill="FFFFFF"/>
            <w:vAlign w:val="top"/>
          </w:tcPr>
          <w:p>
            <w:pPr>
              <w:jc w:val="left"/>
              <w:rPr>
                <w:rFonts w:hint="eastAsia" w:ascii="仿宋" w:hAnsi="仿宋" w:eastAsia="仿宋" w:cs="仿宋"/>
                <w:sz w:val="32"/>
                <w:szCs w:val="32"/>
              </w:rPr>
            </w:pPr>
          </w:p>
        </w:tc>
      </w:tr>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78" w:type="dxa"/>
            <w:tcBorders>
              <w:top w:val="single" w:color="FFFFFF" w:sz="2" w:space="0"/>
              <w:left w:val="single" w:color="FFFFFF" w:sz="2" w:space="0"/>
              <w:bottom w:val="single" w:color="FFFFFF" w:sz="2" w:space="0"/>
              <w:right w:val="single" w:color="FFFFFF" w:sz="2" w:space="0"/>
            </w:tcBorders>
            <w:shd w:val="clear" w:color="auto" w:fill="FFFFFF"/>
            <w:vAlign w:val="top"/>
          </w:tcPr>
          <w:p>
            <w:pPr>
              <w:keepNext w:val="0"/>
              <w:keepLines w:val="0"/>
              <w:widowControl/>
              <w:suppressLineNumbers w:val="0"/>
              <w:spacing w:before="0" w:beforeAutospacing="0" w:after="0" w:afterAutospacing="0" w:line="394" w:lineRule="atLeast"/>
              <w:ind w:left="0" w:right="0"/>
              <w:jc w:val="center"/>
              <w:textAlignment w:val="top"/>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val="en-US" w:eastAsia="zh-CN" w:bidi="ar"/>
              </w:rPr>
              <w:t>关于印发《昆明市晋宁区市场监督管理局助力</w:t>
            </w:r>
            <w:r>
              <w:rPr>
                <w:rFonts w:hint="eastAsia" w:ascii="方正小标宋_GBK" w:hAnsi="方正小标宋_GBK" w:eastAsia="方正小标宋_GBK" w:cs="方正小标宋_GBK"/>
                <w:kern w:val="0"/>
                <w:sz w:val="44"/>
                <w:szCs w:val="44"/>
                <w:lang w:val="en-US" w:eastAsia="zh-CN" w:bidi="ar"/>
              </w:rPr>
              <w:br w:type="textWrapping"/>
            </w:r>
            <w:r>
              <w:rPr>
                <w:rFonts w:hint="eastAsia" w:ascii="方正小标宋_GBK" w:hAnsi="方正小标宋_GBK" w:eastAsia="方正小标宋_GBK" w:cs="方正小标宋_GBK"/>
                <w:kern w:val="0"/>
                <w:sz w:val="44"/>
                <w:szCs w:val="44"/>
                <w:lang w:val="en-US" w:eastAsia="zh-CN" w:bidi="ar"/>
              </w:rPr>
              <w:t>个体工商户健康发展工作方案》的通知</w:t>
            </w:r>
          </w:p>
        </w:tc>
      </w:tr>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Ex>
        <w:trPr>
          <w:trHeight w:val="788" w:hRule="atLeast"/>
          <w:jc w:val="center"/>
        </w:trPr>
        <w:tc>
          <w:tcPr>
            <w:tcW w:w="9078" w:type="dxa"/>
            <w:tcBorders>
              <w:top w:val="single" w:color="FFFFFF" w:sz="2" w:space="0"/>
              <w:left w:val="single" w:color="FFFFFF" w:sz="2" w:space="0"/>
              <w:bottom w:val="single" w:color="FFFFFF" w:sz="2" w:space="0"/>
              <w:right w:val="single" w:color="FFFFFF" w:sz="2" w:space="0"/>
            </w:tcBorders>
            <w:shd w:val="clear" w:color="auto" w:fill="FFFFFF"/>
            <w:vAlign w:val="bottom"/>
          </w:tcPr>
          <w:p>
            <w:pPr>
              <w:keepNext w:val="0"/>
              <w:keepLines w:val="0"/>
              <w:widowControl/>
              <w:suppressLineNumbers w:val="0"/>
              <w:spacing w:before="0" w:beforeAutospacing="0" w:after="0" w:afterAutospacing="0" w:line="394" w:lineRule="atLeast"/>
              <w:ind w:left="0" w:right="0"/>
              <w:jc w:val="left"/>
              <w:textAlignment w:val="bottom"/>
              <w:rPr>
                <w:rFonts w:hint="eastAsia" w:ascii="仿宋" w:hAnsi="仿宋" w:eastAsia="仿宋" w:cs="仿宋"/>
                <w:sz w:val="32"/>
                <w:szCs w:val="32"/>
              </w:rPr>
            </w:pPr>
            <w:r>
              <w:rPr>
                <w:rFonts w:hint="eastAsia" w:ascii="仿宋" w:hAnsi="仿宋" w:eastAsia="仿宋" w:cs="仿宋"/>
                <w:kern w:val="0"/>
                <w:sz w:val="32"/>
                <w:szCs w:val="32"/>
                <w:lang w:val="en-US" w:eastAsia="zh-CN" w:bidi="ar"/>
              </w:rPr>
              <w:t>全局各部门：</w:t>
            </w:r>
          </w:p>
        </w:tc>
      </w:tr>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Ex>
        <w:trPr>
          <w:trHeight w:val="3826" w:hRule="atLeast"/>
          <w:jc w:val="center"/>
        </w:trPr>
        <w:tc>
          <w:tcPr>
            <w:tcW w:w="9078" w:type="dxa"/>
            <w:tcBorders>
              <w:top w:val="single" w:color="FFFFFF" w:sz="2" w:space="0"/>
              <w:left w:val="single" w:color="FFFFFF" w:sz="2" w:space="0"/>
              <w:bottom w:val="single" w:color="FFFFFF" w:sz="2" w:space="0"/>
              <w:right w:val="single" w:color="FFFFFF" w:sz="2" w:space="0"/>
            </w:tcBorders>
            <w:shd w:val="clear" w:color="auto" w:fill="FFFFFF"/>
            <w:vAlign w:val="top"/>
          </w:tcPr>
          <w:p>
            <w:pPr>
              <w:pStyle w:val="5"/>
              <w:keepNext w:val="0"/>
              <w:keepLines w:val="0"/>
              <w:widowControl/>
              <w:suppressLineNumbers w:val="0"/>
              <w:spacing w:beforeAutospacing="1" w:afterAutospacing="1" w:line="394" w:lineRule="atLeast"/>
              <w:ind w:left="0" w:firstLine="567"/>
              <w:jc w:val="left"/>
            </w:pPr>
            <w:r>
              <w:rPr>
                <w:rFonts w:hint="eastAsia" w:ascii="仿宋" w:hAnsi="仿宋" w:eastAsia="仿宋" w:cs="仿宋"/>
                <w:sz w:val="32"/>
                <w:szCs w:val="32"/>
              </w:rPr>
              <w:t>现将《昆明市晋宁区市场监督管理局助力个体工商户健康发展工作方案》印发给你们，请认真抓好落实工作。</w:t>
            </w:r>
          </w:p>
          <w:p>
            <w:pPr>
              <w:pStyle w:val="5"/>
              <w:keepNext w:val="0"/>
              <w:keepLines w:val="0"/>
              <w:widowControl/>
              <w:suppressLineNumbers w:val="0"/>
              <w:spacing w:beforeAutospacing="1" w:afterAutospacing="1" w:line="394" w:lineRule="atLeast"/>
              <w:jc w:val="left"/>
            </w:pPr>
            <w:r>
              <w:rPr>
                <w:rFonts w:hint="eastAsia" w:ascii="仿宋" w:hAnsi="仿宋" w:eastAsia="仿宋" w:cs="仿宋"/>
                <w:sz w:val="32"/>
                <w:szCs w:val="32"/>
              </w:rPr>
              <w:t> </w:t>
            </w:r>
          </w:p>
          <w:p>
            <w:pPr>
              <w:pStyle w:val="5"/>
              <w:keepNext w:val="0"/>
              <w:keepLines w:val="0"/>
              <w:widowControl/>
              <w:suppressLineNumbers w:val="0"/>
              <w:spacing w:beforeAutospacing="1" w:afterAutospacing="1" w:line="394" w:lineRule="atLeast"/>
              <w:ind w:left="1418" w:hanging="851"/>
              <w:jc w:val="left"/>
            </w:pPr>
            <w:r>
              <w:rPr>
                <w:rFonts w:hint="eastAsia" w:ascii="仿宋" w:hAnsi="仿宋" w:eastAsia="仿宋" w:cs="仿宋"/>
                <w:sz w:val="32"/>
                <w:szCs w:val="32"/>
              </w:rPr>
              <w:t>附件：昆明市晋宁区市场监督管理局助力个体工商户健康发展工作方案</w:t>
            </w:r>
          </w:p>
        </w:tc>
      </w:tr>
    </w:tbl>
    <w:p>
      <w:pPr>
        <w:rPr>
          <w:vanish/>
          <w:sz w:val="24"/>
          <w:szCs w:val="24"/>
        </w:rPr>
      </w:pPr>
    </w:p>
    <w:tbl>
      <w:tblPr>
        <w:tblStyle w:val="6"/>
        <w:tblW w:w="9078" w:type="dxa"/>
        <w:jc w:val="center"/>
        <w:tblInd w:w="-386"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78"/>
      </w:tblGrid>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9078" w:type="dxa"/>
            <w:tcBorders>
              <w:top w:val="single" w:color="FFFFFF" w:sz="2" w:space="0"/>
              <w:left w:val="single" w:color="FFFFFF" w:sz="2" w:space="0"/>
              <w:bottom w:val="single" w:color="FFFFFF" w:sz="2" w:space="0"/>
              <w:right w:val="single" w:color="FFFFFF" w:sz="2" w:space="0"/>
            </w:tcBorders>
            <w:shd w:val="clear" w:color="auto" w:fill="FFFFFF"/>
            <w:tcMar>
              <w:right w:w="210" w:type="dxa"/>
            </w:tcMar>
            <w:vAlign w:val="top"/>
          </w:tcPr>
          <w:p>
            <w:pPr>
              <w:keepNext w:val="0"/>
              <w:keepLines w:val="0"/>
              <w:widowControl/>
              <w:suppressLineNumbers w:val="0"/>
              <w:spacing w:before="0" w:beforeAutospacing="0" w:after="0" w:afterAutospacing="0" w:line="394" w:lineRule="atLeast"/>
              <w:ind w:left="0" w:right="0"/>
              <w:jc w:val="right"/>
              <w:textAlignment w:val="top"/>
              <w:rPr>
                <w:rFonts w:hint="eastAsia" w:ascii="仿宋" w:hAnsi="仿宋" w:eastAsia="仿宋" w:cs="仿宋"/>
                <w:sz w:val="28"/>
                <w:szCs w:val="28"/>
              </w:rPr>
            </w:pPr>
            <w:r>
              <w:rPr>
                <w:rFonts w:hint="eastAsia" w:ascii="仿宋" w:hAnsi="仿宋" w:eastAsia="仿宋" w:cs="仿宋"/>
                <w:kern w:val="0"/>
                <w:sz w:val="28"/>
                <w:szCs w:val="28"/>
                <w:lang w:val="en-US" w:eastAsia="zh-CN" w:bidi="ar"/>
              </w:rPr>
              <w:t>— 1 —</w:t>
            </w:r>
          </w:p>
        </w:tc>
      </w:tr>
    </w:tbl>
    <w:p>
      <w:pPr>
        <w:rPr>
          <w:vanish/>
          <w:sz w:val="24"/>
          <w:szCs w:val="24"/>
        </w:rPr>
      </w:pPr>
    </w:p>
    <w:tbl>
      <w:tblPr>
        <w:tblStyle w:val="6"/>
        <w:tblW w:w="9089" w:type="dxa"/>
        <w:jc w:val="center"/>
        <w:tblInd w:w="-391"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89"/>
      </w:tblGrid>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93" w:hRule="atLeast"/>
          <w:jc w:val="center"/>
        </w:trPr>
        <w:tc>
          <w:tcPr>
            <w:tcW w:w="9089" w:type="dxa"/>
            <w:tcBorders>
              <w:top w:val="single" w:color="FFFFFF" w:sz="2" w:space="0"/>
              <w:left w:val="single" w:color="FFFFFF" w:sz="2" w:space="0"/>
              <w:bottom w:val="single" w:color="FFFFFF" w:sz="2" w:space="0"/>
              <w:right w:val="single" w:color="FFFFFF" w:sz="2" w:space="0"/>
            </w:tcBorders>
            <w:shd w:val="clear" w:color="auto" w:fill="FFFFFF"/>
            <w:vAlign w:val="top"/>
          </w:tcPr>
          <w:tbl>
            <w:tblPr>
              <w:tblStyle w:val="6"/>
              <w:tblW w:w="9078" w:type="dxa"/>
              <w:tblInd w:w="1"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
              <w:gridCol w:w="2901"/>
              <w:gridCol w:w="6156"/>
            </w:tblGrid>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553" w:hRule="atLeast"/>
              </w:trPr>
              <w:tc>
                <w:tcPr>
                  <w:tcW w:w="21" w:type="dxa"/>
                  <w:tcBorders>
                    <w:top w:val="single" w:color="FFFFFF" w:sz="2" w:space="0"/>
                    <w:left w:val="single" w:color="FFFFFF" w:sz="2" w:space="0"/>
                    <w:bottom w:val="single" w:color="FFFFFF" w:sz="2" w:space="0"/>
                    <w:right w:val="single" w:color="FFFFFF" w:sz="2" w:space="0"/>
                  </w:tcBorders>
                  <w:shd w:val="clear" w:color="auto" w:fill="FFFFFF"/>
                  <w:vAlign w:val="bottom"/>
                </w:tcPr>
                <w:p>
                  <w:pPr>
                    <w:jc w:val="left"/>
                    <w:rPr>
                      <w:rFonts w:hint="eastAsia" w:ascii="仿宋" w:hAnsi="仿宋" w:eastAsia="仿宋" w:cs="仿宋"/>
                      <w:sz w:val="32"/>
                      <w:szCs w:val="32"/>
                    </w:rPr>
                  </w:pPr>
                </w:p>
              </w:tc>
              <w:tc>
                <w:tcPr>
                  <w:tcW w:w="2901" w:type="dxa"/>
                  <w:tcBorders>
                    <w:top w:val="single" w:color="FFFFFF" w:sz="2" w:space="0"/>
                    <w:left w:val="single" w:color="FFFFFF" w:sz="2" w:space="0"/>
                    <w:bottom w:val="single" w:color="FFFFFF" w:sz="2" w:space="0"/>
                    <w:right w:val="single" w:color="FFFFFF" w:sz="2" w:space="0"/>
                  </w:tcBorders>
                  <w:shd w:val="clear" w:color="auto" w:fill="FFFFFF"/>
                  <w:vAlign w:val="bottom"/>
                </w:tcPr>
                <w:p>
                  <w:pPr>
                    <w:keepNext w:val="0"/>
                    <w:keepLines w:val="0"/>
                    <w:widowControl/>
                    <w:suppressLineNumbers w:val="0"/>
                    <w:spacing w:before="0" w:beforeAutospacing="0" w:after="0" w:afterAutospacing="0" w:line="394" w:lineRule="atLeast"/>
                    <w:ind w:left="0" w:right="0"/>
                    <w:jc w:val="left"/>
                    <w:textAlignment w:val="bottom"/>
                    <w:rPr>
                      <w:rFonts w:hint="eastAsia"/>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tc>
              <w:tc>
                <w:tcPr>
                  <w:tcW w:w="6156" w:type="dxa"/>
                  <w:tcBorders>
                    <w:top w:val="single" w:color="FFFFFF" w:sz="2" w:space="0"/>
                    <w:left w:val="single" w:color="FFFFFF" w:sz="2" w:space="0"/>
                    <w:bottom w:val="single" w:color="FFFFFF" w:sz="2" w:space="0"/>
                    <w:right w:val="single" w:color="FFFFFF" w:sz="2" w:space="0"/>
                  </w:tcBorders>
                  <w:shd w:val="clear" w:color="auto" w:fill="FFFFFF"/>
                  <w:vAlign w:val="bottom"/>
                </w:tcPr>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both"/>
                    <w:textAlignment w:val="auto"/>
                    <w:rPr>
                      <w:rFonts w:hint="eastAsia" w:ascii="仿宋" w:hAnsi="仿宋" w:eastAsia="仿宋" w:cs="仿宋"/>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both"/>
                    <w:textAlignment w:val="auto"/>
                    <w:rPr>
                      <w:rFonts w:hint="eastAsia" w:ascii="仿宋" w:hAnsi="仿宋" w:eastAsia="仿宋" w:cs="仿宋"/>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center"/>
                    <w:textAlignment w:val="auto"/>
                    <w:rPr>
                      <w:rFonts w:hint="eastAsia" w:ascii="仿宋" w:hAnsi="仿宋" w:eastAsia="仿宋" w:cs="仿宋"/>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center"/>
                    <w:textAlignment w:val="auto"/>
                    <w:rPr>
                      <w:rFonts w:hint="eastAsia" w:ascii="仿宋" w:hAnsi="仿宋" w:eastAsia="仿宋" w:cs="仿宋"/>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center"/>
                    <w:textAlignment w:val="auto"/>
                    <w:rPr>
                      <w:rFonts w:hint="eastAsia" w:ascii="仿宋" w:hAnsi="仿宋" w:eastAsia="仿宋" w:cs="仿宋"/>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8240" behindDoc="1" locked="0" layoutInCell="1" allowOverlap="1">
                        <wp:simplePos x="0" y="0"/>
                        <wp:positionH relativeFrom="column">
                          <wp:posOffset>899160</wp:posOffset>
                        </wp:positionH>
                        <wp:positionV relativeFrom="paragraph">
                          <wp:posOffset>421005</wp:posOffset>
                        </wp:positionV>
                        <wp:extent cx="1521460" cy="1521460"/>
                        <wp:effectExtent l="0" t="0" r="2540" b="254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521460" cy="1521460"/>
                                </a:xfrm>
                                <a:prstGeom prst="rect">
                                  <a:avLst/>
                                </a:prstGeom>
                              </pic:spPr>
                            </pic:pic>
                          </a:graphicData>
                        </a:graphic>
                      </wp:anchor>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center"/>
                    <w:textAlignment w:val="auto"/>
                  </w:pPr>
                  <w:r>
                    <w:rPr>
                      <w:rFonts w:hint="eastAsia" w:ascii="仿宋" w:hAnsi="仿宋" w:eastAsia="仿宋" w:cs="仿宋"/>
                      <w:sz w:val="32"/>
                      <w:szCs w:val="32"/>
                    </w:rPr>
                    <w:t>昆明市晋宁区市场监督管理局</w:t>
                  </w: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2022年11月22日</w:t>
                  </w: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center"/>
                    <w:textAlignment w:val="auto"/>
                    <w:rPr>
                      <w:rFonts w:hint="eastAsia" w:ascii="仿宋" w:hAnsi="仿宋" w:eastAsia="仿宋" w:cs="仿宋"/>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center"/>
                    <w:textAlignment w:val="auto"/>
                    <w:rPr>
                      <w:rFonts w:hint="eastAsia" w:ascii="仿宋" w:hAnsi="仿宋" w:eastAsia="仿宋" w:cs="仿宋"/>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center"/>
                    <w:textAlignment w:val="auto"/>
                    <w:rPr>
                      <w:rFonts w:hint="eastAsia" w:ascii="仿宋" w:hAnsi="仿宋" w:eastAsia="仿宋" w:cs="仿宋"/>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center"/>
                    <w:textAlignment w:val="auto"/>
                    <w:rPr>
                      <w:rFonts w:hint="eastAsia" w:ascii="仿宋" w:hAnsi="仿宋" w:eastAsia="仿宋" w:cs="仿宋"/>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1" w:afterAutospacing="1" w:line="560" w:lineRule="exact"/>
                    <w:jc w:val="center"/>
                    <w:textAlignment w:val="auto"/>
                    <w:rPr>
                      <w:rFonts w:hint="eastAsia" w:ascii="仿宋" w:hAnsi="仿宋" w:eastAsia="仿宋" w:cs="仿宋"/>
                      <w:sz w:val="32"/>
                      <w:szCs w:val="32"/>
                    </w:rPr>
                  </w:pPr>
                </w:p>
              </w:tc>
            </w:tr>
          </w:tbl>
          <w:p>
            <w:pPr>
              <w:jc w:val="left"/>
              <w:rPr>
                <w:rFonts w:hint="eastAsia" w:ascii="仿宋" w:hAnsi="仿宋" w:eastAsia="仿宋" w:cs="仿宋"/>
                <w:sz w:val="32"/>
                <w:szCs w:val="32"/>
              </w:rPr>
            </w:pPr>
          </w:p>
        </w:tc>
      </w:tr>
    </w:tbl>
    <w:p>
      <w:pPr>
        <w:rPr>
          <w:vanish/>
          <w:sz w:val="24"/>
          <w:szCs w:val="24"/>
        </w:rPr>
      </w:pPr>
    </w:p>
    <w:tbl>
      <w:tblPr>
        <w:tblStyle w:val="6"/>
        <w:tblW w:w="9078" w:type="dxa"/>
        <w:jc w:val="center"/>
        <w:tblInd w:w="-176"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850"/>
        <w:gridCol w:w="3228"/>
      </w:tblGrid>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hidden/>
        </w:trPr>
        <w:tc>
          <w:tcPr>
            <w:tcW w:w="9078" w:type="dxa"/>
            <w:gridSpan w:val="2"/>
            <w:tcBorders>
              <w:top w:val="single" w:color="000000" w:sz="12" w:space="0"/>
              <w:left w:val="single" w:color="FFFFFF" w:sz="2" w:space="0"/>
              <w:bottom w:val="single" w:color="000000" w:sz="6" w:space="0"/>
              <w:right w:val="single" w:color="FFFFFF" w:sz="2" w:space="0"/>
            </w:tcBorders>
            <w:shd w:val="clear" w:color="auto" w:fill="FFFFFF"/>
            <w:tcMar>
              <w:left w:w="210" w:type="dxa"/>
              <w:right w:w="210" w:type="dxa"/>
            </w:tcMar>
            <w:vAlign w:val="top"/>
          </w:tcPr>
          <w:p>
            <w:pPr>
              <w:jc w:val="left"/>
              <w:rPr>
                <w:rFonts w:hint="eastAsia" w:ascii="仿宋" w:hAnsi="仿宋" w:eastAsia="仿宋" w:cs="仿宋"/>
                <w:vanish/>
                <w:sz w:val="28"/>
                <w:szCs w:val="28"/>
              </w:rPr>
            </w:pPr>
          </w:p>
        </w:tc>
      </w:tr>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Ex>
        <w:trPr>
          <w:trHeight w:val="549" w:hRule="atLeast"/>
          <w:jc w:val="center"/>
        </w:trPr>
        <w:tc>
          <w:tcPr>
            <w:tcW w:w="5850" w:type="dxa"/>
            <w:tcBorders>
              <w:top w:val="single" w:color="000000" w:sz="12" w:space="0"/>
              <w:left w:val="single" w:color="FFFFFF" w:sz="2" w:space="0"/>
              <w:bottom w:val="single" w:color="000000" w:sz="12" w:space="0"/>
              <w:right w:val="single" w:color="FFFFFF" w:sz="2" w:space="0"/>
            </w:tcBorders>
            <w:shd w:val="clear" w:color="auto" w:fill="FFFFFF"/>
            <w:tcMar>
              <w:left w:w="210" w:type="dxa"/>
            </w:tcMar>
            <w:vAlign w:val="top"/>
          </w:tcPr>
          <w:p>
            <w:pPr>
              <w:keepNext w:val="0"/>
              <w:keepLines w:val="0"/>
              <w:widowControl/>
              <w:suppressLineNumbers w:val="0"/>
              <w:spacing w:before="0" w:beforeAutospacing="0" w:after="0" w:afterAutospacing="0" w:line="394" w:lineRule="atLeast"/>
              <w:ind w:left="0" w:right="0"/>
              <w:jc w:val="left"/>
              <w:textAlignment w:val="top"/>
              <w:rPr>
                <w:rFonts w:hint="eastAsia" w:ascii="仿宋" w:hAnsi="仿宋" w:eastAsia="仿宋" w:cs="仿宋"/>
                <w:sz w:val="28"/>
                <w:szCs w:val="28"/>
              </w:rPr>
            </w:pPr>
            <w:r>
              <w:rPr>
                <w:rFonts w:hint="eastAsia" w:ascii="仿宋" w:hAnsi="仿宋" w:eastAsia="仿宋" w:cs="仿宋"/>
                <w:kern w:val="0"/>
                <w:sz w:val="28"/>
                <w:szCs w:val="28"/>
                <w:lang w:val="en-US" w:eastAsia="zh-CN" w:bidi="ar"/>
              </w:rPr>
              <w:t>昆明市晋宁区市场监督管理局</w:t>
            </w:r>
          </w:p>
        </w:tc>
        <w:tc>
          <w:tcPr>
            <w:tcW w:w="3228" w:type="dxa"/>
            <w:tcBorders>
              <w:top w:val="single" w:color="000000" w:sz="12" w:space="0"/>
              <w:left w:val="single" w:color="FFFFFF" w:sz="2" w:space="0"/>
              <w:bottom w:val="single" w:color="000000" w:sz="12" w:space="0"/>
              <w:right w:val="single" w:color="FFFFFF" w:sz="2" w:space="0"/>
            </w:tcBorders>
            <w:shd w:val="clear" w:color="auto" w:fill="FFFFFF"/>
            <w:tcMar>
              <w:right w:w="210" w:type="dxa"/>
            </w:tcMar>
            <w:vAlign w:val="top"/>
          </w:tcPr>
          <w:p>
            <w:pPr>
              <w:keepNext w:val="0"/>
              <w:keepLines w:val="0"/>
              <w:widowControl/>
              <w:suppressLineNumbers w:val="0"/>
              <w:spacing w:before="0" w:beforeAutospacing="0" w:after="0" w:afterAutospacing="0" w:line="394" w:lineRule="atLeast"/>
              <w:ind w:left="0" w:right="0"/>
              <w:jc w:val="right"/>
              <w:textAlignment w:val="top"/>
              <w:rPr>
                <w:rFonts w:hint="eastAsia" w:ascii="仿宋" w:hAnsi="仿宋" w:eastAsia="仿宋" w:cs="仿宋"/>
                <w:sz w:val="28"/>
                <w:szCs w:val="28"/>
              </w:rPr>
            </w:pPr>
            <w:r>
              <w:rPr>
                <w:rFonts w:hint="eastAsia" w:ascii="仿宋" w:hAnsi="仿宋" w:eastAsia="仿宋" w:cs="仿宋"/>
                <w:kern w:val="0"/>
                <w:sz w:val="28"/>
                <w:szCs w:val="28"/>
                <w:lang w:val="en-US" w:eastAsia="zh-CN" w:bidi="ar"/>
              </w:rPr>
              <w:t>2022年11月22日印发</w:t>
            </w:r>
          </w:p>
        </w:tc>
      </w:tr>
    </w:tbl>
    <w:p>
      <w:pPr>
        <w:rPr>
          <w:vanish/>
          <w:sz w:val="24"/>
          <w:szCs w:val="24"/>
        </w:rPr>
      </w:pPr>
    </w:p>
    <w:tbl>
      <w:tblPr>
        <w:tblStyle w:val="6"/>
        <w:tblW w:w="9078" w:type="dxa"/>
        <w:jc w:val="center"/>
        <w:tblInd w:w="-176"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78"/>
      </w:tblGrid>
      <w:tr>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9078" w:type="dxa"/>
            <w:tcBorders>
              <w:top w:val="single" w:color="FFFFFF" w:sz="2" w:space="0"/>
              <w:left w:val="single" w:color="FFFFFF" w:sz="2" w:space="0"/>
              <w:bottom w:val="single" w:color="FFFFFF" w:sz="2" w:space="0"/>
              <w:right w:val="single" w:color="FFFFFF" w:sz="2" w:space="0"/>
            </w:tcBorders>
            <w:shd w:val="clear" w:color="auto" w:fill="FFFFFF"/>
            <w:tcMar>
              <w:left w:w="210" w:type="dxa"/>
            </w:tcMar>
            <w:vAlign w:val="top"/>
          </w:tcPr>
          <w:p>
            <w:pPr>
              <w:keepNext w:val="0"/>
              <w:keepLines w:val="0"/>
              <w:widowControl/>
              <w:suppressLineNumbers w:val="0"/>
              <w:spacing w:before="0" w:beforeAutospacing="0" w:after="0" w:afterAutospacing="0" w:line="394" w:lineRule="atLeast"/>
              <w:ind w:left="0" w:right="0"/>
              <w:jc w:val="left"/>
              <w:textAlignment w:val="top"/>
              <w:rPr>
                <w:rFonts w:hint="eastAsia" w:ascii="仿宋" w:hAnsi="仿宋" w:eastAsia="仿宋" w:cs="仿宋"/>
                <w:sz w:val="28"/>
                <w:szCs w:val="28"/>
              </w:rPr>
            </w:pPr>
            <w:r>
              <w:rPr>
                <w:rFonts w:hint="eastAsia" w:ascii="仿宋" w:hAnsi="仿宋" w:eastAsia="仿宋" w:cs="仿宋"/>
                <w:kern w:val="0"/>
                <w:sz w:val="28"/>
                <w:szCs w:val="28"/>
                <w:lang w:val="en-US" w:eastAsia="zh-CN" w:bidi="ar"/>
              </w:rPr>
              <w:t>— 2 —</w:t>
            </w:r>
          </w:p>
        </w:tc>
      </w:tr>
    </w:tbl>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_GBK" w:hAnsi="方正小标宋_GBK" w:eastAsia="方正小标宋_GBK" w:cs="方正小标宋_GBK"/>
          <w:color w:val="auto"/>
          <w:sz w:val="44"/>
          <w:szCs w:val="44"/>
          <w:lang w:eastAsia="zh-CN"/>
        </w:rPr>
      </w:pPr>
      <w:bookmarkStart w:id="0" w:name="_GoBack"/>
      <w:bookmarkEnd w:id="0"/>
      <w:r>
        <w:rPr>
          <w:rFonts w:hint="eastAsia" w:ascii="方正小标宋_GBK" w:hAnsi="方正小标宋_GBK" w:eastAsia="方正小标宋_GBK" w:cs="方正小标宋_GBK"/>
          <w:color w:val="auto"/>
          <w:sz w:val="44"/>
          <w:szCs w:val="44"/>
        </w:rPr>
        <w:t>昆明市</w:t>
      </w:r>
      <w:r>
        <w:rPr>
          <w:rFonts w:hint="eastAsia" w:ascii="方正小标宋_GBK" w:hAnsi="方正小标宋_GBK" w:eastAsia="方正小标宋_GBK" w:cs="方正小标宋_GBK"/>
          <w:color w:val="auto"/>
          <w:sz w:val="44"/>
          <w:szCs w:val="44"/>
          <w:lang w:eastAsia="zh-CN"/>
        </w:rPr>
        <w:t>晋宁区市场监督管理局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助力个体工商户健康发展工作</w:t>
      </w:r>
      <w:r>
        <w:rPr>
          <w:rFonts w:hint="eastAsia" w:ascii="方正小标宋_GBK" w:hAnsi="方正小标宋_GBK" w:eastAsia="方正小标宋_GBK" w:cs="方正小标宋_GBK"/>
          <w:color w:val="auto"/>
          <w:sz w:val="44"/>
          <w:szCs w:val="44"/>
          <w:lang w:eastAsia="zh-CN"/>
        </w:rPr>
        <w:t>方案</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个体工商户是稳经济的重要基础、稳就业的主力支撑。为贯彻落实中央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关于统筹推进疫情防控和经济社会发展的决策部署</w:t>
      </w:r>
      <w:r>
        <w:rPr>
          <w:rFonts w:hint="eastAsia" w:ascii="仿宋_GB2312" w:hAnsi="仿宋_GB2312" w:eastAsia="仿宋_GB2312" w:cs="仿宋_GB2312"/>
          <w:color w:val="auto"/>
          <w:sz w:val="32"/>
          <w:szCs w:val="32"/>
          <w:lang w:eastAsia="zh-CN"/>
        </w:rPr>
        <w:t>，根据昆明市晋宁区优化营商环境促进市场主体倍增领导小组办公室《关于印发&lt;昆明市晋宁区助力个体工商户纾困解难健康发展工作措施&gt;的通知》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昆晋促主体倍增办〔2022〕4号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结合本局职能，制定如下工作方案</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eastAsia="zh-CN"/>
        </w:rPr>
        <w:t>全区</w:t>
      </w:r>
      <w:r>
        <w:rPr>
          <w:rFonts w:hint="eastAsia" w:ascii="仿宋_GB2312" w:hAnsi="仿宋_GB2312" w:eastAsia="仿宋_GB2312" w:cs="仿宋_GB2312"/>
          <w:color w:val="auto"/>
          <w:sz w:val="32"/>
          <w:szCs w:val="32"/>
        </w:rPr>
        <w:t>个体工商户保存量、扩增量、提质量，实现平稳健康发展</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工作措施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降低经营成本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sz w:val="32"/>
          <w:szCs w:val="32"/>
          <w:shd w:val="clear" w:color="auto" w:fill="FFFFFF"/>
          <w:lang w:eastAsia="zh-CN"/>
        </w:rPr>
        <w:t>全面推开</w:t>
      </w:r>
      <w:r>
        <w:rPr>
          <w:rFonts w:hint="eastAsia" w:ascii="仿宋_GB2312" w:hAnsi="仿宋_GB2312" w:eastAsia="仿宋_GB2312" w:cs="仿宋_GB2312"/>
          <w:i w:val="0"/>
          <w:caps w:val="0"/>
          <w:color w:val="auto"/>
          <w:spacing w:val="8"/>
          <w:sz w:val="32"/>
          <w:szCs w:val="32"/>
          <w:shd w:val="clear" w:color="auto" w:fill="FFFFFF"/>
        </w:rPr>
        <w:t>“网上办、掌上办、自助办”</w:t>
      </w:r>
      <w:r>
        <w:rPr>
          <w:rFonts w:hint="eastAsia" w:ascii="仿宋_GB2312" w:hAnsi="仿宋_GB2312" w:eastAsia="仿宋_GB2312" w:cs="仿宋_GB2312"/>
          <w:i w:val="0"/>
          <w:caps w:val="0"/>
          <w:color w:val="auto"/>
          <w:spacing w:val="8"/>
          <w:sz w:val="32"/>
          <w:szCs w:val="32"/>
          <w:shd w:val="clear" w:color="auto" w:fill="FFFFFF"/>
          <w:lang w:eastAsia="zh-CN"/>
        </w:rPr>
        <w:t>，困难群体帮办等</w:t>
      </w:r>
      <w:r>
        <w:rPr>
          <w:rFonts w:hint="eastAsia" w:ascii="仿宋_GB2312" w:hAnsi="仿宋_GB2312" w:eastAsia="仿宋_GB2312" w:cs="仿宋_GB2312"/>
          <w:i w:val="0"/>
          <w:caps w:val="0"/>
          <w:color w:val="auto"/>
          <w:spacing w:val="8"/>
          <w:sz w:val="32"/>
          <w:szCs w:val="32"/>
          <w:shd w:val="clear" w:color="auto" w:fill="FFFFFF"/>
        </w:rPr>
        <w:t>配套服务，引导个体工商户通过移动端、自助终端渠道“</w:t>
      </w:r>
      <w:r>
        <w:rPr>
          <w:rFonts w:hint="eastAsia" w:ascii="仿宋_GB2312" w:hAnsi="仿宋_GB2312" w:eastAsia="仿宋_GB2312" w:cs="仿宋_GB2312"/>
          <w:i w:val="0"/>
          <w:caps w:val="0"/>
          <w:color w:val="auto"/>
          <w:spacing w:val="8"/>
          <w:sz w:val="32"/>
          <w:szCs w:val="32"/>
          <w:shd w:val="clear" w:color="auto" w:fill="FFFFFF"/>
          <w:lang w:eastAsia="zh-CN"/>
        </w:rPr>
        <w:t>零</w:t>
      </w:r>
      <w:r>
        <w:rPr>
          <w:rFonts w:hint="eastAsia" w:ascii="仿宋_GB2312" w:hAnsi="仿宋_GB2312" w:eastAsia="仿宋_GB2312" w:cs="仿宋_GB2312"/>
          <w:i w:val="0"/>
          <w:caps w:val="0"/>
          <w:color w:val="auto"/>
          <w:spacing w:val="8"/>
          <w:sz w:val="32"/>
          <w:szCs w:val="32"/>
          <w:shd w:val="clear" w:color="auto" w:fill="FFFFFF"/>
        </w:rPr>
        <w:t>见面”</w:t>
      </w:r>
      <w:r>
        <w:rPr>
          <w:rFonts w:hint="eastAsia" w:ascii="仿宋_GB2312" w:hAnsi="仿宋_GB2312" w:eastAsia="仿宋_GB2312" w:cs="仿宋_GB2312"/>
          <w:i w:val="0"/>
          <w:caps w:val="0"/>
          <w:color w:val="auto"/>
          <w:spacing w:val="8"/>
          <w:sz w:val="32"/>
          <w:szCs w:val="32"/>
          <w:shd w:val="clear" w:color="auto" w:fill="FFFFFF"/>
          <w:lang w:eastAsia="zh-CN"/>
        </w:rPr>
        <w:t>方式</w:t>
      </w:r>
      <w:r>
        <w:rPr>
          <w:rFonts w:hint="eastAsia" w:ascii="仿宋_GB2312" w:hAnsi="仿宋_GB2312" w:eastAsia="仿宋_GB2312" w:cs="仿宋_GB2312"/>
          <w:i w:val="0"/>
          <w:caps w:val="0"/>
          <w:color w:val="auto"/>
          <w:spacing w:val="8"/>
          <w:sz w:val="32"/>
          <w:szCs w:val="32"/>
          <w:shd w:val="clear" w:color="auto" w:fill="FFFFFF"/>
        </w:rPr>
        <w:t>办</w:t>
      </w:r>
      <w:r>
        <w:rPr>
          <w:rFonts w:hint="eastAsia" w:ascii="仿宋_GB2312" w:hAnsi="仿宋_GB2312" w:eastAsia="仿宋_GB2312" w:cs="仿宋_GB2312"/>
          <w:i w:val="0"/>
          <w:caps w:val="0"/>
          <w:color w:val="auto"/>
          <w:spacing w:val="8"/>
          <w:sz w:val="32"/>
          <w:szCs w:val="32"/>
          <w:shd w:val="clear" w:color="auto" w:fill="FFFFFF"/>
          <w:lang w:eastAsia="zh-CN"/>
        </w:rPr>
        <w:t>理登记</w:t>
      </w:r>
      <w:r>
        <w:rPr>
          <w:rFonts w:hint="eastAsia" w:ascii="仿宋_GB2312" w:hAnsi="仿宋_GB2312" w:eastAsia="仿宋_GB2312" w:cs="仿宋_GB2312"/>
          <w:i w:val="0"/>
          <w:caps w:val="0"/>
          <w:color w:val="auto"/>
          <w:spacing w:val="8"/>
          <w:sz w:val="32"/>
          <w:szCs w:val="32"/>
          <w:shd w:val="clear" w:color="auto" w:fill="FFFFFF"/>
        </w:rPr>
        <w:t>，</w:t>
      </w:r>
      <w:r>
        <w:rPr>
          <w:rFonts w:hint="eastAsia" w:ascii="仿宋_GB2312" w:hAnsi="仿宋_GB2312" w:eastAsia="仿宋_GB2312" w:cs="仿宋_GB2312"/>
          <w:i w:val="0"/>
          <w:caps w:val="0"/>
          <w:color w:val="auto"/>
          <w:spacing w:val="8"/>
          <w:sz w:val="32"/>
          <w:szCs w:val="32"/>
          <w:shd w:val="clear" w:color="auto" w:fill="FFFFFF"/>
          <w:lang w:eastAsia="zh-CN"/>
        </w:rPr>
        <w:t>实现“零成本”登记。</w:t>
      </w:r>
      <w:r>
        <w:rPr>
          <w:rFonts w:hint="eastAsia" w:ascii="仿宋_GB2312" w:hAnsi="仿宋_GB2312" w:eastAsia="仿宋_GB2312" w:cs="仿宋_GB2312"/>
          <w:i w:val="0"/>
          <w:caps w:val="0"/>
          <w:color w:val="auto"/>
          <w:spacing w:val="8"/>
          <w:sz w:val="32"/>
          <w:szCs w:val="32"/>
          <w:shd w:val="clear" w:color="auto" w:fill="FFFFFF"/>
          <w:lang w:val="en-US" w:eastAsia="zh-CN"/>
        </w:rPr>
        <w:t>[牵头部门</w:t>
      </w:r>
      <w:r>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t>：行政审批科；责任部门：各市场监管所]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给予</w:t>
      </w:r>
      <w:r>
        <w:rPr>
          <w:rFonts w:hint="eastAsia" w:ascii="楷体_GB2312" w:hAnsi="楷体_GB2312" w:eastAsia="楷体_GB2312" w:cs="楷体_GB2312"/>
          <w:color w:val="auto"/>
          <w:sz w:val="32"/>
          <w:szCs w:val="32"/>
          <w:lang w:eastAsia="zh-CN"/>
        </w:rPr>
        <w:t>创业扶持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caps w:val="0"/>
          <w:color w:val="auto"/>
          <w:spacing w:val="8"/>
          <w:sz w:val="32"/>
          <w:szCs w:val="32"/>
          <w:lang w:eastAsia="zh-CN"/>
        </w:rPr>
      </w:pPr>
      <w:r>
        <w:rPr>
          <w:rFonts w:hint="eastAsia" w:ascii="仿宋_GB2312" w:hAnsi="仿宋_GB2312" w:eastAsia="仿宋_GB2312" w:cs="仿宋_GB2312"/>
          <w:i w:val="0"/>
          <w:caps w:val="0"/>
          <w:color w:val="auto"/>
          <w:spacing w:val="8"/>
          <w:sz w:val="32"/>
          <w:szCs w:val="32"/>
          <w:shd w:val="clear" w:color="auto" w:fill="FFFFFF"/>
        </w:rPr>
        <w:t>符合条件的个体工商户，最高可申请不超过20万元的创业担保贷款，按照规定享受财政贴息。</w:t>
      </w:r>
      <w: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t>[</w:t>
      </w:r>
      <w:r>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t>牵头部门：信用监管科；责任部门：各市场监管所</w:t>
      </w:r>
      <w: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宋体"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eastAsia="zh-CN"/>
        </w:rPr>
        <w:t>）优</w:t>
      </w:r>
      <w:r>
        <w:rPr>
          <w:rFonts w:hint="eastAsia" w:ascii="楷体_GB2312" w:hAnsi="楷体_GB2312" w:eastAsia="楷体_GB2312" w:cs="楷体_GB2312"/>
          <w:color w:val="auto"/>
          <w:sz w:val="32"/>
          <w:szCs w:val="32"/>
        </w:rPr>
        <w:t>化营商环境</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z w:val="32"/>
          <w:szCs w:val="32"/>
          <w:lang w:val="en-US"/>
        </w:rPr>
      </w:pPr>
      <w:r>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t>1.实施个体工商户歇业备案登记。对经营困难的个体工商户，允许其歇业，向登记机关办理歇业备案登记。各登记部门对申请歇业备案的个体工商户做好指导服务，当场办结</w:t>
      </w:r>
      <w:r>
        <w:rPr>
          <w:rFonts w:hint="eastAsia" w:ascii="仿宋_GB2312" w:hAnsi="仿宋_GB2312" w:eastAsia="仿宋_GB2312" w:cs="仿宋_GB2312"/>
          <w:color w:val="auto"/>
          <w:sz w:val="32"/>
          <w:szCs w:val="32"/>
        </w:rPr>
        <w:t>。</w:t>
      </w:r>
      <w: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t>[</w:t>
      </w:r>
      <w:r>
        <w:rPr>
          <w:rFonts w:hint="eastAsia" w:ascii="仿宋_GB2312" w:hAnsi="仿宋_GB2312" w:eastAsia="仿宋_GB2312" w:cs="仿宋_GB2312"/>
          <w:i w:val="0"/>
          <w:caps w:val="0"/>
          <w:color w:val="auto"/>
          <w:spacing w:val="8"/>
          <w:sz w:val="32"/>
          <w:szCs w:val="32"/>
          <w:shd w:val="clear" w:color="auto" w:fill="FFFFFF"/>
          <w:lang w:val="en-US" w:eastAsia="zh-CN"/>
        </w:rPr>
        <w:t>牵头部门</w:t>
      </w:r>
      <w:r>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t>：行政审批科；责任部门：各市场监管所</w:t>
      </w:r>
      <w: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t>2.提升“个转企”便利度。</w:t>
      </w:r>
      <w:r>
        <w:rPr>
          <w:rStyle w:val="8"/>
          <w:rFonts w:hint="eastAsia" w:ascii="仿宋_GB2312" w:hAnsi="仿宋_GB2312" w:eastAsia="仿宋_GB2312" w:cs="仿宋_GB2312"/>
          <w:b w:val="0"/>
          <w:bCs/>
          <w:i w:val="0"/>
          <w:caps w:val="0"/>
          <w:color w:val="auto"/>
          <w:spacing w:val="8"/>
          <w:sz w:val="32"/>
          <w:szCs w:val="32"/>
          <w:shd w:val="clear" w:color="auto" w:fill="FFFFFF"/>
        </w:rPr>
        <w:t>优化“个转企”登记服务</w:t>
      </w:r>
      <w:r>
        <w:rPr>
          <w:rFonts w:hint="eastAsia" w:ascii="仿宋_GB2312" w:hAnsi="仿宋_GB2312" w:eastAsia="仿宋_GB2312" w:cs="仿宋_GB2312"/>
          <w:color w:val="auto"/>
          <w:sz w:val="32"/>
          <w:szCs w:val="32"/>
          <w:lang w:val="en-US" w:eastAsia="zh-CN"/>
        </w:rPr>
        <w:t>，做好个体工商户转前、转中、转后的服务工作，及时发现和解决转企后面临的实际困难，切实保障其可持续发展。</w:t>
      </w:r>
      <w: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t>[</w:t>
      </w:r>
      <w:r>
        <w:rPr>
          <w:rFonts w:hint="eastAsia" w:ascii="仿宋_GB2312" w:hAnsi="仿宋_GB2312" w:eastAsia="仿宋_GB2312" w:cs="仿宋_GB2312"/>
          <w:i w:val="0"/>
          <w:caps w:val="0"/>
          <w:color w:val="auto"/>
          <w:spacing w:val="8"/>
          <w:sz w:val="32"/>
          <w:szCs w:val="32"/>
          <w:shd w:val="clear" w:color="auto" w:fill="FFFFFF"/>
          <w:lang w:val="en-US" w:eastAsia="zh-CN"/>
        </w:rPr>
        <w:t>牵头部门</w:t>
      </w:r>
      <w:r>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t>：行政审批科、信用监管科；责任部门：各市场监管所</w:t>
      </w:r>
      <w: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z w:val="32"/>
          <w:szCs w:val="32"/>
          <w:lang w:eastAsia="zh-CN"/>
        </w:rPr>
      </w:pPr>
      <w:r>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t>3.营造公平有序的市场环境。</w:t>
      </w:r>
      <w:r>
        <w:rPr>
          <w:rFonts w:hint="eastAsia" w:ascii="仿宋_GB2312" w:hAnsi="仿宋_GB2312" w:eastAsia="仿宋_GB2312" w:cs="仿宋_GB2312"/>
          <w:color w:val="auto"/>
          <w:sz w:val="32"/>
          <w:szCs w:val="32"/>
        </w:rPr>
        <w:t>全面落实公平竞争审查制度，开展破除地方保护专项行动，保障个体工商户一视同仁享受政策支持。进一步加强重点领域收费监督检查，坚决制止各种加重个体工商户负担的行为。依法查处平台经济领域垄断和不正当竞争行为。</w:t>
      </w:r>
      <w:r>
        <w:rPr>
          <w:rFonts w:hint="eastAsia" w:ascii="仿宋_GB2312" w:hAnsi="仿宋_GB2312" w:eastAsia="仿宋_GB2312" w:cs="仿宋_GB2312"/>
          <w:color w:val="auto"/>
          <w:sz w:val="32"/>
          <w:szCs w:val="32"/>
          <w:lang w:val="en-US" w:eastAsia="zh-CN"/>
        </w:rPr>
        <w:t>[责任</w:t>
      </w:r>
      <w:r>
        <w:rPr>
          <w:rFonts w:hint="eastAsia" w:ascii="仿宋_GB2312" w:hAnsi="仿宋_GB2312" w:eastAsia="仿宋_GB2312" w:cs="仿宋_GB2312"/>
          <w:i w:val="0"/>
          <w:caps w:val="0"/>
          <w:color w:val="auto"/>
          <w:spacing w:val="8"/>
          <w:sz w:val="32"/>
          <w:szCs w:val="32"/>
          <w:shd w:val="clear" w:color="auto" w:fill="FFFFFF"/>
          <w:lang w:val="en-US" w:eastAsia="zh-CN"/>
        </w:rPr>
        <w:t>部门</w:t>
      </w:r>
      <w:r>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t>：信用监管科、执法大队</w:t>
      </w:r>
      <w: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z w:val="32"/>
          <w:szCs w:val="32"/>
          <w:lang w:eastAsia="zh-CN"/>
        </w:rPr>
      </w:pPr>
      <w: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t>4.</w:t>
      </w:r>
      <w:r>
        <w:rPr>
          <w:rStyle w:val="8"/>
          <w:rFonts w:hint="eastAsia" w:ascii="仿宋_GB2312" w:hAnsi="仿宋_GB2312" w:eastAsia="仿宋_GB2312" w:cs="仿宋_GB2312"/>
          <w:b w:val="0"/>
          <w:bCs/>
          <w:i w:val="0"/>
          <w:caps w:val="0"/>
          <w:color w:val="auto"/>
          <w:spacing w:val="8"/>
          <w:sz w:val="32"/>
          <w:szCs w:val="32"/>
          <w:shd w:val="clear" w:color="auto" w:fill="FFFFFF"/>
        </w:rPr>
        <w:t>实行包容审慎监管。</w:t>
      </w:r>
      <w:r>
        <w:rPr>
          <w:rFonts w:hint="eastAsia" w:ascii="仿宋_GB2312" w:hAnsi="仿宋_GB2312" w:eastAsia="仿宋_GB2312" w:cs="仿宋_GB2312"/>
          <w:color w:val="auto"/>
          <w:kern w:val="2"/>
          <w:sz w:val="32"/>
          <w:szCs w:val="32"/>
          <w:lang w:val="en-US" w:eastAsia="zh-CN" w:bidi="ar-SA"/>
        </w:rPr>
        <w:t>深入推进市场监管领域轻微违法免罚轻罚规定，对不涉及疫情防控、安全生产等公共安全和人民群众生命财产安全的轻微违法行为，不予处罚或从轻减轻处罚，切实减轻经营负担。</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8"/>
          <w:sz w:val="32"/>
          <w:szCs w:val="32"/>
          <w:shd w:val="clear" w:color="auto" w:fill="FFFFFF"/>
          <w:lang w:val="en-US" w:eastAsia="zh-CN"/>
        </w:rPr>
        <w:t>牵头部门</w:t>
      </w:r>
      <w:r>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t>：法规科；责任部门：各办案部门</w:t>
      </w:r>
      <w: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pPr>
      <w:r>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t>5.全面实施信用帮扶。</w:t>
      </w:r>
      <w:r>
        <w:rPr>
          <w:rFonts w:hint="eastAsia" w:ascii="仿宋_GB2312" w:hAnsi="仿宋_GB2312" w:eastAsia="仿宋_GB2312" w:cs="仿宋_GB2312"/>
          <w:color w:val="auto"/>
          <w:sz w:val="32"/>
          <w:szCs w:val="32"/>
        </w:rPr>
        <w:t>推行“双随机＋信用”监管，对信用水平高、风险水平低的个体工商户，减少抽查比例和频次。对暂时失联或未按时报送年度报告被标记为经营异常状态的，支持个体工商户重新取得联系或补报年度报告后即时恢复正常记载状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8"/>
          <w:sz w:val="32"/>
          <w:szCs w:val="32"/>
          <w:shd w:val="clear" w:color="auto" w:fill="FFFFFF"/>
          <w:lang w:val="en-US" w:eastAsia="zh-CN"/>
        </w:rPr>
        <w:t>牵头部门</w:t>
      </w:r>
      <w:r>
        <w:rPr>
          <w:rStyle w:val="8"/>
          <w:rFonts w:hint="eastAsia" w:ascii="仿宋_GB2312" w:hAnsi="仿宋_GB2312" w:eastAsia="仿宋_GB2312" w:cs="仿宋_GB2312"/>
          <w:b w:val="0"/>
          <w:bCs/>
          <w:i w:val="0"/>
          <w:caps w:val="0"/>
          <w:color w:val="auto"/>
          <w:spacing w:val="8"/>
          <w:kern w:val="0"/>
          <w:sz w:val="32"/>
          <w:szCs w:val="32"/>
          <w:shd w:val="clear" w:color="auto" w:fill="FFFFFF"/>
          <w:lang w:val="en-US" w:eastAsia="zh-CN" w:bidi="ar"/>
        </w:rPr>
        <w:t>：信用监管科；责任部门：各市场监管所</w:t>
      </w:r>
      <w: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t>]</w:t>
      </w:r>
    </w:p>
    <w:p>
      <w:pPr>
        <w:pStyle w:val="4"/>
        <w:ind w:firstLine="336" w:firstLineChars="100"/>
        <w:rPr>
          <w:rStyle w:val="8"/>
          <w:rFonts w:hint="eastAsia" w:ascii="黑体" w:hAnsi="黑体" w:eastAsia="黑体" w:cs="黑体"/>
          <w:b w:val="0"/>
          <w:bCs/>
          <w:i w:val="0"/>
          <w:caps w:val="0"/>
          <w:color w:val="auto"/>
          <w:spacing w:val="8"/>
          <w:sz w:val="32"/>
          <w:szCs w:val="32"/>
          <w:shd w:val="clear" w:color="auto" w:fill="FFFFFF"/>
          <w:lang w:val="en-US" w:eastAsia="zh-CN"/>
        </w:rPr>
      </w:pPr>
      <w:r>
        <w:rPr>
          <w:rStyle w:val="8"/>
          <w:rFonts w:hint="eastAsia" w:ascii="黑体" w:hAnsi="黑体" w:eastAsia="黑体" w:cs="黑体"/>
          <w:b w:val="0"/>
          <w:bCs/>
          <w:i w:val="0"/>
          <w:caps w:val="0"/>
          <w:color w:val="auto"/>
          <w:spacing w:val="8"/>
          <w:sz w:val="32"/>
          <w:szCs w:val="32"/>
          <w:shd w:val="clear" w:color="auto" w:fill="FFFFFF"/>
          <w:lang w:val="en-US" w:eastAsia="zh-CN"/>
        </w:rPr>
        <w:t>三、工作要求</w:t>
      </w:r>
    </w:p>
    <w:p>
      <w:pPr>
        <w:ind w:firstLine="672" w:firstLineChars="200"/>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pPr>
      <w:r>
        <w:rPr>
          <w:rStyle w:val="8"/>
          <w:rFonts w:hint="eastAsia" w:ascii="楷体_GB2312" w:hAnsi="楷体_GB2312" w:eastAsia="楷体_GB2312" w:cs="楷体_GB2312"/>
          <w:b w:val="0"/>
          <w:bCs/>
          <w:i w:val="0"/>
          <w:caps w:val="0"/>
          <w:color w:val="auto"/>
          <w:spacing w:val="8"/>
          <w:sz w:val="32"/>
          <w:szCs w:val="32"/>
          <w:shd w:val="clear" w:color="auto" w:fill="FFFFFF"/>
          <w:lang w:val="en-US" w:eastAsia="zh-CN"/>
        </w:rPr>
        <w:t>（一）对照任务清单开展落实。</w:t>
      </w:r>
      <w: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t>各牵头部门、责任部门应当对照任务清单，不折不扣开展助力个体工商户纾困解难和帮扶工作。</w:t>
      </w:r>
    </w:p>
    <w:p>
      <w:p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（二）及时回应个体工商户反馈问题。</w:t>
      </w:r>
      <w:r>
        <w:rPr>
          <w:rFonts w:hint="eastAsia" w:ascii="仿宋_GB2312" w:hAnsi="仿宋_GB2312" w:eastAsia="仿宋_GB2312" w:cs="仿宋_GB2312"/>
          <w:sz w:val="32"/>
          <w:szCs w:val="32"/>
          <w:lang w:val="en-US" w:eastAsia="zh-CN"/>
        </w:rPr>
        <w:t>各相关部门在日常监管工作中，对个体工商户反馈涉及本局的问题和困难，要第一时间作出回应；涉及其他部门的，做好协调工作。</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b w:val="0"/>
          <w:bCs w:val="0"/>
          <w:sz w:val="32"/>
          <w:szCs w:val="32"/>
          <w:lang w:eastAsia="zh-CN"/>
        </w:rPr>
        <w:t>认真总结、及时报送工作推进情况。</w:t>
      </w:r>
      <w:r>
        <w:rPr>
          <w:rFonts w:hint="eastAsia" w:ascii="仿宋_GB2312" w:hAnsi="仿宋_GB2312" w:eastAsia="仿宋_GB2312" w:cs="仿宋_GB2312"/>
          <w:b w:val="0"/>
          <w:bCs w:val="0"/>
          <w:sz w:val="32"/>
          <w:szCs w:val="32"/>
          <w:lang w:eastAsia="zh-CN"/>
        </w:rPr>
        <w:t>工作措施涉及的牵头部门应于每季度末月的</w:t>
      </w:r>
      <w:r>
        <w:rPr>
          <w:rFonts w:hint="eastAsia" w:ascii="仿宋_GB2312" w:hAnsi="仿宋_GB2312" w:eastAsia="仿宋_GB2312" w:cs="仿宋_GB2312"/>
          <w:b w:val="0"/>
          <w:bCs w:val="0"/>
          <w:sz w:val="32"/>
          <w:szCs w:val="32"/>
          <w:lang w:val="en-US" w:eastAsia="zh-CN"/>
        </w:rPr>
        <w:t>25日前将工作推进情况报信用监管科。</w:t>
      </w:r>
    </w:p>
    <w:p>
      <w:pPr>
        <w:pStyle w:val="4"/>
        <w:rPr>
          <w:rFonts w:hint="default"/>
          <w:lang w:val="en-US"/>
        </w:rPr>
      </w:pPr>
    </w:p>
    <w:p>
      <w:pPr>
        <w:pStyle w:val="4"/>
        <w:rPr>
          <w:rFonts w:hint="eastAsia"/>
          <w:lang w:val="en-US" w:eastAsia="zh-CN"/>
        </w:rPr>
      </w:pPr>
    </w:p>
    <w:p>
      <w:pPr>
        <w:pStyle w:val="4"/>
        <w:keepNext w:val="0"/>
        <w:keepLines w:val="0"/>
        <w:pageBreakBefore w:val="0"/>
        <w:kinsoku/>
        <w:wordWrap/>
        <w:overflowPunct/>
        <w:topLinePunct w:val="0"/>
        <w:autoSpaceDE/>
        <w:autoSpaceDN/>
        <w:bidi w:val="0"/>
        <w:adjustRightInd/>
        <w:snapToGrid/>
        <w:spacing w:line="560" w:lineRule="exact"/>
        <w:textAlignment w:val="auto"/>
        <w:rPr>
          <w:rStyle w:val="8"/>
          <w:rFonts w:hint="eastAsia" w:ascii="楷体_GB2312" w:hAnsi="楷体_GB2312" w:eastAsia="楷体_GB2312" w:cs="楷体_GB2312"/>
          <w:b w:val="0"/>
          <w:bCs/>
          <w:i w:val="0"/>
          <w:caps w:val="0"/>
          <w:color w:val="auto"/>
          <w:spacing w:val="8"/>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pPr>
    </w:p>
    <w:p>
      <w:pPr>
        <w:pStyle w:val="4"/>
        <w:keepNext w:val="0"/>
        <w:keepLines w:val="0"/>
        <w:pageBreakBefore w:val="0"/>
        <w:kinsoku/>
        <w:wordWrap/>
        <w:overflowPunct/>
        <w:topLinePunct w:val="0"/>
        <w:autoSpaceDE/>
        <w:autoSpaceDN/>
        <w:bidi w:val="0"/>
        <w:adjustRightInd/>
        <w:snapToGrid/>
        <w:spacing w:line="560" w:lineRule="exact"/>
        <w:textAlignment w:val="auto"/>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pPr>
    </w:p>
    <w:p>
      <w:pPr>
        <w:rPr>
          <w:rStyle w:val="8"/>
          <w:rFonts w:hint="eastAsia" w:ascii="仿宋_GB2312" w:hAnsi="仿宋_GB2312" w:eastAsia="仿宋_GB2312" w:cs="仿宋_GB2312"/>
          <w:b w:val="0"/>
          <w:bCs/>
          <w:i w:val="0"/>
          <w:caps w:val="0"/>
          <w:color w:val="auto"/>
          <w:spacing w:val="8"/>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800002AF" w:usb1="184F6CF8"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32E32"/>
    <w:multiLevelType w:val="singleLevel"/>
    <w:tmpl w:val="99B32E32"/>
    <w:lvl w:ilvl="0" w:tentative="0">
      <w:start w:val="1"/>
      <w:numFmt w:val="chineseCounting"/>
      <w:suff w:val="nothing"/>
      <w:lvlText w:val="%1、"/>
      <w:lvlJc w:val="left"/>
      <w:rPr>
        <w:rFonts w:hint="eastAsia"/>
      </w:rPr>
    </w:lvl>
  </w:abstractNum>
  <w:abstractNum w:abstractNumId="1">
    <w:nsid w:val="DBFA90D4"/>
    <w:multiLevelType w:val="singleLevel"/>
    <w:tmpl w:val="DBFA90D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719CF"/>
    <w:rsid w:val="02F01F9C"/>
    <w:rsid w:val="035308AB"/>
    <w:rsid w:val="03FD1D9A"/>
    <w:rsid w:val="049F7987"/>
    <w:rsid w:val="04B14414"/>
    <w:rsid w:val="05707042"/>
    <w:rsid w:val="06BB64D6"/>
    <w:rsid w:val="06E63066"/>
    <w:rsid w:val="07056D60"/>
    <w:rsid w:val="09ED500F"/>
    <w:rsid w:val="0A21152A"/>
    <w:rsid w:val="0B022886"/>
    <w:rsid w:val="0BC75762"/>
    <w:rsid w:val="0F0977D9"/>
    <w:rsid w:val="0FA97534"/>
    <w:rsid w:val="111A77DF"/>
    <w:rsid w:val="11FF16AE"/>
    <w:rsid w:val="13364AA7"/>
    <w:rsid w:val="13412739"/>
    <w:rsid w:val="14216B1F"/>
    <w:rsid w:val="14D7516D"/>
    <w:rsid w:val="15FF743A"/>
    <w:rsid w:val="162F7A6D"/>
    <w:rsid w:val="168136BA"/>
    <w:rsid w:val="16C579F3"/>
    <w:rsid w:val="17121BD1"/>
    <w:rsid w:val="1BEA4039"/>
    <w:rsid w:val="1CCB790F"/>
    <w:rsid w:val="1D6135BD"/>
    <w:rsid w:val="1DA75352"/>
    <w:rsid w:val="1F590E51"/>
    <w:rsid w:val="25652400"/>
    <w:rsid w:val="26136D02"/>
    <w:rsid w:val="26722DCB"/>
    <w:rsid w:val="2AFC718C"/>
    <w:rsid w:val="2B6271F8"/>
    <w:rsid w:val="2B743374"/>
    <w:rsid w:val="2B831E3A"/>
    <w:rsid w:val="2C48581E"/>
    <w:rsid w:val="2F40753C"/>
    <w:rsid w:val="30A508C0"/>
    <w:rsid w:val="3172059E"/>
    <w:rsid w:val="330C1202"/>
    <w:rsid w:val="33304B91"/>
    <w:rsid w:val="338F7381"/>
    <w:rsid w:val="36186382"/>
    <w:rsid w:val="37291F56"/>
    <w:rsid w:val="37BC25E1"/>
    <w:rsid w:val="391D7EBB"/>
    <w:rsid w:val="3A0300D5"/>
    <w:rsid w:val="3BC64865"/>
    <w:rsid w:val="3E9609BB"/>
    <w:rsid w:val="3F60051A"/>
    <w:rsid w:val="3FC90968"/>
    <w:rsid w:val="431A5059"/>
    <w:rsid w:val="44F055F5"/>
    <w:rsid w:val="48C71EEF"/>
    <w:rsid w:val="49B44CF4"/>
    <w:rsid w:val="4A2676D7"/>
    <w:rsid w:val="504B3E17"/>
    <w:rsid w:val="50D85394"/>
    <w:rsid w:val="50E13DBD"/>
    <w:rsid w:val="53061231"/>
    <w:rsid w:val="53796A4E"/>
    <w:rsid w:val="56D44E12"/>
    <w:rsid w:val="5AFC5AAE"/>
    <w:rsid w:val="5F7E64DA"/>
    <w:rsid w:val="616D5946"/>
    <w:rsid w:val="618925F2"/>
    <w:rsid w:val="62536531"/>
    <w:rsid w:val="645C1568"/>
    <w:rsid w:val="64A51924"/>
    <w:rsid w:val="64DB2B25"/>
    <w:rsid w:val="664C6C13"/>
    <w:rsid w:val="690F6DD4"/>
    <w:rsid w:val="6A8D7456"/>
    <w:rsid w:val="6C7A5861"/>
    <w:rsid w:val="75F009FF"/>
    <w:rsid w:val="77277842"/>
    <w:rsid w:val="7A704A20"/>
    <w:rsid w:val="7C333A44"/>
    <w:rsid w:val="7E8A47CC"/>
    <w:rsid w:val="7EE40B99"/>
    <w:rsid w:val="7F3E4D91"/>
    <w:rsid w:val="7F627EC8"/>
    <w:rsid w:val="7F7E4ED1"/>
    <w:rsid w:val="7FA2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120" w:afterAutospacing="0"/>
      <w:ind w:left="420" w:leftChars="200" w:right="0" w:firstLine="420"/>
      <w:jc w:val="both"/>
    </w:pPr>
    <w:rPr>
      <w:rFonts w:hint="default" w:ascii="Calibri" w:hAnsi="Calibri" w:eastAsia="宋体" w:cs="Times New Roman"/>
      <w:kern w:val="2"/>
      <w:sz w:val="21"/>
      <w:szCs w:val="24"/>
      <w:lang w:val="en-US" w:eastAsia="zh-CN" w:bidi="ar"/>
    </w:rPr>
  </w:style>
  <w:style w:type="paragraph" w:styleId="3">
    <w:name w:val="Body Text Indent"/>
    <w:basedOn w:val="1"/>
    <w:qFormat/>
    <w:uiPriority w:val="0"/>
    <w:pPr>
      <w:spacing w:after="120" w:afterLines="0" w:afterAutospacing="0"/>
      <w:ind w:left="420" w:leftChars="200"/>
    </w:pPr>
  </w:style>
  <w:style w:type="paragraph" w:styleId="4">
    <w:name w:val="toc 2"/>
    <w:basedOn w:val="1"/>
    <w:next w:val="1"/>
    <w:qFormat/>
    <w:uiPriority w:val="0"/>
    <w:pPr>
      <w:ind w:left="200" w:leftChars="200"/>
    </w:pPr>
  </w:style>
  <w:style w:type="paragraph" w:styleId="5">
    <w:name w:val="Normal (Web)"/>
    <w:basedOn w:val="1"/>
    <w:qFormat/>
    <w:uiPriority w:val="0"/>
    <w:pPr>
      <w:widowControl/>
      <w:jc w:val="left"/>
    </w:pPr>
    <w:rPr>
      <w:rFonts w:ascii="宋体" w:hAnsi="宋体" w:cs="宋体" w:eastAsiaTheme="minorEastAsia"/>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2022-11-22T01:11:00Z</dcterms:created>
  <dc:creator>Administrator</dc:creator>
  <cp:lastModifiedBy>Administrator</cp:lastModifiedBy>
  <dcterms:modified xsi:type="dcterms:W3CDTF">2022-11-22T07:52:10Z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