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ind w:left="0" w:leftChars="0" w:right="0" w:rightChars="0"/>
        <w:jc w:val="center"/>
        <w:textAlignment w:val="auto"/>
        <w:outlineLvl w:val="9"/>
        <w:rPr>
          <w:rFonts w:hint="eastAsia" w:ascii="方正小标宋_GBK" w:hAnsi="方正小标宋_GBK" w:eastAsia="方正小标宋_GBK" w:cs="方正小标宋_GBK"/>
          <w:b w:val="0"/>
          <w:bCs w:val="0"/>
          <w:sz w:val="44"/>
          <w:lang w:eastAsia="zh-CN"/>
        </w:rPr>
      </w:pPr>
      <w:r>
        <w:rPr>
          <w:rFonts w:hint="eastAsia" w:ascii="方正小标宋_GBK" w:hAnsi="方正小标宋_GBK" w:eastAsia="方正小标宋_GBK" w:cs="方正小标宋_GBK"/>
          <w:b w:val="0"/>
          <w:bCs w:val="0"/>
          <w:sz w:val="44"/>
          <w:lang w:eastAsia="zh-CN"/>
        </w:rPr>
        <w:t>昆明市晋宁区工业和科学技术信息化局</w:t>
      </w: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jc w:val="center"/>
        <w:textAlignment w:val="auto"/>
        <w:outlineLvl w:val="9"/>
        <w:rPr>
          <w:rFonts w:hint="eastAsia" w:ascii="方正小标宋_GBK" w:hAnsi="方正小标宋_GBK" w:eastAsia="方正小标宋_GBK" w:cs="方正小标宋_GBK"/>
          <w:b w:val="0"/>
          <w:bCs w:val="0"/>
          <w:sz w:val="44"/>
        </w:rPr>
      </w:pPr>
      <w:r>
        <w:rPr>
          <w:rFonts w:hint="eastAsia" w:ascii="方正小标宋_GBK" w:hAnsi="方正小标宋_GBK" w:eastAsia="方正小标宋_GBK" w:cs="方正小标宋_GBK"/>
          <w:b w:val="0"/>
          <w:bCs w:val="0"/>
          <w:sz w:val="44"/>
          <w:lang w:val="en-US" w:eastAsia="zh-CN"/>
        </w:rPr>
        <w:t>2022年4季度</w:t>
      </w:r>
      <w:r>
        <w:rPr>
          <w:rFonts w:hint="eastAsia" w:ascii="方正小标宋_GBK" w:hAnsi="方正小标宋_GBK" w:eastAsia="方正小标宋_GBK" w:cs="方正小标宋_GBK"/>
          <w:b w:val="0"/>
          <w:bCs w:val="0"/>
          <w:sz w:val="44"/>
        </w:rPr>
        <w:t>公平竞争审查</w:t>
      </w:r>
      <w:r>
        <w:rPr>
          <w:rFonts w:hint="eastAsia" w:ascii="方正小标宋_GBK" w:hAnsi="方正小标宋_GBK" w:eastAsia="方正小标宋_GBK" w:cs="方正小标宋_GBK"/>
          <w:b w:val="0"/>
          <w:bCs w:val="0"/>
          <w:sz w:val="44"/>
          <w:lang w:val="en-US" w:eastAsia="zh-CN"/>
        </w:rPr>
        <w:t>工作总结</w:t>
      </w: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jc w:val="left"/>
        <w:textAlignment w:val="auto"/>
        <w:outlineLvl w:val="9"/>
        <w:rPr>
          <w:rFonts w:hint="eastAsia" w:ascii="华文仿宋" w:hAnsi="华文仿宋" w:eastAsia="华文仿宋" w:cs="华文仿宋"/>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jc w:val="left"/>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按照</w:t>
      </w:r>
      <w:r>
        <w:rPr>
          <w:rFonts w:hint="eastAsia" w:ascii="仿宋" w:hAnsi="仿宋" w:eastAsia="仿宋" w:cs="仿宋_GB2312"/>
          <w:kern w:val="2"/>
          <w:sz w:val="32"/>
          <w:szCs w:val="32"/>
          <w:lang w:eastAsia="zh-CN"/>
        </w:rPr>
        <w:t>《</w:t>
      </w:r>
      <w:r>
        <w:rPr>
          <w:rFonts w:hint="eastAsia" w:ascii="仿宋" w:hAnsi="仿宋" w:eastAsia="仿宋" w:cs="仿宋_GB2312"/>
          <w:kern w:val="2"/>
          <w:sz w:val="32"/>
          <w:szCs w:val="32"/>
        </w:rPr>
        <w:t>昆明市晋宁区建立健全公平竞争审查长效机制 开展政策措施清理审查三年（2022-2024）工作方案</w:t>
      </w:r>
      <w:r>
        <w:rPr>
          <w:rFonts w:hint="eastAsia" w:ascii="仿宋" w:hAnsi="仿宋" w:eastAsia="仿宋" w:cs="仿宋_GB2312"/>
          <w:kern w:val="2"/>
          <w:sz w:val="32"/>
          <w:szCs w:val="32"/>
          <w:lang w:eastAsia="zh-CN"/>
        </w:rPr>
        <w:t>》要求</w:t>
      </w:r>
      <w:r>
        <w:rPr>
          <w:rFonts w:hint="eastAsia" w:ascii="仿宋_GB2312" w:hAnsi="仿宋_GB2312" w:eastAsia="仿宋_GB2312" w:cs="仿宋_GB2312"/>
          <w:b w:val="0"/>
          <w:bCs w:val="0"/>
          <w:sz w:val="32"/>
          <w:szCs w:val="32"/>
          <w:lang w:val="en-US" w:eastAsia="zh-CN"/>
        </w:rPr>
        <w:t>，区工科信局高度重视，结合工作实际，认真</w:t>
      </w:r>
      <w:r>
        <w:rPr>
          <w:rFonts w:hint="eastAsia" w:ascii="仿宋_GB2312" w:hAnsi="仿宋_GB2312" w:eastAsia="仿宋_GB2312" w:cs="仿宋_GB2312"/>
          <w:color w:val="000000"/>
          <w:sz w:val="32"/>
        </w:rPr>
        <w:t>深入</w:t>
      </w:r>
      <w:r>
        <w:rPr>
          <w:rFonts w:hint="eastAsia" w:ascii="仿宋_GB2312" w:hAnsi="仿宋_GB2312" w:eastAsia="仿宋_GB2312" w:cs="仿宋_GB2312"/>
          <w:b w:val="0"/>
          <w:bCs w:val="0"/>
          <w:sz w:val="32"/>
          <w:szCs w:val="32"/>
          <w:lang w:val="en-US" w:eastAsia="zh-CN"/>
        </w:rPr>
        <w:t>落</w:t>
      </w:r>
      <w:r>
        <w:rPr>
          <w:rFonts w:hint="eastAsia" w:ascii="仿宋_GB2312" w:hAnsi="仿宋_GB2312" w:eastAsia="仿宋_GB2312" w:cs="仿宋_GB2312"/>
          <w:color w:val="000000"/>
          <w:sz w:val="32"/>
        </w:rPr>
        <w:t>实公平竞争审查制度</w:t>
      </w:r>
      <w:r>
        <w:rPr>
          <w:rFonts w:hint="eastAsia" w:ascii="仿宋_GB2312" w:hAnsi="仿宋_GB2312" w:eastAsia="仿宋_GB2312" w:cs="仿宋_GB2312"/>
          <w:color w:val="000000"/>
          <w:sz w:val="32"/>
          <w:lang w:eastAsia="zh-CN"/>
        </w:rPr>
        <w:t>。</w:t>
      </w:r>
      <w:r>
        <w:rPr>
          <w:rFonts w:hint="eastAsia" w:ascii="仿宋_GB2312" w:hAnsi="仿宋_GB2312" w:eastAsia="仿宋_GB2312" w:cs="仿宋_GB2312"/>
          <w:color w:val="000000"/>
          <w:kern w:val="2"/>
          <w:sz w:val="32"/>
          <w:szCs w:val="32"/>
          <w:lang w:val="en-US" w:eastAsia="zh-CN" w:bidi="ar-SA"/>
        </w:rPr>
        <w:t>现将2022年4季度公平竞争审查工作开展情况报告</w:t>
      </w:r>
      <w:r>
        <w:rPr>
          <w:rFonts w:hint="eastAsia" w:ascii="仿宋_GB2312" w:hAnsi="仿宋_GB2312" w:eastAsia="仿宋_GB2312" w:cs="仿宋_GB2312"/>
          <w:b w:val="0"/>
          <w:bCs w:val="0"/>
          <w:sz w:val="32"/>
          <w:szCs w:val="32"/>
          <w:lang w:val="en-US" w:eastAsia="zh-CN"/>
        </w:rPr>
        <w:t>如下：</w:t>
      </w: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一、</w:t>
      </w:r>
      <w:r>
        <w:rPr>
          <w:rFonts w:hint="eastAsia" w:ascii="黑体" w:hAnsi="黑体" w:eastAsia="黑体" w:cs="黑体"/>
          <w:b w:val="0"/>
          <w:bCs w:val="0"/>
          <w:sz w:val="32"/>
          <w:szCs w:val="32"/>
          <w:lang w:val="en-US" w:eastAsia="zh-CN"/>
        </w:rPr>
        <w:t>2022年4</w:t>
      </w:r>
      <w:bookmarkStart w:id="0" w:name="_GoBack"/>
      <w:bookmarkEnd w:id="0"/>
      <w:r>
        <w:rPr>
          <w:rFonts w:hint="eastAsia" w:ascii="黑体" w:hAnsi="黑体" w:eastAsia="黑体" w:cs="黑体"/>
          <w:b w:val="0"/>
          <w:bCs w:val="0"/>
          <w:sz w:val="32"/>
          <w:szCs w:val="32"/>
          <w:lang w:val="en-US" w:eastAsia="zh-CN"/>
        </w:rPr>
        <w:t>季度</w:t>
      </w:r>
      <w:r>
        <w:rPr>
          <w:rFonts w:hint="eastAsia" w:ascii="黑体" w:hAnsi="黑体" w:eastAsia="黑体" w:cs="黑体"/>
          <w:b w:val="0"/>
          <w:bCs w:val="0"/>
          <w:sz w:val="32"/>
          <w:szCs w:val="32"/>
        </w:rPr>
        <w:t>公平竞争审查工作总体情况</w:t>
      </w: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lang w:val="en-US" w:eastAsia="zh-CN"/>
        </w:rPr>
        <w:t>组织领导</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及时调整局公平竞争审查领导小组成员。由党组书记安明生同志任组长，局长陈伟任副组长，领导小组下设办公室在局办公室，由副局长杜文广任领导小组办公室主任，负责公平竞争审查日常工作。</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（二）制度建设</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认真做好公平竞争审查工作，区工科信局按照相关通知要求，制定、印发《昆明市晋宁区工业和科学技术信息化局局公平竞争审查工作实施方案》，对区工科信局公平竞争审查工作作出规范性要求，实现公平竞争审查制度全覆盖，文件未经公平竞争审查一律不予出台，违反标准的存量政策措施全面修改完善后出台或给予废止，为规范公平竞争审查工作提供了制度保障。</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eastAsia="zh-CN"/>
        </w:rPr>
        <w:t>（三）</w:t>
      </w:r>
      <w:r>
        <w:rPr>
          <w:rFonts w:hint="eastAsia" w:ascii="楷体_GB2312" w:hAnsi="楷体_GB2312" w:eastAsia="楷体_GB2312" w:cs="楷体_GB2312"/>
          <w:b w:val="0"/>
          <w:bCs w:val="0"/>
          <w:sz w:val="32"/>
          <w:szCs w:val="32"/>
          <w:lang w:val="en-US" w:eastAsia="zh-CN"/>
        </w:rPr>
        <w:t>自查清理</w:t>
      </w:r>
      <w:r>
        <w:rPr>
          <w:rFonts w:hint="eastAsia" w:ascii="楷体_GB2312" w:hAnsi="楷体_GB2312" w:eastAsia="楷体_GB2312" w:cs="楷体_GB2312"/>
          <w:b w:val="0"/>
          <w:bCs w:val="0"/>
          <w:sz w:val="32"/>
          <w:szCs w:val="32"/>
        </w:rPr>
        <w:t>情况</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区工科信局认真落实公平竞争审查工作，按要求严格</w:t>
      </w:r>
      <w:r>
        <w:rPr>
          <w:rFonts w:hint="default" w:ascii="Times New Roman" w:hAnsi="Times New Roman" w:eastAsia="仿宋_GB2312" w:cs="Times New Roman"/>
          <w:sz w:val="32"/>
          <w:szCs w:val="32"/>
        </w:rPr>
        <w:t>执行公平竞争审查制度</w:t>
      </w:r>
      <w:r>
        <w:rPr>
          <w:rFonts w:hint="eastAsia" w:ascii="Times New Roman" w:hAnsi="Times New Roman" w:eastAsia="仿宋_GB2312" w:cs="Times New Roman"/>
          <w:sz w:val="32"/>
          <w:szCs w:val="32"/>
          <w:lang w:eastAsia="zh-CN"/>
        </w:rPr>
        <w:t>，开展每季度</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清理废除妨碍统一市场和公平竞争政策文件</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截止2022年4季度，我局没有出台规范行为文件和其他政策措施，没有发现有涉及市场主体经济活动的文件。所印发的文件均不存在公平竞争审核内容。 </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二、工作亮点</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暂无。</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黑体" w:hAnsi="黑体" w:eastAsia="黑体" w:cs="黑体"/>
          <w:sz w:val="32"/>
          <w:szCs w:val="32"/>
          <w:lang w:val="en-US" w:eastAsia="zh-CN"/>
        </w:rPr>
        <w:t>三、工作中存在的问题与下一步工作打算</w:t>
      </w:r>
      <w:r>
        <w:rPr>
          <w:rFonts w:hint="eastAsia" w:ascii="华文仿宋" w:hAnsi="华文仿宋" w:eastAsia="华文仿宋" w:cs="华文仿宋"/>
          <w:b w:val="0"/>
          <w:bCs w:val="0"/>
          <w:sz w:val="32"/>
          <w:szCs w:val="32"/>
        </w:rPr>
        <w:br w:type="textWrapping"/>
      </w:r>
      <w:r>
        <w:rPr>
          <w:rFonts w:hint="eastAsia" w:ascii="华文仿宋" w:hAnsi="华文仿宋" w:eastAsia="华文仿宋" w:cs="华文仿宋"/>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虽然我局公平竞争审查工作取得了一定成绩，但仍然存在对公平竞争审查的标准和程序认识不清的情况存在。</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下一步我局将按照省、市和区关于建立公平竞争审查制度要求，严格规范性文件及政策措施的公平竞争审查工作，加大宣传和公开力度，在实践中不断健全完善公平竞争审查机制。</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 w:eastAsia="仿宋_GB2312"/>
          <w:color w:val="000000"/>
          <w:sz w:val="32"/>
          <w:szCs w:val="32"/>
          <w:lang w:val="en-US" w:eastAsia="zh-CN"/>
        </w:rPr>
        <w:t>同时，开展相关</w:t>
      </w:r>
      <w:r>
        <w:rPr>
          <w:rFonts w:hint="eastAsia" w:ascii="仿宋_GB2312" w:hAnsi="仿宋_GB2312" w:eastAsia="仿宋_GB2312" w:cs="仿宋_GB2312"/>
          <w:b w:val="0"/>
          <w:bCs w:val="0"/>
          <w:sz w:val="32"/>
          <w:szCs w:val="32"/>
          <w:lang w:eastAsia="zh-CN"/>
        </w:rPr>
        <w:t>公平竞争审查制度的</w:t>
      </w:r>
      <w:r>
        <w:rPr>
          <w:rFonts w:hint="eastAsia" w:ascii="仿宋_GB2312" w:hAnsi="仿宋_GB2312" w:eastAsia="仿宋_GB2312" w:cs="仿宋_GB2312"/>
          <w:b w:val="0"/>
          <w:bCs w:val="0"/>
          <w:sz w:val="32"/>
          <w:szCs w:val="32"/>
          <w:lang w:val="en-US" w:eastAsia="zh-CN"/>
        </w:rPr>
        <w:t>学习、</w:t>
      </w:r>
      <w:r>
        <w:rPr>
          <w:rFonts w:hint="eastAsia" w:ascii="仿宋_GB2312" w:hAnsi="仿宋_GB2312" w:eastAsia="仿宋_GB2312" w:cs="仿宋_GB2312"/>
          <w:b w:val="0"/>
          <w:bCs w:val="0"/>
          <w:sz w:val="32"/>
          <w:szCs w:val="32"/>
          <w:lang w:eastAsia="zh-CN"/>
        </w:rPr>
        <w:t>培训，提高公平竞争审查结论的准确性，确保应审尽审。</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textAlignment w:val="auto"/>
        <w:outlineLvl w:val="9"/>
        <w:rPr>
          <w:rFonts w:hint="eastAsia" w:ascii="华文仿宋" w:hAnsi="华文仿宋" w:eastAsia="华文仿宋" w:cs="华文仿宋"/>
          <w:b w:val="0"/>
          <w:bCs w:val="0"/>
          <w:sz w:val="32"/>
          <w:szCs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textAlignment w:val="auto"/>
        <w:outlineLvl w:val="9"/>
        <w:rPr>
          <w:rFonts w:hint="eastAsia" w:ascii="华文仿宋" w:hAnsi="华文仿宋" w:eastAsia="华文仿宋" w:cs="华文仿宋"/>
          <w:b w:val="0"/>
          <w:bCs w:val="0"/>
          <w:sz w:val="32"/>
          <w:szCs w:val="32"/>
          <w:lang w:eastAsia="zh-CN"/>
        </w:rPr>
      </w:pP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jc w:val="right"/>
        <w:textAlignment w:val="auto"/>
        <w:outlineLvl w:val="9"/>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昆明市晋宁区工业和科学技术信息化局</w:t>
      </w:r>
    </w:p>
    <w:p>
      <w:pPr>
        <w:keepNext w:val="0"/>
        <w:keepLines w:val="0"/>
        <w:pageBreakBefore w:val="0"/>
        <w:widowControl/>
        <w:kinsoku/>
        <w:wordWrap/>
        <w:overflowPunct/>
        <w:topLinePunct w:val="0"/>
        <w:autoSpaceDE/>
        <w:autoSpaceDN/>
        <w:bidi w:val="0"/>
        <w:adjustRightInd/>
        <w:snapToGrid/>
        <w:spacing w:line="540" w:lineRule="exact"/>
        <w:ind w:left="0" w:leftChars="0" w:right="0" w:rightChars="0" w:firstLine="4800" w:firstLineChars="15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2022年12月12日</w:t>
      </w:r>
    </w:p>
    <w:sectPr>
      <w:headerReference r:id="rId3" w:type="default"/>
      <w:footerReference r:id="rId4" w:type="default"/>
      <w:pgSz w:w="12240" w:h="15840"/>
      <w:pgMar w:top="2211" w:right="1531" w:bottom="1871" w:left="1587" w:header="720" w:footer="720" w:gutter="0"/>
      <w:lnNumType w:countBy="0" w:distance="36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仿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方正美黑简体">
    <w:altName w:val="黑体"/>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50595C"/>
    <w:rsid w:val="05D20F60"/>
    <w:rsid w:val="090E7163"/>
    <w:rsid w:val="0F4B1F36"/>
    <w:rsid w:val="123945F9"/>
    <w:rsid w:val="133C6375"/>
    <w:rsid w:val="13820AD3"/>
    <w:rsid w:val="182C7064"/>
    <w:rsid w:val="21577B21"/>
    <w:rsid w:val="228A7F42"/>
    <w:rsid w:val="235820B9"/>
    <w:rsid w:val="249175AB"/>
    <w:rsid w:val="26A63D39"/>
    <w:rsid w:val="2C232D6F"/>
    <w:rsid w:val="2EE038A4"/>
    <w:rsid w:val="324C3C1A"/>
    <w:rsid w:val="39735DC3"/>
    <w:rsid w:val="3C885B51"/>
    <w:rsid w:val="402F2E47"/>
    <w:rsid w:val="49E056D3"/>
    <w:rsid w:val="4A747235"/>
    <w:rsid w:val="4CE81F79"/>
    <w:rsid w:val="4E96606F"/>
    <w:rsid w:val="521A29B6"/>
    <w:rsid w:val="533C70F7"/>
    <w:rsid w:val="53CF1354"/>
    <w:rsid w:val="627C078C"/>
    <w:rsid w:val="64483915"/>
    <w:rsid w:val="64FA6D62"/>
    <w:rsid w:val="66C3782B"/>
    <w:rsid w:val="6AC051CE"/>
    <w:rsid w:val="6C6151A5"/>
    <w:rsid w:val="7150595C"/>
    <w:rsid w:val="74375B48"/>
    <w:rsid w:val="74441AA5"/>
    <w:rsid w:val="77840BE8"/>
    <w:rsid w:val="780D774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宋体" w:asciiTheme="minorHAnsi" w:hAnsiTheme="minorHAnsi" w:cstheme="minorBidi"/>
      <w:kern w:val="2"/>
      <w:sz w:val="21"/>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7">
    <w:name w:val="正文 New"/>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2020-11-23T02:22:00Z</dcterms:created>
  <dc:creator>Administrator</dc:creator>
  <cp:lastModifiedBy>NTKO</cp:lastModifiedBy>
  <cp:lastPrinted>2020-11-24T07:22:00Z</cp:lastPrinted>
  <dcterms:modified xsi:type="dcterms:W3CDTF">2022-12-12T09:34:10Z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